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40" w:line="240" w:lineRule="auto"/>
        <w:ind w:left="720" w:right="720"/>
        <w:jc w:val="center"/>
      </w:pPr>
      <w:r>
        <w:rPr>
          <w:rFonts w:ascii="Aptos Display" w:hAnsi="Aptos Display"/>
          <w:b/>
          <w:spacing w:val="20"/>
          <w:color w:val="17365D"/>
          <w:sz w:val="52"/>
          <w:szCs w:val="52"/>
        </w:rPr>
        <w:t>NORTH AMERICAN</w:t>
        <w:br/>
        <w:t>AGRICULTURAL FREE TRADE COMPACT</w:t>
      </w:r>
    </w:p>
    <w:p>
      <w:pPr>
        <w:spacing w:before="0" w:after="360"/>
        <w:ind w:left="720" w:right="720"/>
        <w:jc w:val="center"/>
      </w:pPr>
      <w:r>
        <w:rPr>
          <w:rFonts w:ascii="Aptos Display" w:hAnsi="Aptos Display"/>
          <w:b/>
          <w:spacing w:val="40"/>
          <w:color w:val="A58A55"/>
          <w:sz w:val="30"/>
          <w:szCs w:val="30"/>
        </w:rPr>
        <w:t>NAAFTC</w:t>
      </w:r>
    </w:p>
    <w:p>
      <w:pPr>
        <w:spacing w:before="0" w:after="360" w:line="264" w:lineRule="auto"/>
        <w:ind w:left="720" w:right="720"/>
        <w:jc w:val="center"/>
      </w:pPr>
      <w:r>
        <w:rPr>
          <w:rFonts w:ascii="Aptos" w:hAnsi="Aptos"/>
          <w:i/>
          <w:color w:val="17365D"/>
          <w:sz w:val="24"/>
          <w:szCs w:val="24"/>
        </w:rPr>
        <w:t>Standalone trilateral framework for complete internal agricultural tariff and tariff-rate quota elimination among Canada, the United States, and Mexico</w:t>
      </w:r>
    </w:p>
    <w:p>
      <w:pPr>
        <w:pBdr>
          <w:bottom w:val="single" w:sz="6" w:space="1" w:color="A58A55"/>
        </w:pBdr>
        <w:spacing w:before="0" w:after="360"/>
        <w:ind w:left="3240" w:right="3240"/>
        <w:jc w:val="center"/>
      </w:pPr>
    </w:p>
    <w:p>
      <w:pPr>
        <w:spacing w:before="0" w:after="480"/>
        <w:ind w:left="720" w:right="720"/>
        <w:jc w:val="center"/>
      </w:pPr>
      <w:r>
        <w:rPr>
          <w:rFonts w:ascii="Aptos" w:hAnsi="Aptos"/>
          <w:color w:val="212121"/>
          <w:sz w:val="20"/>
          <w:szCs w:val="20"/>
        </w:rPr>
        <w:t>Version 1.24 RC1.1 - Status-Only Release Cleanup</w:t>
      </w:r>
    </w:p>
    <w:p>
      <w:pPr>
        <w:spacing w:before="0" w:after="280" w:line="252" w:lineRule="auto"/>
        <w:ind w:left="720" w:right="720"/>
        <w:jc w:val="center"/>
      </w:pPr>
      <w:r>
        <w:rPr>
          <w:rFonts w:ascii="Aptos" w:hAnsi="Aptos"/>
          <w:b/>
          <w:color w:val="5B6B7A"/>
          <w:sz w:val="16"/>
          <w:szCs w:val="16"/>
        </w:rPr>
        <w:t xml:space="preserve">RELEASE-CANDIDATE NEGOTIATING DRAFT: NEGOTIATED COVERAGE AND PRODUCT-SPECIFIC SCHEDULE DECISIONS REMAIN SUBJECT TO CONTROLLED ADOPTION</w:t>
      </w:r>
    </w:p>
    <w:p>
      <w:pPr>
        <w:spacing w:before="0" w:after="0" w:line="252" w:lineRule="auto"/>
        <w:ind w:left="720" w:right="720"/>
        <w:jc w:val="center"/>
        <w:sectPr>
          <w:pgSz w:w="12240" w:h="15840"/>
          <w:pgMar w:top="1440" w:right="1123" w:bottom="1440" w:left="1123" w:header="720" w:footer="720" w:gutter="0"/>
          <w:pgBorders w:offsetFrom="page">
            <w:top w:val="double" w:sz="8" w:space="24" w:color="17365D"/>
            <w:left w:val="double" w:sz="8" w:space="24" w:color="17365D"/>
            <w:bottom w:val="double" w:sz="8" w:space="24" w:color="17365D"/>
            <w:right w:val="double" w:sz="8" w:space="24" w:color="17365D"/>
          </w:pgBorders>
          <w:cols w:space="720"/>
          <w:docGrid w:linePitch="360"/>
        </w:sectPr>
      </w:pPr>
      <w:r>
        <w:rPr>
          <w:rFonts w:ascii="Aptos" w:hAnsi="Aptos"/>
          <w:i/>
          <w:color w:val="5B6B7A"/>
          <w:sz w:val="16"/>
          <w:szCs w:val="16"/>
        </w:rPr>
        <w:t>RC1.1 is a status-only release cleanup of RC1. No operative clause is reopened by this revision. The revision removes stale internal workflow labels and aligns annex population-status descriptions with the current controlled source, adoption, and event-state posture. National tariff-source population and tri-national identity reconciliation remain in controlled companion workbooks, and unresolved negotiated values remain controlled open states rather than inferred legal conclusions. Remaining work is limited to negotiated adoption, authenticated product-specific schedule decisions where required, source- or event-dependent future records, governmental legal review, and final publication/freeze mechanics.</w:t>
      </w:r>
    </w:p>
    <w:p>
      <w:pPr>
        <w:pStyle w:val="TOCTitle"/>
      </w:pPr>
      <w:r>
        <w:t>Table of Contents</w:t>
      </w:r>
    </w:p>
    <w:p>
      <w:pPr>
        <w:pStyle w:val="TOC1"/>
      </w:pPr>
      <w:r>
        <w:fldChar w:fldCharType="begin"/>
      </w:r>
      <w:r>
        <w:instrText xml:space="preserve"> TOC \o "1-2" \h \z \u </w:instrText>
      </w:r>
      <w:r>
        <w:fldChar w:fldCharType="separate"/>
      </w:r>
      <w:r>
        <w:t xml:space="preserve">Instrument Overview</w:t>
      </w:r>
      <w:r>
        <w:tab/>
      </w:r>
      <w:r>
        <w:t>13</w:t>
      </w:r>
    </w:p>
    <w:p>
      <w:pPr>
        <w:pStyle w:val="TOC1"/>
      </w:pPr>
      <w:r>
        <w:t xml:space="preserve">Structural Design Rules</w:t>
      </w:r>
      <w:r>
        <w:tab/>
      </w:r>
      <w:r>
        <w:t>14</w:t>
      </w:r>
    </w:p>
    <w:p>
      <w:pPr>
        <w:pStyle w:val="TOC1"/>
      </w:pPr>
      <w:r>
        <w:t xml:space="preserve">Front Matter Architecture</w:t>
      </w:r>
      <w:r>
        <w:tab/>
      </w:r>
      <w:r>
        <w:t>15</w:t>
      </w:r>
    </w:p>
    <w:p>
      <w:pPr>
        <w:pStyle w:val="TOC2"/>
      </w:pPr>
      <w:r>
        <w:t xml:space="preserve">Status and Verification Notice</w:t>
      </w:r>
      <w:r>
        <w:tab/>
      </w:r>
      <w:r>
        <w:t>15</w:t>
      </w:r>
    </w:p>
    <w:p>
      <w:pPr>
        <w:pStyle w:val="TOC2"/>
      </w:pPr>
      <w:r>
        <w:t xml:space="preserve">Executive Summary</w:t>
      </w:r>
      <w:r>
        <w:tab/>
      </w:r>
      <w:r>
        <w:t>15</w:t>
      </w:r>
    </w:p>
    <w:p>
      <w:pPr>
        <w:pStyle w:val="TOC2"/>
      </w:pPr>
      <w:r>
        <w:t xml:space="preserve">Table of Contents</w:t>
      </w:r>
      <w:r>
        <w:tab/>
      </w:r>
      <w:r>
        <w:t>17</w:t>
      </w:r>
    </w:p>
    <w:p>
      <w:pPr>
        <w:pStyle w:val="TOC1"/>
      </w:pPr>
      <w:r>
        <w:t xml:space="preserve">Preamble</w:t>
      </w:r>
      <w:r>
        <w:tab/>
      </w:r>
      <w:r>
        <w:t>18</w:t>
      </w:r>
    </w:p>
    <w:p>
      <w:pPr>
        <w:pStyle w:val="TOC2"/>
      </w:pPr>
      <w:r>
        <w:t xml:space="preserve">Preamble Principles</w:t>
      </w:r>
      <w:r>
        <w:tab/>
      </w:r>
      <w:r>
        <w:t>18</w:t>
      </w:r>
    </w:p>
    <w:p>
      <w:pPr>
        <w:pStyle w:val="TOC1"/>
      </w:pPr>
      <w:r>
        <w:t xml:space="preserve">Chapter 1 - Initial Provisions, Objectives, and Scope</w:t>
      </w:r>
      <w:r>
        <w:tab/>
      </w:r>
      <w:r>
        <w:t>20</w:t>
      </w:r>
    </w:p>
    <w:p>
      <w:pPr>
        <w:pStyle w:val="TOC2"/>
      </w:pPr>
      <w:r>
        <w:t xml:space="preserve">Article 1.1 - Establishment of the Compact</w:t>
      </w:r>
      <w:r>
        <w:tab/>
      </w:r>
      <w:r>
        <w:t>20</w:t>
      </w:r>
    </w:p>
    <w:p>
      <w:pPr>
        <w:pStyle w:val="TOC2"/>
      </w:pPr>
      <w:r>
        <w:t xml:space="preserve">Article 1.2 - Objectives</w:t>
      </w:r>
      <w:r>
        <w:tab/>
      </w:r>
      <w:r>
        <w:t>20</w:t>
      </w:r>
    </w:p>
    <w:p>
      <w:pPr>
        <w:pStyle w:val="TOC2"/>
      </w:pPr>
      <w:r>
        <w:t xml:space="preserve">Article 1.3 - Geographic and Product Scope</w:t>
      </w:r>
      <w:r>
        <w:tab/>
      </w:r>
      <w:r>
        <w:t>21</w:t>
      </w:r>
    </w:p>
    <w:p>
      <w:pPr>
        <w:pStyle w:val="TOC2"/>
      </w:pPr>
      <w:r>
        <w:t xml:space="preserve">Article 1.4 - Application to Originating Goods</w:t>
      </w:r>
      <w:r>
        <w:tab/>
      </w:r>
      <w:r>
        <w:t>22</w:t>
      </w:r>
    </w:p>
    <w:p>
      <w:pPr>
        <w:pStyle w:val="TOC2"/>
      </w:pPr>
      <w:r>
        <w:t xml:space="preserve">Article 1.5 - Independent External Agricultural Trade Policy</w:t>
      </w:r>
      <w:r>
        <w:tab/>
      </w:r>
      <w:r>
        <w:t>23</w:t>
      </w:r>
    </w:p>
    <w:p>
      <w:pPr>
        <w:pStyle w:val="TOC2"/>
      </w:pPr>
      <w:r>
        <w:t xml:space="preserve">Article 1.6 - No Implied Obligation Concerning Non-Party Trade</w:t>
      </w:r>
      <w:r>
        <w:tab/>
      </w:r>
      <w:r>
        <w:t>23</w:t>
      </w:r>
    </w:p>
    <w:p>
      <w:pPr>
        <w:pStyle w:val="TOC2"/>
      </w:pPr>
      <w:r>
        <w:t xml:space="preserve">Article 1.7 - Separation of Border Liberalization and Domestic Adjustment</w:t>
      </w:r>
      <w:r>
        <w:tab/>
      </w:r>
      <w:r>
        <w:t>24</w:t>
      </w:r>
    </w:p>
    <w:p>
      <w:pPr>
        <w:pStyle w:val="TOC2"/>
      </w:pPr>
      <w:r>
        <w:t xml:space="preserve">Article 1.8 - Good-Faith Implementation and Non-Frustration</w:t>
      </w:r>
      <w:r>
        <w:tab/>
      </w:r>
      <w:r>
        <w:t>25</w:t>
      </w:r>
    </w:p>
    <w:p>
      <w:pPr>
        <w:pStyle w:val="TOC2"/>
      </w:pPr>
      <w:r>
        <w:t xml:space="preserve">Article 1.9 - Progressive and Durable Liberalization</w:t>
      </w:r>
      <w:r>
        <w:tab/>
      </w:r>
      <w:r>
        <w:t>25</w:t>
      </w:r>
    </w:p>
    <w:p>
      <w:pPr>
        <w:pStyle w:val="TOC1"/>
      </w:pPr>
      <w:r>
        <w:t xml:space="preserve">Chapter 2 - Definitions and Interpretive Rules</w:t>
      </w:r>
      <w:r>
        <w:tab/>
      </w:r>
      <w:r>
        <w:t>27</w:t>
      </w:r>
    </w:p>
    <w:p>
      <w:pPr>
        <w:pStyle w:val="TOC2"/>
      </w:pPr>
      <w:r>
        <w:t xml:space="preserve">Article 2.1 - Application, Hierarchy, and Use of Definitions</w:t>
      </w:r>
      <w:r>
        <w:tab/>
      </w:r>
      <w:r>
        <w:t>27</w:t>
      </w:r>
    </w:p>
    <w:p>
      <w:pPr>
        <w:pStyle w:val="TOC2"/>
      </w:pPr>
      <w:r>
        <w:t xml:space="preserve">Article 2.2 - General Rules of Defined-Term Construction</w:t>
      </w:r>
      <w:r>
        <w:tab/>
      </w:r>
      <w:r>
        <w:t>27</w:t>
      </w:r>
    </w:p>
    <w:p>
      <w:pPr>
        <w:pStyle w:val="TOC2"/>
      </w:pPr>
      <w:r>
        <w:t xml:space="preserve">Article 2.3 - Party, Parties, Party Concerned, Person, and Territory</w:t>
      </w:r>
      <w:r>
        <w:tab/>
      </w:r>
      <w:r>
        <w:t>28</w:t>
      </w:r>
    </w:p>
    <w:p>
      <w:pPr>
        <w:pStyle w:val="TOC2"/>
      </w:pPr>
      <w:r>
        <w:t xml:space="preserve">Article 2.4 - Agricultural Good and Covered Agricultural Good</w:t>
      </w:r>
      <w:r>
        <w:tab/>
      </w:r>
      <w:r>
        <w:t>28</w:t>
      </w:r>
    </w:p>
    <w:p>
      <w:pPr>
        <w:pStyle w:val="TOC2"/>
      </w:pPr>
      <w:r>
        <w:t xml:space="preserve">Article 2.5 - Originating Agricultural Good and Treatment of Non-Originating Goods</w:t>
      </w:r>
      <w:r>
        <w:tab/>
      </w:r>
      <w:r>
        <w:t>29</w:t>
      </w:r>
    </w:p>
    <w:p>
      <w:pPr>
        <w:pStyle w:val="TOC2"/>
      </w:pPr>
      <w:r>
        <w:t xml:space="preserve">Article 2.6 - Tariff, Customs Duty, and Equivalent Border Charge</w:t>
      </w:r>
      <w:r>
        <w:tab/>
      </w:r>
      <w:r>
        <w:t>29</w:t>
      </w:r>
    </w:p>
    <w:p>
      <w:pPr>
        <w:pStyle w:val="TOC2"/>
      </w:pPr>
      <w:r>
        <w:t xml:space="preserve">Article 2.7 - Measure</w:t>
      </w:r>
      <w:r>
        <w:tab/>
      </w:r>
      <w:r>
        <w:t>30</w:t>
      </w:r>
    </w:p>
    <w:p>
      <w:pPr>
        <w:pStyle w:val="TOC2"/>
      </w:pPr>
      <w:r>
        <w:t xml:space="preserve">Article 2.8 - Tariff-Rate Quota, Managed Access, and Managed-Access Field</w:t>
      </w:r>
      <w:r>
        <w:tab/>
      </w:r>
      <w:r>
        <w:t>30</w:t>
      </w:r>
    </w:p>
    <w:p>
      <w:pPr>
        <w:pStyle w:val="TOC2"/>
      </w:pPr>
      <w:r>
        <w:t xml:space="preserve">Article 2.9 - Vested Market-Access Right</w:t>
      </w:r>
      <w:r>
        <w:tab/>
      </w:r>
      <w:r>
        <w:t>31</w:t>
      </w:r>
    </w:p>
    <w:p>
      <w:pPr>
        <w:pStyle w:val="TOC2"/>
      </w:pPr>
      <w:r>
        <w:t xml:space="preserve">Article 2.10 - Vesting Tranche, TRQ Displacement, and Full-Vesting Confirmation</w:t>
      </w:r>
      <w:r>
        <w:tab/>
      </w:r>
      <w:r>
        <w:t>32</w:t>
      </w:r>
    </w:p>
    <w:p>
      <w:pPr>
        <w:pStyle w:val="TOC2"/>
      </w:pPr>
      <w:r>
        <w:t xml:space="preserve">Article 2.11 - Completed Liberalization Milestone, Zero-Line Status, Reciprocity Milestone, and Synchronized Activation</w:t>
      </w:r>
      <w:r>
        <w:tab/>
      </w:r>
      <w:r>
        <w:t>32</w:t>
      </w:r>
    </w:p>
    <w:p>
      <w:pPr>
        <w:pStyle w:val="TOC2"/>
      </w:pPr>
      <w:r>
        <w:t xml:space="preserve">Article 2.12 - Commercial Usability and Preferential Treatment</w:t>
      </w:r>
      <w:r>
        <w:tab/>
      </w:r>
      <w:r>
        <w:t>33</w:t>
      </w:r>
    </w:p>
    <w:p>
      <w:pPr>
        <w:pStyle w:val="TOC2"/>
      </w:pPr>
      <w:r>
        <w:t xml:space="preserve">Article 2.13 - Circumvention and Transshipment</w:t>
      </w:r>
      <w:r>
        <w:tab/>
      </w:r>
      <w:r>
        <w:t>33</w:t>
      </w:r>
    </w:p>
    <w:p>
      <w:pPr>
        <w:pStyle w:val="TOC2"/>
      </w:pPr>
      <w:r>
        <w:t xml:space="preserve">Article 2.14 - Serious Injury, Critical Shortage, SPS Emergency, and Incremental Benefit</w:t>
      </w:r>
      <w:r>
        <w:tab/>
      </w:r>
      <w:r>
        <w:t>34</w:t>
      </w:r>
    </w:p>
    <w:p>
      <w:pPr>
        <w:pStyle w:val="TOC2"/>
      </w:pPr>
      <w:r>
        <w:t xml:space="preserve">Article 2.15 - Agricultural Liberalization Verification System</w:t>
      </w:r>
      <w:r>
        <w:tab/>
      </w:r>
      <w:r>
        <w:t>35</w:t>
      </w:r>
    </w:p>
    <w:p>
      <w:pPr>
        <w:pStyle w:val="TOC2"/>
      </w:pPr>
      <w:r>
        <w:t xml:space="preserve">Article 2.16 - Rules of Construction, Schedule Hierarchy, and Tariff Nomenclature Continuity</w:t>
      </w:r>
      <w:r>
        <w:tab/>
      </w:r>
      <w:r>
        <w:t>35</w:t>
      </w:r>
    </w:p>
    <w:p>
      <w:pPr>
        <w:pStyle w:val="TOC1"/>
      </w:pPr>
      <w:r>
        <w:t xml:space="preserve">Chapter 3 - Covered Agricultural Goods and Product Schedules</w:t>
      </w:r>
      <w:r>
        <w:tab/>
      </w:r>
      <w:r>
        <w:t>37</w:t>
      </w:r>
    </w:p>
    <w:p>
      <w:pPr>
        <w:pStyle w:val="TOC2"/>
      </w:pPr>
      <w:r>
        <w:t xml:space="preserve">Article 3.1 - Scope and Function of Product Coverage</w:t>
      </w:r>
      <w:r>
        <w:tab/>
      </w:r>
      <w:r>
        <w:t>37</w:t>
      </w:r>
    </w:p>
    <w:p>
      <w:pPr>
        <w:pStyle w:val="TOC2"/>
      </w:pPr>
      <w:r>
        <w:t xml:space="preserve">Article 3.2 - Covered Agricultural Goods Master Schedule</w:t>
      </w:r>
      <w:r>
        <w:tab/>
      </w:r>
      <w:r>
        <w:t>37</w:t>
      </w:r>
    </w:p>
    <w:p>
      <w:pPr>
        <w:pStyle w:val="TOC2"/>
      </w:pPr>
      <w:r>
        <w:t xml:space="preserve">Article 3.3 - Mandatory Product Record, Source, and Verification Fields</w:t>
      </w:r>
      <w:r>
        <w:tab/>
      </w:r>
      <w:r>
        <w:t>38</w:t>
      </w:r>
    </w:p>
    <w:p>
      <w:pPr>
        <w:pStyle w:val="TOC2"/>
      </w:pPr>
      <w:r>
        <w:t xml:space="preserve">Article 3.4 - Product Identification and Classification</w:t>
      </w:r>
      <w:r>
        <w:tab/>
      </w:r>
      <w:r>
        <w:t>39</w:t>
      </w:r>
    </w:p>
    <w:p>
      <w:pPr>
        <w:pStyle w:val="TOC2"/>
      </w:pPr>
      <w:r>
        <w:t xml:space="preserve">Article 3.5 - Coverage Status and Pending Determinations</w:t>
      </w:r>
      <w:r>
        <w:tab/>
      </w:r>
      <w:r>
        <w:t>39</w:t>
      </w:r>
    </w:p>
    <w:p>
      <w:pPr>
        <w:pStyle w:val="TOC2"/>
      </w:pPr>
      <w:r>
        <w:t xml:space="preserve">Article 3.6 - Express Exclusions and Negative-List Discipline</w:t>
      </w:r>
      <w:r>
        <w:tab/>
      </w:r>
      <w:r>
        <w:t>40</w:t>
      </w:r>
    </w:p>
    <w:p>
      <w:pPr>
        <w:pStyle w:val="TOC2"/>
      </w:pPr>
      <w:r>
        <w:t xml:space="preserve">Article 3.7 - Relationship to Tariff, Transition, and Vesting Schedules</w:t>
      </w:r>
      <w:r>
        <w:tab/>
      </w:r>
      <w:r>
        <w:t>41</w:t>
      </w:r>
    </w:p>
    <w:p>
      <w:pPr>
        <w:pStyle w:val="TOC2"/>
      </w:pPr>
      <w:r>
        <w:t xml:space="preserve">Article 3.8 - New, Novel, and Boundary Agricultural Goods</w:t>
      </w:r>
      <w:r>
        <w:tab/>
      </w:r>
      <w:r>
        <w:t>41</w:t>
      </w:r>
    </w:p>
    <w:p>
      <w:pPr>
        <w:pStyle w:val="TOC2"/>
      </w:pPr>
      <w:r>
        <w:t xml:space="preserve">Article 3.9 - HS Revisions and Concordance Register</w:t>
      </w:r>
      <w:r>
        <w:tab/>
      </w:r>
      <w:r>
        <w:t>42</w:t>
      </w:r>
    </w:p>
    <w:p>
      <w:pPr>
        <w:pStyle w:val="TOC2"/>
      </w:pPr>
      <w:r>
        <w:t xml:space="preserve">Article 3.10 - Metadata Maintenance, Corrections, Technical Amendments, and Substantive Amendments</w:t>
      </w:r>
      <w:r>
        <w:tab/>
      </w:r>
      <w:r>
        <w:t>42</w:t>
      </w:r>
    </w:p>
    <w:p>
      <w:pPr>
        <w:pStyle w:val="TOC2"/>
      </w:pPr>
      <w:r>
        <w:t xml:space="preserve">Article 3.11 - Publication, Version Control, and Change History</w:t>
      </w:r>
      <w:r>
        <w:tab/>
      </w:r>
      <w:r>
        <w:t>43</w:t>
      </w:r>
    </w:p>
    <w:p>
      <w:pPr>
        <w:pStyle w:val="TOC2"/>
      </w:pPr>
      <w:r>
        <w:t xml:space="preserve">Article 3.12 - Legal Effect and No Silent Coverage Change</w:t>
      </w:r>
      <w:r>
        <w:tab/>
      </w:r>
      <w:r>
        <w:t>44</w:t>
      </w:r>
    </w:p>
    <w:p>
      <w:pPr>
        <w:pStyle w:val="TOC1"/>
      </w:pPr>
      <w:r>
        <w:t xml:space="preserve">Chapter 4 - Immediate Zero-Tariff Lock and No-New-Barrier Rule</w:t>
      </w:r>
      <w:r>
        <w:tab/>
      </w:r>
      <w:r>
        <w:t>45</w:t>
      </w:r>
    </w:p>
    <w:p>
      <w:pPr>
        <w:pStyle w:val="TOC2"/>
      </w:pPr>
      <w:r>
        <w:t xml:space="preserve">Article 4.1 - Scope, Function, and Standstill Character</w:t>
      </w:r>
      <w:r>
        <w:tab/>
      </w:r>
      <w:r>
        <w:t>45</w:t>
      </w:r>
    </w:p>
    <w:p>
      <w:pPr>
        <w:pStyle w:val="TOC2"/>
      </w:pPr>
      <w:r>
        <w:t xml:space="preserve">Article 4.2 - NAAFTC Baseline Date and Controlled Baseline Treatment</w:t>
      </w:r>
      <w:r>
        <w:tab/>
      </w:r>
      <w:r>
        <w:t>45</w:t>
      </w:r>
    </w:p>
    <w:p>
      <w:pPr>
        <w:pStyle w:val="TOC2"/>
      </w:pPr>
      <w:r>
        <w:t xml:space="preserve">Article 4.3 - Immediate Zero-Tariff Lock</w:t>
      </w:r>
      <w:r>
        <w:tab/>
      </w:r>
      <w:r>
        <w:t>46</w:t>
      </w:r>
    </w:p>
    <w:p>
      <w:pPr>
        <w:pStyle w:val="TOC2"/>
      </w:pPr>
      <w:r>
        <w:t xml:space="preserve">Article 4.4 - No New Tariff or Tariff Increase</w:t>
      </w:r>
      <w:r>
        <w:tab/>
      </w:r>
      <w:r>
        <w:t>46</w:t>
      </w:r>
    </w:p>
    <w:p>
      <w:pPr>
        <w:pStyle w:val="TOC2"/>
      </w:pPr>
      <w:r>
        <w:t xml:space="preserve">Article 4.5 - No New TRQ Restriction or Managed-Access Expansion</w:t>
      </w:r>
      <w:r>
        <w:tab/>
      </w:r>
      <w:r>
        <w:t>47</w:t>
      </w:r>
    </w:p>
    <w:p>
      <w:pPr>
        <w:pStyle w:val="TOC2"/>
      </w:pPr>
      <w:r>
        <w:t xml:space="preserve">Article 4.6 - Equivalent Border Charges and Substitute Tariff Protection</w:t>
      </w:r>
      <w:r>
        <w:tab/>
      </w:r>
      <w:r>
        <w:t>47</w:t>
      </w:r>
    </w:p>
    <w:p>
      <w:pPr>
        <w:pStyle w:val="TOC2"/>
      </w:pPr>
      <w:r>
        <w:t xml:space="preserve">Article 4.7 - No Administrative Deterioration of Protected Access</w:t>
      </w:r>
      <w:r>
        <w:tab/>
      </w:r>
      <w:r>
        <w:t>48</w:t>
      </w:r>
    </w:p>
    <w:p>
      <w:pPr>
        <w:pStyle w:val="TOC2"/>
      </w:pPr>
      <w:r>
        <w:t xml:space="preserve">Article 4.8 - Temporary Exceptional Treatment and Automatic Restoration</w:t>
      </w:r>
      <w:r>
        <w:tab/>
      </w:r>
      <w:r>
        <w:t>49</w:t>
      </w:r>
    </w:p>
    <w:p>
      <w:pPr>
        <w:pStyle w:val="TOC2"/>
      </w:pPr>
      <w:r>
        <w:t xml:space="preserve">Article 4.9 - Verification, Correction, and Disputed Baselines</w:t>
      </w:r>
      <w:r>
        <w:tab/>
      </w:r>
      <w:r>
        <w:t>49</w:t>
      </w:r>
    </w:p>
    <w:p>
      <w:pPr>
        <w:pStyle w:val="TOC2"/>
      </w:pPr>
      <w:r>
        <w:t xml:space="preserve">Article 4.10 - Agricultural Standstill Ratchet and Later Liberalization</w:t>
      </w:r>
      <w:r>
        <w:tab/>
      </w:r>
      <w:r>
        <w:t>50</w:t>
      </w:r>
    </w:p>
    <w:p>
      <w:pPr>
        <w:pStyle w:val="TOC1"/>
      </w:pPr>
      <w:r>
        <w:t xml:space="preserve">Chapter 5 - General Tariff Elimination</w:t>
      </w:r>
      <w:r>
        <w:tab/>
      </w:r>
      <w:r>
        <w:t>51</w:t>
      </w:r>
    </w:p>
    <w:p>
      <w:pPr>
        <w:pStyle w:val="TOC2"/>
      </w:pPr>
      <w:r>
        <w:t xml:space="preserve">Article 5.1 - Scope, Function, and Relationship to Chapter 4</w:t>
      </w:r>
      <w:r>
        <w:tab/>
      </w:r>
      <w:r>
        <w:t>51</w:t>
      </w:r>
    </w:p>
    <w:p>
      <w:pPr>
        <w:pStyle w:val="TOC2"/>
      </w:pPr>
      <w:r>
        <w:t xml:space="preserve">Article 5.2 - General Zero-Tariff Obligation</w:t>
      </w:r>
      <w:r>
        <w:tab/>
      </w:r>
      <w:r>
        <w:t>51</w:t>
      </w:r>
    </w:p>
    <w:p>
      <w:pPr>
        <w:pStyle w:val="TOC2"/>
      </w:pPr>
      <w:r>
        <w:t xml:space="preserve">Article 5.3 - Immediate Elimination of Residual Ordinary Tariffs</w:t>
      </w:r>
      <w:r>
        <w:tab/>
      </w:r>
      <w:r>
        <w:t>52</w:t>
      </w:r>
    </w:p>
    <w:p>
      <w:pPr>
        <w:pStyle w:val="TOC2"/>
      </w:pPr>
      <w:r>
        <w:t xml:space="preserve">Article 5.4 - Non-Ad-Valorem, Compound, Mixed, and Formula Duties</w:t>
      </w:r>
      <w:r>
        <w:tab/>
      </w:r>
      <w:r>
        <w:t>52</w:t>
      </w:r>
    </w:p>
    <w:p>
      <w:pPr>
        <w:pStyle w:val="TOC2"/>
      </w:pPr>
      <w:r>
        <w:t xml:space="preserve">Article 5.5 - Seasonal, Calendar-Based, and Entry-Conditioned Tariffs</w:t>
      </w:r>
      <w:r>
        <w:tab/>
      </w:r>
      <w:r>
        <w:t>53</w:t>
      </w:r>
    </w:p>
    <w:p>
      <w:pPr>
        <w:pStyle w:val="TOC2"/>
      </w:pPr>
      <w:r>
        <w:t xml:space="preserve">Article 5.6 - Annex B General Tariff Elimination Schedule</w:t>
      </w:r>
      <w:r>
        <w:tab/>
      </w:r>
      <w:r>
        <w:t>53</w:t>
      </w:r>
    </w:p>
    <w:p>
      <w:pPr>
        <w:pStyle w:val="TOC2"/>
      </w:pPr>
      <w:r>
        <w:t xml:space="preserve">Article 5.7 - Relationship to Sensitive-Sector Treatment</w:t>
      </w:r>
      <w:r>
        <w:tab/>
      </w:r>
      <w:r>
        <w:t>54</w:t>
      </w:r>
    </w:p>
    <w:p>
      <w:pPr>
        <w:pStyle w:val="TOC2"/>
      </w:pPr>
      <w:r>
        <w:t xml:space="preserve">Article 5.8 - Acceleration and More Liberal Treatment</w:t>
      </w:r>
      <w:r>
        <w:tab/>
      </w:r>
      <w:r>
        <w:t>55</w:t>
      </w:r>
    </w:p>
    <w:p>
      <w:pPr>
        <w:pStyle w:val="TOC2"/>
      </w:pPr>
      <w:r>
        <w:t xml:space="preserve">Article 5.9 - Verification, Correction, and Classification Continuity</w:t>
      </w:r>
      <w:r>
        <w:tab/>
      </w:r>
      <w:r>
        <w:t>55</w:t>
      </w:r>
    </w:p>
    <w:p>
      <w:pPr>
        <w:pStyle w:val="TOC2"/>
      </w:pPr>
      <w:r>
        <w:t xml:space="preserve">Article 5.10 - Completion, Zero Status, and No Reversion</w:t>
      </w:r>
      <w:r>
        <w:tab/>
      </w:r>
      <w:r>
        <w:t>56</w:t>
      </w:r>
    </w:p>
    <w:p>
      <w:pPr>
        <w:pStyle w:val="TOC1"/>
      </w:pPr>
      <w:r>
        <w:t xml:space="preserve">Chapter 6 - Sensitive-Sector Transition Schedules</w:t>
      </w:r>
      <w:r>
        <w:tab/>
      </w:r>
      <w:r>
        <w:t>58</w:t>
      </w:r>
    </w:p>
    <w:p>
      <w:pPr>
        <w:pStyle w:val="TOC2"/>
      </w:pPr>
      <w:r>
        <w:t xml:space="preserve">Article 6.1 - Scope and Function of Sensitive-Sector Transition</w:t>
      </w:r>
      <w:r>
        <w:tab/>
      </w:r>
      <w:r>
        <w:t>58</w:t>
      </w:r>
    </w:p>
    <w:p>
      <w:pPr>
        <w:pStyle w:val="TOC2"/>
      </w:pPr>
      <w:r>
        <w:t xml:space="preserve">Article 6.2 - Affirmative Sensitive-Sector Designation</w:t>
      </w:r>
      <w:r>
        <w:tab/>
      </w:r>
      <w:r>
        <w:t>58</w:t>
      </w:r>
    </w:p>
    <w:p>
      <w:pPr>
        <w:pStyle w:val="TOC2"/>
      </w:pPr>
      <w:r>
        <w:t xml:space="preserve">Article 6.3 - Annex C Sensitive-Sector Transition Schedule</w:t>
      </w:r>
      <w:r>
        <w:tab/>
      </w:r>
      <w:r>
        <w:t>59</w:t>
      </w:r>
    </w:p>
    <w:p>
      <w:pPr>
        <w:pStyle w:val="TOC2"/>
      </w:pPr>
      <w:r>
        <w:t xml:space="preserve">Article 6.4 - Baseline and Accelerated Transition Tracks</w:t>
      </w:r>
      <w:r>
        <w:tab/>
      </w:r>
      <w:r>
        <w:t>59</w:t>
      </w:r>
    </w:p>
    <w:p>
      <w:pPr>
        <w:pStyle w:val="TOC2"/>
      </w:pPr>
      <w:r>
        <w:t xml:space="preserve">Article 6.5 - Progressive Liberalization and Anti-Backloading</w:t>
      </w:r>
      <w:r>
        <w:tab/>
      </w:r>
      <w:r>
        <w:t>60</w:t>
      </w:r>
    </w:p>
    <w:p>
      <w:pPr>
        <w:pStyle w:val="TOC2"/>
      </w:pPr>
      <w:r>
        <w:t xml:space="preserve">Article 6.6 - Product-Specific and Sector-Specific Scheduling</w:t>
      </w:r>
      <w:r>
        <w:tab/>
      </w:r>
      <w:r>
        <w:t>61</w:t>
      </w:r>
    </w:p>
    <w:p>
      <w:pPr>
        <w:pStyle w:val="TOC2"/>
      </w:pPr>
      <w:r>
        <w:t xml:space="preserve">Article 6.7 - Exceptional Accelerated Tranches</w:t>
      </w:r>
      <w:r>
        <w:tab/>
      </w:r>
      <w:r>
        <w:t>61</w:t>
      </w:r>
    </w:p>
    <w:p>
      <w:pPr>
        <w:pStyle w:val="TOC2"/>
      </w:pPr>
      <w:r>
        <w:t xml:space="preserve">Article 6.8 - Exceptional Adjustment Extension</w:t>
      </w:r>
      <w:r>
        <w:tab/>
      </w:r>
      <w:r>
        <w:t>62</w:t>
      </w:r>
    </w:p>
    <w:p>
      <w:pPr>
        <w:pStyle w:val="TOC2"/>
      </w:pPr>
      <w:r>
        <w:t xml:space="preserve">Article 6.9 - Relationship to Managed Access and Chapter 7</w:t>
      </w:r>
      <w:r>
        <w:tab/>
      </w:r>
      <w:r>
        <w:t>62</w:t>
      </w:r>
    </w:p>
    <w:p>
      <w:pPr>
        <w:pStyle w:val="TOC2"/>
      </w:pPr>
      <w:r>
        <w:t xml:space="preserve">Article 6.10 - Verification, Correction, Exceptional Treatment, and Restoration</w:t>
      </w:r>
      <w:r>
        <w:tab/>
      </w:r>
      <w:r>
        <w:t>63</w:t>
      </w:r>
    </w:p>
    <w:p>
      <w:pPr>
        <w:pStyle w:val="TOC2"/>
      </w:pPr>
      <w:r>
        <w:t xml:space="preserve">Article 6.11 - Completion, Ratchet, and Zero Treatment</w:t>
      </w:r>
      <w:r>
        <w:tab/>
      </w:r>
      <w:r>
        <w:t>63</w:t>
      </w:r>
    </w:p>
    <w:p>
      <w:pPr>
        <w:pStyle w:val="TOC2"/>
      </w:pPr>
      <w:r>
        <w:t xml:space="preserve">Article 6.12 - Producer Adjustment, Remedies, and Institutional Boundaries</w:t>
      </w:r>
      <w:r>
        <w:tab/>
      </w:r>
      <w:r>
        <w:t>64</w:t>
      </w:r>
    </w:p>
    <w:p>
      <w:pPr>
        <w:pStyle w:val="TOC1"/>
      </w:pPr>
      <w:r>
        <w:t xml:space="preserve">Chapter 7 - Progressive Market-Access Vesting and TRQ Displacement</w:t>
      </w:r>
      <w:r>
        <w:tab/>
      </w:r>
      <w:r>
        <w:t>66</w:t>
      </w:r>
    </w:p>
    <w:p>
      <w:pPr>
        <w:pStyle w:val="TOC2"/>
      </w:pPr>
      <w:r>
        <w:t xml:space="preserve">Article 7.1 - Scope and Function of Progressive Market-Access Vesting</w:t>
      </w:r>
      <w:r>
        <w:tab/>
      </w:r>
      <w:r>
        <w:t>66</w:t>
      </w:r>
    </w:p>
    <w:p>
      <w:pPr>
        <w:pStyle w:val="TOC2"/>
      </w:pPr>
      <w:r>
        <w:t xml:space="preserve">Article 7.2 - Annex D Managed-Access Schedule</w:t>
      </w:r>
      <w:r>
        <w:tab/>
      </w:r>
      <w:r>
        <w:t>66</w:t>
      </w:r>
    </w:p>
    <w:p>
      <w:pPr>
        <w:pStyle w:val="TOC2"/>
      </w:pPr>
      <w:r>
        <w:t xml:space="preserve">Article 7.3 - Progressive Market-Access Vesting</w:t>
      </w:r>
      <w:r>
        <w:tab/>
      </w:r>
      <w:r>
        <w:t>67</w:t>
      </w:r>
    </w:p>
    <w:p>
      <w:pPr>
        <w:pStyle w:val="TOC2"/>
      </w:pPr>
      <w:r>
        <w:t xml:space="preserve">Article 7.4 - Contraction and Displacement of the Managed-Access Field</w:t>
      </w:r>
      <w:r>
        <w:tab/>
      </w:r>
      <w:r>
        <w:t>68</w:t>
      </w:r>
    </w:p>
    <w:p>
      <w:pPr>
        <w:pStyle w:val="TOC2"/>
      </w:pPr>
      <w:r>
        <w:t xml:space="preserve">Article 7.5 - Vesting Tracks and Progressive Vesting Test</w:t>
      </w:r>
      <w:r>
        <w:tab/>
      </w:r>
      <w:r>
        <w:t>68</w:t>
      </w:r>
    </w:p>
    <w:p>
      <w:pPr>
        <w:pStyle w:val="TOC2"/>
      </w:pPr>
      <w:r>
        <w:t xml:space="preserve">Article 7.6 - Exceptional Acceleration and Immediate Full Vesting</w:t>
      </w:r>
      <w:r>
        <w:tab/>
      </w:r>
      <w:r>
        <w:t>69</w:t>
      </w:r>
    </w:p>
    <w:p>
      <w:pPr>
        <w:pStyle w:val="TOC2"/>
      </w:pPr>
      <w:r>
        <w:t xml:space="preserve">Article 7.7 - Exceptional Vesting Adjustment Extension</w:t>
      </w:r>
      <w:r>
        <w:tab/>
      </w:r>
      <w:r>
        <w:t>69</w:t>
      </w:r>
    </w:p>
    <w:p>
      <w:pPr>
        <w:pStyle w:val="TOC2"/>
      </w:pPr>
      <w:r>
        <w:t xml:space="preserve">Article 7.8 - Allocation, Utilization, and Commercial Usability</w:t>
      </w:r>
      <w:r>
        <w:tab/>
      </w:r>
      <w:r>
        <w:t>70</w:t>
      </w:r>
    </w:p>
    <w:p>
      <w:pPr>
        <w:pStyle w:val="TOC2"/>
      </w:pPr>
      <w:r>
        <w:t xml:space="preserve">Article 7.9 - Synchronization and Non-Agreement Continuity</w:t>
      </w:r>
      <w:r>
        <w:tab/>
      </w:r>
      <w:r>
        <w:t>71</w:t>
      </w:r>
    </w:p>
    <w:p>
      <w:pPr>
        <w:pStyle w:val="TOC2"/>
      </w:pPr>
      <w:r>
        <w:t xml:space="preserve">Article 7.10 - Verification, Measurement, and Correction</w:t>
      </w:r>
      <w:r>
        <w:tab/>
      </w:r>
      <w:r>
        <w:t>71</w:t>
      </w:r>
    </w:p>
    <w:p>
      <w:pPr>
        <w:pStyle w:val="TOC2"/>
      </w:pPr>
      <w:r>
        <w:t xml:space="preserve">Article 7.11 - Full-Vesting State, Confirmation, and Record</w:t>
      </w:r>
      <w:r>
        <w:tab/>
      </w:r>
      <w:r>
        <w:t>72</w:t>
      </w:r>
    </w:p>
    <w:p>
      <w:pPr>
        <w:pStyle w:val="TOC2"/>
      </w:pPr>
      <w:r>
        <w:t xml:space="preserve">Article 7.12 - Ratchet, Safeguards, Remedies, and Final Boundary</w:t>
      </w:r>
      <w:r>
        <w:tab/>
      </w:r>
      <w:r>
        <w:t>72</w:t>
      </w:r>
    </w:p>
    <w:p>
      <w:pPr>
        <w:pStyle w:val="TOC1"/>
      </w:pPr>
      <w:r>
        <w:t xml:space="preserve">Chapter 8 - Synchronized Reciprocity and Activation</w:t>
      </w:r>
      <w:r>
        <w:tab/>
      </w:r>
      <w:r>
        <w:t>74</w:t>
      </w:r>
    </w:p>
    <w:p>
      <w:pPr>
        <w:pStyle w:val="TOC2"/>
      </w:pPr>
      <w:r>
        <w:t xml:space="preserve">Article 8.1 - Scope and Exclusive Function</w:t>
      </w:r>
      <w:r>
        <w:tab/>
      </w:r>
      <w:r>
        <w:t>74</w:t>
      </w:r>
    </w:p>
    <w:p>
      <w:pPr>
        <w:pStyle w:val="TOC2"/>
      </w:pPr>
      <w:r>
        <w:t xml:space="preserve">Article 8.2 - Annex E Synchronized Reciprocity Matrix</w:t>
      </w:r>
      <w:r>
        <w:tab/>
      </w:r>
      <w:r>
        <w:t>74</w:t>
      </w:r>
    </w:p>
    <w:p>
      <w:pPr>
        <w:pStyle w:val="TOC2"/>
      </w:pPr>
      <w:r>
        <w:t xml:space="preserve">Article 8.3 - Independent Performance as Default</w:t>
      </w:r>
      <w:r>
        <w:tab/>
      </w:r>
      <w:r>
        <w:t>75</w:t>
      </w:r>
    </w:p>
    <w:p>
      <w:pPr>
        <w:pStyle w:val="TOC2"/>
      </w:pPr>
      <w:r>
        <w:t xml:space="preserve">Article 8.4 - Paired and Trilateral Synchronization</w:t>
      </w:r>
      <w:r>
        <w:tab/>
      </w:r>
      <w:r>
        <w:t>75</w:t>
      </w:r>
    </w:p>
    <w:p>
      <w:pPr>
        <w:pStyle w:val="TOC2"/>
      </w:pPr>
      <w:r>
        <w:t xml:space="preserve">Article 8.5 - Synchronized Activation Events</w:t>
      </w:r>
      <w:r>
        <w:tab/>
      </w:r>
      <w:r>
        <w:t>76</w:t>
      </w:r>
    </w:p>
    <w:p>
      <w:pPr>
        <w:pStyle w:val="TOC2"/>
      </w:pPr>
      <w:r>
        <w:t xml:space="preserve">Article 8.6 - Material Performance and Express Quantitative Tolerances</w:t>
      </w:r>
      <w:r>
        <w:tab/>
      </w:r>
      <w:r>
        <w:t>77</w:t>
      </w:r>
    </w:p>
    <w:p>
      <w:pPr>
        <w:pStyle w:val="TOC2"/>
      </w:pPr>
      <w:r>
        <w:t xml:space="preserve">Article 8.7 - Minor Technical Delay Doctrine</w:t>
      </w:r>
      <w:r>
        <w:tab/>
      </w:r>
      <w:r>
        <w:t>78</w:t>
      </w:r>
    </w:p>
    <w:p>
      <w:pPr>
        <w:pStyle w:val="TOC2"/>
      </w:pPr>
      <w:r>
        <w:t xml:space="preserve">Article 8.8 - Deferred Activation of an Unmatched Future Tranche</w:t>
      </w:r>
      <w:r>
        <w:tab/>
      </w:r>
      <w:r>
        <w:t>78</w:t>
      </w:r>
    </w:p>
    <w:p>
      <w:pPr>
        <w:pStyle w:val="TOC2"/>
      </w:pPr>
      <w:r>
        <w:t xml:space="preserve">Article 8.9 - Catch-Up and Re-synchronization</w:t>
      </w:r>
      <w:r>
        <w:tab/>
      </w:r>
      <w:r>
        <w:t>79</w:t>
      </w:r>
    </w:p>
    <w:p>
      <w:pPr>
        <w:pStyle w:val="TOC2"/>
      </w:pPr>
      <w:r>
        <w:t xml:space="preserve">Article 8.10 - Non-Agreement Continuity</w:t>
      </w:r>
      <w:r>
        <w:tab/>
      </w:r>
      <w:r>
        <w:t>79</w:t>
      </w:r>
    </w:p>
    <w:p>
      <w:pPr>
        <w:pStyle w:val="TOC2"/>
      </w:pPr>
      <w:r>
        <w:t xml:space="preserve">Article 8.11 - Verification, Review, Cure, and Remedies</w:t>
      </w:r>
      <w:r>
        <w:tab/>
      </w:r>
      <w:r>
        <w:t>80</w:t>
      </w:r>
    </w:p>
    <w:p>
      <w:pPr>
        <w:pStyle w:val="TOC2"/>
      </w:pPr>
      <w:r>
        <w:t xml:space="preserve">Article 8.12 - Completion and Chapter Boundaries</w:t>
      </w:r>
      <w:r>
        <w:tab/>
      </w:r>
      <w:r>
        <w:t>80</w:t>
      </w:r>
    </w:p>
    <w:p>
      <w:pPr>
        <w:pStyle w:val="TOC1"/>
      </w:pPr>
      <w:r>
        <w:t xml:space="preserve">Chapter 9 - Zero-Line Registry and No-Backsliding</w:t>
      </w:r>
      <w:r>
        <w:tab/>
      </w:r>
      <w:r>
        <w:t>82</w:t>
      </w:r>
    </w:p>
    <w:p>
      <w:pPr>
        <w:pStyle w:val="TOC2"/>
      </w:pPr>
      <w:r>
        <w:t xml:space="preserve">Article 9.1 - Scope and Exclusive Function</w:t>
      </w:r>
      <w:r>
        <w:tab/>
      </w:r>
      <w:r>
        <w:t>82</w:t>
      </w:r>
    </w:p>
    <w:p>
      <w:pPr>
        <w:pStyle w:val="TOC2"/>
      </w:pPr>
      <w:r>
        <w:t xml:space="preserve">Article 9.2 - Automatic Acquisition of Zero-Line Status</w:t>
      </w:r>
      <w:r>
        <w:tab/>
      </w:r>
      <w:r>
        <w:t>82</w:t>
      </w:r>
    </w:p>
    <w:p>
      <w:pPr>
        <w:pStyle w:val="TOC2"/>
      </w:pPr>
      <w:r>
        <w:t xml:space="preserve">Article 9.3 - Annex F Zero-Line Registry Protocol</w:t>
      </w:r>
      <w:r>
        <w:tab/>
      </w:r>
      <w:r>
        <w:t>83</w:t>
      </w:r>
    </w:p>
    <w:p>
      <w:pPr>
        <w:pStyle w:val="TOC2"/>
      </w:pPr>
      <w:r>
        <w:t xml:space="preserve">Article 9.4 - Zero-Line Ratchet</w:t>
      </w:r>
      <w:r>
        <w:tab/>
      </w:r>
      <w:r>
        <w:t>84</w:t>
      </w:r>
    </w:p>
    <w:p>
      <w:pPr>
        <w:pStyle w:val="TOC2"/>
      </w:pPr>
      <w:r>
        <w:t xml:space="preserve">Article 9.5 - Direct Tariff-Equivalent Repackaging</w:t>
      </w:r>
      <w:r>
        <w:tab/>
      </w:r>
      <w:r>
        <w:t>84</w:t>
      </w:r>
    </w:p>
    <w:p>
      <w:pPr>
        <w:pStyle w:val="TOC2"/>
      </w:pPr>
      <w:r>
        <w:t xml:space="preserve">Article 9.6 - Relationship to Chapter 7 Full-Vesting State</w:t>
      </w:r>
      <w:r>
        <w:tab/>
      </w:r>
      <w:r>
        <w:t>85</w:t>
      </w:r>
    </w:p>
    <w:p>
      <w:pPr>
        <w:pStyle w:val="TOC2"/>
      </w:pPr>
      <w:r>
        <w:t xml:space="preserve">Article 9.7 - Classification and Nomenclature Continuity</w:t>
      </w:r>
      <w:r>
        <w:tab/>
      </w:r>
      <w:r>
        <w:t>85</w:t>
      </w:r>
    </w:p>
    <w:p>
      <w:pPr>
        <w:pStyle w:val="TOC2"/>
      </w:pPr>
      <w:r>
        <w:t xml:space="preserve">Article 9.8 - Corrections and Registry Integrity</w:t>
      </w:r>
      <w:r>
        <w:tab/>
      </w:r>
      <w:r>
        <w:t>86</w:t>
      </w:r>
    </w:p>
    <w:p>
      <w:pPr>
        <w:pStyle w:val="TOC2"/>
      </w:pPr>
      <w:r>
        <w:t xml:space="preserve">Article 9.9 - Verification and Publication</w:t>
      </w:r>
      <w:r>
        <w:tab/>
      </w:r>
      <w:r>
        <w:t>87</w:t>
      </w:r>
    </w:p>
    <w:p>
      <w:pPr>
        <w:pStyle w:val="TOC2"/>
      </w:pPr>
      <w:r>
        <w:t xml:space="preserve">Article 9.10 - Temporary Measures and Exceptional Treatment</w:t>
      </w:r>
      <w:r>
        <w:tab/>
      </w:r>
      <w:r>
        <w:t>87</w:t>
      </w:r>
    </w:p>
    <w:p>
      <w:pPr>
        <w:pStyle w:val="TOC2"/>
      </w:pPr>
      <w:r>
        <w:t xml:space="preserve">Article 9.11 - Disputes, Cure, and Remedies</w:t>
      </w:r>
      <w:r>
        <w:tab/>
      </w:r>
      <w:r>
        <w:t>88</w:t>
      </w:r>
    </w:p>
    <w:p>
      <w:pPr>
        <w:pStyle w:val="TOC2"/>
      </w:pPr>
      <w:r>
        <w:t xml:space="preserve">Article 9.12 - Review, Amendment, and Durable Zero-Line State</w:t>
      </w:r>
      <w:r>
        <w:tab/>
      </w:r>
      <w:r>
        <w:t>88</w:t>
      </w:r>
    </w:p>
    <w:p>
      <w:pPr>
        <w:pStyle w:val="TOC1"/>
      </w:pPr>
      <w:r>
        <w:t xml:space="preserve">Chapter 10 - Rules of Origin</w:t>
      </w:r>
      <w:r>
        <w:tab/>
      </w:r>
      <w:r>
        <w:t>90</w:t>
      </w:r>
    </w:p>
    <w:p>
      <w:pPr>
        <w:pStyle w:val="TOC2"/>
      </w:pPr>
      <w:r>
        <w:t xml:space="preserve">Article 10.1 - Scope and Function of Origin</w:t>
      </w:r>
      <w:r>
        <w:tab/>
      </w:r>
      <w:r>
        <w:t>90</w:t>
      </w:r>
    </w:p>
    <w:p>
      <w:pPr>
        <w:pStyle w:val="TOC2"/>
      </w:pPr>
      <w:r>
        <w:t xml:space="preserve">Article 10.2 - Originating Goods</w:t>
      </w:r>
      <w:r>
        <w:tab/>
      </w:r>
      <w:r>
        <w:t>90</w:t>
      </w:r>
    </w:p>
    <w:p>
      <w:pPr>
        <w:pStyle w:val="TOC2"/>
      </w:pPr>
      <w:r>
        <w:t xml:space="preserve">Article 10.3 - Wholly Obtained or Produced Agricultural Goods</w:t>
      </w:r>
      <w:r>
        <w:tab/>
      </w:r>
      <w:r>
        <w:t>91</w:t>
      </w:r>
    </w:p>
    <w:p>
      <w:pPr>
        <w:pStyle w:val="TOC2"/>
      </w:pPr>
      <w:r>
        <w:t xml:space="preserve">Article 10.4 - Production Exclusively from Originating Materials</w:t>
      </w:r>
      <w:r>
        <w:tab/>
      </w:r>
      <w:r>
        <w:t>91</w:t>
      </w:r>
    </w:p>
    <w:p>
      <w:pPr>
        <w:pStyle w:val="TOC2"/>
      </w:pPr>
      <w:r>
        <w:t xml:space="preserve">Article 10.5 - Production Using Non-Originating Materials and Annex G</w:t>
      </w:r>
      <w:r>
        <w:tab/>
      </w:r>
      <w:r>
        <w:t>92</w:t>
      </w:r>
    </w:p>
    <w:p>
      <w:pPr>
        <w:pStyle w:val="TOC2"/>
      </w:pPr>
      <w:r>
        <w:t xml:space="preserve">Article 10.6 - Regional Accumulation</w:t>
      </w:r>
      <w:r>
        <w:tab/>
      </w:r>
      <w:r>
        <w:t>93</w:t>
      </w:r>
    </w:p>
    <w:p>
      <w:pPr>
        <w:pStyle w:val="TOC2"/>
      </w:pPr>
      <w:r>
        <w:t xml:space="preserve">Article 10.7 - De Minimis Non-Originating Materials</w:t>
      </w:r>
      <w:r>
        <w:tab/>
      </w:r>
      <w:r>
        <w:t>94</w:t>
      </w:r>
    </w:p>
    <w:p>
      <w:pPr>
        <w:pStyle w:val="TOC2"/>
      </w:pPr>
      <w:r>
        <w:t xml:space="preserve">Article 10.8 - Fungible Goods and Materials</w:t>
      </w:r>
      <w:r>
        <w:tab/>
      </w:r>
      <w:r>
        <w:t>95</w:t>
      </w:r>
    </w:p>
    <w:p>
      <w:pPr>
        <w:pStyle w:val="TOC2"/>
      </w:pPr>
      <w:r>
        <w:t xml:space="preserve">Article 10.9 - Sets, Mixtures, Composite Goods, and Packaging</w:t>
      </w:r>
      <w:r>
        <w:tab/>
      </w:r>
      <w:r>
        <w:t>96</w:t>
      </w:r>
    </w:p>
    <w:p>
      <w:pPr>
        <w:pStyle w:val="TOC2"/>
      </w:pPr>
      <w:r>
        <w:t xml:space="preserve">Article 10.10 - Neutral Elements and Indirect Materials</w:t>
      </w:r>
      <w:r>
        <w:tab/>
      </w:r>
      <w:r>
        <w:t>96</w:t>
      </w:r>
    </w:p>
    <w:p>
      <w:pPr>
        <w:pStyle w:val="TOC2"/>
      </w:pPr>
      <w:r>
        <w:t xml:space="preserve">Article 10.11 - Transit, Transshipment, and Preservation of Origin</w:t>
      </w:r>
      <w:r>
        <w:tab/>
      </w:r>
      <w:r>
        <w:t>97</w:t>
      </w:r>
    </w:p>
    <w:p>
      <w:pPr>
        <w:pStyle w:val="TOC2"/>
      </w:pPr>
      <w:r>
        <w:t xml:space="preserve">Article 10.12 - Certification and Preferential Claims</w:t>
      </w:r>
      <w:r>
        <w:tab/>
      </w:r>
      <w:r>
        <w:t>97</w:t>
      </w:r>
    </w:p>
    <w:p>
      <w:pPr>
        <w:pStyle w:val="TOC2"/>
      </w:pPr>
      <w:r>
        <w:t xml:space="preserve">Article 10.13 - Records, Verification, and Origin Determinations</w:t>
      </w:r>
      <w:r>
        <w:tab/>
      </w:r>
      <w:r>
        <w:t>98</w:t>
      </w:r>
    </w:p>
    <w:p>
      <w:pPr>
        <w:pStyle w:val="TOC2"/>
      </w:pPr>
      <w:r>
        <w:t xml:space="preserve">Article 10.14 - Corrections, Errors, and Good-Faith Claims</w:t>
      </w:r>
      <w:r>
        <w:tab/>
      </w:r>
      <w:r>
        <w:t>99</w:t>
      </w:r>
    </w:p>
    <w:p>
      <w:pPr>
        <w:pStyle w:val="TOC2"/>
      </w:pPr>
      <w:r>
        <w:t xml:space="preserve">Article 10.15 - Denial of Preferential Treatment and Chapter 11 Handoff</w:t>
      </w:r>
      <w:r>
        <w:tab/>
      </w:r>
      <w:r>
        <w:t>99</w:t>
      </w:r>
    </w:p>
    <w:p>
      <w:pPr>
        <w:pStyle w:val="TOC2"/>
      </w:pPr>
      <w:r>
        <w:t xml:space="preserve">Article 10.16 - Administration, Review, and Chapter Boundaries</w:t>
      </w:r>
      <w:r>
        <w:tab/>
      </w:r>
      <w:r>
        <w:t>100</w:t>
      </w:r>
    </w:p>
    <w:p>
      <w:pPr>
        <w:pStyle w:val="TOC1"/>
      </w:pPr>
      <w:r>
        <w:t xml:space="preserve">Chapter 11 - Anti-Circumvention, Transshipment, and Fraud</w:t>
      </w:r>
      <w:r>
        <w:tab/>
      </w:r>
      <w:r>
        <w:t>102</w:t>
      </w:r>
    </w:p>
    <w:p>
      <w:pPr>
        <w:pStyle w:val="TOC2"/>
      </w:pPr>
      <w:r>
        <w:t xml:space="preserve">Article 11.1 - Purpose, Scope, and Institutional Boundary</w:t>
      </w:r>
      <w:r>
        <w:tab/>
      </w:r>
      <w:r>
        <w:t>102</w:t>
      </w:r>
    </w:p>
    <w:p>
      <w:pPr>
        <w:pStyle w:val="TOC2"/>
      </w:pPr>
      <w:r>
        <w:t xml:space="preserve">Article 11.2 - Defined Concepts and Interpretive Safeguards</w:t>
      </w:r>
      <w:r>
        <w:tab/>
      </w:r>
      <w:r>
        <w:t>102</w:t>
      </w:r>
    </w:p>
    <w:p>
      <w:pPr>
        <w:pStyle w:val="TOC2"/>
      </w:pPr>
      <w:r>
        <w:t xml:space="preserve">Article 11.3 - Four-Element Circumvention Test</w:t>
      </w:r>
      <w:r>
        <w:tab/>
      </w:r>
      <w:r>
        <w:t>103</w:t>
      </w:r>
    </w:p>
    <w:p>
      <w:pPr>
        <w:pStyle w:val="TOC2"/>
      </w:pPr>
      <w:r>
        <w:t xml:space="preserve">Article 11.4 - Commercial Substance and Artificial Arrangements</w:t>
      </w:r>
      <w:r>
        <w:tab/>
      </w:r>
      <w:r>
        <w:t>104</w:t>
      </w:r>
    </w:p>
    <w:p>
      <w:pPr>
        <w:pStyle w:val="TOC2"/>
      </w:pPr>
      <w:r>
        <w:t xml:space="preserve">Article 11.5 - Transshipment and Routing Circumvention</w:t>
      </w:r>
      <w:r>
        <w:tab/>
      </w:r>
      <w:r>
        <w:t>105</w:t>
      </w:r>
    </w:p>
    <w:p>
      <w:pPr>
        <w:pStyle w:val="TOC2"/>
      </w:pPr>
      <w:r>
        <w:t xml:space="preserve">Article 11.6 - Transformation and Minimal-Processing Manipulation</w:t>
      </w:r>
      <w:r>
        <w:tab/>
      </w:r>
      <w:r>
        <w:t>106</w:t>
      </w:r>
    </w:p>
    <w:p>
      <w:pPr>
        <w:pStyle w:val="TOC2"/>
      </w:pPr>
      <w:r>
        <w:t xml:space="preserve">Article 11.7 - Classification, Ingredient, and Input Manipulation</w:t>
      </w:r>
      <w:r>
        <w:tab/>
      </w:r>
      <w:r>
        <w:t>106</w:t>
      </w:r>
    </w:p>
    <w:p>
      <w:pPr>
        <w:pStyle w:val="TOC2"/>
      </w:pPr>
      <w:r>
        <w:t xml:space="preserve">Article 11.8 - Fungible Inventory and Accounting Circumvention</w:t>
      </w:r>
      <w:r>
        <w:tab/>
      </w:r>
      <w:r>
        <w:t>107</w:t>
      </w:r>
    </w:p>
    <w:p>
      <w:pPr>
        <w:pStyle w:val="TOC2"/>
      </w:pPr>
      <w:r>
        <w:t xml:space="preserve">Article 11.9 - Supplier, Affiliate, and Documentation Networks</w:t>
      </w:r>
      <w:r>
        <w:tab/>
      </w:r>
      <w:r>
        <w:t>108</w:t>
      </w:r>
    </w:p>
    <w:p>
      <w:pPr>
        <w:pStyle w:val="TOC2"/>
      </w:pPr>
      <w:r>
        <w:t xml:space="preserve">Article 11.10 - Pattern and Coordinated Conduct</w:t>
      </w:r>
      <w:r>
        <w:tab/>
      </w:r>
      <w:r>
        <w:t>109</w:t>
      </w:r>
    </w:p>
    <w:p>
      <w:pPr>
        <w:pStyle w:val="TOC2"/>
      </w:pPr>
      <w:r>
        <w:t xml:space="preserve">Article 11.11 - Risk Indicators and Enhanced Verification Referral</w:t>
      </w:r>
      <w:r>
        <w:tab/>
      </w:r>
      <w:r>
        <w:t>109</w:t>
      </w:r>
    </w:p>
    <w:p>
      <w:pPr>
        <w:pStyle w:val="TOC2"/>
      </w:pPr>
      <w:r>
        <w:t xml:space="preserve">Article 11.12 - Evidence, Procedure, Confidentiality, and Review</w:t>
      </w:r>
      <w:r>
        <w:tab/>
      </w:r>
      <w:r>
        <w:t>110</w:t>
      </w:r>
    </w:p>
    <w:p>
      <w:pPr>
        <w:pStyle w:val="TOC2"/>
      </w:pPr>
      <w:r>
        <w:t xml:space="preserve">Article 11.13 - Anti-Protectionist Safeguards and No Guilt by Association</w:t>
      </w:r>
      <w:r>
        <w:tab/>
      </w:r>
      <w:r>
        <w:t>111</w:t>
      </w:r>
    </w:p>
    <w:p>
      <w:pPr>
        <w:pStyle w:val="TOC2"/>
      </w:pPr>
      <w:r>
        <w:t xml:space="preserve">Article 11.14 - Culpability Ladder, Proportionate Consequences, and Cothrom Cure</w:t>
      </w:r>
      <w:r>
        <w:tab/>
      </w:r>
      <w:r>
        <w:t>112</w:t>
      </w:r>
    </w:p>
    <w:p>
      <w:pPr>
        <w:pStyle w:val="TOC2"/>
      </w:pPr>
      <w:r>
        <w:t xml:space="preserve">Article 11.15 - Safe Harbor, Restoration, and Finality</w:t>
      </w:r>
      <w:r>
        <w:tab/>
      </w:r>
      <w:r>
        <w:t>113</w:t>
      </w:r>
    </w:p>
    <w:p>
      <w:pPr>
        <w:pStyle w:val="TOC2"/>
      </w:pPr>
      <w:r>
        <w:t xml:space="preserve">Article 11.16 - Fraud, Cooperation, Records, and Relationship to Other Chapters</w:t>
      </w:r>
      <w:r>
        <w:tab/>
      </w:r>
      <w:r>
        <w:t>114</w:t>
      </w:r>
    </w:p>
    <w:p>
      <w:pPr>
        <w:pStyle w:val="TOC1"/>
      </w:pPr>
      <w:r>
        <w:t xml:space="preserve">Chapter 12 - Customs Administration, Origin Verification, and Border Facilitation</w:t>
      </w:r>
      <w:r>
        <w:tab/>
      </w:r>
      <w:r>
        <w:t>115</w:t>
      </w:r>
    </w:p>
    <w:p>
      <w:pPr>
        <w:pStyle w:val="TOC2"/>
      </w:pPr>
      <w:r>
        <w:t xml:space="preserve">Article 12.1 - Purpose, Scope, Primacy, and Administrative Principles</w:t>
      </w:r>
      <w:r>
        <w:tab/>
      </w:r>
      <w:r>
        <w:t>115</w:t>
      </w:r>
    </w:p>
    <w:p>
      <w:pPr>
        <w:pStyle w:val="TOC2"/>
      </w:pPr>
      <w:r>
        <w:t xml:space="preserve">Article 12.2 - Verification Authority, Lead Authority, and Institutional Boundaries</w:t>
      </w:r>
      <w:r>
        <w:tab/>
      </w:r>
      <w:r>
        <w:t>116</w:t>
      </w:r>
    </w:p>
    <w:p>
      <w:pPr>
        <w:pStyle w:val="TOC2"/>
      </w:pPr>
      <w:r>
        <w:t xml:space="preserve">Article 12.3 - Ordinary Verification Pathway and Border-Facilitation Baseline</w:t>
      </w:r>
      <w:r>
        <w:tab/>
      </w:r>
      <w:r>
        <w:t>117</w:t>
      </w:r>
    </w:p>
    <w:p>
      <w:pPr>
        <w:pStyle w:val="TOC2"/>
      </w:pPr>
      <w:r>
        <w:t xml:space="preserve">Article 12.4 - Risk-Based Selection, Verification Tiers, and De-Escalation</w:t>
      </w:r>
      <w:r>
        <w:tab/>
      </w:r>
      <w:r>
        <w:t>118</w:t>
      </w:r>
    </w:p>
    <w:p>
      <w:pPr>
        <w:pStyle w:val="TOC2"/>
      </w:pPr>
      <w:r>
        <w:t xml:space="preserve">Article 12.5 - Notice of Verification and Defective-Notice Safeguards</w:t>
      </w:r>
      <w:r>
        <w:tab/>
      </w:r>
      <w:r>
        <w:t>118</w:t>
      </w:r>
    </w:p>
    <w:p>
      <w:pPr>
        <w:pStyle w:val="TOC2"/>
      </w:pPr>
      <w:r>
        <w:t xml:space="preserve">Article 12.6 - Information Requests and the Administrative Burden Test</w:t>
      </w:r>
      <w:r>
        <w:tab/>
      </w:r>
      <w:r>
        <w:t>119</w:t>
      </w:r>
    </w:p>
    <w:p>
      <w:pPr>
        <w:pStyle w:val="TOC2"/>
      </w:pPr>
      <w:r>
        <w:t xml:space="preserve">Article 12.7 - Supplier Information, Confidentiality, Privilege, and Evidence Firewall</w:t>
      </w:r>
      <w:r>
        <w:tab/>
      </w:r>
      <w:r>
        <w:t>120</w:t>
      </w:r>
    </w:p>
    <w:p>
      <w:pPr>
        <w:pStyle w:val="TOC2"/>
      </w:pPr>
      <w:r>
        <w:t xml:space="preserve">Article 12.8 - Electronic Records, Single Submission, Reuse, Batch Verification, and Fallback</w:t>
      </w:r>
      <w:r>
        <w:tab/>
      </w:r>
      <w:r>
        <w:t>121</w:t>
      </w:r>
    </w:p>
    <w:p>
      <w:pPr>
        <w:pStyle w:val="TOC2"/>
      </w:pPr>
      <w:r>
        <w:t xml:space="preserve">Article 12.9 - Verification Clocks, Administrative Silence, Perishable Goods, and Release</w:t>
      </w:r>
      <w:r>
        <w:tab/>
      </w:r>
      <w:r>
        <w:t>122</w:t>
      </w:r>
    </w:p>
    <w:p>
      <w:pPr>
        <w:pStyle w:val="TOC2"/>
      </w:pPr>
      <w:r>
        <w:t xml:space="preserve">Article 12.10 - Site Visits, Sampling, Physical Verification, and Costs</w:t>
      </w:r>
      <w:r>
        <w:tab/>
      </w:r>
      <w:r>
        <w:t>123</w:t>
      </w:r>
    </w:p>
    <w:p>
      <w:pPr>
        <w:pStyle w:val="TOC2"/>
      </w:pPr>
      <w:r>
        <w:t xml:space="preserve">Article 12.11 - Fungible Goods, Inventory Methods, and Physical Plausibility Verification</w:t>
      </w:r>
      <w:r>
        <w:tab/>
      </w:r>
      <w:r>
        <w:t>124</w:t>
      </w:r>
    </w:p>
    <w:p>
      <w:pPr>
        <w:pStyle w:val="TOC2"/>
      </w:pPr>
      <w:r>
        <w:t xml:space="preserve">Article 12.12 - Annex G and Product-Specific Agricultural Verification</w:t>
      </w:r>
      <w:r>
        <w:tab/>
      </w:r>
      <w:r>
        <w:t>125</w:t>
      </w:r>
    </w:p>
    <w:p>
      <w:pPr>
        <w:pStyle w:val="TOC2"/>
      </w:pPr>
      <w:r>
        <w:t xml:space="preserve">Article 12.13 - Deficiency Classification, Correction, and Opportunity to Cure</w:t>
      </w:r>
      <w:r>
        <w:tab/>
      </w:r>
      <w:r>
        <w:t>126</w:t>
      </w:r>
    </w:p>
    <w:p>
      <w:pPr>
        <w:pStyle w:val="TOC2"/>
      </w:pPr>
      <w:r>
        <w:t xml:space="preserve">Article 12.14 - Cothrom Verification, Cure, and Automatic Restoration</w:t>
      </w:r>
      <w:r>
        <w:tab/>
      </w:r>
      <w:r>
        <w:t>126</w:t>
      </w:r>
    </w:p>
    <w:p>
      <w:pPr>
        <w:pStyle w:val="TOC2"/>
      </w:pPr>
      <w:r>
        <w:t xml:space="preserve">Article 12.15 - Determinations, Reasons, Scope, and Commercial Usability</w:t>
      </w:r>
      <w:r>
        <w:tab/>
      </w:r>
      <w:r>
        <w:t>127</w:t>
      </w:r>
    </w:p>
    <w:p>
      <w:pPr>
        <w:pStyle w:val="TOC2"/>
      </w:pPr>
      <w:r>
        <w:t xml:space="preserve">Article 12.16 - Review, Appeal, Finality, Refunds, and Restoration</w:t>
      </w:r>
      <w:r>
        <w:tab/>
      </w:r>
      <w:r>
        <w:t>128</w:t>
      </w:r>
    </w:p>
    <w:p>
      <w:pPr>
        <w:pStyle w:val="TOC2"/>
      </w:pPr>
      <w:r>
        <w:t xml:space="preserve">Article 12.17 - Cooperation, Mutual Assistance, ALVS Interface, and Continuity</w:t>
      </w:r>
      <w:r>
        <w:tab/>
      </w:r>
      <w:r>
        <w:t>129</w:t>
      </w:r>
    </w:p>
    <w:p>
      <w:pPr>
        <w:pStyle w:val="TOC2"/>
      </w:pPr>
      <w:r>
        <w:t xml:space="preserve">Article 12.18 - Cross-Chapter Handoffs, Conflict Rules, and Anti-Bypass Safeguards</w:t>
      </w:r>
      <w:r>
        <w:tab/>
      </w:r>
      <w:r>
        <w:t>130</w:t>
      </w:r>
    </w:p>
    <w:p>
      <w:pPr>
        <w:pStyle w:val="TOC1"/>
      </w:pPr>
      <w:r>
        <w:t xml:space="preserve">Chapter 13 - Advance Rulings and Binding Origin Guidance</w:t>
      </w:r>
      <w:r>
        <w:tab/>
      </w:r>
      <w:r>
        <w:t>132</w:t>
      </w:r>
    </w:p>
    <w:p>
      <w:pPr>
        <w:pStyle w:val="TOC2"/>
      </w:pPr>
      <w:r>
        <w:t xml:space="preserve">Article 13.1 - Purpose, Scope, and Legal Character</w:t>
      </w:r>
      <w:r>
        <w:tab/>
      </w:r>
      <w:r>
        <w:t>132</w:t>
      </w:r>
    </w:p>
    <w:p>
      <w:pPr>
        <w:pStyle w:val="TOC2"/>
      </w:pPr>
      <w:r>
        <w:t xml:space="preserve">Article 13.2 - Eligible Applicants, Standing, and Competent Authority</w:t>
      </w:r>
      <w:r>
        <w:tab/>
      </w:r>
      <w:r>
        <w:t>133</w:t>
      </w:r>
    </w:p>
    <w:p>
      <w:pPr>
        <w:pStyle w:val="TOC2"/>
      </w:pPr>
      <w:r>
        <w:t xml:space="preserve">Article 13.3 - Submission Channels, Forms, Accessibility, and Fees</w:t>
      </w:r>
      <w:r>
        <w:tab/>
      </w:r>
      <w:r>
        <w:t>133</w:t>
      </w:r>
    </w:p>
    <w:p>
      <w:pPr>
        <w:pStyle w:val="TOC2"/>
      </w:pPr>
      <w:r>
        <w:t xml:space="preserve">Article 13.4 - Application Requirements, Completeness, and Deficiency Cure</w:t>
      </w:r>
      <w:r>
        <w:tab/>
      </w:r>
      <w:r>
        <w:t>134</w:t>
      </w:r>
    </w:p>
    <w:p>
      <w:pPr>
        <w:pStyle w:val="TOC2"/>
      </w:pPr>
      <w:r>
        <w:t xml:space="preserve">Article 13.5 - Product Families, Shared Supply Chains, and Consolidated Rulings</w:t>
      </w:r>
      <w:r>
        <w:tab/>
      </w:r>
      <w:r>
        <w:t>135</w:t>
      </w:r>
    </w:p>
    <w:p>
      <w:pPr>
        <w:pStyle w:val="TOC2"/>
      </w:pPr>
      <w:r>
        <w:t xml:space="preserve">Article 13.6 - Ruling Clocks, Tolling, Urgency, and Interim Treatment</w:t>
      </w:r>
      <w:r>
        <w:tab/>
      </w:r>
      <w:r>
        <w:t>136</w:t>
      </w:r>
    </w:p>
    <w:p>
      <w:pPr>
        <w:pStyle w:val="TOC2"/>
      </w:pPr>
      <w:r>
        <w:t xml:space="preserve">Article 13.7 - Evidence, Stated Assumptions, and Material Change</w:t>
      </w:r>
      <w:r>
        <w:tab/>
      </w:r>
      <w:r>
        <w:t>136</w:t>
      </w:r>
    </w:p>
    <w:p>
      <w:pPr>
        <w:pStyle w:val="TOC2"/>
      </w:pPr>
      <w:r>
        <w:t xml:space="preserve">Article 13.8 - Supplier Information, Confidentiality, Privilege, and Use Restrictions</w:t>
      </w:r>
      <w:r>
        <w:tab/>
      </w:r>
      <w:r>
        <w:t>137</w:t>
      </w:r>
    </w:p>
    <w:p>
      <w:pPr>
        <w:pStyle w:val="TOC2"/>
      </w:pPr>
      <w:r>
        <w:t xml:space="preserve">Article 13.9 - Ruling Content, Effective Date, Duration, and Binding Effect</w:t>
      </w:r>
      <w:r>
        <w:tab/>
      </w:r>
      <w:r>
        <w:t>138</w:t>
      </w:r>
    </w:p>
    <w:p>
      <w:pPr>
        <w:pStyle w:val="TOC2"/>
      </w:pPr>
      <w:r>
        <w:t xml:space="preserve">Article 13.10 - Good-Faith Reliance and Investment Protection</w:t>
      </w:r>
      <w:r>
        <w:tab/>
      </w:r>
      <w:r>
        <w:t>139</w:t>
      </w:r>
    </w:p>
    <w:p>
      <w:pPr>
        <w:pStyle w:val="TOC2"/>
      </w:pPr>
      <w:r>
        <w:t xml:space="preserve">Article 13.11 - Modification, Revocation, Legal Change, and Transition</w:t>
      </w:r>
      <w:r>
        <w:tab/>
      </w:r>
      <w:r>
        <w:t>139</w:t>
      </w:r>
    </w:p>
    <w:p>
      <w:pPr>
        <w:pStyle w:val="TOC2"/>
      </w:pPr>
      <w:r>
        <w:t xml:space="preserve">Article 13.12 - Publication, Searchability, Consistency, and Non-Precedential Effect</w:t>
      </w:r>
      <w:r>
        <w:tab/>
      </w:r>
      <w:r>
        <w:t>140</w:t>
      </w:r>
    </w:p>
    <w:p>
      <w:pPr>
        <w:pStyle w:val="TOC2"/>
      </w:pPr>
      <w:r>
        <w:t xml:space="preserve">Article 13.13 - Review, Appeal, and Cross-Party Coordination</w:t>
      </w:r>
      <w:r>
        <w:tab/>
      </w:r>
      <w:r>
        <w:t>141</w:t>
      </w:r>
    </w:p>
    <w:p>
      <w:pPr>
        <w:pStyle w:val="TOC2"/>
      </w:pPr>
      <w:r>
        <w:t xml:space="preserve">Article 13.14 - Anti-Abuse, Cross-Chapter Interfaces, Transition, and Implementation</w:t>
      </w:r>
      <w:r>
        <w:tab/>
      </w:r>
      <w:r>
        <w:t>142</w:t>
      </w:r>
    </w:p>
    <w:p>
      <w:pPr>
        <w:pStyle w:val="TOC1"/>
      </w:pPr>
      <w:r>
        <w:t xml:space="preserve">Chapter 14 - Sanitary and Phytosanitary Measures</w:t>
      </w:r>
      <w:r>
        <w:tab/>
      </w:r>
      <w:r>
        <w:t>143</w:t>
      </w:r>
    </w:p>
    <w:p>
      <w:pPr>
        <w:pStyle w:val="TOC2"/>
      </w:pPr>
      <w:r>
        <w:t xml:space="preserve">Article 14.1 - Purpose, Scope, and Regulatory Sovereignty</w:t>
      </w:r>
      <w:r>
        <w:tab/>
      </w:r>
      <w:r>
        <w:t>143</w:t>
      </w:r>
    </w:p>
    <w:p>
      <w:pPr>
        <w:pStyle w:val="TOC2"/>
      </w:pPr>
      <w:r>
        <w:t xml:space="preserve">Article 14.2 - Definitions and Interpretive Rules</w:t>
      </w:r>
      <w:r>
        <w:tab/>
      </w:r>
      <w:r>
        <w:t>143</w:t>
      </w:r>
    </w:p>
    <w:p>
      <w:pPr>
        <w:pStyle w:val="TOC2"/>
      </w:pPr>
      <w:r>
        <w:t xml:space="preserve">Article 14.3 - Core SPS Disciplines</w:t>
      </w:r>
      <w:r>
        <w:tab/>
      </w:r>
      <w:r>
        <w:t>144</w:t>
      </w:r>
    </w:p>
    <w:p>
      <w:pPr>
        <w:pStyle w:val="TOC2"/>
      </w:pPr>
      <w:r>
        <w:t xml:space="preserve">Article 14.4 - International Standards and Higher Protection</w:t>
      </w:r>
      <w:r>
        <w:tab/>
      </w:r>
      <w:r>
        <w:t>145</w:t>
      </w:r>
    </w:p>
    <w:p>
      <w:pPr>
        <w:pStyle w:val="TOC2"/>
      </w:pPr>
      <w:r>
        <w:t xml:space="preserve">Article 14.5 - Risk Assessment and Evidence</w:t>
      </w:r>
      <w:r>
        <w:tab/>
      </w:r>
      <w:r>
        <w:t>146</w:t>
      </w:r>
    </w:p>
    <w:p>
      <w:pPr>
        <w:pStyle w:val="TOC2"/>
      </w:pPr>
      <w:r>
        <w:t xml:space="preserve">Article 14.6 - Scientific Uncertainty and Provisional Precaution</w:t>
      </w:r>
      <w:r>
        <w:tab/>
      </w:r>
      <w:r>
        <w:t>147</w:t>
      </w:r>
    </w:p>
    <w:p>
      <w:pPr>
        <w:pStyle w:val="TOC2"/>
      </w:pPr>
      <w:r>
        <w:t xml:space="preserve">Article 14.7 - Emergency SPS Measures</w:t>
      </w:r>
      <w:r>
        <w:tab/>
      </w:r>
      <w:r>
        <w:t>147</w:t>
      </w:r>
    </w:p>
    <w:p>
      <w:pPr>
        <w:pStyle w:val="TOC2"/>
      </w:pPr>
      <w:r>
        <w:t xml:space="preserve">Article 14.8 - Regionalization, Zones, and Compartments</w:t>
      </w:r>
      <w:r>
        <w:tab/>
      </w:r>
      <w:r>
        <w:t>148</w:t>
      </w:r>
    </w:p>
    <w:p>
      <w:pPr>
        <w:pStyle w:val="TOC2"/>
      </w:pPr>
      <w:r>
        <w:t xml:space="preserve">Article 14.9 - Facility Status and SPS Listing Interface</w:t>
      </w:r>
      <w:r>
        <w:tab/>
      </w:r>
      <w:r>
        <w:t>149</w:t>
      </w:r>
    </w:p>
    <w:p>
      <w:pPr>
        <w:pStyle w:val="TOC2"/>
      </w:pPr>
      <w:r>
        <w:t xml:space="preserve">Article 14.10 - Import Checks, Sampling, Testing, and Laboratories</w:t>
      </w:r>
      <w:r>
        <w:tab/>
      </w:r>
      <w:r>
        <w:t>150</w:t>
      </w:r>
    </w:p>
    <w:p>
      <w:pPr>
        <w:pStyle w:val="TOC2"/>
      </w:pPr>
      <w:r>
        <w:t xml:space="preserve">Article 14.11 - Release Alternatives, Costs, and Perishable Goods</w:t>
      </w:r>
      <w:r>
        <w:tab/>
      </w:r>
      <w:r>
        <w:t>150</w:t>
      </w:r>
    </w:p>
    <w:p>
      <w:pPr>
        <w:pStyle w:val="TOC2"/>
      </w:pPr>
      <w:r>
        <w:t xml:space="preserve">Article 14.12 - Certification, Electronic Documentation, and Data Integrity</w:t>
      </w:r>
      <w:r>
        <w:tab/>
      </w:r>
      <w:r>
        <w:t>151</w:t>
      </w:r>
    </w:p>
    <w:p>
      <w:pPr>
        <w:pStyle w:val="TOC2"/>
      </w:pPr>
      <w:r>
        <w:t xml:space="preserve">Article 14.13 - SPS Audits, System Findings, and Corrective Action</w:t>
      </w:r>
      <w:r>
        <w:tab/>
      </w:r>
      <w:r>
        <w:t>152</w:t>
      </w:r>
    </w:p>
    <w:p>
      <w:pPr>
        <w:pStyle w:val="TOC2"/>
      </w:pPr>
      <w:r>
        <w:t xml:space="preserve">Article 14.14 - Transparency, Notification, and Regulatory Change</w:t>
      </w:r>
      <w:r>
        <w:tab/>
      </w:r>
      <w:r>
        <w:t>153</w:t>
      </w:r>
    </w:p>
    <w:p>
      <w:pPr>
        <w:pStyle w:val="TOC2"/>
      </w:pPr>
      <w:r>
        <w:t xml:space="preserve">Article 14.15 - Novel Foods, Biotechnology, and Low-Level Presence</w:t>
      </w:r>
      <w:r>
        <w:tab/>
      </w:r>
      <w:r>
        <w:t>153</w:t>
      </w:r>
    </w:p>
    <w:p>
      <w:pPr>
        <w:pStyle w:val="TOC2"/>
      </w:pPr>
      <w:r>
        <w:t xml:space="preserve">Article 14.16 - SPS Committee and Technical Consultation</w:t>
      </w:r>
      <w:r>
        <w:tab/>
      </w:r>
      <w:r>
        <w:t>154</w:t>
      </w:r>
    </w:p>
    <w:p>
      <w:pPr>
        <w:pStyle w:val="TOC2"/>
      </w:pPr>
      <w:r>
        <w:t xml:space="preserve">Article 14.17 - ALVS Interface, Review, Remedies, and Final Safeguards</w:t>
      </w:r>
      <w:r>
        <w:tab/>
      </w:r>
      <w:r>
        <w:t>155</w:t>
      </w:r>
    </w:p>
    <w:p>
      <w:pPr>
        <w:pStyle w:val="TOC1"/>
      </w:pPr>
      <w:r>
        <w:t xml:space="preserve">Chapter 15 - Equivalence, Recognition, Inspection, and Certification</w:t>
      </w:r>
      <w:r>
        <w:tab/>
      </w:r>
      <w:r>
        <w:t>157</w:t>
      </w:r>
    </w:p>
    <w:p>
      <w:pPr>
        <w:pStyle w:val="TOC2"/>
      </w:pPr>
      <w:r>
        <w:t xml:space="preserve">Article 15.1 - Purpose, Scope, and Functional Separation</w:t>
      </w:r>
      <w:r>
        <w:tab/>
      </w:r>
      <w:r>
        <w:t>157</w:t>
      </w:r>
    </w:p>
    <w:p>
      <w:pPr>
        <w:pStyle w:val="TOC2"/>
      </w:pPr>
      <w:r>
        <w:t xml:space="preserve">Article 15.2 - Outcome-Based Equivalence Standard</w:t>
      </w:r>
      <w:r>
        <w:tab/>
      </w:r>
      <w:r>
        <w:t>157</w:t>
      </w:r>
    </w:p>
    <w:p>
      <w:pPr>
        <w:pStyle w:val="TOC2"/>
      </w:pPr>
      <w:r>
        <w:t xml:space="preserve">Article 15.3 - Eligible Requests, Scope, and Lead Authority</w:t>
      </w:r>
      <w:r>
        <w:tab/>
      </w:r>
      <w:r>
        <w:t>158</w:t>
      </w:r>
    </w:p>
    <w:p>
      <w:pPr>
        <w:pStyle w:val="TOC2"/>
      </w:pPr>
      <w:r>
        <w:t xml:space="preserve">Article 15.4 - Application and Minimum Information</w:t>
      </w:r>
      <w:r>
        <w:tab/>
      </w:r>
      <w:r>
        <w:t>159</w:t>
      </w:r>
    </w:p>
    <w:p>
      <w:pPr>
        <w:pStyle w:val="TOC2"/>
      </w:pPr>
      <w:r>
        <w:t xml:space="preserve">Article 15.5 - Completeness Review and Deficiency Cure</w:t>
      </w:r>
      <w:r>
        <w:tab/>
      </w:r>
      <w:r>
        <w:t>159</w:t>
      </w:r>
    </w:p>
    <w:p>
      <w:pPr>
        <w:pStyle w:val="TOC2"/>
      </w:pPr>
      <w:r>
        <w:t xml:space="preserve">Article 15.6 - Decision Clocks, Queue Discipline, and Status</w:t>
      </w:r>
      <w:r>
        <w:tab/>
      </w:r>
      <w:r>
        <w:t>160</w:t>
      </w:r>
    </w:p>
    <w:p>
      <w:pPr>
        <w:pStyle w:val="TOC2"/>
      </w:pPr>
      <w:r>
        <w:t xml:space="preserve">Article 15.7 - Technical Engagement, Evidence Requests, and Verification</w:t>
      </w:r>
      <w:r>
        <w:tab/>
      </w:r>
      <w:r>
        <w:t>161</w:t>
      </w:r>
    </w:p>
    <w:p>
      <w:pPr>
        <w:pStyle w:val="TOC2"/>
      </w:pPr>
      <w:r>
        <w:t xml:space="preserve">Article 15.8 - Outcome-Based Assessment and Reasoned Determination</w:t>
      </w:r>
      <w:r>
        <w:tab/>
      </w:r>
      <w:r>
        <w:t>161</w:t>
      </w:r>
    </w:p>
    <w:p>
      <w:pPr>
        <w:pStyle w:val="TOC2"/>
      </w:pPr>
      <w:r>
        <w:t xml:space="preserve">Article 15.9 - Partial, Conditional, and Provisional Recognition</w:t>
      </w:r>
      <w:r>
        <w:tab/>
      </w:r>
      <w:r>
        <w:t>162</w:t>
      </w:r>
    </w:p>
    <w:p>
      <w:pPr>
        <w:pStyle w:val="TOC2"/>
      </w:pPr>
      <w:r>
        <w:t xml:space="preserve">Article 15.10 - Systems Recognition and Competent Authorities</w:t>
      </w:r>
      <w:r>
        <w:tab/>
      </w:r>
      <w:r>
        <w:t>163</w:t>
      </w:r>
    </w:p>
    <w:p>
      <w:pPr>
        <w:pStyle w:val="TOC2"/>
      </w:pPr>
      <w:r>
        <w:t xml:space="preserve">Article 15.11 - Facility Approval, Listing, Suspension, and Restoration</w:t>
      </w:r>
      <w:r>
        <w:tab/>
      </w:r>
      <w:r>
        <w:t>163</w:t>
      </w:r>
    </w:p>
    <w:p>
      <w:pPr>
        <w:pStyle w:val="TOC2"/>
      </w:pPr>
      <w:r>
        <w:t xml:space="preserve">Article 15.12 - Regionalization Recognition Procedure</w:t>
      </w:r>
      <w:r>
        <w:tab/>
      </w:r>
      <w:r>
        <w:t>164</w:t>
      </w:r>
    </w:p>
    <w:p>
      <w:pPr>
        <w:pStyle w:val="TOC2"/>
      </w:pPr>
      <w:r>
        <w:t xml:space="preserve">Article 15.13 - Inspection, Audit, and Verification Recognition</w:t>
      </w:r>
      <w:r>
        <w:tab/>
      </w:r>
      <w:r>
        <w:t>165</w:t>
      </w:r>
    </w:p>
    <w:p>
      <w:pPr>
        <w:pStyle w:val="TOC2"/>
      </w:pPr>
      <w:r>
        <w:t xml:space="preserve">Article 15.14 - Certification and Electronic Certification</w:t>
      </w:r>
      <w:r>
        <w:tab/>
      </w:r>
      <w:r>
        <w:t>165</w:t>
      </w:r>
    </w:p>
    <w:p>
      <w:pPr>
        <w:pStyle w:val="TOC2"/>
      </w:pPr>
      <w:r>
        <w:t xml:space="preserve">Article 15.15 - Laboratory and Test Recognition</w:t>
      </w:r>
      <w:r>
        <w:tab/>
      </w:r>
      <w:r>
        <w:t>166</w:t>
      </w:r>
    </w:p>
    <w:p>
      <w:pPr>
        <w:pStyle w:val="TOC2"/>
      </w:pPr>
      <w:r>
        <w:t xml:space="preserve">Article 15.16 - Suspension, Modification, Withdrawal, and Reliance</w:t>
      </w:r>
      <w:r>
        <w:tab/>
      </w:r>
      <w:r>
        <w:t>166</w:t>
      </w:r>
    </w:p>
    <w:p>
      <w:pPr>
        <w:pStyle w:val="TOC2"/>
      </w:pPr>
      <w:r>
        <w:t xml:space="preserve">Article 15.17 - Review, Cothrom Cure, and Automatic Restoration</w:t>
      </w:r>
      <w:r>
        <w:tab/>
      </w:r>
      <w:r>
        <w:t>167</w:t>
      </w:r>
    </w:p>
    <w:p>
      <w:pPr>
        <w:pStyle w:val="TOC2"/>
      </w:pPr>
      <w:r>
        <w:t xml:space="preserve">Article 15.18 - Transparency, ALVS, Committee Coordination, and Final Interfaces</w:t>
      </w:r>
      <w:r>
        <w:tab/>
      </w:r>
      <w:r>
        <w:t>168</w:t>
      </w:r>
    </w:p>
    <w:p>
      <w:pPr>
        <w:pStyle w:val="TOC1"/>
      </w:pPr>
      <w:r>
        <w:t xml:space="preserve">Chapter 16 - Agricultural Regulatory Friction and Anti-Substitution</w:t>
      </w:r>
      <w:r>
        <w:tab/>
      </w:r>
      <w:r>
        <w:t>170</w:t>
      </w:r>
    </w:p>
    <w:p>
      <w:pPr>
        <w:pStyle w:val="TOC2"/>
      </w:pPr>
      <w:r>
        <w:t xml:space="preserve">Article 16.1 - Purpose, Scope, and Regulatory Sovereignty</w:t>
      </w:r>
      <w:r>
        <w:tab/>
      </w:r>
      <w:r>
        <w:t>170</w:t>
      </w:r>
    </w:p>
    <w:p>
      <w:pPr>
        <w:pStyle w:val="TOC2"/>
      </w:pPr>
      <w:r>
        <w:t xml:space="preserve">Article 16.2 - Definitions and Interpretive Rules</w:t>
      </w:r>
      <w:r>
        <w:tab/>
      </w:r>
      <w:r>
        <w:t>170</w:t>
      </w:r>
    </w:p>
    <w:p>
      <w:pPr>
        <w:pStyle w:val="TOC2"/>
      </w:pPr>
      <w:r>
        <w:t xml:space="preserve">Article 16.3 - Function Over Form and Cross-Chapter Classification</w:t>
      </w:r>
      <w:r>
        <w:tab/>
      </w:r>
      <w:r>
        <w:t>171</w:t>
      </w:r>
    </w:p>
    <w:p>
      <w:pPr>
        <w:pStyle w:val="TOC2"/>
      </w:pPr>
      <w:r>
        <w:t xml:space="preserve">Article 16.4 - Structured Anti-Substitution Test</w:t>
      </w:r>
      <w:r>
        <w:tab/>
      </w:r>
      <w:r>
        <w:t>172</w:t>
      </w:r>
    </w:p>
    <w:p>
      <w:pPr>
        <w:pStyle w:val="TOC2"/>
      </w:pPr>
      <w:r>
        <w:t xml:space="preserve">Article 16.5 - Legitimate Regulatory Measure Safe Harbor</w:t>
      </w:r>
      <w:r>
        <w:tab/>
      </w:r>
      <w:r>
        <w:t>173</w:t>
      </w:r>
    </w:p>
    <w:p>
      <w:pPr>
        <w:pStyle w:val="TOC2"/>
      </w:pPr>
      <w:r>
        <w:t xml:space="preserve">Article 16.6 - Non-Discrimination and Comparable Administration</w:t>
      </w:r>
      <w:r>
        <w:tab/>
      </w:r>
      <w:r>
        <w:t>173</w:t>
      </w:r>
    </w:p>
    <w:p>
      <w:pPr>
        <w:pStyle w:val="TOC2"/>
      </w:pPr>
      <w:r>
        <w:t xml:space="preserve">Article 16.7 - Fees, Charges, Cost Recovery, and Revenue Measures</w:t>
      </w:r>
      <w:r>
        <w:tab/>
      </w:r>
      <w:r>
        <w:t>174</w:t>
      </w:r>
    </w:p>
    <w:p>
      <w:pPr>
        <w:pStyle w:val="TOC2"/>
      </w:pPr>
      <w:r>
        <w:t xml:space="preserve">Article 16.8 - Licenses, Permits, Registrations, and Approvals</w:t>
      </w:r>
      <w:r>
        <w:tab/>
      </w:r>
      <w:r>
        <w:t>175</w:t>
      </w:r>
    </w:p>
    <w:p>
      <w:pPr>
        <w:pStyle w:val="TOC2"/>
      </w:pPr>
      <w:r>
        <w:t xml:space="preserve">Article 16.9 - Labeling, Packaging, Composition, and Marketing Rules</w:t>
      </w:r>
      <w:r>
        <w:tab/>
      </w:r>
      <w:r>
        <w:t>175</w:t>
      </w:r>
    </w:p>
    <w:p>
      <w:pPr>
        <w:pStyle w:val="TOC2"/>
      </w:pPr>
      <w:r>
        <w:t xml:space="preserve">Article 16.10 - Distribution, Warehousing, Retail, and Channel Access</w:t>
      </w:r>
      <w:r>
        <w:tab/>
      </w:r>
      <w:r>
        <w:t>176</w:t>
      </w:r>
    </w:p>
    <w:p>
      <w:pPr>
        <w:pStyle w:val="TOC2"/>
      </w:pPr>
      <w:r>
        <w:t xml:space="preserve">Article 16.11 - Inspection, Sampling, Testing, Documentation, and Data</w:t>
      </w:r>
      <w:r>
        <w:tab/>
      </w:r>
      <w:r>
        <w:t>177</w:t>
      </w:r>
    </w:p>
    <w:p>
      <w:pPr>
        <w:pStyle w:val="TOC2"/>
      </w:pPr>
      <w:r>
        <w:t xml:space="preserve">Article 16.12 - Standards, Testing, and Conformity Assessment Interface</w:t>
      </w:r>
      <w:r>
        <w:tab/>
      </w:r>
      <w:r>
        <w:t>177</w:t>
      </w:r>
    </w:p>
    <w:p>
      <w:pPr>
        <w:pStyle w:val="TOC2"/>
      </w:pPr>
      <w:r>
        <w:t xml:space="preserve">Article 16.13 - Quantity, Timing, Seasonal, Geographic, and Supply-Management Controls</w:t>
      </w:r>
      <w:r>
        <w:tab/>
      </w:r>
      <w:r>
        <w:t>178</w:t>
      </w:r>
    </w:p>
    <w:p>
      <w:pPr>
        <w:pStyle w:val="TOC2"/>
      </w:pPr>
      <w:r>
        <w:t xml:space="preserve">Article 16.14 - State Enterprises, Marketing Boards, and Delegated Gatekeepers</w:t>
      </w:r>
      <w:r>
        <w:tab/>
      </w:r>
      <w:r>
        <w:t>179</w:t>
      </w:r>
    </w:p>
    <w:p>
      <w:pPr>
        <w:pStyle w:val="TOC2"/>
      </w:pPr>
      <w:r>
        <w:t xml:space="preserve">Article 16.15 - New Measures, Regulatory Change, and Implementation</w:t>
      </w:r>
      <w:r>
        <w:tab/>
      </w:r>
      <w:r>
        <w:t>179</w:t>
      </w:r>
    </w:p>
    <w:p>
      <w:pPr>
        <w:pStyle w:val="TOC2"/>
      </w:pPr>
      <w:r>
        <w:t xml:space="preserve">Article 16.16 - Evidence, Burden of Proof, and Regulatory-Friction Review</w:t>
      </w:r>
      <w:r>
        <w:tab/>
      </w:r>
      <w:r>
        <w:t>180</w:t>
      </w:r>
    </w:p>
    <w:p>
      <w:pPr>
        <w:pStyle w:val="TOC2"/>
      </w:pPr>
      <w:r>
        <w:t xml:space="preserve">Article 16.17 - Cothrom Cure, Proportional Correction, and Restoration</w:t>
      </w:r>
      <w:r>
        <w:tab/>
      </w:r>
      <w:r>
        <w:t>181</w:t>
      </w:r>
    </w:p>
    <w:p>
      <w:pPr>
        <w:pStyle w:val="TOC2"/>
      </w:pPr>
      <w:r>
        <w:t xml:space="preserve">Article 16.18 - ALVS Monitoring, Metrics, and Systemic Friction</w:t>
      </w:r>
      <w:r>
        <w:tab/>
      </w:r>
      <w:r>
        <w:t>181</w:t>
      </w:r>
    </w:p>
    <w:p>
      <w:pPr>
        <w:pStyle w:val="TOC2"/>
      </w:pPr>
      <w:r>
        <w:t xml:space="preserve">Article 16.19 - Consultation, Cross-Chapter Interfaces, and Final Safeguards</w:t>
      </w:r>
      <w:r>
        <w:tab/>
      </w:r>
      <w:r>
        <w:t>182</w:t>
      </w:r>
    </w:p>
    <w:p>
      <w:pPr>
        <w:pStyle w:val="TOC1"/>
      </w:pPr>
      <w:r>
        <w:t xml:space="preserve">Chapter 17 - Agricultural Liberalization Verification System (ALVS)</w:t>
      </w:r>
      <w:r>
        <w:tab/>
      </w:r>
      <w:r>
        <w:t>184</w:t>
      </w:r>
    </w:p>
    <w:p>
      <w:pPr>
        <w:pStyle w:val="TOC2"/>
      </w:pPr>
      <w:r>
        <w:t xml:space="preserve">Article 17.1 - Establishment, Purpose, and Legal Character</w:t>
      </w:r>
      <w:r>
        <w:tab/>
      </w:r>
      <w:r>
        <w:t>184</w:t>
      </w:r>
    </w:p>
    <w:p>
      <w:pPr>
        <w:pStyle w:val="TOC2"/>
      </w:pPr>
      <w:r>
        <w:t xml:space="preserve">Article 17.2 - Closed Jurisdiction and Institutional Firewalls</w:t>
      </w:r>
      <w:r>
        <w:tab/>
      </w:r>
      <w:r>
        <w:t>184</w:t>
      </w:r>
    </w:p>
    <w:p>
      <w:pPr>
        <w:pStyle w:val="TOC2"/>
      </w:pPr>
      <w:r>
        <w:t xml:space="preserve">Article 17.3 - System-Level Verification Standard</w:t>
      </w:r>
      <w:r>
        <w:tab/>
      </w:r>
      <w:r>
        <w:t>185</w:t>
      </w:r>
    </w:p>
    <w:p>
      <w:pPr>
        <w:pStyle w:val="TOC2"/>
      </w:pPr>
      <w:r>
        <w:t xml:space="preserve">Article 17.4 - Verification Domains</w:t>
      </w:r>
      <w:r>
        <w:tab/>
      </w:r>
      <w:r>
        <w:t>186</w:t>
      </w:r>
    </w:p>
    <w:p>
      <w:pPr>
        <w:pStyle w:val="TOC2"/>
      </w:pPr>
      <w:r>
        <w:t xml:space="preserve">Article 17.5 - Institutional Minimalism and Coordination</w:t>
      </w:r>
      <w:r>
        <w:tab/>
      </w:r>
      <w:r>
        <w:t>186</w:t>
      </w:r>
    </w:p>
    <w:p>
      <w:pPr>
        <w:pStyle w:val="TOC2"/>
      </w:pPr>
      <w:r>
        <w:t xml:space="preserve">Article 17.6 - Minimum Dataset and Common Definitions</w:t>
      </w:r>
      <w:r>
        <w:tab/>
      </w:r>
      <w:r>
        <w:t>187</w:t>
      </w:r>
    </w:p>
    <w:p>
      <w:pPr>
        <w:pStyle w:val="TOC2"/>
      </w:pPr>
      <w:r>
        <w:t xml:space="preserve">Article 17.7 - Provenance Passport and Chain of Use</w:t>
      </w:r>
      <w:r>
        <w:tab/>
      </w:r>
      <w:r>
        <w:t>188</w:t>
      </w:r>
    </w:p>
    <w:p>
      <w:pPr>
        <w:pStyle w:val="TOC2"/>
      </w:pPr>
      <w:r>
        <w:t xml:space="preserve">Article 17.8 - Data Quality, Missing Data, and Classification</w:t>
      </w:r>
      <w:r>
        <w:tab/>
      </w:r>
      <w:r>
        <w:t>188</w:t>
      </w:r>
    </w:p>
    <w:p>
      <w:pPr>
        <w:pStyle w:val="TOC2"/>
      </w:pPr>
      <w:r>
        <w:t xml:space="preserve">Article 17.9 - Baselines, Comparators, Seasonality, and Trend Methodology</w:t>
      </w:r>
      <w:r>
        <w:tab/>
      </w:r>
      <w:r>
        <w:t>189</w:t>
      </w:r>
    </w:p>
    <w:p>
      <w:pPr>
        <w:pStyle w:val="TOC2"/>
      </w:pPr>
      <w:r>
        <w:t xml:space="preserve">Article 17.10 - Thresholds, Indicators, and Anomaly Detection</w:t>
      </w:r>
      <w:r>
        <w:tab/>
      </w:r>
      <w:r>
        <w:t>189</w:t>
      </w:r>
    </w:p>
    <w:p>
      <w:pPr>
        <w:pStyle w:val="TOC2"/>
      </w:pPr>
      <w:r>
        <w:t xml:space="preserve">Article 17.11 - Indicator Development and Preliminary Inquiry</w:t>
      </w:r>
      <w:r>
        <w:tab/>
      </w:r>
      <w:r>
        <w:t>190</w:t>
      </w:r>
    </w:p>
    <w:p>
      <w:pPr>
        <w:pStyle w:val="TOC2"/>
      </w:pPr>
      <w:r>
        <w:t xml:space="preserve">Article 17.12 - Verified Implementation Findings</w:t>
      </w:r>
      <w:r>
        <w:tab/>
      </w:r>
      <w:r>
        <w:t>191</w:t>
      </w:r>
    </w:p>
    <w:p>
      <w:pPr>
        <w:pStyle w:val="TOC2"/>
      </w:pPr>
      <w:r>
        <w:t xml:space="preserve">Article 17.13 - Party Notice, Response, and Challenge Rights</w:t>
      </w:r>
      <w:r>
        <w:tab/>
      </w:r>
      <w:r>
        <w:t>191</w:t>
      </w:r>
    </w:p>
    <w:p>
      <w:pPr>
        <w:pStyle w:val="TOC2"/>
      </w:pPr>
      <w:r>
        <w:t xml:space="preserve">Article 17.14 - Data Correction, Retraction, and Version Control</w:t>
      </w:r>
      <w:r>
        <w:tab/>
      </w:r>
      <w:r>
        <w:t>192</w:t>
      </w:r>
    </w:p>
    <w:p>
      <w:pPr>
        <w:pStyle w:val="TOC2"/>
      </w:pPr>
      <w:r>
        <w:t xml:space="preserve">Article 17.15 - Independent Technical Review Interface</w:t>
      </w:r>
      <w:r>
        <w:tab/>
      </w:r>
      <w:r>
        <w:t>193</w:t>
      </w:r>
    </w:p>
    <w:p>
      <w:pPr>
        <w:pStyle w:val="TOC2"/>
      </w:pPr>
      <w:r>
        <w:t xml:space="preserve">Article 17.16 - Regulatory Friction Register</w:t>
      </w:r>
      <w:r>
        <w:tab/>
      </w:r>
      <w:r>
        <w:t>193</w:t>
      </w:r>
    </w:p>
    <w:p>
      <w:pPr>
        <w:pStyle w:val="TOC2"/>
      </w:pPr>
      <w:r>
        <w:t xml:space="preserve">Article 17.17 - Implementation Status Registry</w:t>
      </w:r>
      <w:r>
        <w:tab/>
      </w:r>
      <w:r>
        <w:t>194</w:t>
      </w:r>
    </w:p>
    <w:p>
      <w:pPr>
        <w:pStyle w:val="TOC2"/>
      </w:pPr>
      <w:r>
        <w:t xml:space="preserve">Article 17.18 - Cothrom Escalation, Cure Tracking, and Closure</w:t>
      </w:r>
      <w:r>
        <w:tab/>
      </w:r>
      <w:r>
        <w:t>194</w:t>
      </w:r>
    </w:p>
    <w:p>
      <w:pPr>
        <w:pStyle w:val="TOC2"/>
      </w:pPr>
      <w:r>
        <w:t xml:space="preserve">Article 17.19 - Transparency, Public Reporting, and Stakeholder Input</w:t>
      </w:r>
      <w:r>
        <w:tab/>
      </w:r>
      <w:r>
        <w:t>195</w:t>
      </w:r>
    </w:p>
    <w:p>
      <w:pPr>
        <w:pStyle w:val="TOC2"/>
      </w:pPr>
      <w:r>
        <w:t xml:space="preserve">Article 17.20 - Final Interfaces, Administrative Simplicity, and Safeguards</w:t>
      </w:r>
      <w:r>
        <w:tab/>
      </w:r>
      <w:r>
        <w:t>196</w:t>
      </w:r>
    </w:p>
    <w:p>
      <w:pPr>
        <w:pStyle w:val="TOC1"/>
      </w:pPr>
      <w:r>
        <w:t xml:space="preserve">Chapter 18 - Independent Technical and Scientific Review</w:t>
      </w:r>
      <w:r>
        <w:tab/>
      </w:r>
      <w:r>
        <w:t>197</w:t>
      </w:r>
    </w:p>
    <w:p>
      <w:pPr>
        <w:pStyle w:val="TOC2"/>
      </w:pPr>
      <w:r>
        <w:t xml:space="preserve">Article 18.1 - Purpose, Scope, and Legal Character</w:t>
      </w:r>
      <w:r>
        <w:tab/>
      </w:r>
      <w:r>
        <w:t>197</w:t>
      </w:r>
    </w:p>
    <w:p>
      <w:pPr>
        <w:pStyle w:val="TOC2"/>
      </w:pPr>
      <w:r>
        <w:t xml:space="preserve">Article 18.2 - Jurisdiction and Referral Gate</w:t>
      </w:r>
      <w:r>
        <w:tab/>
      </w:r>
      <w:r>
        <w:t>197</w:t>
      </w:r>
    </w:p>
    <w:p>
      <w:pPr>
        <w:pStyle w:val="TOC2"/>
      </w:pPr>
      <w:r>
        <w:t xml:space="preserve">Article 18.3 - Technical and Legal Finding Firewall</w:t>
      </w:r>
      <w:r>
        <w:tab/>
      </w:r>
      <w:r>
        <w:t>198</w:t>
      </w:r>
    </w:p>
    <w:p>
      <w:pPr>
        <w:pStyle w:val="TOC2"/>
      </w:pPr>
      <w:r>
        <w:t xml:space="preserve">Article 18.4 - Referral Question Discipline</w:t>
      </w:r>
      <w:r>
        <w:tab/>
      </w:r>
      <w:r>
        <w:t>199</w:t>
      </w:r>
    </w:p>
    <w:p>
      <w:pPr>
        <w:pStyle w:val="TOC2"/>
      </w:pPr>
      <w:r>
        <w:t xml:space="preserve">Article 18.5 - Expert Roster and Appointment</w:t>
      </w:r>
      <w:r>
        <w:tab/>
      </w:r>
      <w:r>
        <w:t>199</w:t>
      </w:r>
    </w:p>
    <w:p>
      <w:pPr>
        <w:pStyle w:val="TOC2"/>
      </w:pPr>
      <w:r>
        <w:t xml:space="preserve">Article 18.6 - Qualifications, Independence, Conflicts, and Conduct</w:t>
      </w:r>
      <w:r>
        <w:tab/>
      </w:r>
      <w:r>
        <w:t>200</w:t>
      </w:r>
    </w:p>
    <w:p>
      <w:pPr>
        <w:pStyle w:val="TOC2"/>
      </w:pPr>
      <w:r>
        <w:t xml:space="preserve">Article 18.7 - Party Participation and Procedural Equality</w:t>
      </w:r>
      <w:r>
        <w:tab/>
      </w:r>
      <w:r>
        <w:t>201</w:t>
      </w:r>
    </w:p>
    <w:p>
      <w:pPr>
        <w:pStyle w:val="TOC2"/>
      </w:pPr>
      <w:r>
        <w:t xml:space="preserve">Article 18.8 - Evidence and Methodological Standards</w:t>
      </w:r>
      <w:r>
        <w:tab/>
      </w:r>
      <w:r>
        <w:t>201</w:t>
      </w:r>
    </w:p>
    <w:p>
      <w:pPr>
        <w:pStyle w:val="TOC2"/>
      </w:pPr>
      <w:r>
        <w:t xml:space="preserve">Article 18.9 - Scientific Uncertainty and Competing Views</w:t>
      </w:r>
      <w:r>
        <w:tab/>
      </w:r>
      <w:r>
        <w:t>202</w:t>
      </w:r>
    </w:p>
    <w:p>
      <w:pPr>
        <w:pStyle w:val="TOC2"/>
      </w:pPr>
      <w:r>
        <w:t xml:space="preserve">Article 18.10 - Data Access, Reproducibility, and Automated Analysis</w:t>
      </w:r>
      <w:r>
        <w:tab/>
      </w:r>
      <w:r>
        <w:t>203</w:t>
      </w:r>
    </w:p>
    <w:p>
      <w:pPr>
        <w:pStyle w:val="TOC2"/>
      </w:pPr>
      <w:r>
        <w:t xml:space="preserve">Article 18.11 - Confidential and Sensitive Information</w:t>
      </w:r>
      <w:r>
        <w:tab/>
      </w:r>
      <w:r>
        <w:t>204</w:t>
      </w:r>
    </w:p>
    <w:p>
      <w:pPr>
        <w:pStyle w:val="TOC2"/>
      </w:pPr>
      <w:r>
        <w:t xml:space="preserve">Article 18.12 - Independent Testing, Replication, and Reanalysis</w:t>
      </w:r>
      <w:r>
        <w:tab/>
      </w:r>
      <w:r>
        <w:t>204</w:t>
      </w:r>
    </w:p>
    <w:p>
      <w:pPr>
        <w:pStyle w:val="TOC2"/>
      </w:pPr>
      <w:r>
        <w:t xml:space="preserve">Article 18.13 - Review Procedure and Clocks</w:t>
      </w:r>
      <w:r>
        <w:tab/>
      </w:r>
      <w:r>
        <w:t>205</w:t>
      </w:r>
    </w:p>
    <w:p>
      <w:pPr>
        <w:pStyle w:val="TOC2"/>
      </w:pPr>
      <w:r>
        <w:t xml:space="preserve">Article 18.14 - Draft Findings and Technical Correction</w:t>
      </w:r>
      <w:r>
        <w:tab/>
      </w:r>
      <w:r>
        <w:t>206</w:t>
      </w:r>
    </w:p>
    <w:p>
      <w:pPr>
        <w:pStyle w:val="TOC2"/>
      </w:pPr>
      <w:r>
        <w:t xml:space="preserve">Article 18.15 - Final Technical Report and Confidence Classification</w:t>
      </w:r>
      <w:r>
        <w:tab/>
      </w:r>
      <w:r>
        <w:t>207</w:t>
      </w:r>
    </w:p>
    <w:p>
      <w:pPr>
        <w:pStyle w:val="TOC2"/>
      </w:pPr>
      <w:r>
        <w:t xml:space="preserve">Article 18.16 - Effect, Routing, and Subsequent Legal Use</w:t>
      </w:r>
      <w:r>
        <w:tab/>
      </w:r>
      <w:r>
        <w:t>207</w:t>
      </w:r>
    </w:p>
    <w:p>
      <w:pPr>
        <w:pStyle w:val="TOC2"/>
      </w:pPr>
      <w:r>
        <w:t xml:space="preserve">Article 18.17 - Reconsideration, New Evidence, and No Epistemic Ratchet</w:t>
      </w:r>
      <w:r>
        <w:tab/>
      </w:r>
      <w:r>
        <w:t>208</w:t>
      </w:r>
    </w:p>
    <w:p>
      <w:pPr>
        <w:pStyle w:val="TOC2"/>
      </w:pPr>
      <w:r>
        <w:t xml:space="preserve">Article 18.18 - Final Jurisdictional and Cross-Chapter Safeguards</w:t>
      </w:r>
      <w:r>
        <w:tab/>
      </w:r>
      <w:r>
        <w:t>209</w:t>
      </w:r>
    </w:p>
    <w:p>
      <w:pPr>
        <w:pStyle w:val="TOC1"/>
      </w:pPr>
      <w:r>
        <w:t xml:space="preserve">Chapter 19 - Transition Safeguards and Emergency Measures</w:t>
      </w:r>
      <w:r>
        <w:tab/>
      </w:r>
      <w:r>
        <w:t>210</w:t>
      </w:r>
    </w:p>
    <w:p>
      <w:pPr>
        <w:pStyle w:val="TOC2"/>
      </w:pPr>
      <w:r>
        <w:t xml:space="preserve">Article 19.1 - Purpose, Scope, and Safeguard Character</w:t>
      </w:r>
      <w:r>
        <w:tab/>
      </w:r>
      <w:r>
        <w:t>210</w:t>
      </w:r>
    </w:p>
    <w:p>
      <w:pPr>
        <w:pStyle w:val="TOC2"/>
      </w:pPr>
      <w:r>
        <w:t xml:space="preserve">Article 19.2 - Exclusive Grounds and Thresholds</w:t>
      </w:r>
      <w:r>
        <w:tab/>
      </w:r>
      <w:r>
        <w:t>210</w:t>
      </w:r>
    </w:p>
    <w:p>
      <w:pPr>
        <w:pStyle w:val="TOC2"/>
      </w:pPr>
      <w:r>
        <w:t xml:space="preserve">Article 19.3 - Causation and Attribution</w:t>
      </w:r>
      <w:r>
        <w:tab/>
      </w:r>
      <w:r>
        <w:t>211</w:t>
      </w:r>
    </w:p>
    <w:p>
      <w:pPr>
        <w:pStyle w:val="TOC2"/>
      </w:pPr>
      <w:r>
        <w:t xml:space="preserve">Article 19.4 - Evidence, Burden, and Determination Standard</w:t>
      </w:r>
      <w:r>
        <w:tab/>
      </w:r>
      <w:r>
        <w:t>212</w:t>
      </w:r>
    </w:p>
    <w:p>
      <w:pPr>
        <w:pStyle w:val="TOC2"/>
      </w:pPr>
      <w:r>
        <w:t xml:space="preserve">Article 19.5 - Ordinary Transition Safeguard Procedure</w:t>
      </w:r>
      <w:r>
        <w:tab/>
      </w:r>
      <w:r>
        <w:t>213</w:t>
      </w:r>
    </w:p>
    <w:p>
      <w:pPr>
        <w:pStyle w:val="TOC2"/>
      </w:pPr>
      <w:r>
        <w:t xml:space="preserve">Article 19.6 - Emergency Provisional Action</w:t>
      </w:r>
      <w:r>
        <w:tab/>
      </w:r>
      <w:r>
        <w:t>213</w:t>
      </w:r>
    </w:p>
    <w:p>
      <w:pPr>
        <w:pStyle w:val="TOC2"/>
      </w:pPr>
      <w:r>
        <w:t xml:space="preserve">Article 19.7 - Product, Geographic, and Measure Specificity</w:t>
      </w:r>
      <w:r>
        <w:tab/>
      </w:r>
      <w:r>
        <w:t>214</w:t>
      </w:r>
    </w:p>
    <w:p>
      <w:pPr>
        <w:pStyle w:val="TOC2"/>
      </w:pPr>
      <w:r>
        <w:t xml:space="preserve">Article 19.8 - Minimum Necessary Adjustment and Alternatives</w:t>
      </w:r>
      <w:r>
        <w:tab/>
      </w:r>
      <w:r>
        <w:t>215</w:t>
      </w:r>
    </w:p>
    <w:p>
      <w:pPr>
        <w:pStyle w:val="TOC2"/>
      </w:pPr>
      <w:r>
        <w:t xml:space="preserve">Article 19.9 - Duration and Hard Expiry</w:t>
      </w:r>
      <w:r>
        <w:tab/>
      </w:r>
      <w:r>
        <w:t>216</w:t>
      </w:r>
    </w:p>
    <w:p>
      <w:pPr>
        <w:pStyle w:val="TOC2"/>
      </w:pPr>
      <w:r>
        <w:t xml:space="preserve">Article 19.10 - Renewal and Successive Measures</w:t>
      </w:r>
      <w:r>
        <w:tab/>
      </w:r>
      <w:r>
        <w:t>216</w:t>
      </w:r>
    </w:p>
    <w:p>
      <w:pPr>
        <w:pStyle w:val="TOC2"/>
      </w:pPr>
      <w:r>
        <w:t xml:space="preserve">Article 19.11 - Progressive Relaxation and Adjustment Monitoring</w:t>
      </w:r>
      <w:r>
        <w:tab/>
      </w:r>
      <w:r>
        <w:t>217</w:t>
      </w:r>
    </w:p>
    <w:p>
      <w:pPr>
        <w:pStyle w:val="TOC2"/>
      </w:pPr>
      <w:r>
        <w:t xml:space="preserve">Article 19.12 - Protected Rights and Temporary Overlay</w:t>
      </w:r>
      <w:r>
        <w:tab/>
      </w:r>
      <w:r>
        <w:t>218</w:t>
      </w:r>
    </w:p>
    <w:p>
      <w:pPr>
        <w:pStyle w:val="TOC2"/>
      </w:pPr>
      <w:r>
        <w:t xml:space="preserve">Article 19.13 - Sensitive-Sector and Vesting Interface</w:t>
      </w:r>
      <w:r>
        <w:tab/>
      </w:r>
      <w:r>
        <w:t>218</w:t>
      </w:r>
    </w:p>
    <w:p>
      <w:pPr>
        <w:pStyle w:val="TOC2"/>
      </w:pPr>
      <w:r>
        <w:t xml:space="preserve">Article 19.14 - Food Security and Continuity Interface</w:t>
      </w:r>
      <w:r>
        <w:tab/>
      </w:r>
      <w:r>
        <w:t>219</w:t>
      </w:r>
    </w:p>
    <w:p>
      <w:pPr>
        <w:pStyle w:val="TOC2"/>
      </w:pPr>
      <w:r>
        <w:t xml:space="preserve">Article 19.15 - SPS, Biosecurity, Fraud, and Circumvention Interfaces</w:t>
      </w:r>
      <w:r>
        <w:tab/>
      </w:r>
      <w:r>
        <w:t>220</w:t>
      </w:r>
    </w:p>
    <w:p>
      <w:pPr>
        <w:pStyle w:val="TOC2"/>
      </w:pPr>
      <w:r>
        <w:t xml:space="preserve">Article 19.16 - ALVS and Independent Technical Review Interface</w:t>
      </w:r>
      <w:r>
        <w:tab/>
      </w:r>
      <w:r>
        <w:t>220</w:t>
      </w:r>
    </w:p>
    <w:p>
      <w:pPr>
        <w:pStyle w:val="TOC2"/>
      </w:pPr>
      <w:r>
        <w:t xml:space="preserve">Article 19.17 - Transparency, Monitoring, and Safeguard Register</w:t>
      </w:r>
      <w:r>
        <w:tab/>
      </w:r>
      <w:r>
        <w:t>221</w:t>
      </w:r>
    </w:p>
    <w:p>
      <w:pPr>
        <w:pStyle w:val="TOC2"/>
      </w:pPr>
      <w:r>
        <w:t xml:space="preserve">Article 19.18 - Restoration and Anti-Ratchet Rule</w:t>
      </w:r>
      <w:r>
        <w:tab/>
      </w:r>
      <w:r>
        <w:t>222</w:t>
      </w:r>
    </w:p>
    <w:p>
      <w:pPr>
        <w:pStyle w:val="TOC2"/>
      </w:pPr>
      <w:r>
        <w:t xml:space="preserve">Article 19.19 - Abuse Prevention and Anti-Circumvention</w:t>
      </w:r>
      <w:r>
        <w:tab/>
      </w:r>
      <w:r>
        <w:t>222</w:t>
      </w:r>
    </w:p>
    <w:p>
      <w:pPr>
        <w:pStyle w:val="TOC2"/>
      </w:pPr>
      <w:r>
        <w:t xml:space="preserve">Article 19.20 - Cure, Dispute Settlement, Finality, and Final Safeguards</w:t>
      </w:r>
      <w:r>
        <w:tab/>
      </w:r>
      <w:r>
        <w:t>223</w:t>
      </w:r>
    </w:p>
    <w:p>
      <w:pPr>
        <w:pStyle w:val="TOC1"/>
      </w:pPr>
      <w:r>
        <w:t xml:space="preserve">Chapter 20 - Food Security, Shortage, and Continuity</w:t>
      </w:r>
      <w:r>
        <w:tab/>
      </w:r>
      <w:r>
        <w:t>225</w:t>
      </w:r>
    </w:p>
    <w:p>
      <w:pPr>
        <w:pStyle w:val="TOC2"/>
      </w:pPr>
      <w:r>
        <w:t xml:space="preserve">Article 20.1 - Purpose, Scope, and Continuity Principle</w:t>
      </w:r>
      <w:r>
        <w:tab/>
      </w:r>
      <w:r>
        <w:t>225</w:t>
      </w:r>
    </w:p>
    <w:p>
      <w:pPr>
        <w:pStyle w:val="TOC2"/>
      </w:pPr>
      <w:r>
        <w:t xml:space="preserve">Article 20.2 - Food-Security Sovereignty</w:t>
      </w:r>
      <w:r>
        <w:tab/>
      </w:r>
      <w:r>
        <w:t>225</w:t>
      </w:r>
    </w:p>
    <w:p>
      <w:pPr>
        <w:pStyle w:val="TOC2"/>
      </w:pPr>
      <w:r>
        <w:t xml:space="preserve">Article 20.3 - Qualifying Food-Security Event</w:t>
      </w:r>
      <w:r>
        <w:tab/>
      </w:r>
      <w:r>
        <w:t>226</w:t>
      </w:r>
    </w:p>
    <w:p>
      <w:pPr>
        <w:pStyle w:val="TOC2"/>
      </w:pPr>
      <w:r>
        <w:t xml:space="preserve">Article 20.4 - Objective Shortage Determination</w:t>
      </w:r>
      <w:r>
        <w:tab/>
      </w:r>
      <w:r>
        <w:t>227</w:t>
      </w:r>
    </w:p>
    <w:p>
      <w:pPr>
        <w:pStyle w:val="TOC2"/>
      </w:pPr>
      <w:r>
        <w:t xml:space="preserve">Article 20.5 - Imminent-Shortage Standard</w:t>
      </w:r>
      <w:r>
        <w:tab/>
      </w:r>
      <w:r>
        <w:t>228</w:t>
      </w:r>
    </w:p>
    <w:p>
      <w:pPr>
        <w:pStyle w:val="TOC2"/>
      </w:pPr>
      <w:r>
        <w:t xml:space="preserve">Article 20.6 - Early Warning and Shared Situational Awareness</w:t>
      </w:r>
      <w:r>
        <w:tab/>
      </w:r>
      <w:r>
        <w:t>229</w:t>
      </w:r>
    </w:p>
    <w:p>
      <w:pPr>
        <w:pStyle w:val="TOC2"/>
      </w:pPr>
      <w:r>
        <w:t xml:space="preserve">Article 20.7 - Emergency Notification and Consultation</w:t>
      </w:r>
      <w:r>
        <w:tab/>
      </w:r>
      <w:r>
        <w:t>229</w:t>
      </w:r>
    </w:p>
    <w:p>
      <w:pPr>
        <w:pStyle w:val="TOC2"/>
      </w:pPr>
      <w:r>
        <w:t xml:space="preserve">Article 20.8 - Continuity of Cross-Border Trade</w:t>
      </w:r>
      <w:r>
        <w:tab/>
      </w:r>
      <w:r>
        <w:t>230</w:t>
      </w:r>
    </w:p>
    <w:p>
      <w:pPr>
        <w:pStyle w:val="TOC2"/>
      </w:pPr>
      <w:r>
        <w:t xml:space="preserve">Article 20.9 - Essential Agricultural Inputs</w:t>
      </w:r>
      <w:r>
        <w:tab/>
      </w:r>
      <w:r>
        <w:t>231</w:t>
      </w:r>
    </w:p>
    <w:p>
      <w:pPr>
        <w:pStyle w:val="TOC2"/>
      </w:pPr>
      <w:r>
        <w:t xml:space="preserve">Article 20.10 - Transportation and Logistics Continuity</w:t>
      </w:r>
      <w:r>
        <w:tab/>
      </w:r>
      <w:r>
        <w:t>232</w:t>
      </w:r>
    </w:p>
    <w:p>
      <w:pPr>
        <w:pStyle w:val="TOC2"/>
      </w:pPr>
      <w:r>
        <w:t xml:space="preserve">Article 20.11 - Emergency Procurement</w:t>
      </w:r>
      <w:r>
        <w:tab/>
      </w:r>
      <w:r>
        <w:t>232</w:t>
      </w:r>
    </w:p>
    <w:p>
      <w:pPr>
        <w:pStyle w:val="TOC2"/>
      </w:pPr>
      <w:r>
        <w:t xml:space="preserve">Article 20.12 - Strategic Food Reserves</w:t>
      </w:r>
      <w:r>
        <w:tab/>
      </w:r>
      <w:r>
        <w:t>233</w:t>
      </w:r>
    </w:p>
    <w:p>
      <w:pPr>
        <w:pStyle w:val="TOC2"/>
      </w:pPr>
      <w:r>
        <w:t xml:space="preserve">Article 20.13 - Voluntary Mutual Assistance</w:t>
      </w:r>
      <w:r>
        <w:tab/>
      </w:r>
      <w:r>
        <w:t>234</w:t>
      </w:r>
    </w:p>
    <w:p>
      <w:pPr>
        <w:pStyle w:val="TOC2"/>
      </w:pPr>
      <w:r>
        <w:t xml:space="preserve">Article 20.14 - Export Measures During Shortage</w:t>
      </w:r>
      <w:r>
        <w:tab/>
      </w:r>
      <w:r>
        <w:t>235</w:t>
      </w:r>
    </w:p>
    <w:p>
      <w:pPr>
        <w:pStyle w:val="TOC2"/>
      </w:pPr>
      <w:r>
        <w:t xml:space="preserve">Article 20.15 - Anti-Hoarding and Administrative Anti-Diversion Measures</w:t>
      </w:r>
      <w:r>
        <w:tab/>
      </w:r>
      <w:r>
        <w:t>236</w:t>
      </w:r>
    </w:p>
    <w:p>
      <w:pPr>
        <w:pStyle w:val="TOC2"/>
      </w:pPr>
      <w:r>
        <w:t xml:space="preserve">Article 20.16 - Vulnerable Populations and Humanitarian Continuity</w:t>
      </w:r>
      <w:r>
        <w:tab/>
      </w:r>
      <w:r>
        <w:t>236</w:t>
      </w:r>
    </w:p>
    <w:p>
      <w:pPr>
        <w:pStyle w:val="TOC2"/>
      </w:pPr>
      <w:r>
        <w:t xml:space="preserve">Article 20.17 - SPS and Emergency Safety Interface</w:t>
      </w:r>
      <w:r>
        <w:tab/>
      </w:r>
      <w:r>
        <w:t>237</w:t>
      </w:r>
    </w:p>
    <w:p>
      <w:pPr>
        <w:pStyle w:val="TOC2"/>
      </w:pPr>
      <w:r>
        <w:t xml:space="preserve">Article 20.18 - Chapters 17-19 Interface</w:t>
      </w:r>
      <w:r>
        <w:tab/>
      </w:r>
      <w:r>
        <w:t>238</w:t>
      </w:r>
    </w:p>
    <w:p>
      <w:pPr>
        <w:pStyle w:val="TOC2"/>
      </w:pPr>
      <w:r>
        <w:t xml:space="preserve">Article 20.19 - Restoration, Exit, and Anti-Ratchet</w:t>
      </w:r>
      <w:r>
        <w:tab/>
      </w:r>
      <w:r>
        <w:t>238</w:t>
      </w:r>
    </w:p>
    <w:p>
      <w:pPr>
        <w:pStyle w:val="TOC2"/>
      </w:pPr>
      <w:r>
        <w:t xml:space="preserve">Article 20.20 - Abuse Prevention, Review, and Chapters 25-26 Interface</w:t>
      </w:r>
      <w:r>
        <w:tab/>
      </w:r>
      <w:r>
        <w:t>239</w:t>
      </w:r>
    </w:p>
    <w:p>
      <w:pPr>
        <w:pStyle w:val="TOC1"/>
      </w:pPr>
      <w:r>
        <w:t xml:space="preserve">Chapter 21 - Domestic Producer Adjustment and Policy Space</w:t>
      </w:r>
      <w:r>
        <w:tab/>
      </w:r>
      <w:r>
        <w:t>241</w:t>
      </w:r>
    </w:p>
    <w:p>
      <w:pPr>
        <w:pStyle w:val="TOC2"/>
      </w:pPr>
      <w:r>
        <w:t xml:space="preserve">Article 21.1 - Purpose, Scope, and Adjustment Principle</w:t>
      </w:r>
      <w:r>
        <w:tab/>
      </w:r>
      <w:r>
        <w:t>241</w:t>
      </w:r>
    </w:p>
    <w:p>
      <w:pPr>
        <w:pStyle w:val="TOC2"/>
      </w:pPr>
      <w:r>
        <w:t xml:space="preserve">Article 21.2 - Domestic Policy Space</w:t>
      </w:r>
      <w:r>
        <w:tab/>
      </w:r>
      <w:r>
        <w:t>241</w:t>
      </w:r>
    </w:p>
    <w:p>
      <w:pPr>
        <w:pStyle w:val="TOC2"/>
      </w:pPr>
      <w:r>
        <w:t xml:space="preserve">Article 21.3 - Adjustment Eligibility</w:t>
      </w:r>
      <w:r>
        <w:tab/>
      </w:r>
      <w:r>
        <w:t>242</w:t>
      </w:r>
    </w:p>
    <w:p>
      <w:pPr>
        <w:pStyle w:val="TOC2"/>
      </w:pPr>
      <w:r>
        <w:t xml:space="preserve">Article 21.4 - Causal Connection and Non-Attribution</w:t>
      </w:r>
      <w:r>
        <w:tab/>
      </w:r>
      <w:r>
        <w:t>243</w:t>
      </w:r>
    </w:p>
    <w:p>
      <w:pPr>
        <w:pStyle w:val="TOC2"/>
      </w:pPr>
      <w:r>
        <w:t xml:space="preserve">Article 21.5 - Forms of Permitted Adjustment Assistance</w:t>
      </w:r>
      <w:r>
        <w:tab/>
      </w:r>
      <w:r>
        <w:t>244</w:t>
      </w:r>
    </w:p>
    <w:p>
      <w:pPr>
        <w:pStyle w:val="TOC2"/>
      </w:pPr>
      <w:r>
        <w:t xml:space="preserve">Article 21.6 - Producer Modernization and Productivity</w:t>
      </w:r>
      <w:r>
        <w:tab/>
      </w:r>
      <w:r>
        <w:t>244</w:t>
      </w:r>
    </w:p>
    <w:p>
      <w:pPr>
        <w:pStyle w:val="TOC2"/>
      </w:pPr>
      <w:r>
        <w:t xml:space="preserve">Article 21.7 - Worker Adjustment</w:t>
      </w:r>
      <w:r>
        <w:tab/>
      </w:r>
      <w:r>
        <w:t>245</w:t>
      </w:r>
    </w:p>
    <w:p>
      <w:pPr>
        <w:pStyle w:val="TOC2"/>
      </w:pPr>
      <w:r>
        <w:t xml:space="preserve">Article 21.8 - Rural and Regional Adjustment</w:t>
      </w:r>
      <w:r>
        <w:tab/>
      </w:r>
      <w:r>
        <w:t>246</w:t>
      </w:r>
    </w:p>
    <w:p>
      <w:pPr>
        <w:pStyle w:val="TOC2"/>
      </w:pPr>
      <w:r>
        <w:t xml:space="preserve">Article 21.9 - Supply-Managed Sector Adjustment</w:t>
      </w:r>
      <w:r>
        <w:tab/>
      </w:r>
      <w:r>
        <w:t>247</w:t>
      </w:r>
    </w:p>
    <w:p>
      <w:pPr>
        <w:pStyle w:val="TOC2"/>
      </w:pPr>
      <w:r>
        <w:t xml:space="preserve">Article 21.10 - Processor and Supply-Chain Adjustment</w:t>
      </w:r>
      <w:r>
        <w:tab/>
      </w:r>
      <w:r>
        <w:t>247</w:t>
      </w:r>
    </w:p>
    <w:p>
      <w:pPr>
        <w:pStyle w:val="TOC2"/>
      </w:pPr>
      <w:r>
        <w:t xml:space="preserve">Article 21.11 - Small and Medium-Sized Producers</w:t>
      </w:r>
      <w:r>
        <w:tab/>
      </w:r>
      <w:r>
        <w:t>248</w:t>
      </w:r>
    </w:p>
    <w:p>
      <w:pPr>
        <w:pStyle w:val="TOC2"/>
      </w:pPr>
      <w:r>
        <w:t xml:space="preserve">Article 21.12 - New Entrants and Young Producers</w:t>
      </w:r>
      <w:r>
        <w:tab/>
      </w:r>
      <w:r>
        <w:t>249</w:t>
      </w:r>
    </w:p>
    <w:p>
      <w:pPr>
        <w:pStyle w:val="TOC2"/>
      </w:pPr>
      <w:r>
        <w:t xml:space="preserve">Article 21.13 - Temporary and Structural Assistance</w:t>
      </w:r>
      <w:r>
        <w:tab/>
      </w:r>
      <w:r>
        <w:t>249</w:t>
      </w:r>
    </w:p>
    <w:p>
      <w:pPr>
        <w:pStyle w:val="TOC2"/>
      </w:pPr>
      <w:r>
        <w:t xml:space="preserve">Article 21.14 - Functional Nullification and Decoupling</w:t>
      </w:r>
      <w:r>
        <w:tab/>
      </w:r>
      <w:r>
        <w:t>250</w:t>
      </w:r>
    </w:p>
    <w:p>
      <w:pPr>
        <w:pStyle w:val="TOC2"/>
      </w:pPr>
      <w:r>
        <w:t xml:space="preserve">Article 21.15 - Production, Sourcing, and Local-Content Conditions</w:t>
      </w:r>
      <w:r>
        <w:tab/>
      </w:r>
      <w:r>
        <w:t>251</w:t>
      </w:r>
    </w:p>
    <w:p>
      <w:pPr>
        <w:pStyle w:val="TOC2"/>
      </w:pPr>
      <w:r>
        <w:t xml:space="preserve">Article 21.16 - Transparency and Program Identification</w:t>
      </w:r>
      <w:r>
        <w:tab/>
      </w:r>
      <w:r>
        <w:t>252</w:t>
      </w:r>
    </w:p>
    <w:p>
      <w:pPr>
        <w:pStyle w:val="TOC2"/>
      </w:pPr>
      <w:r>
        <w:t xml:space="preserve">Article 21.17 - Confidentiality and Individual Producer Information</w:t>
      </w:r>
      <w:r>
        <w:tab/>
      </w:r>
      <w:r>
        <w:t>253</w:t>
      </w:r>
    </w:p>
    <w:p>
      <w:pPr>
        <w:pStyle w:val="TOC2"/>
      </w:pPr>
      <w:r>
        <w:t xml:space="preserve">Article 21.18 - Interface with Chapters 17 through 20</w:t>
      </w:r>
      <w:r>
        <w:tab/>
      </w:r>
      <w:r>
        <w:t>253</w:t>
      </w:r>
    </w:p>
    <w:p>
      <w:pPr>
        <w:pStyle w:val="TOC2"/>
      </w:pPr>
      <w:r>
        <w:t xml:space="preserve">Article 21.19 - No Vested Right to Adjustment Assistance</w:t>
      </w:r>
      <w:r>
        <w:tab/>
      </w:r>
      <w:r>
        <w:t>254</w:t>
      </w:r>
    </w:p>
    <w:p>
      <w:pPr>
        <w:pStyle w:val="TOC2"/>
      </w:pPr>
      <w:r>
        <w:t xml:space="preserve">Article 21.20 - Review, Anti-Circumvention, and Chapters 25-29 Interface</w:t>
      </w:r>
      <w:r>
        <w:tab/>
      </w:r>
      <w:r>
        <w:t>255</w:t>
      </w:r>
    </w:p>
    <w:p>
      <w:pPr>
        <w:pStyle w:val="TOC1"/>
      </w:pPr>
      <w:r>
        <w:t xml:space="preserve">Chapter 22 - Transparency, Data, and Shared Registry</w:t>
      </w:r>
      <w:r>
        <w:tab/>
      </w:r>
      <w:r>
        <w:t>257</w:t>
      </w:r>
    </w:p>
    <w:p>
      <w:pPr>
        <w:pStyle w:val="TOC2"/>
      </w:pPr>
      <w:r>
        <w:t xml:space="preserve">Article 22.1 - Purpose, Scope, and Data Principle</w:t>
      </w:r>
      <w:r>
        <w:tab/>
      </w:r>
      <w:r>
        <w:t>257</w:t>
      </w:r>
    </w:p>
    <w:p>
      <w:pPr>
        <w:pStyle w:val="TOC2"/>
      </w:pPr>
      <w:r>
        <w:t xml:space="preserve">Article 22.2 - Covered Information and Data Categories</w:t>
      </w:r>
      <w:r>
        <w:tab/>
      </w:r>
      <w:r>
        <w:t>257</w:t>
      </w:r>
    </w:p>
    <w:p>
      <w:pPr>
        <w:pStyle w:val="TOC2"/>
      </w:pPr>
      <w:r>
        <w:t xml:space="preserve">Article 22.3 - Shared Registry Architecture</w:t>
      </w:r>
      <w:r>
        <w:tab/>
      </w:r>
      <w:r>
        <w:t>258</w:t>
      </w:r>
    </w:p>
    <w:p>
      <w:pPr>
        <w:pStyle w:val="TOC2"/>
      </w:pPr>
      <w:r>
        <w:t xml:space="preserve">Article 22.4 - Product Record ID Integration</w:t>
      </w:r>
      <w:r>
        <w:tab/>
      </w:r>
      <w:r>
        <w:t>259</w:t>
      </w:r>
    </w:p>
    <w:p>
      <w:pPr>
        <w:pStyle w:val="TOC2"/>
      </w:pPr>
      <w:r>
        <w:t xml:space="preserve">Article 22.5 - Authoritative Source and Provenance</w:t>
      </w:r>
      <w:r>
        <w:tab/>
      </w:r>
      <w:r>
        <w:t>260</w:t>
      </w:r>
    </w:p>
    <w:p>
      <w:pPr>
        <w:pStyle w:val="TOC2"/>
      </w:pPr>
      <w:r>
        <w:t xml:space="preserve">Article 22.6 - One Fact Remains One Fact</w:t>
      </w:r>
      <w:r>
        <w:tab/>
      </w:r>
      <w:r>
        <w:t>261</w:t>
      </w:r>
    </w:p>
    <w:p>
      <w:pPr>
        <w:pStyle w:val="TOC2"/>
      </w:pPr>
      <w:r>
        <w:t xml:space="preserve">Article 22.7 - Legal Status of Registry Entries</w:t>
      </w:r>
      <w:r>
        <w:tab/>
      </w:r>
      <w:r>
        <w:t>261</w:t>
      </w:r>
    </w:p>
    <w:p>
      <w:pPr>
        <w:pStyle w:val="TOC2"/>
      </w:pPr>
      <w:r>
        <w:t xml:space="preserve">Article 22.8 - Publication and Notification</w:t>
      </w:r>
      <w:r>
        <w:tab/>
      </w:r>
      <w:r>
        <w:t>262</w:t>
      </w:r>
    </w:p>
    <w:p>
      <w:pPr>
        <w:pStyle w:val="TOC2"/>
      </w:pPr>
      <w:r>
        <w:t xml:space="preserve">Article 22.9 - Corrections and Version Control</w:t>
      </w:r>
      <w:r>
        <w:tab/>
      </w:r>
      <w:r>
        <w:t>263</w:t>
      </w:r>
    </w:p>
    <w:p>
      <w:pPr>
        <w:pStyle w:val="TOC2"/>
      </w:pPr>
      <w:r>
        <w:t xml:space="preserve">Article 22.10 - Conflicting Records and Source Hierarchy</w:t>
      </w:r>
      <w:r>
        <w:tab/>
      </w:r>
      <w:r>
        <w:t>264</w:t>
      </w:r>
    </w:p>
    <w:p>
      <w:pPr>
        <w:pStyle w:val="TOC2"/>
      </w:pPr>
      <w:r>
        <w:t xml:space="preserve">Article 22.11 - Data Quality and Validation</w:t>
      </w:r>
      <w:r>
        <w:tab/>
      </w:r>
      <w:r>
        <w:t>264</w:t>
      </w:r>
    </w:p>
    <w:p>
      <w:pPr>
        <w:pStyle w:val="TOC2"/>
      </w:pPr>
      <w:r>
        <w:t xml:space="preserve">Article 22.12 - Machine-Readable Data and Interoperability</w:t>
      </w:r>
      <w:r>
        <w:tab/>
      </w:r>
      <w:r>
        <w:t>265</w:t>
      </w:r>
    </w:p>
    <w:p>
      <w:pPr>
        <w:pStyle w:val="TOC2"/>
      </w:pPr>
      <w:r>
        <w:t xml:space="preserve">Article 22.13 - Administrative Simplicity and Reuse</w:t>
      </w:r>
      <w:r>
        <w:tab/>
      </w:r>
      <w:r>
        <w:t>266</w:t>
      </w:r>
    </w:p>
    <w:p>
      <w:pPr>
        <w:pStyle w:val="TOC2"/>
      </w:pPr>
      <w:r>
        <w:t xml:space="preserve">Article 22.14 - Confidential Business Information</w:t>
      </w:r>
      <w:r>
        <w:tab/>
      </w:r>
      <w:r>
        <w:t>267</w:t>
      </w:r>
    </w:p>
    <w:p>
      <w:pPr>
        <w:pStyle w:val="TOC2"/>
      </w:pPr>
      <w:r>
        <w:t xml:space="preserve">Article 22.15 - Personal Information and Data Minimization</w:t>
      </w:r>
      <w:r>
        <w:tab/>
      </w:r>
      <w:r>
        <w:t>267</w:t>
      </w:r>
    </w:p>
    <w:p>
      <w:pPr>
        <w:pStyle w:val="TOC2"/>
      </w:pPr>
      <w:r>
        <w:t xml:space="preserve">Article 22.16 - Cybersecurity, Access Control, and Integrity</w:t>
      </w:r>
      <w:r>
        <w:tab/>
      </w:r>
      <w:r>
        <w:t>268</w:t>
      </w:r>
    </w:p>
    <w:p>
      <w:pPr>
        <w:pStyle w:val="TOC2"/>
      </w:pPr>
      <w:r>
        <w:t xml:space="preserve">Article 22.17 - ALVS Interface</w:t>
      </w:r>
      <w:r>
        <w:tab/>
      </w:r>
      <w:r>
        <w:t>269</w:t>
      </w:r>
    </w:p>
    <w:p>
      <w:pPr>
        <w:pStyle w:val="TOC2"/>
      </w:pPr>
      <w:r>
        <w:t xml:space="preserve">Article 22.18 - Technical Review and Evidentiary Interface</w:t>
      </w:r>
      <w:r>
        <w:tab/>
      </w:r>
      <w:r>
        <w:t>270</w:t>
      </w:r>
    </w:p>
    <w:p>
      <w:pPr>
        <w:pStyle w:val="TOC2"/>
      </w:pPr>
      <w:r>
        <w:t xml:space="preserve">Article 22.19 - Correction, Outage, and Continuity</w:t>
      </w:r>
      <w:r>
        <w:tab/>
      </w:r>
      <w:r>
        <w:t>270</w:t>
      </w:r>
    </w:p>
    <w:p>
      <w:pPr>
        <w:pStyle w:val="TOC2"/>
      </w:pPr>
      <w:r>
        <w:t xml:space="preserve">Article 22.20 - Anti-Gaming, Cure, Review, and Jurisdictional Finality</w:t>
      </w:r>
      <w:r>
        <w:tab/>
      </w:r>
      <w:r>
        <w:t>271</w:t>
      </w:r>
    </w:p>
    <w:p>
      <w:pPr>
        <w:pStyle w:val="TOC1"/>
      </w:pPr>
      <w:r>
        <w:t xml:space="preserve">Chapter 23 - Stakeholder, Producer, Processor, and SME Access</w:t>
      </w:r>
      <w:r>
        <w:tab/>
      </w:r>
      <w:r>
        <w:t>273</w:t>
      </w:r>
    </w:p>
    <w:p>
      <w:pPr>
        <w:pStyle w:val="TOC2"/>
      </w:pPr>
      <w:r>
        <w:t xml:space="preserve">Article 23.1 - Purpose, Scope, and Access Principle</w:t>
      </w:r>
      <w:r>
        <w:tab/>
      </w:r>
      <w:r>
        <w:t>273</w:t>
      </w:r>
    </w:p>
    <w:p>
      <w:pPr>
        <w:pStyle w:val="TOC2"/>
      </w:pPr>
      <w:r>
        <w:t xml:space="preserve">Article 23.2 - Eligible Participants and Functional Standing</w:t>
      </w:r>
      <w:r>
        <w:tab/>
      </w:r>
      <w:r>
        <w:t>274</w:t>
      </w:r>
    </w:p>
    <w:p>
      <w:pPr>
        <w:pStyle w:val="TOC2"/>
      </w:pPr>
      <w:r>
        <w:t xml:space="preserve">Article 23.3 - SME and Small-Producer Accessibility</w:t>
      </w:r>
      <w:r>
        <w:tab/>
      </w:r>
      <w:r>
        <w:t>274</w:t>
      </w:r>
    </w:p>
    <w:p>
      <w:pPr>
        <w:pStyle w:val="TOC2"/>
      </w:pPr>
      <w:r>
        <w:t xml:space="preserve">Article 23.4 - Single-Entry Administrative Access</w:t>
      </w:r>
      <w:r>
        <w:tab/>
      </w:r>
      <w:r>
        <w:t>275</w:t>
      </w:r>
    </w:p>
    <w:p>
      <w:pPr>
        <w:pStyle w:val="TOC2"/>
      </w:pPr>
      <w:r>
        <w:t xml:space="preserve">Article 23.5 - Submission and Petition Requirements</w:t>
      </w:r>
      <w:r>
        <w:tab/>
      </w:r>
      <w:r>
        <w:t>276</w:t>
      </w:r>
    </w:p>
    <w:p>
      <w:pPr>
        <w:pStyle w:val="TOC2"/>
      </w:pPr>
      <w:r>
        <w:t xml:space="preserve">Article 23.6 - Completeness Review and Opportunity to Cure</w:t>
      </w:r>
      <w:r>
        <w:tab/>
      </w:r>
      <w:r>
        <w:t>277</w:t>
      </w:r>
    </w:p>
    <w:p>
      <w:pPr>
        <w:pStyle w:val="TOC2"/>
      </w:pPr>
      <w:r>
        <w:t xml:space="preserve">Article 23.7 - Acknowledgment, Tracking, and Status Visibility</w:t>
      </w:r>
      <w:r>
        <w:tab/>
      </w:r>
      <w:r>
        <w:t>278</w:t>
      </w:r>
    </w:p>
    <w:p>
      <w:pPr>
        <w:pStyle w:val="TOC2"/>
      </w:pPr>
      <w:r>
        <w:t xml:space="preserve">Article 23.8 - Routing and Interagency Coordination</w:t>
      </w:r>
      <w:r>
        <w:tab/>
      </w:r>
      <w:r>
        <w:t>278</w:t>
      </w:r>
    </w:p>
    <w:p>
      <w:pPr>
        <w:pStyle w:val="TOC2"/>
      </w:pPr>
      <w:r>
        <w:t xml:space="preserve">Article 23.9 - Registry and Chapter 22 Interface</w:t>
      </w:r>
      <w:r>
        <w:tab/>
      </w:r>
      <w:r>
        <w:t>279</w:t>
      </w:r>
    </w:p>
    <w:p>
      <w:pPr>
        <w:pStyle w:val="TOC2"/>
      </w:pPr>
      <w:r>
        <w:t xml:space="preserve">Article 23.10 - Evidence and Supporting Information</w:t>
      </w:r>
      <w:r>
        <w:tab/>
      </w:r>
      <w:r>
        <w:t>280</w:t>
      </w:r>
    </w:p>
    <w:p>
      <w:pPr>
        <w:pStyle w:val="TOC2"/>
      </w:pPr>
      <w:r>
        <w:t xml:space="preserve">Article 23.11 - Confidential and Sensitive Submissions</w:t>
      </w:r>
      <w:r>
        <w:tab/>
      </w:r>
      <w:r>
        <w:t>280</w:t>
      </w:r>
    </w:p>
    <w:p>
      <w:pPr>
        <w:pStyle w:val="TOC2"/>
      </w:pPr>
      <w:r>
        <w:t xml:space="preserve">Article 23.12 - Producer and Processor Participation</w:t>
      </w:r>
      <w:r>
        <w:tab/>
      </w:r>
      <w:r>
        <w:t>281</w:t>
      </w:r>
    </w:p>
    <w:p>
      <w:pPr>
        <w:pStyle w:val="TOC2"/>
      </w:pPr>
      <w:r>
        <w:t xml:space="preserve">Article 23.13 - Cooperative, Association, and Collective Participation</w:t>
      </w:r>
      <w:r>
        <w:tab/>
      </w:r>
      <w:r>
        <w:t>282</w:t>
      </w:r>
    </w:p>
    <w:p>
      <w:pPr>
        <w:pStyle w:val="TOC2"/>
      </w:pPr>
      <w:r>
        <w:t xml:space="preserve">Article 23.14 - SME Representation and Assistance</w:t>
      </w:r>
      <w:r>
        <w:tab/>
      </w:r>
      <w:r>
        <w:t>283</w:t>
      </w:r>
    </w:p>
    <w:p>
      <w:pPr>
        <w:pStyle w:val="TOC2"/>
      </w:pPr>
      <w:r>
        <w:t xml:space="preserve">Article 23.15 - Notice and Opportunity for Input</w:t>
      </w:r>
      <w:r>
        <w:tab/>
      </w:r>
      <w:r>
        <w:t>283</w:t>
      </w:r>
    </w:p>
    <w:p>
      <w:pPr>
        <w:pStyle w:val="TOC2"/>
      </w:pPr>
      <w:r>
        <w:t xml:space="preserve">Article 23.16 - Consultation and Technical Engagement</w:t>
      </w:r>
      <w:r>
        <w:tab/>
      </w:r>
      <w:r>
        <w:t>284</w:t>
      </w:r>
    </w:p>
    <w:p>
      <w:pPr>
        <w:pStyle w:val="TOC2"/>
      </w:pPr>
      <w:r>
        <w:t xml:space="preserve">Article 23.17 - Non-Retaliation and Protected Participation</w:t>
      </w:r>
      <w:r>
        <w:tab/>
      </w:r>
      <w:r>
        <w:t>285</w:t>
      </w:r>
    </w:p>
    <w:p>
      <w:pPr>
        <w:pStyle w:val="TOC2"/>
      </w:pPr>
      <w:r>
        <w:t xml:space="preserve">Article 23.18 - Accessibility, Language, and Practical Usability</w:t>
      </w:r>
      <w:r>
        <w:tab/>
      </w:r>
      <w:r>
        <w:t>286</w:t>
      </w:r>
    </w:p>
    <w:p>
      <w:pPr>
        <w:pStyle w:val="TOC2"/>
      </w:pPr>
      <w:r>
        <w:t xml:space="preserve">Article 23.19 - Anti-Gaming and Administrative Simplicity</w:t>
      </w:r>
      <w:r>
        <w:tab/>
      </w:r>
      <w:r>
        <w:t>286</w:t>
      </w:r>
    </w:p>
    <w:p>
      <w:pPr>
        <w:pStyle w:val="TOC2"/>
      </w:pPr>
      <w:r>
        <w:t xml:space="preserve">Article 23.20 - Cure, Review, and Jurisdictional Finality</w:t>
      </w:r>
      <w:r>
        <w:tab/>
      </w:r>
      <w:r>
        <w:t>287</w:t>
      </w:r>
    </w:p>
    <w:p>
      <w:pPr>
        <w:pStyle w:val="TOC1"/>
      </w:pPr>
      <w:r>
        <w:t xml:space="preserve">Chapter 24 - Institutional Administration</w:t>
      </w:r>
      <w:r>
        <w:tab/>
      </w:r>
      <w:r>
        <w:t>289</w:t>
      </w:r>
    </w:p>
    <w:p>
      <w:pPr>
        <w:pStyle w:val="TOC2"/>
      </w:pPr>
      <w:r>
        <w:t xml:space="preserve">Article 24.1 - Purpose, Scope, and Institutional Principle</w:t>
      </w:r>
      <w:r>
        <w:tab/>
      </w:r>
      <w:r>
        <w:t>289</w:t>
      </w:r>
    </w:p>
    <w:p>
      <w:pPr>
        <w:pStyle w:val="TOC2"/>
      </w:pPr>
      <w:r>
        <w:t xml:space="preserve">Article 24.2 - Party Competent Authorities</w:t>
      </w:r>
      <w:r>
        <w:tab/>
      </w:r>
      <w:r>
        <w:t>289</w:t>
      </w:r>
    </w:p>
    <w:p>
      <w:pPr>
        <w:pStyle w:val="TOC2"/>
      </w:pPr>
      <w:r>
        <w:t xml:space="preserve">Article 24.3 - NAAFTC Coordinating Officials</w:t>
      </w:r>
      <w:r>
        <w:tab/>
      </w:r>
      <w:r>
        <w:t>290</w:t>
      </w:r>
    </w:p>
    <w:p>
      <w:pPr>
        <w:pStyle w:val="TOC2"/>
      </w:pPr>
      <w:r>
        <w:t xml:space="preserve">Article 24.4 - Administrative Secretariat Function</w:t>
      </w:r>
      <w:r>
        <w:tab/>
      </w:r>
      <w:r>
        <w:t>290</w:t>
      </w:r>
    </w:p>
    <w:p>
      <w:pPr>
        <w:pStyle w:val="TOC2"/>
      </w:pPr>
      <w:r>
        <w:t xml:space="preserve">Article 24.5 - Distributed Administration and Subsidiarity</w:t>
      </w:r>
      <w:r>
        <w:tab/>
      </w:r>
      <w:r>
        <w:t>291</w:t>
      </w:r>
    </w:p>
    <w:p>
      <w:pPr>
        <w:pStyle w:val="TOC2"/>
      </w:pPr>
      <w:r>
        <w:t xml:space="preserve">Article 24.6 - Assignment of Functions and Authority Map</w:t>
      </w:r>
      <w:r>
        <w:tab/>
      </w:r>
      <w:r>
        <w:t>292</w:t>
      </w:r>
    </w:p>
    <w:p>
      <w:pPr>
        <w:pStyle w:val="TOC2"/>
      </w:pPr>
      <w:r>
        <w:t xml:space="preserve">Article 24.7 - Meetings and Administrative Sessions</w:t>
      </w:r>
      <w:r>
        <w:tab/>
      </w:r>
      <w:r>
        <w:t>292</w:t>
      </w:r>
    </w:p>
    <w:p>
      <w:pPr>
        <w:pStyle w:val="TOC2"/>
      </w:pPr>
      <w:r>
        <w:t xml:space="preserve">Article 24.8 - Decision Classification</w:t>
      </w:r>
      <w:r>
        <w:tab/>
      </w:r>
      <w:r>
        <w:t>293</w:t>
      </w:r>
    </w:p>
    <w:p>
      <w:pPr>
        <w:pStyle w:val="TOC2"/>
      </w:pPr>
      <w:r>
        <w:t xml:space="preserve">Article 24.9 - Administrative Decisions and Records</w:t>
      </w:r>
      <w:r>
        <w:tab/>
      </w:r>
      <w:r>
        <w:t>294</w:t>
      </w:r>
    </w:p>
    <w:p>
      <w:pPr>
        <w:pStyle w:val="TOC2"/>
      </w:pPr>
      <w:r>
        <w:t xml:space="preserve">Article 24.10 - Working Groups and Task-Specific Bodies</w:t>
      </w:r>
      <w:r>
        <w:tab/>
      </w:r>
      <w:r>
        <w:t>294</w:t>
      </w:r>
    </w:p>
    <w:p>
      <w:pPr>
        <w:pStyle w:val="TOC2"/>
      </w:pPr>
      <w:r>
        <w:t xml:space="preserve">Article 24.11 - No Standing Body by Drift</w:t>
      </w:r>
      <w:r>
        <w:tab/>
      </w:r>
      <w:r>
        <w:t>295</w:t>
      </w:r>
    </w:p>
    <w:p>
      <w:pPr>
        <w:pStyle w:val="TOC2"/>
      </w:pPr>
      <w:r>
        <w:t xml:space="preserve">Article 24.12 - Delegation and Contractor Controls</w:t>
      </w:r>
      <w:r>
        <w:tab/>
      </w:r>
      <w:r>
        <w:t>295</w:t>
      </w:r>
    </w:p>
    <w:p>
      <w:pPr>
        <w:pStyle w:val="TOC2"/>
      </w:pPr>
      <w:r>
        <w:t xml:space="preserve">Article 24.13 - Administrative Clocks and Responsibility</w:t>
      </w:r>
      <w:r>
        <w:tab/>
      </w:r>
      <w:r>
        <w:t>296</w:t>
      </w:r>
    </w:p>
    <w:p>
      <w:pPr>
        <w:pStyle w:val="TOC2"/>
      </w:pPr>
      <w:r>
        <w:t xml:space="preserve">Article 24.14 - Records, Registry, and Institutional Memory</w:t>
      </w:r>
      <w:r>
        <w:tab/>
      </w:r>
      <w:r>
        <w:t>296</w:t>
      </w:r>
    </w:p>
    <w:p>
      <w:pPr>
        <w:pStyle w:val="TOC2"/>
      </w:pPr>
      <w:r>
        <w:t xml:space="preserve">Article 24.15 - Confidentiality and Information Governance</w:t>
      </w:r>
      <w:r>
        <w:tab/>
      </w:r>
      <w:r>
        <w:t>297</w:t>
      </w:r>
    </w:p>
    <w:p>
      <w:pPr>
        <w:pStyle w:val="TOC2"/>
      </w:pPr>
      <w:r>
        <w:t xml:space="preserve">Article 24.16 - Budget, Staffing, and Resource Discipline</w:t>
      </w:r>
      <w:r>
        <w:tab/>
      </w:r>
      <w:r>
        <w:t>298</w:t>
      </w:r>
    </w:p>
    <w:p>
      <w:pPr>
        <w:pStyle w:val="TOC2"/>
      </w:pPr>
      <w:r>
        <w:t xml:space="preserve">Article 24.17 - Performance and Administrative Metrics</w:t>
      </w:r>
      <w:r>
        <w:tab/>
      </w:r>
      <w:r>
        <w:t>298</w:t>
      </w:r>
    </w:p>
    <w:p>
      <w:pPr>
        <w:pStyle w:val="TOC2"/>
      </w:pPr>
      <w:r>
        <w:t xml:space="preserve">Article 24.18 - Continuity, Vacancy, and Institutional Failure</w:t>
      </w:r>
      <w:r>
        <w:tab/>
      </w:r>
      <w:r>
        <w:t>299</w:t>
      </w:r>
    </w:p>
    <w:p>
      <w:pPr>
        <w:pStyle w:val="TOC2"/>
      </w:pPr>
      <w:r>
        <w:t xml:space="preserve">Article 24.19 - Anti-Capture, Anti-Gaming, and Institutional Restraint</w:t>
      </w:r>
      <w:r>
        <w:tab/>
      </w:r>
      <w:r>
        <w:t>300</w:t>
      </w:r>
    </w:p>
    <w:p>
      <w:pPr>
        <w:pStyle w:val="TOC2"/>
      </w:pPr>
      <w:r>
        <w:t xml:space="preserve">Article 24.20 - Review, Cure, and Jurisdictional Finality</w:t>
      </w:r>
      <w:r>
        <w:tab/>
      </w:r>
      <w:r>
        <w:t>300</w:t>
      </w:r>
    </w:p>
    <w:p>
      <w:pPr>
        <w:pStyle w:val="TOC1"/>
      </w:pPr>
      <w:r>
        <w:t xml:space="preserve">Chapter 25 - Consultations, Cure, and Automatic Restoration</w:t>
      </w:r>
      <w:r>
        <w:tab/>
      </w:r>
      <w:r>
        <w:t>302</w:t>
      </w:r>
    </w:p>
    <w:p>
      <w:pPr>
        <w:pStyle w:val="TOC2"/>
      </w:pPr>
      <w:r>
        <w:t xml:space="preserve">Article 25.1 - Purpose, Scope, and Correction-First Principle</w:t>
      </w:r>
      <w:r>
        <w:tab/>
      </w:r>
      <w:r>
        <w:t>302</w:t>
      </w:r>
    </w:p>
    <w:p>
      <w:pPr>
        <w:pStyle w:val="TOC2"/>
      </w:pPr>
      <w:r>
        <w:t xml:space="preserve">Article 25.2 - Eligible Matters, Materiality, and Scope</w:t>
      </w:r>
      <w:r>
        <w:tab/>
      </w:r>
      <w:r>
        <w:t>302</w:t>
      </w:r>
    </w:p>
    <w:p>
      <w:pPr>
        <w:pStyle w:val="TOC2"/>
      </w:pPr>
      <w:r>
        <w:t xml:space="preserve">Article 25.3 - Notice of Alleged Non-Performance</w:t>
      </w:r>
      <w:r>
        <w:tab/>
      </w:r>
      <w:r>
        <w:t>303</w:t>
      </w:r>
    </w:p>
    <w:p>
      <w:pPr>
        <w:pStyle w:val="TOC2"/>
      </w:pPr>
      <w:r>
        <w:t xml:space="preserve">Article 25.4 - Notice Sufficiency, Correction, and Amendment</w:t>
      </w:r>
      <w:r>
        <w:tab/>
      </w:r>
      <w:r>
        <w:t>304</w:t>
      </w:r>
    </w:p>
    <w:p>
      <w:pPr>
        <w:pStyle w:val="TOC2"/>
      </w:pPr>
      <w:r>
        <w:t xml:space="preserve">Article 25.5 - Initial Consultation and Rapid Resolution</w:t>
      </w:r>
      <w:r>
        <w:tab/>
      </w:r>
      <w:r>
        <w:t>304</w:t>
      </w:r>
    </w:p>
    <w:p>
      <w:pPr>
        <w:pStyle w:val="TOC2"/>
      </w:pPr>
      <w:r>
        <w:t xml:space="preserve">Article 25.6 - Consultation Clocks and Anti-Delay</w:t>
      </w:r>
      <w:r>
        <w:tab/>
      </w:r>
      <w:r>
        <w:t>305</w:t>
      </w:r>
    </w:p>
    <w:p>
      <w:pPr>
        <w:pStyle w:val="TOC2"/>
      </w:pPr>
      <w:r>
        <w:t xml:space="preserve">Article 25.7 - Voluntary Cure and Good-Faith Technical Error</w:t>
      </w:r>
      <w:r>
        <w:tab/>
      </w:r>
      <w:r>
        <w:t>306</w:t>
      </w:r>
    </w:p>
    <w:p>
      <w:pPr>
        <w:pStyle w:val="TOC2"/>
      </w:pPr>
      <w:r>
        <w:t xml:space="preserve">Article 25.8 - Cure Plan Formation and Content</w:t>
      </w:r>
      <w:r>
        <w:tab/>
      </w:r>
      <w:r>
        <w:t>306</w:t>
      </w:r>
    </w:p>
    <w:p>
      <w:pPr>
        <w:pStyle w:val="TOC2"/>
      </w:pPr>
      <w:r>
        <w:t xml:space="preserve">Article 25.9 - Cure Milestones, Amendment, and Finality</w:t>
      </w:r>
      <w:r>
        <w:tab/>
      </w:r>
      <w:r>
        <w:t>307</w:t>
      </w:r>
    </w:p>
    <w:p>
      <w:pPr>
        <w:pStyle w:val="TOC2"/>
      </w:pPr>
      <w:r>
        <w:t xml:space="preserve">Article 25.10 - Partial, Severable, and Progressive Cure</w:t>
      </w:r>
      <w:r>
        <w:tab/>
      </w:r>
      <w:r>
        <w:t>308</w:t>
      </w:r>
    </w:p>
    <w:p>
      <w:pPr>
        <w:pStyle w:val="TOC2"/>
      </w:pPr>
      <w:r>
        <w:t xml:space="preserve">Article 25.11 - Proportional Temporary Treatment and Minimum Step-Back</w:t>
      </w:r>
      <w:r>
        <w:tab/>
      </w:r>
      <w:r>
        <w:t>308</w:t>
      </w:r>
    </w:p>
    <w:p>
      <w:pPr>
        <w:pStyle w:val="TOC2"/>
      </w:pPr>
      <w:r>
        <w:t xml:space="preserve">Article 25.12 - Protected Core, Baselines, and Transition Integrity</w:t>
      </w:r>
      <w:r>
        <w:tab/>
      </w:r>
      <w:r>
        <w:t>309</w:t>
      </w:r>
    </w:p>
    <w:p>
      <w:pPr>
        <w:pStyle w:val="TOC2"/>
      </w:pPr>
      <w:r>
        <w:t xml:space="preserve">Article 25.13 - Verification of Cure</w:t>
      </w:r>
      <w:r>
        <w:tab/>
      </w:r>
      <w:r>
        <w:t>310</w:t>
      </w:r>
    </w:p>
    <w:p>
      <w:pPr>
        <w:pStyle w:val="TOC2"/>
      </w:pPr>
      <w:r>
        <w:t xml:space="preserve">Article 25.14 - Sustained Performance and No Permanent Probation</w:t>
      </w:r>
      <w:r>
        <w:tab/>
      </w:r>
      <w:r>
        <w:t>310</w:t>
      </w:r>
    </w:p>
    <w:p>
      <w:pPr>
        <w:pStyle w:val="TOC2"/>
      </w:pPr>
      <w:r>
        <w:t xml:space="preserve">Article 25.15 - Automatic Restoration</w:t>
      </w:r>
      <w:r>
        <w:tab/>
      </w:r>
      <w:r>
        <w:t>311</w:t>
      </w:r>
    </w:p>
    <w:p>
      <w:pPr>
        <w:pStyle w:val="TOC2"/>
      </w:pPr>
      <w:r>
        <w:t xml:space="preserve">Article 25.16 - Commercially Usable Restoration</w:t>
      </w:r>
      <w:r>
        <w:tab/>
      </w:r>
      <w:r>
        <w:t>312</w:t>
      </w:r>
    </w:p>
    <w:p>
      <w:pPr>
        <w:pStyle w:val="TOC2"/>
      </w:pPr>
      <w:r>
        <w:t xml:space="preserve">Article 25.17 - Recurrence, Successor Measures, and Causal Ancestry</w:t>
      </w:r>
      <w:r>
        <w:tab/>
      </w:r>
      <w:r>
        <w:t>312</w:t>
      </w:r>
    </w:p>
    <w:p>
      <w:pPr>
        <w:pStyle w:val="TOC2"/>
      </w:pPr>
      <w:r>
        <w:t xml:space="preserve">Article 25.18 - Urgent and Perishable-Goods Track</w:t>
      </w:r>
      <w:r>
        <w:tab/>
      </w:r>
      <w:r>
        <w:t>313</w:t>
      </w:r>
    </w:p>
    <w:p>
      <w:pPr>
        <w:pStyle w:val="TOC2"/>
      </w:pPr>
      <w:r>
        <w:t xml:space="preserve">Article 25.19 - Failed Cure, Material Non-Performance, and Chapter 26 Handoff</w:t>
      </w:r>
      <w:r>
        <w:tab/>
      </w:r>
      <w:r>
        <w:t>314</w:t>
      </w:r>
    </w:p>
    <w:p>
      <w:pPr>
        <w:pStyle w:val="TOC2"/>
      </w:pPr>
      <w:r>
        <w:t xml:space="preserve">Article 25.20 - Registry, Cross-Chapter Coordination, and Jurisdictional Finality</w:t>
      </w:r>
      <w:r>
        <w:tab/>
      </w:r>
      <w:r>
        <w:t>314</w:t>
      </w:r>
    </w:p>
    <w:p>
      <w:pPr>
        <w:pStyle w:val="TOC1"/>
      </w:pPr>
      <w:r>
        <w:t xml:space="preserve">Chapter 26 - Remedies and Dispute Settlement</w:t>
      </w:r>
      <w:r>
        <w:tab/>
      </w:r>
      <w:r>
        <w:t>316</w:t>
      </w:r>
    </w:p>
    <w:p>
      <w:pPr>
        <w:pStyle w:val="TOC2"/>
      </w:pPr>
      <w:r>
        <w:t xml:space="preserve">Article 26.1 - Purpose, Scope, and Adjudicative Principle</w:t>
      </w:r>
      <w:r>
        <w:tab/>
      </w:r>
      <w:r>
        <w:t>316</w:t>
      </w:r>
    </w:p>
    <w:p>
      <w:pPr>
        <w:pStyle w:val="TOC2"/>
      </w:pPr>
      <w:r>
        <w:t xml:space="preserve">Article 26.2 - Jurisdiction and Eligible Claims</w:t>
      </w:r>
      <w:r>
        <w:tab/>
      </w:r>
      <w:r>
        <w:t>316</w:t>
      </w:r>
    </w:p>
    <w:p>
      <w:pPr>
        <w:pStyle w:val="TOC2"/>
      </w:pPr>
      <w:r>
        <w:t xml:space="preserve">Article 26.3 - Chapter 25 Handoff and Procedural Credit</w:t>
      </w:r>
      <w:r>
        <w:tab/>
      </w:r>
      <w:r>
        <w:t>317</w:t>
      </w:r>
    </w:p>
    <w:p>
      <w:pPr>
        <w:pStyle w:val="TOC2"/>
      </w:pPr>
      <w:r>
        <w:t xml:space="preserve">Article 26.4 - Request for Panel Review</w:t>
      </w:r>
      <w:r>
        <w:tab/>
      </w:r>
      <w:r>
        <w:t>318</w:t>
      </w:r>
    </w:p>
    <w:p>
      <w:pPr>
        <w:pStyle w:val="TOC2"/>
      </w:pPr>
      <w:r>
        <w:t xml:space="preserve">Article 26.5 - Response and Defined Questions Presented</w:t>
      </w:r>
      <w:r>
        <w:tab/>
      </w:r>
      <w:r>
        <w:t>318</w:t>
      </w:r>
    </w:p>
    <w:p>
      <w:pPr>
        <w:pStyle w:val="TOC2"/>
      </w:pPr>
      <w:r>
        <w:t xml:space="preserve">Article 26.6 - Panel Constitution, Independence, and Continuity</w:t>
      </w:r>
      <w:r>
        <w:tab/>
      </w:r>
      <w:r>
        <w:t>319</w:t>
      </w:r>
    </w:p>
    <w:p>
      <w:pPr>
        <w:pStyle w:val="TOC2"/>
      </w:pPr>
      <w:r>
        <w:t xml:space="preserve">Article 26.7 - Panel Authority and Jurisdictional Limits</w:t>
      </w:r>
      <w:r>
        <w:tab/>
      </w:r>
      <w:r>
        <w:t>320</w:t>
      </w:r>
    </w:p>
    <w:p>
      <w:pPr>
        <w:pStyle w:val="TOC2"/>
      </w:pPr>
      <w:r>
        <w:t xml:space="preserve">Article 26.8 - Record, Evidence, and Procedural Integrity</w:t>
      </w:r>
      <w:r>
        <w:tab/>
      </w:r>
      <w:r>
        <w:t>320</w:t>
      </w:r>
    </w:p>
    <w:p>
      <w:pPr>
        <w:pStyle w:val="TOC2"/>
      </w:pPr>
      <w:r>
        <w:t xml:space="preserve">Article 26.9 - Technical Evidence and Chapters 17 and 18 Firewall</w:t>
      </w:r>
      <w:r>
        <w:tab/>
      </w:r>
      <w:r>
        <w:t>321</w:t>
      </w:r>
    </w:p>
    <w:p>
      <w:pPr>
        <w:pStyle w:val="TOC2"/>
      </w:pPr>
      <w:r>
        <w:t xml:space="preserve">Article 26.10 - Burdens and Evidentiary Standards</w:t>
      </w:r>
      <w:r>
        <w:tab/>
      </w:r>
      <w:r>
        <w:t>321</w:t>
      </w:r>
    </w:p>
    <w:p>
      <w:pPr>
        <w:pStyle w:val="TOC2"/>
      </w:pPr>
      <w:r>
        <w:t xml:space="preserve">Article 26.11 - Hearings, Written Procedure, and Procedural Economy</w:t>
      </w:r>
      <w:r>
        <w:tab/>
      </w:r>
      <w:r>
        <w:t>322</w:t>
      </w:r>
    </w:p>
    <w:p>
      <w:pPr>
        <w:pStyle w:val="TOC2"/>
      </w:pPr>
      <w:r>
        <w:t xml:space="preserve">Article 26.12 - Interim Preservation and No Prejudgment</w:t>
      </w:r>
      <w:r>
        <w:tab/>
      </w:r>
      <w:r>
        <w:t>323</w:t>
      </w:r>
    </w:p>
    <w:p>
      <w:pPr>
        <w:pStyle w:val="TOC2"/>
      </w:pPr>
      <w:r>
        <w:t xml:space="preserve">Article 26.13 - Legal Findings, Reasons, and Publication</w:t>
      </w:r>
      <w:r>
        <w:tab/>
      </w:r>
      <w:r>
        <w:t>323</w:t>
      </w:r>
    </w:p>
    <w:p>
      <w:pPr>
        <w:pStyle w:val="TOC2"/>
      </w:pPr>
      <w:r>
        <w:t xml:space="preserve">Article 26.14 - Conformity, Non-Conformity, and Partial Outcomes</w:t>
      </w:r>
      <w:r>
        <w:tab/>
      </w:r>
      <w:r>
        <w:t>324</w:t>
      </w:r>
    </w:p>
    <w:p>
      <w:pPr>
        <w:pStyle w:val="TOC2"/>
      </w:pPr>
      <w:r>
        <w:t xml:space="preserve">Article 26.15 - Post-Finding Cure Opportunity</w:t>
      </w:r>
      <w:r>
        <w:tab/>
      </w:r>
      <w:r>
        <w:t>324</w:t>
      </w:r>
    </w:p>
    <w:p>
      <w:pPr>
        <w:pStyle w:val="TOC2"/>
      </w:pPr>
      <w:r>
        <w:t xml:space="preserve">Article 26.16 - Remedy Principle and Cothrom Proportionality</w:t>
      </w:r>
      <w:r>
        <w:tab/>
      </w:r>
      <w:r>
        <w:t>325</w:t>
      </w:r>
    </w:p>
    <w:p>
      <w:pPr>
        <w:pStyle w:val="TOC2"/>
      </w:pPr>
      <w:r>
        <w:t xml:space="preserve">Article 26.17 - Permitted Temporary Remedies and Protected Core</w:t>
      </w:r>
      <w:r>
        <w:tab/>
      </w:r>
      <w:r>
        <w:t>325</w:t>
      </w:r>
    </w:p>
    <w:p>
      <w:pPr>
        <w:pStyle w:val="TOC2"/>
      </w:pPr>
      <w:r>
        <w:t xml:space="preserve">Article 26.18 - Remedy Duration, Verification, and Automatic Restoration</w:t>
      </w:r>
      <w:r>
        <w:tab/>
      </w:r>
      <w:r>
        <w:t>326</w:t>
      </w:r>
    </w:p>
    <w:p>
      <w:pPr>
        <w:pStyle w:val="TOC2"/>
      </w:pPr>
      <w:r>
        <w:t xml:space="preserve">Article 26.19 - Non-Compliance, Recurrence, and Successor Measures</w:t>
      </w:r>
      <w:r>
        <w:tab/>
      </w:r>
      <w:r>
        <w:t>327</w:t>
      </w:r>
    </w:p>
    <w:p>
      <w:pPr>
        <w:pStyle w:val="TOC2"/>
      </w:pPr>
      <w:r>
        <w:t xml:space="preserve">Article 26.20 - Finality, Limited Review, Implementation, and Institutional Boundary</w:t>
      </w:r>
      <w:r>
        <w:tab/>
      </w:r>
      <w:r>
        <w:t>327</w:t>
      </w:r>
    </w:p>
    <w:p>
      <w:pPr>
        <w:pStyle w:val="TOC1"/>
      </w:pPr>
      <w:r>
        <w:t xml:space="preserve">Chapter 27 - Relationship to CUSMA and Other International Agreements</w:t>
      </w:r>
      <w:r>
        <w:tab/>
      </w:r>
      <w:r>
        <w:t>329</w:t>
      </w:r>
    </w:p>
    <w:p>
      <w:pPr>
        <w:pStyle w:val="TOC2"/>
      </w:pPr>
      <w:r>
        <w:t xml:space="preserve">Article 27.1 - Purpose and Relationship Principle</w:t>
      </w:r>
      <w:r>
        <w:tab/>
      </w:r>
      <w:r>
        <w:t>329</w:t>
      </w:r>
    </w:p>
    <w:p>
      <w:pPr>
        <w:pStyle w:val="TOC2"/>
      </w:pPr>
      <w:r>
        <w:t xml:space="preserve">Article 27.2 - Relationship to CUSMA/USMCA/T-MEC</w:t>
      </w:r>
      <w:r>
        <w:tab/>
      </w:r>
      <w:r>
        <w:t>329</w:t>
      </w:r>
    </w:p>
    <w:p>
      <w:pPr>
        <w:pStyle w:val="TOC2"/>
      </w:pPr>
      <w:r>
        <w:t xml:space="preserve">Article 27.3 - No Implied Amendment of CUSMA</w:t>
      </w:r>
      <w:r>
        <w:tab/>
      </w:r>
      <w:r>
        <w:t>330</w:t>
      </w:r>
    </w:p>
    <w:p>
      <w:pPr>
        <w:pStyle w:val="TOC2"/>
      </w:pPr>
      <w:r>
        <w:t xml:space="preserve">Article 27.4 - More-Specific-Rule Principle</w:t>
      </w:r>
      <w:r>
        <w:tab/>
      </w:r>
      <w:r>
        <w:t>331</w:t>
      </w:r>
    </w:p>
    <w:p>
      <w:pPr>
        <w:pStyle w:val="TOC2"/>
      </w:pPr>
      <w:r>
        <w:t xml:space="preserve">Article 27.5 - Compatible Interpretation Before Conflict</w:t>
      </w:r>
      <w:r>
        <w:tab/>
      </w:r>
      <w:r>
        <w:t>331</w:t>
      </w:r>
    </w:p>
    <w:p>
      <w:pPr>
        <w:pStyle w:val="TOC2"/>
      </w:pPr>
      <w:r>
        <w:t xml:space="preserve">Article 27.6 - Genuine Conflict Test</w:t>
      </w:r>
      <w:r>
        <w:tab/>
      </w:r>
      <w:r>
        <w:t>332</w:t>
      </w:r>
    </w:p>
    <w:p>
      <w:pPr>
        <w:pStyle w:val="TOC2"/>
      </w:pPr>
      <w:r>
        <w:t xml:space="preserve">Article 27.7 - Conflict Scope and Minimum Displacement</w:t>
      </w:r>
      <w:r>
        <w:tab/>
      </w:r>
      <w:r>
        <w:t>332</w:t>
      </w:r>
    </w:p>
    <w:p>
      <w:pPr>
        <w:pStyle w:val="TOC2"/>
      </w:pPr>
      <w:r>
        <w:t xml:space="preserve">Article 27.8 - Existing CUSMA Rights and Accrued Treatment</w:t>
      </w:r>
      <w:r>
        <w:tab/>
      </w:r>
      <w:r>
        <w:t>333</w:t>
      </w:r>
    </w:p>
    <w:p>
      <w:pPr>
        <w:pStyle w:val="TOC2"/>
      </w:pPr>
      <w:r>
        <w:t xml:space="preserve">Article 27.9 - CUSMA Institutions and Shared Machinery</w:t>
      </w:r>
      <w:r>
        <w:tab/>
      </w:r>
      <w:r>
        <w:t>334</w:t>
      </w:r>
    </w:p>
    <w:p>
      <w:pPr>
        <w:pStyle w:val="TOC2"/>
      </w:pPr>
      <w:r>
        <w:t xml:space="preserve">Article 27.10 - Incorporation of CUSMA Procedures</w:t>
      </w:r>
      <w:r>
        <w:tab/>
      </w:r>
      <w:r>
        <w:t>334</w:t>
      </w:r>
    </w:p>
    <w:p>
      <w:pPr>
        <w:pStyle w:val="TOC2"/>
      </w:pPr>
      <w:r>
        <w:t xml:space="preserve">Article 27.11 - Relationship to WTO Agreements</w:t>
      </w:r>
      <w:r>
        <w:tab/>
      </w:r>
      <w:r>
        <w:t>335</w:t>
      </w:r>
    </w:p>
    <w:p>
      <w:pPr>
        <w:pStyle w:val="TOC2"/>
      </w:pPr>
      <w:r>
        <w:t xml:space="preserve">Article 27.12 - Relationship to Other International Agreements</w:t>
      </w:r>
      <w:r>
        <w:tab/>
      </w:r>
      <w:r>
        <w:t>335</w:t>
      </w:r>
    </w:p>
    <w:p>
      <w:pPr>
        <w:pStyle w:val="TOC2"/>
      </w:pPr>
      <w:r>
        <w:t xml:space="preserve">Article 27.13 - Third-Country Agreements and Trade Freedom</w:t>
      </w:r>
      <w:r>
        <w:tab/>
      </w:r>
      <w:r>
        <w:t>336</w:t>
      </w:r>
    </w:p>
    <w:p>
      <w:pPr>
        <w:pStyle w:val="TOC2"/>
      </w:pPr>
      <w:r>
        <w:t xml:space="preserve">Article 27.14 - No Automatic Importation of External Obligations</w:t>
      </w:r>
      <w:r>
        <w:tab/>
      </w:r>
      <w:r>
        <w:t>336</w:t>
      </w:r>
    </w:p>
    <w:p>
      <w:pPr>
        <w:pStyle w:val="TOC2"/>
      </w:pPr>
      <w:r>
        <w:t xml:space="preserve">Article 27.15 - External Decisions, Reports, and Interpretations</w:t>
      </w:r>
      <w:r>
        <w:tab/>
      </w:r>
      <w:r>
        <w:t>337</w:t>
      </w:r>
    </w:p>
    <w:p>
      <w:pPr>
        <w:pStyle w:val="TOC2"/>
      </w:pPr>
      <w:r>
        <w:t xml:space="preserve">Article 27.16 - SPS, Safety, Environmental, and Public-Interest Obligations</w:t>
      </w:r>
      <w:r>
        <w:tab/>
      </w:r>
      <w:r>
        <w:t>338</w:t>
      </w:r>
    </w:p>
    <w:p>
      <w:pPr>
        <w:pStyle w:val="TOC2"/>
      </w:pPr>
      <w:r>
        <w:t xml:space="preserve">Article 27.17 - Indigenous Rights, Constitutional Structures, and Domestic Allocation</w:t>
      </w:r>
      <w:r>
        <w:tab/>
      </w:r>
      <w:r>
        <w:t>338</w:t>
      </w:r>
    </w:p>
    <w:p>
      <w:pPr>
        <w:pStyle w:val="TOC2"/>
      </w:pPr>
      <w:r>
        <w:t xml:space="preserve">Article 27.18 - Successor Agreements, Renaming, and Legal Continuity</w:t>
      </w:r>
      <w:r>
        <w:tab/>
      </w:r>
      <w:r>
        <w:t>339</w:t>
      </w:r>
    </w:p>
    <w:p>
      <w:pPr>
        <w:pStyle w:val="TOC2"/>
      </w:pPr>
      <w:r>
        <w:t xml:space="preserve">Article 27.19 - Disagreement About Treaty Relationship</w:t>
      </w:r>
      <w:r>
        <w:tab/>
      </w:r>
      <w:r>
        <w:t>340</w:t>
      </w:r>
    </w:p>
    <w:p>
      <w:pPr>
        <w:pStyle w:val="TOC2"/>
      </w:pPr>
      <w:r>
        <w:t xml:space="preserve">Article 27.20 - Anti-Bootstrap, Preservation, and Final Boundary</w:t>
      </w:r>
      <w:r>
        <w:tab/>
      </w:r>
      <w:r>
        <w:t>340</w:t>
      </w:r>
    </w:p>
    <w:p>
      <w:pPr>
        <w:pStyle w:val="TOC1"/>
      </w:pPr>
      <w:r>
        <w:t xml:space="preserve">Chapter 28 - Incorporation by Reference and Optional Future Integration</w:t>
      </w:r>
      <w:r>
        <w:tab/>
      </w:r>
      <w:r>
        <w:t>342</w:t>
      </w:r>
    </w:p>
    <w:p>
      <w:pPr>
        <w:pStyle w:val="TOC2"/>
      </w:pPr>
      <w:r>
        <w:t xml:space="preserve">Article 28.1 - Purpose and Integration Principle</w:t>
      </w:r>
      <w:r>
        <w:tab/>
      </w:r>
      <w:r>
        <w:t>342</w:t>
      </w:r>
    </w:p>
    <w:p>
      <w:pPr>
        <w:pStyle w:val="TOC2"/>
      </w:pPr>
      <w:r>
        <w:t xml:space="preserve">Article 28.2 - Authorized Forms of Incorporation</w:t>
      </w:r>
      <w:r>
        <w:tab/>
      </w:r>
      <w:r>
        <w:t>342</w:t>
      </w:r>
    </w:p>
    <w:p>
      <w:pPr>
        <w:pStyle w:val="TOC2"/>
      </w:pPr>
      <w:r>
        <w:t xml:space="preserve">Article 28.3 - Express Incorporation Requirement</w:t>
      </w:r>
      <w:r>
        <w:tab/>
      </w:r>
      <w:r>
        <w:t>343</w:t>
      </w:r>
    </w:p>
    <w:p>
      <w:pPr>
        <w:pStyle w:val="TOC2"/>
      </w:pPr>
      <w:r>
        <w:t xml:space="preserve">Article 28.4 - Domestic Approval and Constitutional Authority</w:t>
      </w:r>
      <w:r>
        <w:tab/>
      </w:r>
      <w:r>
        <w:t>344</w:t>
      </w:r>
    </w:p>
    <w:p>
      <w:pPr>
        <w:pStyle w:val="TOC2"/>
      </w:pPr>
      <w:r>
        <w:t xml:space="preserve">Article 28.5 - Incorporation into CUSMA</w:t>
      </w:r>
      <w:r>
        <w:tab/>
      </w:r>
      <w:r>
        <w:t>345</w:t>
      </w:r>
    </w:p>
    <w:p>
      <w:pPr>
        <w:pStyle w:val="TOC2"/>
      </w:pPr>
      <w:r>
        <w:t xml:space="preserve">Article 28.6 - Incorporation into a Successor North American Agreement</w:t>
      </w:r>
      <w:r>
        <w:tab/>
      </w:r>
      <w:r>
        <w:t>345</w:t>
      </w:r>
    </w:p>
    <w:p>
      <w:pPr>
        <w:pStyle w:val="TOC2"/>
      </w:pPr>
      <w:r>
        <w:t xml:space="preserve">Article 28.7 - Partial Incorporation</w:t>
      </w:r>
      <w:r>
        <w:tab/>
      </w:r>
      <w:r>
        <w:t>346</w:t>
      </w:r>
    </w:p>
    <w:p>
      <w:pPr>
        <w:pStyle w:val="TOC2"/>
      </w:pPr>
      <w:r>
        <w:t xml:space="preserve">Article 28.8 - Dependency Mapping</w:t>
      </w:r>
      <w:r>
        <w:tab/>
      </w:r>
      <w:r>
        <w:t>347</w:t>
      </w:r>
    </w:p>
    <w:p>
      <w:pPr>
        <w:pStyle w:val="TOC2"/>
      </w:pPr>
      <w:r>
        <w:t xml:space="preserve">Article 28.9 - No Package Importation by Necessity</w:t>
      </w:r>
      <w:r>
        <w:tab/>
      </w:r>
      <w:r>
        <w:t>347</w:t>
      </w:r>
    </w:p>
    <w:p>
      <w:pPr>
        <w:pStyle w:val="TOC2"/>
      </w:pPr>
      <w:r>
        <w:t xml:space="preserve">Article 28.10 - Version Control</w:t>
      </w:r>
      <w:r>
        <w:tab/>
      </w:r>
      <w:r>
        <w:t>348</w:t>
      </w:r>
    </w:p>
    <w:p>
      <w:pPr>
        <w:pStyle w:val="TOC2"/>
      </w:pPr>
      <w:r>
        <w:t xml:space="preserve">Article 28.11 - Dynamic Incorporation</w:t>
      </w:r>
      <w:r>
        <w:tab/>
      </w:r>
      <w:r>
        <w:t>349</w:t>
      </w:r>
    </w:p>
    <w:p>
      <w:pPr>
        <w:pStyle w:val="TOC2"/>
      </w:pPr>
      <w:r>
        <w:t xml:space="preserve">Article 28.12 - Legal Effect in the Host Instrument</w:t>
      </w:r>
      <w:r>
        <w:tab/>
      </w:r>
      <w:r>
        <w:t>349</w:t>
      </w:r>
    </w:p>
    <w:p>
      <w:pPr>
        <w:pStyle w:val="TOC2"/>
      </w:pPr>
      <w:r>
        <w:t xml:space="preserve">Article 28.13 - Standalone NAAFTC Obligations After Incorporation</w:t>
      </w:r>
      <w:r>
        <w:tab/>
      </w:r>
      <w:r>
        <w:t>350</w:t>
      </w:r>
    </w:p>
    <w:p>
      <w:pPr>
        <w:pStyle w:val="TOC2"/>
      </w:pPr>
      <w:r>
        <w:t xml:space="preserve">Article 28.14 - Duplicate Obligations and Performance Credit</w:t>
      </w:r>
      <w:r>
        <w:tab/>
      </w:r>
      <w:r>
        <w:t>351</w:t>
      </w:r>
    </w:p>
    <w:p>
      <w:pPr>
        <w:pStyle w:val="TOC2"/>
      </w:pPr>
      <w:r>
        <w:t xml:space="preserve">Article 28.15 - Rights, Benefits, and Accrued Treatment</w:t>
      </w:r>
      <w:r>
        <w:tab/>
      </w:r>
      <w:r>
        <w:t>351</w:t>
      </w:r>
    </w:p>
    <w:p>
      <w:pPr>
        <w:pStyle w:val="TOC2"/>
      </w:pPr>
      <w:r>
        <w:t xml:space="preserve">Article 28.16 - Institutions and Administrative Functions</w:t>
      </w:r>
      <w:r>
        <w:tab/>
      </w:r>
      <w:r>
        <w:t>352</w:t>
      </w:r>
    </w:p>
    <w:p>
      <w:pPr>
        <w:pStyle w:val="TOC2"/>
      </w:pPr>
      <w:r>
        <w:t xml:space="preserve">Article 28.17 - Dispute Settlement and Remedies</w:t>
      </w:r>
      <w:r>
        <w:tab/>
      </w:r>
      <w:r>
        <w:t>352</w:t>
      </w:r>
    </w:p>
    <w:p>
      <w:pPr>
        <w:pStyle w:val="TOC2"/>
      </w:pPr>
      <w:r>
        <w:t xml:space="preserve">Article 28.18 - Withdrawal, Termination, and Host-Treaty Change</w:t>
      </w:r>
      <w:r>
        <w:tab/>
      </w:r>
      <w:r>
        <w:t>353</w:t>
      </w:r>
    </w:p>
    <w:p>
      <w:pPr>
        <w:pStyle w:val="TOC2"/>
      </w:pPr>
      <w:r>
        <w:t xml:space="preserve">Article 28.19 - Incorporation Record and Verification</w:t>
      </w:r>
      <w:r>
        <w:tab/>
      </w:r>
      <w:r>
        <w:t>354</w:t>
      </w:r>
    </w:p>
    <w:p>
      <w:pPr>
        <w:pStyle w:val="TOC2"/>
      </w:pPr>
      <w:r>
        <w:t xml:space="preserve">Article 28.20 - Anti-Bootstrap and Final Boundary</w:t>
      </w:r>
      <w:r>
        <w:tab/>
      </w:r>
      <w:r>
        <w:t>354</w:t>
      </w:r>
    </w:p>
    <w:p>
      <w:pPr>
        <w:pStyle w:val="TOC1"/>
      </w:pPr>
      <w:r>
        <w:t xml:space="preserve">Chapter 29 - Review, Acceleration, and Technical Amendment</w:t>
      </w:r>
      <w:r>
        <w:tab/>
      </w:r>
      <w:r>
        <w:t>356</w:t>
      </w:r>
    </w:p>
    <w:p>
      <w:pPr>
        <w:pStyle w:val="TOC2"/>
      </w:pPr>
      <w:r>
        <w:t xml:space="preserve">Article 29.1 - Purpose and Amendment Boundary</w:t>
      </w:r>
      <w:r>
        <w:tab/>
      </w:r>
      <w:r>
        <w:t>356</w:t>
      </w:r>
    </w:p>
    <w:p>
      <w:pPr>
        <w:pStyle w:val="TOC2"/>
      </w:pPr>
      <w:r>
        <w:t xml:space="preserve">Article 29.2 - Periodic Review</w:t>
      </w:r>
      <w:r>
        <w:tab/>
      </w:r>
      <w:r>
        <w:t>356</w:t>
      </w:r>
    </w:p>
    <w:p>
      <w:pPr>
        <w:pStyle w:val="TOC2"/>
      </w:pPr>
      <w:r>
        <w:t xml:space="preserve">Article 29.3 - Review Scope and Evidence</w:t>
      </w:r>
      <w:r>
        <w:tab/>
      </w:r>
      <w:r>
        <w:t>357</w:t>
      </w:r>
    </w:p>
    <w:p>
      <w:pPr>
        <w:pStyle w:val="TOC2"/>
      </w:pPr>
      <w:r>
        <w:t xml:space="preserve">Article 29.4 - Review Outcomes</w:t>
      </w:r>
      <w:r>
        <w:tab/>
      </w:r>
      <w:r>
        <w:t>358</w:t>
      </w:r>
    </w:p>
    <w:p>
      <w:pPr>
        <w:pStyle w:val="TOC2"/>
      </w:pPr>
      <w:r>
        <w:t xml:space="preserve">Article 29.5 - No Review-Based Amendment</w:t>
      </w:r>
      <w:r>
        <w:tab/>
      </w:r>
      <w:r>
        <w:t>358</w:t>
      </w:r>
    </w:p>
    <w:p>
      <w:pPr>
        <w:pStyle w:val="TOC2"/>
      </w:pPr>
      <w:r>
        <w:t xml:space="preserve">Article 29.6 - Acceleration Eligibility</w:t>
      </w:r>
      <w:r>
        <w:tab/>
      </w:r>
      <w:r>
        <w:t>359</w:t>
      </w:r>
    </w:p>
    <w:p>
      <w:pPr>
        <w:pStyle w:val="TOC2"/>
      </w:pPr>
      <w:r>
        <w:t xml:space="preserve">Article 29.7 - Acceleration Preconditions</w:t>
      </w:r>
      <w:r>
        <w:tab/>
      </w:r>
      <w:r>
        <w:t>360</w:t>
      </w:r>
    </w:p>
    <w:p>
      <w:pPr>
        <w:pStyle w:val="TOC2"/>
      </w:pPr>
      <w:r>
        <w:t xml:space="preserve">Article 29.8 - Acceleration Proposal</w:t>
      </w:r>
      <w:r>
        <w:tab/>
      </w:r>
      <w:r>
        <w:t>360</w:t>
      </w:r>
    </w:p>
    <w:p>
      <w:pPr>
        <w:pStyle w:val="TOC2"/>
      </w:pPr>
      <w:r>
        <w:t xml:space="preserve">Article 29.9 - Acceleration Approval</w:t>
      </w:r>
      <w:r>
        <w:tab/>
      </w:r>
      <w:r>
        <w:t>361</w:t>
      </w:r>
    </w:p>
    <w:p>
      <w:pPr>
        <w:pStyle w:val="TOC2"/>
      </w:pPr>
      <w:r>
        <w:t xml:space="preserve">Article 29.10 - Acceleration Effect and No Re-Aging</w:t>
      </w:r>
      <w:r>
        <w:tab/>
      </w:r>
      <w:r>
        <w:t>362</w:t>
      </w:r>
    </w:p>
    <w:p>
      <w:pPr>
        <w:pStyle w:val="TOC2"/>
      </w:pPr>
      <w:r>
        <w:t xml:space="preserve">Article 29.11 - Technical Amendment Definition</w:t>
      </w:r>
      <w:r>
        <w:tab/>
      </w:r>
      <w:r>
        <w:t>362</w:t>
      </w:r>
    </w:p>
    <w:p>
      <w:pPr>
        <w:pStyle w:val="TOC2"/>
      </w:pPr>
      <w:r>
        <w:t xml:space="preserve">Article 29.12 - Substantive-Change Firewall</w:t>
      </w:r>
      <w:r>
        <w:tab/>
      </w:r>
      <w:r>
        <w:t>363</w:t>
      </w:r>
    </w:p>
    <w:p>
      <w:pPr>
        <w:pStyle w:val="TOC2"/>
      </w:pPr>
      <w:r>
        <w:t xml:space="preserve">Article 29.13 - Technical Amendment Authority</w:t>
      </w:r>
      <w:r>
        <w:tab/>
      </w:r>
      <w:r>
        <w:t>363</w:t>
      </w:r>
    </w:p>
    <w:p>
      <w:pPr>
        <w:pStyle w:val="TOC2"/>
      </w:pPr>
      <w:r>
        <w:t xml:space="preserve">Article 29.14 - Technical Amendment Procedure</w:t>
      </w:r>
      <w:r>
        <w:tab/>
      </w:r>
      <w:r>
        <w:t>364</w:t>
      </w:r>
    </w:p>
    <w:p>
      <w:pPr>
        <w:pStyle w:val="TOC2"/>
      </w:pPr>
      <w:r>
        <w:t xml:space="preserve">Article 29.15 - Classification Challenge</w:t>
      </w:r>
      <w:r>
        <w:tab/>
      </w:r>
      <w:r>
        <w:t>365</w:t>
      </w:r>
    </w:p>
    <w:p>
      <w:pPr>
        <w:pStyle w:val="TOC2"/>
      </w:pPr>
      <w:r>
        <w:t xml:space="preserve">Article 29.16 - Corrections and Emergency Maintenance</w:t>
      </w:r>
      <w:r>
        <w:tab/>
      </w:r>
      <w:r>
        <w:t>366</w:t>
      </w:r>
    </w:p>
    <w:p>
      <w:pPr>
        <w:pStyle w:val="TOC2"/>
      </w:pPr>
      <w:r>
        <w:t xml:space="preserve">Article 29.17 - Annexes, Schedules, Codes, and External References</w:t>
      </w:r>
      <w:r>
        <w:tab/>
      </w:r>
      <w:r>
        <w:t>366</w:t>
      </w:r>
    </w:p>
    <w:p>
      <w:pPr>
        <w:pStyle w:val="TOC2"/>
      </w:pPr>
      <w:r>
        <w:t xml:space="preserve">Article 29.18 - Version Control and Registry</w:t>
      </w:r>
      <w:r>
        <w:tab/>
      </w:r>
      <w:r>
        <w:t>367</w:t>
      </w:r>
    </w:p>
    <w:p>
      <w:pPr>
        <w:pStyle w:val="TOC2"/>
      </w:pPr>
      <w:r>
        <w:t xml:space="preserve">Article 29.19 - Relationship to Chapters 27 and 28</w:t>
      </w:r>
      <w:r>
        <w:tab/>
      </w:r>
      <w:r>
        <w:t>368</w:t>
      </w:r>
    </w:p>
    <w:p>
      <w:pPr>
        <w:pStyle w:val="TOC2"/>
      </w:pPr>
      <w:r>
        <w:t xml:space="preserve">Article 29.20 - Anti-Bootstrap and Final Boundary</w:t>
      </w:r>
      <w:r>
        <w:tab/>
      </w:r>
      <w:r>
        <w:t>368</w:t>
      </w:r>
    </w:p>
    <w:p>
      <w:pPr>
        <w:pStyle w:val="TOC1"/>
      </w:pPr>
      <w:r>
        <w:t xml:space="preserve">Chapter 30 - Entry into Force, Withdrawal, Survival, and Final Provisions</w:t>
      </w:r>
      <w:r>
        <w:tab/>
      </w:r>
      <w:r>
        <w:t>370</w:t>
      </w:r>
    </w:p>
    <w:p>
      <w:pPr>
        <w:pStyle w:val="TOC2"/>
      </w:pPr>
      <w:r>
        <w:t xml:space="preserve">Article 30.1 - Final-Provisions Architecture and Legal Continuity</w:t>
      </w:r>
      <w:r>
        <w:tab/>
      </w:r>
      <w:r>
        <w:t>370</w:t>
      </w:r>
    </w:p>
    <w:p>
      <w:pPr>
        <w:pStyle w:val="TOC2"/>
      </w:pPr>
      <w:r>
        <w:t xml:space="preserve">Article 30.2 - Signature and Expression of Consent</w:t>
      </w:r>
      <w:r>
        <w:tab/>
      </w:r>
      <w:r>
        <w:t>370</w:t>
      </w:r>
    </w:p>
    <w:p>
      <w:pPr>
        <w:pStyle w:val="TOC2"/>
      </w:pPr>
      <w:r>
        <w:t xml:space="preserve">Article 30.3 - Deposit of Instruments and Depositary Functions</w:t>
      </w:r>
      <w:r>
        <w:tab/>
      </w:r>
      <w:r>
        <w:t>371</w:t>
      </w:r>
    </w:p>
    <w:p>
      <w:pPr>
        <w:pStyle w:val="TOC2"/>
      </w:pPr>
      <w:r>
        <w:t xml:space="preserve">Article 30.4 - Entry Into Force</w:t>
      </w:r>
      <w:r>
        <w:tab/>
      </w:r>
      <w:r>
        <w:t>372</w:t>
      </w:r>
    </w:p>
    <w:p>
      <w:pPr>
        <w:pStyle w:val="TOC2"/>
      </w:pPr>
      <w:r>
        <w:t xml:space="preserve">Article 30.5 - Initial Implementation and Administrative Readiness</w:t>
      </w:r>
      <w:r>
        <w:tab/>
      </w:r>
      <w:r>
        <w:t>373</w:t>
      </w:r>
    </w:p>
    <w:p>
      <w:pPr>
        <w:pStyle w:val="TOC2"/>
      </w:pPr>
      <w:r>
        <w:t xml:space="preserve">Article 30.6 - Provisional Application</w:t>
      </w:r>
      <w:r>
        <w:tab/>
      </w:r>
      <w:r>
        <w:t>373</w:t>
      </w:r>
    </w:p>
    <w:p>
      <w:pPr>
        <w:pStyle w:val="TOC2"/>
      </w:pPr>
      <w:r>
        <w:t xml:space="preserve">Article 30.7 - Geographic and Jurisdictional Application</w:t>
      </w:r>
      <w:r>
        <w:tab/>
      </w:r>
      <w:r>
        <w:t>374</w:t>
      </w:r>
    </w:p>
    <w:p>
      <w:pPr>
        <w:pStyle w:val="TOC2"/>
      </w:pPr>
      <w:r>
        <w:t xml:space="preserve">Article 30.8 - Participation and Later Accession</w:t>
      </w:r>
      <w:r>
        <w:tab/>
      </w:r>
      <w:r>
        <w:t>375</w:t>
      </w:r>
    </w:p>
    <w:p>
      <w:pPr>
        <w:pStyle w:val="TOC2"/>
      </w:pPr>
      <w:r>
        <w:t xml:space="preserve">Article 30.9 - Withdrawal Right and Notice</w:t>
      </w:r>
      <w:r>
        <w:tab/>
      </w:r>
      <w:r>
        <w:t>376</w:t>
      </w:r>
    </w:p>
    <w:p>
      <w:pPr>
        <w:pStyle w:val="TOC2"/>
      </w:pPr>
      <w:r>
        <w:t xml:space="preserve">Article 30.10 - Withdrawal Notice Integrity</w:t>
      </w:r>
      <w:r>
        <w:tab/>
      </w:r>
      <w:r>
        <w:t>376</w:t>
      </w:r>
    </w:p>
    <w:p>
      <w:pPr>
        <w:pStyle w:val="TOC2"/>
      </w:pPr>
      <w:r>
        <w:t xml:space="preserve">Article 30.11 - Withdrawal Transition</w:t>
      </w:r>
      <w:r>
        <w:tab/>
      </w:r>
      <w:r>
        <w:t>377</w:t>
      </w:r>
    </w:p>
    <w:p>
      <w:pPr>
        <w:pStyle w:val="TOC2"/>
      </w:pPr>
      <w:r>
        <w:t xml:space="preserve">Article 30.12 - Accrued Rights and Completed Treatment</w:t>
      </w:r>
      <w:r>
        <w:tab/>
      </w:r>
      <w:r>
        <w:t>378</w:t>
      </w:r>
    </w:p>
    <w:p>
      <w:pPr>
        <w:pStyle w:val="TOC2"/>
      </w:pPr>
      <w:r>
        <w:t xml:space="preserve">Article 30.13 - Pending Administrative Matters</w:t>
      </w:r>
      <w:r>
        <w:tab/>
      </w:r>
      <w:r>
        <w:t>379</w:t>
      </w:r>
    </w:p>
    <w:p>
      <w:pPr>
        <w:pStyle w:val="TOC2"/>
      </w:pPr>
      <w:r>
        <w:t xml:space="preserve">Article 30.14 - Pending Consultations and Disputes</w:t>
      </w:r>
      <w:r>
        <w:tab/>
      </w:r>
      <w:r>
        <w:t>379</w:t>
      </w:r>
    </w:p>
    <w:p>
      <w:pPr>
        <w:pStyle w:val="TOC2"/>
      </w:pPr>
      <w:r>
        <w:t xml:space="preserve">Article 30.15 - Survival of Specific Obligations</w:t>
      </w:r>
      <w:r>
        <w:tab/>
      </w:r>
      <w:r>
        <w:t>380</w:t>
      </w:r>
    </w:p>
    <w:p>
      <w:pPr>
        <w:pStyle w:val="TOC2"/>
      </w:pPr>
      <w:r>
        <w:t xml:space="preserve">Article 30.16 - Termination of Institutional Authority</w:t>
      </w:r>
      <w:r>
        <w:tab/>
      </w:r>
      <w:r>
        <w:t>381</w:t>
      </w:r>
    </w:p>
    <w:p>
      <w:pPr>
        <w:pStyle w:val="TOC2"/>
      </w:pPr>
      <w:r>
        <w:t xml:space="preserve">Article 30.17 - Bilateral Continuity After One Party Withdraws</w:t>
      </w:r>
      <w:r>
        <w:tab/>
      </w:r>
      <w:r>
        <w:t>382</w:t>
      </w:r>
    </w:p>
    <w:p>
      <w:pPr>
        <w:pStyle w:val="TOC2"/>
      </w:pPr>
      <w:r>
        <w:t xml:space="preserve">Article 30.18 - Relationship to CUSMA and Incorporated NAAFTC Text</w:t>
      </w:r>
      <w:r>
        <w:tab/>
      </w:r>
      <w:r>
        <w:t>382</w:t>
      </w:r>
    </w:p>
    <w:p>
      <w:pPr>
        <w:pStyle w:val="TOC2"/>
      </w:pPr>
      <w:r>
        <w:t xml:space="preserve">Article 30.19 - Authentic Texts, Amendment, Corrections, Records, and Final Administration</w:t>
      </w:r>
      <w:r>
        <w:tab/>
      </w:r>
      <w:r>
        <w:t>383</w:t>
      </w:r>
    </w:p>
    <w:p>
      <w:pPr>
        <w:pStyle w:val="TOC2"/>
      </w:pPr>
      <w:r>
        <w:t xml:space="preserve">Article 30.20 - Final Anti-Fade, Anti-Bootstrap, and Closure Rule</w:t>
      </w:r>
      <w:r>
        <w:tab/>
      </w:r>
      <w:r>
        <w:t>384</w:t>
      </w:r>
    </w:p>
    <w:p>
      <w:pPr>
        <w:pStyle w:val="TOC1"/>
      </w:pPr>
      <w:r>
        <w:t xml:space="preserve">Annex A - Covered Agricultural Goods Master Schedule</w:t>
      </w:r>
      <w:r>
        <w:tab/>
      </w:r>
      <w:r>
        <w:t>386</w:t>
      </w:r>
    </w:p>
    <w:p>
      <w:pPr>
        <w:pStyle w:val="TOC2"/>
      </w:pPr>
      <w:r>
        <w:t xml:space="preserve">Article A.1 - Purpose, Legal Function, and Boundaries</w:t>
      </w:r>
      <w:r>
        <w:tab/>
      </w:r>
      <w:r>
        <w:t>386</w:t>
      </w:r>
    </w:p>
    <w:p>
      <w:pPr>
        <w:pStyle w:val="TOC2"/>
      </w:pPr>
      <w:r>
        <w:t xml:space="preserve">Article A.2 - Product Record ID and Record-Version Architecture</w:t>
      </w:r>
      <w:r>
        <w:tab/>
      </w:r>
      <w:r>
        <w:t>386</w:t>
      </w:r>
    </w:p>
    <w:p>
      <w:pPr>
        <w:pStyle w:val="TOC2"/>
      </w:pPr>
      <w:r>
        <w:t xml:space="preserve">Article A.3 - Agricultural Universe and Coverage Status</w:t>
      </w:r>
      <w:r>
        <w:tab/>
      </w:r>
      <w:r>
        <w:t>387</w:t>
      </w:r>
    </w:p>
    <w:p>
      <w:pPr>
        <w:pStyle w:val="TOC2"/>
      </w:pPr>
      <w:r>
        <w:t xml:space="preserve">Article A.4 - Canonical Record Schema</w:t>
      </w:r>
      <w:r>
        <w:tab/>
      </w:r>
      <w:r>
        <w:t>388</w:t>
      </w:r>
    </w:p>
    <w:p>
      <w:pPr>
        <w:pStyle w:val="TOC2"/>
      </w:pPr>
      <w:r>
        <w:t xml:space="preserve">Article A.5 - HS Classification and Party-Specific Tariff-Line Mapping</w:t>
      </w:r>
      <w:r>
        <w:tab/>
      </w:r>
      <w:r>
        <w:t>388</w:t>
      </w:r>
    </w:p>
    <w:p>
      <w:pPr>
        <w:pStyle w:val="TOC2"/>
      </w:pPr>
      <w:r>
        <w:t xml:space="preserve">Article A.6 - Datum-Level Provenance and Source Hierarchy</w:t>
      </w:r>
      <w:r>
        <w:tab/>
      </w:r>
      <w:r>
        <w:t>389</w:t>
      </w:r>
    </w:p>
    <w:p>
      <w:pPr>
        <w:pStyle w:val="TOC2"/>
      </w:pPr>
      <w:r>
        <w:t xml:space="preserve">Article A.7 - Field-Level Verification and Status Management</w:t>
      </w:r>
      <w:r>
        <w:tab/>
      </w:r>
      <w:r>
        <w:t>389</w:t>
      </w:r>
    </w:p>
    <w:p>
      <w:pPr>
        <w:pStyle w:val="TOC2"/>
      </w:pPr>
      <w:r>
        <w:t xml:space="preserve">Article A.8 - Cross-Annex Routing and Dependency Control</w:t>
      </w:r>
      <w:r>
        <w:tab/>
      </w:r>
      <w:r>
        <w:t>390</w:t>
      </w:r>
    </w:p>
    <w:p>
      <w:pPr>
        <w:pStyle w:val="TOC2"/>
      </w:pPr>
      <w:r>
        <w:t xml:space="preserve">Article A.9 - HS Concordance, Splits, Mergers, and Identity Continuity</w:t>
      </w:r>
      <w:r>
        <w:tab/>
      </w:r>
      <w:r>
        <w:t>390</w:t>
      </w:r>
    </w:p>
    <w:p>
      <w:pPr>
        <w:pStyle w:val="TOC2"/>
      </w:pPr>
      <w:r>
        <w:t xml:space="preserve">Article A.10 - Disputed Records and Temporary Handling</w:t>
      </w:r>
      <w:r>
        <w:tab/>
      </w:r>
      <w:r>
        <w:t>391</w:t>
      </w:r>
    </w:p>
    <w:p>
      <w:pPr>
        <w:pStyle w:val="TOC2"/>
      </w:pPr>
      <w:r>
        <w:t xml:space="preserve">Article A.11 - Corrections, Version Control, and Publication</w:t>
      </w:r>
      <w:r>
        <w:tab/>
      </w:r>
      <w:r>
        <w:t>392</w:t>
      </w:r>
    </w:p>
    <w:p>
      <w:pPr>
        <w:pStyle w:val="TOC2"/>
      </w:pPr>
      <w:r>
        <w:t xml:space="preserve">Article A.12 - Initial Population, Sequencing, and Completion</w:t>
      </w:r>
      <w:r>
        <w:tab/>
      </w:r>
      <w:r>
        <w:t>392</w:t>
      </w:r>
    </w:p>
    <w:p>
      <w:pPr>
        <w:pStyle w:val="TOC1"/>
      </w:pPr>
      <w:r>
        <w:t xml:space="preserve">Annex B - General Tariff Elimination Schedule and Verified Baseline Treatment</w:t>
      </w:r>
      <w:r>
        <w:tab/>
      </w:r>
      <w:r>
        <w:t>397</w:t>
      </w:r>
    </w:p>
    <w:p>
      <w:pPr>
        <w:pStyle w:val="TOC2"/>
      </w:pPr>
      <w:r>
        <w:t xml:space="preserve">Article B.1 - Purpose, Legal Function, and Boundaries</w:t>
      </w:r>
      <w:r>
        <w:tab/>
      </w:r>
      <w:r>
        <w:t>397</w:t>
      </w:r>
    </w:p>
    <w:p>
      <w:pPr>
        <w:pStyle w:val="TOC2"/>
      </w:pPr>
      <w:r>
        <w:t xml:space="preserve">Article B.2 - Tariff Schedule Record Architecture</w:t>
      </w:r>
      <w:r>
        <w:tab/>
      </w:r>
      <w:r>
        <w:t>397</w:t>
      </w:r>
    </w:p>
    <w:p>
      <w:pPr>
        <w:pStyle w:val="TOC2"/>
      </w:pPr>
      <w:r>
        <w:t xml:space="preserve">Article B.3 - Verified Baseline Treatment</w:t>
      </w:r>
      <w:r>
        <w:tab/>
      </w:r>
      <w:r>
        <w:t>398</w:t>
      </w:r>
    </w:p>
    <w:p>
      <w:pPr>
        <w:pStyle w:val="TOC2"/>
      </w:pPr>
      <w:r>
        <w:t xml:space="preserve">Article B.4 - Value Types, Provenance, and Derived Data</w:t>
      </w:r>
      <w:r>
        <w:tab/>
      </w:r>
      <w:r>
        <w:t>398</w:t>
      </w:r>
    </w:p>
    <w:p>
      <w:pPr>
        <w:pStyle w:val="TOC2"/>
      </w:pPr>
      <w:r>
        <w:t xml:space="preserve">Article B.5 - Immediate Zero Treatment and Zero-Lock Continuity</w:t>
      </w:r>
      <w:r>
        <w:tab/>
      </w:r>
      <w:r>
        <w:t>399</w:t>
      </w:r>
    </w:p>
    <w:p>
      <w:pPr>
        <w:pStyle w:val="TOC2"/>
      </w:pPr>
      <w:r>
        <w:t xml:space="preserve">Article B.6 - General Elimination Path and Staging</w:t>
      </w:r>
      <w:r>
        <w:tab/>
      </w:r>
      <w:r>
        <w:t>399</w:t>
      </w:r>
    </w:p>
    <w:p>
      <w:pPr>
        <w:pStyle w:val="TOC2"/>
      </w:pPr>
      <w:r>
        <w:t xml:space="preserve">Article B.7 - Dates, Anniversaries, Activation, and Stage Operation</w:t>
      </w:r>
      <w:r>
        <w:tab/>
      </w:r>
      <w:r>
        <w:t>400</w:t>
      </w:r>
    </w:p>
    <w:p>
      <w:pPr>
        <w:pStyle w:val="TOC2"/>
      </w:pPr>
      <w:r>
        <w:t xml:space="preserve">Article B.8 - Seasonal and Multi-Component Tariffs</w:t>
      </w:r>
      <w:r>
        <w:tab/>
      </w:r>
      <w:r>
        <w:t>401</w:t>
      </w:r>
    </w:p>
    <w:p>
      <w:pPr>
        <w:pStyle w:val="TOC2"/>
      </w:pPr>
      <w:r>
        <w:t xml:space="preserve">Article B.9 - Conversions, Currency, Units, and Rounding</w:t>
      </w:r>
      <w:r>
        <w:tab/>
      </w:r>
      <w:r>
        <w:t>401</w:t>
      </w:r>
    </w:p>
    <w:p>
      <w:pPr>
        <w:pStyle w:val="TOC2"/>
      </w:pPr>
      <w:r>
        <w:t xml:space="preserve">Article B.10 - Sensitive-Sector and Managed-Access Routing</w:t>
      </w:r>
      <w:r>
        <w:tab/>
      </w:r>
      <w:r>
        <w:t>402</w:t>
      </w:r>
    </w:p>
    <w:p>
      <w:pPr>
        <w:pStyle w:val="TOC2"/>
      </w:pPr>
      <w:r>
        <w:t xml:space="preserve">Article B.11 - Reciprocity, Activation, and Synchronization Interface</w:t>
      </w:r>
      <w:r>
        <w:tab/>
      </w:r>
      <w:r>
        <w:t>402</w:t>
      </w:r>
    </w:p>
    <w:p>
      <w:pPr>
        <w:pStyle w:val="TOC2"/>
      </w:pPr>
      <w:r>
        <w:t xml:space="preserve">Article B.12 - Vesting and Completed Liberalization Interface</w:t>
      </w:r>
      <w:r>
        <w:tab/>
      </w:r>
      <w:r>
        <w:t>403</w:t>
      </w:r>
    </w:p>
    <w:p>
      <w:pPr>
        <w:pStyle w:val="TOC2"/>
      </w:pPr>
      <w:r>
        <w:t xml:space="preserve">Article B.13 - Origin Interface with Annex G</w:t>
      </w:r>
      <w:r>
        <w:tab/>
      </w:r>
      <w:r>
        <w:t>403</w:t>
      </w:r>
    </w:p>
    <w:p>
      <w:pPr>
        <w:pStyle w:val="TOC2"/>
      </w:pPr>
      <w:r>
        <w:t xml:space="preserve">Article B.14 - Temporary Measures, Safeguards, Emergencies, and Restoration</w:t>
      </w:r>
      <w:r>
        <w:tab/>
      </w:r>
      <w:r>
        <w:t>404</w:t>
      </w:r>
    </w:p>
    <w:p>
      <w:pPr>
        <w:pStyle w:val="TOC2"/>
      </w:pPr>
      <w:r>
        <w:t xml:space="preserve">Article B.15 - Corrections, Concordance, and Disputed Tariff Records</w:t>
      </w:r>
      <w:r>
        <w:tab/>
      </w:r>
      <w:r>
        <w:t>404</w:t>
      </w:r>
    </w:p>
    <w:p>
      <w:pPr>
        <w:pStyle w:val="TOC2"/>
      </w:pPr>
      <w:r>
        <w:t xml:space="preserve">Article B.16 - Publication, Version Control, Initial Population, and Completion</w:t>
      </w:r>
      <w:r>
        <w:tab/>
      </w:r>
      <w:r>
        <w:t>405</w:t>
      </w:r>
    </w:p>
    <w:p>
      <w:pPr>
        <w:pStyle w:val="TOC2"/>
      </w:pPr>
      <w:r>
        <w:t xml:space="preserve">Annex B Master Tariff Schedule - Controlled Schema</w:t>
      </w:r>
      <w:r>
        <w:tab/>
      </w:r>
      <w:r>
        <w:t>406</w:t>
      </w:r>
    </w:p>
    <w:p>
      <w:pPr>
        <w:pStyle w:val="TOC1"/>
      </w:pPr>
      <w:r>
        <w:t xml:space="preserve">Annex C - Sensitive-Sector Transition Schedule</w:t>
      </w:r>
      <w:r>
        <w:tab/>
      </w:r>
      <w:r>
        <w:t>408</w:t>
      </w:r>
    </w:p>
    <w:p>
      <w:pPr>
        <w:pStyle w:val="TOC2"/>
      </w:pPr>
      <w:r>
        <w:t xml:space="preserve">Article C.1 - Purpose, Legal Function, and Boundaries</w:t>
      </w:r>
      <w:r>
        <w:tab/>
      </w:r>
      <w:r>
        <w:t>408</w:t>
      </w:r>
    </w:p>
    <w:p>
      <w:pPr>
        <w:pStyle w:val="TOC2"/>
      </w:pPr>
      <w:r>
        <w:t xml:space="preserve">Article C.2 - Record Architecture and Field Governance</w:t>
      </w:r>
      <w:r>
        <w:tab/>
      </w:r>
      <w:r>
        <w:t>408</w:t>
      </w:r>
    </w:p>
    <w:p>
      <w:pPr>
        <w:pStyle w:val="TOC2"/>
      </w:pPr>
      <w:r>
        <w:t xml:space="preserve">Article C.3 - Designation and Entry Controls</w:t>
      </w:r>
      <w:r>
        <w:tab/>
      </w:r>
      <w:r>
        <w:t>409</w:t>
      </w:r>
    </w:p>
    <w:p>
      <w:pPr>
        <w:pStyle w:val="TOC2"/>
      </w:pPr>
      <w:r>
        <w:t xml:space="preserve">Article C.4 - Baseline and Transition Starting State</w:t>
      </w:r>
      <w:r>
        <w:tab/>
      </w:r>
      <w:r>
        <w:t>410</w:t>
      </w:r>
    </w:p>
    <w:p>
      <w:pPr>
        <w:pStyle w:val="TOC2"/>
      </w:pPr>
      <w:r>
        <w:t xml:space="preserve">Article C.5 - Transition Tracks and Stage Architecture</w:t>
      </w:r>
      <w:r>
        <w:tab/>
      </w:r>
      <w:r>
        <w:t>410</w:t>
      </w:r>
    </w:p>
    <w:p>
      <w:pPr>
        <w:pStyle w:val="TOC2"/>
      </w:pPr>
      <w:r>
        <w:t xml:space="preserve">Article C.6 - Stage Advancement and Tariff-Form Completion</w:t>
      </w:r>
      <w:r>
        <w:tab/>
      </w:r>
      <w:r>
        <w:t>411</w:t>
      </w:r>
    </w:p>
    <w:p>
      <w:pPr>
        <w:pStyle w:val="TOC2"/>
      </w:pPr>
      <w:r>
        <w:t xml:space="preserve">Article C.7 - Annex D Managed-Access Interface</w:t>
      </w:r>
      <w:r>
        <w:tab/>
      </w:r>
      <w:r>
        <w:t>411</w:t>
      </w:r>
    </w:p>
    <w:p>
      <w:pPr>
        <w:pStyle w:val="TOC2"/>
      </w:pPr>
      <w:r>
        <w:t xml:space="preserve">Article C.8 - Annex E Synchronization Interface</w:t>
      </w:r>
      <w:r>
        <w:tab/>
      </w:r>
      <w:r>
        <w:t>412</w:t>
      </w:r>
    </w:p>
    <w:p>
      <w:pPr>
        <w:pStyle w:val="TOC2"/>
      </w:pPr>
      <w:r>
        <w:t xml:space="preserve">Article C.9 - Temporary Measures, Holds, and Restoration</w:t>
      </w:r>
      <w:r>
        <w:tab/>
      </w:r>
      <w:r>
        <w:t>413</w:t>
      </w:r>
    </w:p>
    <w:p>
      <w:pPr>
        <w:pStyle w:val="TOC2"/>
      </w:pPr>
      <w:r>
        <w:t xml:space="preserve">Article C.10 - Verification, Correction, and Dispute State</w:t>
      </w:r>
      <w:r>
        <w:tab/>
      </w:r>
      <w:r>
        <w:t>413</w:t>
      </w:r>
    </w:p>
    <w:p>
      <w:pPr>
        <w:pStyle w:val="TOC2"/>
      </w:pPr>
      <w:r>
        <w:t xml:space="preserve">Article C.11 - Completion, Annex F Handoff, and Historical Preservation</w:t>
      </w:r>
      <w:r>
        <w:tab/>
      </w:r>
      <w:r>
        <w:t>414</w:t>
      </w:r>
    </w:p>
    <w:p>
      <w:pPr>
        <w:pStyle w:val="TOC2"/>
      </w:pPr>
      <w:r>
        <w:t xml:space="preserve">Article C.12 - Publication, Version Control, Initial Population, and Schedule Operation</w:t>
      </w:r>
      <w:r>
        <w:tab/>
      </w:r>
      <w:r>
        <w:t>414</w:t>
      </w:r>
    </w:p>
    <w:p>
      <w:pPr>
        <w:pStyle w:val="TOC2"/>
      </w:pPr>
      <w:r>
        <w:t xml:space="preserve">Annex C Sensitive-Sector Transition Schedule - Controlled Schema</w:t>
      </w:r>
      <w:r>
        <w:tab/>
      </w:r>
      <w:r>
        <w:t>415</w:t>
      </w:r>
    </w:p>
    <w:p>
      <w:pPr>
        <w:pStyle w:val="TOC1"/>
      </w:pPr>
      <w:r>
        <w:t xml:space="preserve">Annex D - Managed-Access Vesting and Displacement Schedule</w:t>
      </w:r>
      <w:r>
        <w:tab/>
      </w:r>
      <w:r>
        <w:t>418</w:t>
      </w:r>
    </w:p>
    <w:p>
      <w:pPr>
        <w:pStyle w:val="TOC2"/>
      </w:pPr>
      <w:r>
        <w:t xml:space="preserve">Article D.1 - Purpose, Scope, and Legal Character</w:t>
      </w:r>
      <w:r>
        <w:tab/>
      </w:r>
      <w:r>
        <w:t>418</w:t>
      </w:r>
    </w:p>
    <w:p>
      <w:pPr>
        <w:pStyle w:val="TOC2"/>
      </w:pPr>
      <w:r>
        <w:t xml:space="preserve">Article D.2 - Managed-Access Record Architecture</w:t>
      </w:r>
      <w:r>
        <w:tab/>
      </w:r>
      <w:r>
        <w:t>418</w:t>
      </w:r>
    </w:p>
    <w:p>
      <w:pPr>
        <w:pStyle w:val="TOC2"/>
      </w:pPr>
      <w:r>
        <w:t xml:space="preserve">Article D.3 - Establishment and Starting State</w:t>
      </w:r>
      <w:r>
        <w:tab/>
      </w:r>
      <w:r>
        <w:t>419</w:t>
      </w:r>
    </w:p>
    <w:p>
      <w:pPr>
        <w:pStyle w:val="TOC2"/>
      </w:pPr>
      <w:r>
        <w:t xml:space="preserve">Article D.4 - Within-Access Quantity and Access Measurement</w:t>
      </w:r>
      <w:r>
        <w:tab/>
      </w:r>
      <w:r>
        <w:t>420</w:t>
      </w:r>
    </w:p>
    <w:p>
      <w:pPr>
        <w:pStyle w:val="TOC2"/>
      </w:pPr>
      <w:r>
        <w:t xml:space="preserve">Article D.5 - Allocation and Eligibility Administration</w:t>
      </w:r>
      <w:r>
        <w:tab/>
      </w:r>
      <w:r>
        <w:t>420</w:t>
      </w:r>
    </w:p>
    <w:p>
      <w:pPr>
        <w:pStyle w:val="TOC2"/>
      </w:pPr>
      <w:r>
        <w:t xml:space="preserve">Article D.6 - Utilization, Return, and Reallocation</w:t>
      </w:r>
      <w:r>
        <w:tab/>
      </w:r>
      <w:r>
        <w:t>421</w:t>
      </w:r>
    </w:p>
    <w:p>
      <w:pPr>
        <w:pStyle w:val="TOC2"/>
      </w:pPr>
      <w:r>
        <w:t xml:space="preserve">Article D.7 - Displacement Tranches and Residual-Field Contraction</w:t>
      </w:r>
      <w:r>
        <w:tab/>
      </w:r>
      <w:r>
        <w:t>421</w:t>
      </w:r>
    </w:p>
    <w:p>
      <w:pPr>
        <w:pStyle w:val="TOC2"/>
      </w:pPr>
      <w:r>
        <w:t xml:space="preserve">Article D.8 - Vesting Events and Vested Market-Access Rights</w:t>
      </w:r>
      <w:r>
        <w:tab/>
      </w:r>
      <w:r>
        <w:t>422</w:t>
      </w:r>
    </w:p>
    <w:p>
      <w:pPr>
        <w:pStyle w:val="TOC2"/>
      </w:pPr>
      <w:r>
        <w:t xml:space="preserve">Article D.9 - Cross-Annex Synchronization and Independent Axes</w:t>
      </w:r>
      <w:r>
        <w:tab/>
      </w:r>
      <w:r>
        <w:t>422</w:t>
      </w:r>
    </w:p>
    <w:p>
      <w:pPr>
        <w:pStyle w:val="TOC2"/>
      </w:pPr>
      <w:r>
        <w:t xml:space="preserve">Article D.10 - Temporary Measures, Holds, and Restoration</w:t>
      </w:r>
      <w:r>
        <w:tab/>
      </w:r>
      <w:r>
        <w:t>423</w:t>
      </w:r>
    </w:p>
    <w:p>
      <w:pPr>
        <w:pStyle w:val="TOC2"/>
      </w:pPr>
      <w:r>
        <w:t xml:space="preserve">Article D.11 - Full-Vesting, Completion, and Non-Revival</w:t>
      </w:r>
      <w:r>
        <w:tab/>
      </w:r>
      <w:r>
        <w:t>423</w:t>
      </w:r>
    </w:p>
    <w:p>
      <w:pPr>
        <w:pStyle w:val="TOC2"/>
      </w:pPr>
      <w:r>
        <w:t xml:space="preserve">Article D.12 - Verification, Correction, Versioning, and Publication</w:t>
      </w:r>
      <w:r>
        <w:tab/>
      </w:r>
      <w:r>
        <w:t>424</w:t>
      </w:r>
    </w:p>
    <w:p>
      <w:pPr>
        <w:pStyle w:val="TOC2"/>
      </w:pPr>
      <w:r>
        <w:t xml:space="preserve">Annex D Managed-Access Vesting and Displacement Schedule - Controlled Schema</w:t>
      </w:r>
      <w:r>
        <w:tab/>
      </w:r>
      <w:r>
        <w:t>424</w:t>
      </w:r>
    </w:p>
    <w:p>
      <w:pPr>
        <w:pStyle w:val="TOC1"/>
      </w:pPr>
      <w:r>
        <w:t xml:space="preserve">Annex E - Synchronized Reciprocity and Activation Schedule</w:t>
      </w:r>
      <w:r>
        <w:tab/>
      </w:r>
      <w:r>
        <w:t>427</w:t>
      </w:r>
    </w:p>
    <w:p>
      <w:pPr>
        <w:pStyle w:val="TOC2"/>
      </w:pPr>
      <w:r>
        <w:t xml:space="preserve">Article E.1 - Purpose, Scope, and Legal Character</w:t>
      </w:r>
      <w:r>
        <w:tab/>
      </w:r>
      <w:r>
        <w:t>427</w:t>
      </w:r>
    </w:p>
    <w:p>
      <w:pPr>
        <w:pStyle w:val="TOC2"/>
      </w:pPr>
      <w:r>
        <w:t xml:space="preserve">Article E.2 - Record Architecture and Persistent Identity</w:t>
      </w:r>
      <w:r>
        <w:tab/>
      </w:r>
      <w:r>
        <w:t>427</w:t>
      </w:r>
    </w:p>
    <w:p>
      <w:pPr>
        <w:pStyle w:val="TOC2"/>
      </w:pPr>
      <w:r>
        <w:t xml:space="preserve">Article E.3 - Milestone Establishment and Legal Source</w:t>
      </w:r>
      <w:r>
        <w:tab/>
      </w:r>
      <w:r>
        <w:t>428</w:t>
      </w:r>
    </w:p>
    <w:p>
      <w:pPr>
        <w:pStyle w:val="TOC2"/>
      </w:pPr>
      <w:r>
        <w:t xml:space="preserve">Article E.4 - Condition Logic, Measurement, and Assessment</w:t>
      </w:r>
      <w:r>
        <w:tab/>
      </w:r>
      <w:r>
        <w:t>428</w:t>
      </w:r>
    </w:p>
    <w:p>
      <w:pPr>
        <w:pStyle w:val="TOC2"/>
      </w:pPr>
      <w:r>
        <w:t xml:space="preserve">Article E.5 - Party-Specific Performance and Asymmetry</w:t>
      </w:r>
      <w:r>
        <w:tab/>
      </w:r>
      <w:r>
        <w:t>429</w:t>
      </w:r>
    </w:p>
    <w:p>
      <w:pPr>
        <w:pStyle w:val="TOC2"/>
      </w:pPr>
      <w:r>
        <w:t xml:space="preserve">Article E.6 - Material Performance and Activation</w:t>
      </w:r>
      <w:r>
        <w:tab/>
      </w:r>
      <w:r>
        <w:t>430</w:t>
      </w:r>
    </w:p>
    <w:p>
      <w:pPr>
        <w:pStyle w:val="TOC2"/>
      </w:pPr>
      <w:r>
        <w:t xml:space="preserve">Article E.7 - Deferred Activation, Catch-Up, and Re-synchronization</w:t>
      </w:r>
      <w:r>
        <w:tab/>
      </w:r>
      <w:r>
        <w:t>430</w:t>
      </w:r>
    </w:p>
    <w:p>
      <w:pPr>
        <w:pStyle w:val="TOC2"/>
      </w:pPr>
      <w:r>
        <w:t xml:space="preserve">Article E.8 - Clocks, Assessment Points, and Temporal Integrity</w:t>
      </w:r>
      <w:r>
        <w:tab/>
      </w:r>
      <w:r>
        <w:t>431</w:t>
      </w:r>
    </w:p>
    <w:p>
      <w:pPr>
        <w:pStyle w:val="TOC2"/>
      </w:pPr>
      <w:r>
        <w:t xml:space="preserve">Article E.9 - Temporary Measures and Overlays</w:t>
      </w:r>
      <w:r>
        <w:tab/>
      </w:r>
      <w:r>
        <w:t>431</w:t>
      </w:r>
    </w:p>
    <w:p>
      <w:pPr>
        <w:pStyle w:val="TOC2"/>
      </w:pPr>
      <w:r>
        <w:t xml:space="preserve">Article E.10 - Verification, Correction, and Dispute State</w:t>
      </w:r>
      <w:r>
        <w:tab/>
      </w:r>
      <w:r>
        <w:t>432</w:t>
      </w:r>
    </w:p>
    <w:p>
      <w:pPr>
        <w:pStyle w:val="TOC2"/>
      </w:pPr>
      <w:r>
        <w:t xml:space="preserve">Article E.11 - Anti-Hostage, Anti-Gaming, and Non-Circumvention</w:t>
      </w:r>
      <w:r>
        <w:tab/>
      </w:r>
      <w:r>
        <w:t>432</w:t>
      </w:r>
    </w:p>
    <w:p>
      <w:pPr>
        <w:pStyle w:val="TOC2"/>
      </w:pPr>
      <w:r>
        <w:t xml:space="preserve">Article E.12 - Completion, Publication, and Annex F Handoff</w:t>
      </w:r>
      <w:r>
        <w:tab/>
      </w:r>
      <w:r>
        <w:t>433</w:t>
      </w:r>
    </w:p>
    <w:p>
      <w:pPr>
        <w:pStyle w:val="TOC2"/>
      </w:pPr>
      <w:r>
        <w:t xml:space="preserve">Annex E Synchronized Reciprocity and Activation Schedule - Controlled Schema</w:t>
      </w:r>
      <w:r>
        <w:tab/>
      </w:r>
      <w:r>
        <w:t>434</w:t>
      </w:r>
    </w:p>
    <w:p>
      <w:pPr>
        <w:pStyle w:val="TOC1"/>
      </w:pPr>
      <w:r>
        <w:t xml:space="preserve">Annex F - Durable Completed-State Register</w:t>
      </w:r>
      <w:r>
        <w:tab/>
      </w:r>
      <w:r>
        <w:t>438</w:t>
      </w:r>
    </w:p>
    <w:p>
      <w:pPr>
        <w:pStyle w:val="TOC2"/>
      </w:pPr>
      <w:r>
        <w:t xml:space="preserve">Article F.1 - Purpose, Scope, and Legal Character</w:t>
      </w:r>
      <w:r>
        <w:tab/>
      </w:r>
      <w:r>
        <w:t>438</w:t>
      </w:r>
    </w:p>
    <w:p>
      <w:pPr>
        <w:pStyle w:val="TOC2"/>
      </w:pPr>
      <w:r>
        <w:t xml:space="preserve">Article F.2 - Completion Record Architecture and Persistent Identity</w:t>
      </w:r>
      <w:r>
        <w:tab/>
      </w:r>
      <w:r>
        <w:t>438</w:t>
      </w:r>
    </w:p>
    <w:p>
      <w:pPr>
        <w:pStyle w:val="TOC2"/>
      </w:pPr>
      <w:r>
        <w:t xml:space="preserve">Article F.3 - Completion Conditions, Source Authority, and Anti-Bootstrap</w:t>
      </w:r>
      <w:r>
        <w:tab/>
      </w:r>
      <w:r>
        <w:t>439</w:t>
      </w:r>
    </w:p>
    <w:p>
      <w:pPr>
        <w:pStyle w:val="TOC2"/>
      </w:pPr>
      <w:r>
        <w:t xml:space="preserve">Article F.4 - Full Vesting and Accrued Market-Access State</w:t>
      </w:r>
      <w:r>
        <w:tab/>
      </w:r>
      <w:r>
        <w:t>440</w:t>
      </w:r>
    </w:p>
    <w:p>
      <w:pPr>
        <w:pStyle w:val="TOC2"/>
      </w:pPr>
      <w:r>
        <w:t xml:space="preserve">Article F.5 - Zero-Line Status and Completed Tariff State</w:t>
      </w:r>
      <w:r>
        <w:tab/>
      </w:r>
      <w:r>
        <w:t>440</w:t>
      </w:r>
    </w:p>
    <w:p>
      <w:pPr>
        <w:pStyle w:val="TOC2"/>
      </w:pPr>
      <w:r>
        <w:t xml:space="preserve">Article F.6 - Completed Managed-Access Displacement</w:t>
      </w:r>
      <w:r>
        <w:tab/>
      </w:r>
      <w:r>
        <w:t>441</w:t>
      </w:r>
    </w:p>
    <w:p>
      <w:pPr>
        <w:pStyle w:val="TOC2"/>
      </w:pPr>
      <w:r>
        <w:t xml:space="preserve">Article F.7 - Synchronized Completion and Annex E Handoff</w:t>
      </w:r>
      <w:r>
        <w:tab/>
      </w:r>
      <w:r>
        <w:t>441</w:t>
      </w:r>
    </w:p>
    <w:p>
      <w:pPr>
        <w:pStyle w:val="TOC2"/>
      </w:pPr>
      <w:r>
        <w:t xml:space="preserve">Article F.8 - Classification, Concordance, and Successor Continuity</w:t>
      </w:r>
      <w:r>
        <w:tab/>
      </w:r>
      <w:r>
        <w:t>442</w:t>
      </w:r>
    </w:p>
    <w:p>
      <w:pPr>
        <w:pStyle w:val="TOC2"/>
      </w:pPr>
      <w:r>
        <w:t xml:space="preserve">Article F.9 - Temporary Measures and Underlying Completed State</w:t>
      </w:r>
      <w:r>
        <w:tab/>
      </w:r>
      <w:r>
        <w:t>443</w:t>
      </w:r>
    </w:p>
    <w:p>
      <w:pPr>
        <w:pStyle w:val="TOC2"/>
      </w:pPr>
      <w:r>
        <w:t xml:space="preserve">Article F.10 - Verification, Correction, and Controlled Record Integrity</w:t>
      </w:r>
      <w:r>
        <w:tab/>
      </w:r>
      <w:r>
        <w:t>443</w:t>
      </w:r>
    </w:p>
    <w:p>
      <w:pPr>
        <w:pStyle w:val="TOC2"/>
      </w:pPr>
      <w:r>
        <w:t xml:space="preserve">Article F.11 - Non-Revival, No-Fade, and Anti-Rollback Controls</w:t>
      </w:r>
      <w:r>
        <w:tab/>
      </w:r>
      <w:r>
        <w:t>444</w:t>
      </w:r>
    </w:p>
    <w:p>
      <w:pPr>
        <w:pStyle w:val="TOC2"/>
      </w:pPr>
      <w:r>
        <w:t xml:space="preserve">Article F.12 - Publication, Historical Preservation, and Controlled Population</w:t>
      </w:r>
      <w:r>
        <w:tab/>
      </w:r>
      <w:r>
        <w:t>444</w:t>
      </w:r>
    </w:p>
    <w:p>
      <w:pPr>
        <w:pStyle w:val="TOC2"/>
      </w:pPr>
      <w:r>
        <w:t xml:space="preserve">Annex F Durable Completed-State Register - Controlled Schema</w:t>
      </w:r>
      <w:r>
        <w:tab/>
      </w:r>
      <w:r>
        <w:t>445</w:t>
      </w:r>
    </w:p>
    <w:p>
      <w:pPr>
        <w:pStyle w:val="TOC1"/>
      </w:pPr>
      <w:r>
        <w:t xml:space="preserve">Annex G - Product-Specific Rules of Origin Schedule</w:t>
      </w:r>
      <w:r>
        <w:tab/>
      </w:r>
      <w:r>
        <w:t>448</w:t>
      </w:r>
    </w:p>
    <w:p>
      <w:pPr>
        <w:pStyle w:val="TOC2"/>
      </w:pPr>
      <w:r>
        <w:t xml:space="preserve">Article G.1 - Purpose, Scope, and Legal Character</w:t>
      </w:r>
      <w:r>
        <w:tab/>
      </w:r>
      <w:r>
        <w:t>448</w:t>
      </w:r>
    </w:p>
    <w:p>
      <w:pPr>
        <w:pStyle w:val="TOC2"/>
      </w:pPr>
      <w:r>
        <w:t xml:space="preserve">Article G.2 - Product-Rule Record Architecture</w:t>
      </w:r>
      <w:r>
        <w:tab/>
      </w:r>
      <w:r>
        <w:t>448</w:t>
      </w:r>
    </w:p>
    <w:p>
      <w:pPr>
        <w:pStyle w:val="TOC2"/>
      </w:pPr>
      <w:r>
        <w:t xml:space="preserve">Article G.3 - Rule Assignment and Product Scope</w:t>
      </w:r>
      <w:r>
        <w:tab/>
      </w:r>
      <w:r>
        <w:t>449</w:t>
      </w:r>
    </w:p>
    <w:p>
      <w:pPr>
        <w:pStyle w:val="TOC2"/>
      </w:pPr>
      <w:r>
        <w:t xml:space="preserve">Article G.4 - Wholly Obtained and Originating-Material Interfaces</w:t>
      </w:r>
      <w:r>
        <w:tab/>
      </w:r>
      <w:r>
        <w:t>450</w:t>
      </w:r>
    </w:p>
    <w:p>
      <w:pPr>
        <w:pStyle w:val="TOC2"/>
      </w:pPr>
      <w:r>
        <w:t xml:space="preserve">Article G.5 - Change in Tariff Classification Rules</w:t>
      </w:r>
      <w:r>
        <w:tab/>
      </w:r>
      <w:r>
        <w:t>450</w:t>
      </w:r>
    </w:p>
    <w:p>
      <w:pPr>
        <w:pStyle w:val="TOC2"/>
      </w:pPr>
      <w:r>
        <w:t xml:space="preserve">Article G.6 - Regional Value Content and Maximum Non-Originating Content</w:t>
      </w:r>
      <w:r>
        <w:tab/>
      </w:r>
      <w:r>
        <w:t>451</w:t>
      </w:r>
    </w:p>
    <w:p>
      <w:pPr>
        <w:pStyle w:val="TOC2"/>
      </w:pPr>
      <w:r>
        <w:t xml:space="preserve">Article G.7 - Specific-Process and Structured Hybrid Rules</w:t>
      </w:r>
      <w:r>
        <w:tab/>
      </w:r>
      <w:r>
        <w:t>451</w:t>
      </w:r>
    </w:p>
    <w:p>
      <w:pPr>
        <w:pStyle w:val="TOC2"/>
      </w:pPr>
      <w:r>
        <w:t xml:space="preserve">Article G.8 - Accumulation and Chapter 10 Production Relationships</w:t>
      </w:r>
      <w:r>
        <w:tab/>
      </w:r>
      <w:r>
        <w:t>452</w:t>
      </w:r>
    </w:p>
    <w:p>
      <w:pPr>
        <w:pStyle w:val="TOC2"/>
      </w:pPr>
      <w:r>
        <w:t xml:space="preserve">Article G.9 - HS Concordance and Rule Continuity</w:t>
      </w:r>
      <w:r>
        <w:tab/>
      </w:r>
      <w:r>
        <w:t>453</w:t>
      </w:r>
    </w:p>
    <w:p>
      <w:pPr>
        <w:pStyle w:val="TOC2"/>
      </w:pPr>
      <w:r>
        <w:t xml:space="preserve">Article G.10 - Verification, Evidence, and Advance-Ruling Interfaces</w:t>
      </w:r>
      <w:r>
        <w:tab/>
      </w:r>
      <w:r>
        <w:t>453</w:t>
      </w:r>
    </w:p>
    <w:p>
      <w:pPr>
        <w:pStyle w:val="TOC2"/>
      </w:pPr>
      <w:r>
        <w:t xml:space="preserve">Article G.11 - Correction, Amendment, and Anti-Laundering</w:t>
      </w:r>
      <w:r>
        <w:tab/>
      </w:r>
      <w:r>
        <w:t>454</w:t>
      </w:r>
    </w:p>
    <w:p>
      <w:pPr>
        <w:pStyle w:val="TOC2"/>
      </w:pPr>
      <w:r>
        <w:t xml:space="preserve">Article G.12 - Publication, Version Control, and Controlled Population</w:t>
      </w:r>
      <w:r>
        <w:tab/>
      </w:r>
      <w:r>
        <w:t>454</w:t>
      </w:r>
    </w:p>
    <w:p>
      <w:pPr>
        <w:pStyle w:val="TOC2"/>
      </w:pPr>
      <w:r>
        <w:t xml:space="preserve">Annex G Product-Specific Rules of Origin Schedule - Controlled Schema</w:t>
      </w:r>
      <w:r>
        <w:tab/>
      </w:r>
      <w:r>
        <w:t>455</w:t>
      </w:r>
    </w:p>
    <w:p>
      <w:pPr>
        <w:pStyle w:val="TOC1"/>
      </w:pPr>
      <w:r>
        <w:t xml:space="preserve">Annex I - Regulatory Friction, Facilitation, and Resolution Register</w:t>
      </w:r>
      <w:r>
        <w:tab/>
      </w:r>
      <w:r>
        <w:t>457</w:t>
      </w:r>
    </w:p>
    <w:p>
      <w:pPr>
        <w:pStyle w:val="TOC2"/>
      </w:pPr>
      <w:r>
        <w:t xml:space="preserve">Article I.1 - Purpose, Scope, and Legal Character</w:t>
      </w:r>
      <w:r>
        <w:tab/>
      </w:r>
      <w:r>
        <w:t>457</w:t>
      </w:r>
    </w:p>
    <w:p>
      <w:pPr>
        <w:pStyle w:val="TOC2"/>
      </w:pPr>
      <w:r>
        <w:t xml:space="preserve">Article I.2 - Record Architecture and Persistent Identity</w:t>
      </w:r>
      <w:r>
        <w:tab/>
      </w:r>
      <w:r>
        <w:t>457</w:t>
      </w:r>
    </w:p>
    <w:p>
      <w:pPr>
        <w:pStyle w:val="TOC2"/>
      </w:pPr>
      <w:r>
        <w:t xml:space="preserve">Article I.3 - Friction Categories and Classification Rules</w:t>
      </w:r>
      <w:r>
        <w:tab/>
      </w:r>
      <w:r>
        <w:t>458</w:t>
      </w:r>
    </w:p>
    <w:p>
      <w:pPr>
        <w:pStyle w:val="TOC2"/>
      </w:pPr>
      <w:r>
        <w:t xml:space="preserve">Article I.4 - Submission, Evidence, and Screening</w:t>
      </w:r>
      <w:r>
        <w:tab/>
      </w:r>
      <w:r>
        <w:t>459</w:t>
      </w:r>
    </w:p>
    <w:p>
      <w:pPr>
        <w:pStyle w:val="TOC2"/>
      </w:pPr>
      <w:r>
        <w:t xml:space="preserve">Article I.5 - Routing and Receiving-Process Control</w:t>
      </w:r>
      <w:r>
        <w:tab/>
      </w:r>
      <w:r>
        <w:t>459</w:t>
      </w:r>
    </w:p>
    <w:p>
      <w:pPr>
        <w:pStyle w:val="TOC2"/>
      </w:pPr>
      <w:r>
        <w:t xml:space="preserve">Article I.6 - Facilitation and Administrative Resolution</w:t>
      </w:r>
      <w:r>
        <w:tab/>
      </w:r>
      <w:r>
        <w:t>460</w:t>
      </w:r>
    </w:p>
    <w:p>
      <w:pPr>
        <w:pStyle w:val="TOC2"/>
      </w:pPr>
      <w:r>
        <w:t xml:space="preserve">Article I.7 - Measurement, Administrative Burden, and Aggregate Patterns</w:t>
      </w:r>
      <w:r>
        <w:tab/>
      </w:r>
      <w:r>
        <w:t>461</w:t>
      </w:r>
    </w:p>
    <w:p>
      <w:pPr>
        <w:pStyle w:val="TOC2"/>
      </w:pPr>
      <w:r>
        <w:t xml:space="preserve">Article I.8 - Recognition, Equivalence, and Interoperability Tracking</w:t>
      </w:r>
      <w:r>
        <w:tab/>
      </w:r>
      <w:r>
        <w:t>461</w:t>
      </w:r>
    </w:p>
    <w:p>
      <w:pPr>
        <w:pStyle w:val="TOC2"/>
      </w:pPr>
      <w:r>
        <w:t xml:space="preserve">Article I.9 - Status, Milestones, Outcomes, and Implementation</w:t>
      </w:r>
      <w:r>
        <w:tab/>
      </w:r>
      <w:r>
        <w:t>462</w:t>
      </w:r>
    </w:p>
    <w:p>
      <w:pPr>
        <w:pStyle w:val="TOC2"/>
      </w:pPr>
      <w:r>
        <w:t xml:space="preserve">Article I.10 - Escalation, Cure, and Dispute Interfaces</w:t>
      </w:r>
      <w:r>
        <w:tab/>
      </w:r>
      <w:r>
        <w:t>462</w:t>
      </w:r>
    </w:p>
    <w:p>
      <w:pPr>
        <w:pStyle w:val="TOC2"/>
      </w:pPr>
      <w:r>
        <w:t xml:space="preserve">Article I.11 - Corrections, Verification, and Anti-Gaming Controls</w:t>
      </w:r>
      <w:r>
        <w:tab/>
      </w:r>
      <w:r>
        <w:t>463</w:t>
      </w:r>
    </w:p>
    <w:p>
      <w:pPr>
        <w:pStyle w:val="TOC2"/>
      </w:pPr>
      <w:r>
        <w:t xml:space="preserve">Article I.12 - Publication, Transparency, Institutional Learning, and Final Boundary</w:t>
      </w:r>
      <w:r>
        <w:tab/>
      </w:r>
      <w:r>
        <w:t>464</w:t>
      </w:r>
    </w:p>
    <w:p>
      <w:pPr>
        <w:pStyle w:val="TOC2"/>
      </w:pPr>
      <w:r>
        <w:t xml:space="preserve">Annex I Controlled Routing Key</w:t>
      </w:r>
      <w:r>
        <w:tab/>
      </w:r>
      <w:r>
        <w:t>464</w:t>
      </w:r>
    </w:p>
    <w:p>
      <w:pPr>
        <w:pStyle w:val="TOC2"/>
      </w:pPr>
      <w:r>
        <w:t xml:space="preserve">Annex I Controlled Schema</w:t>
      </w:r>
      <w:r>
        <w:tab/>
      </w:r>
      <w:r>
        <w:t>465</w:t>
      </w:r>
    </w:p>
    <w:p>
      <w:pPr>
        <w:pStyle w:val="TOC1"/>
      </w:pPr>
      <w:r>
        <w:t xml:space="preserve">Annex K - Safeguard Technical Parameters and Measurement Register</w:t>
      </w:r>
      <w:r>
        <w:tab/>
      </w:r>
      <w:r>
        <w:t>468</w:t>
      </w:r>
    </w:p>
    <w:p>
      <w:pPr>
        <w:pStyle w:val="TOC2"/>
      </w:pPr>
      <w:r>
        <w:t xml:space="preserve">Article K.1 - Purpose, Scope, and Legal Character</w:t>
      </w:r>
      <w:r>
        <w:tab/>
      </w:r>
      <w:r>
        <w:t>468</w:t>
      </w:r>
    </w:p>
    <w:p>
      <w:pPr>
        <w:pStyle w:val="TOC2"/>
      </w:pPr>
      <w:r>
        <w:t xml:space="preserve">Article K.2 - Technical Record Architecture and Persistent Identity</w:t>
      </w:r>
      <w:r>
        <w:tab/>
      </w:r>
      <w:r>
        <w:t>468</w:t>
      </w:r>
    </w:p>
    <w:p>
      <w:pPr>
        <w:pStyle w:val="TOC2"/>
      </w:pPr>
      <w:r>
        <w:t xml:space="preserve">Article K.3 - Measurement Variables, Units, and Conversion Rules</w:t>
      </w:r>
      <w:r>
        <w:tab/>
      </w:r>
      <w:r>
        <w:t>469</w:t>
      </w:r>
    </w:p>
    <w:p>
      <w:pPr>
        <w:pStyle w:val="TOC2"/>
      </w:pPr>
      <w:r>
        <w:t xml:space="preserve">Article K.4 - Reference Periods, Comparison Periods, and Temporal Integrity</w:t>
      </w:r>
      <w:r>
        <w:tab/>
      </w:r>
      <w:r>
        <w:t>470</w:t>
      </w:r>
    </w:p>
    <w:p>
      <w:pPr>
        <w:pStyle w:val="TOC2"/>
      </w:pPr>
      <w:r>
        <w:t xml:space="preserve">Article K.5 - Product Scope, Trade Flow, and Party Attribution</w:t>
      </w:r>
      <w:r>
        <w:tab/>
      </w:r>
      <w:r>
        <w:t>470</w:t>
      </w:r>
    </w:p>
    <w:p>
      <w:pPr>
        <w:pStyle w:val="TOC2"/>
      </w:pPr>
      <w:r>
        <w:t xml:space="preserve">Article K.6 - Seasonality, Cyclicality, and Exceptional Distortion</w:t>
      </w:r>
      <w:r>
        <w:tab/>
      </w:r>
      <w:r>
        <w:t>471</w:t>
      </w:r>
    </w:p>
    <w:p>
      <w:pPr>
        <w:pStyle w:val="TOC2"/>
      </w:pPr>
      <w:r>
        <w:t xml:space="preserve">Article K.7 - Thresholds, Indicators, and Technical Results</w:t>
      </w:r>
      <w:r>
        <w:tab/>
      </w:r>
      <w:r>
        <w:t>471</w:t>
      </w:r>
    </w:p>
    <w:p>
      <w:pPr>
        <w:pStyle w:val="TOC2"/>
      </w:pPr>
      <w:r>
        <w:t xml:space="preserve">Article K.8 - Data Provenance, Verification, and Revision</w:t>
      </w:r>
      <w:r>
        <w:tab/>
      </w:r>
      <w:r>
        <w:t>472</w:t>
      </w:r>
    </w:p>
    <w:p>
      <w:pPr>
        <w:pStyle w:val="TOC2"/>
      </w:pPr>
      <w:r>
        <w:t xml:space="preserve">Article K.9 - Causation Inputs and Confounding-Factor Separation</w:t>
      </w:r>
      <w:r>
        <w:tab/>
      </w:r>
      <w:r>
        <w:t>473</w:t>
      </w:r>
    </w:p>
    <w:p>
      <w:pPr>
        <w:pStyle w:val="TOC2"/>
      </w:pPr>
      <w:r>
        <w:t xml:space="preserve">Article K.10 - Temporary Measures, Safeguard Events, and State Separation</w:t>
      </w:r>
      <w:r>
        <w:tab/>
      </w:r>
      <w:r>
        <w:t>473</w:t>
      </w:r>
    </w:p>
    <w:p>
      <w:pPr>
        <w:pStyle w:val="TOC2"/>
      </w:pPr>
      <w:r>
        <w:t xml:space="preserve">Article K.11 - Corrections, Challenges, and Anti-Manipulation Controls</w:t>
      </w:r>
      <w:r>
        <w:tab/>
      </w:r>
      <w:r>
        <w:t>474</w:t>
      </w:r>
    </w:p>
    <w:p>
      <w:pPr>
        <w:pStyle w:val="TOC2"/>
      </w:pPr>
      <w:r>
        <w:t xml:space="preserve">Article K.12 - Publication, Reproducibility, and Historical Record</w:t>
      </w:r>
      <w:r>
        <w:tab/>
      </w:r>
      <w:r>
        <w:t>474</w:t>
      </w:r>
    </w:p>
    <w:p>
      <w:pPr>
        <w:pStyle w:val="TOC2"/>
      </w:pPr>
      <w:r>
        <w:t xml:space="preserve">Annex K Safeguard Technical Parameters and Measurement Register - Controlled Schema</w:t>
      </w:r>
      <w:r>
        <w:tab/>
      </w:r>
      <w:r>
        <w:t>475</w:t>
      </w:r>
    </w:p>
    <w:p>
      <w:pPr>
        <w:pStyle w:val="TOC1"/>
      </w:pPr>
      <w:r>
        <w:t xml:space="preserve">Annex M - HS Concordance and Successor-Record Register</w:t>
      </w:r>
      <w:r>
        <w:tab/>
      </w:r>
      <w:r>
        <w:t>478</w:t>
      </w:r>
    </w:p>
    <w:p>
      <w:pPr>
        <w:pStyle w:val="TOC2"/>
      </w:pPr>
      <w:r>
        <w:t xml:space="preserve">Article M.1 - Purpose, Scope, and Legal Character</w:t>
      </w:r>
      <w:r>
        <w:tab/>
      </w:r>
      <w:r>
        <w:t>478</w:t>
      </w:r>
    </w:p>
    <w:p>
      <w:pPr>
        <w:pStyle w:val="TOC2"/>
      </w:pPr>
      <w:r>
        <w:t xml:space="preserve">Article M.2 - Definitions and Interpretive Firewalls</w:t>
      </w:r>
      <w:r>
        <w:tab/>
      </w:r>
      <w:r>
        <w:t>478</w:t>
      </w:r>
    </w:p>
    <w:p>
      <w:pPr>
        <w:pStyle w:val="TOC2"/>
      </w:pPr>
      <w:r>
        <w:t xml:space="preserve">Article M.3 - Record Architecture and Persistent Identity</w:t>
      </w:r>
      <w:r>
        <w:tab/>
      </w:r>
      <w:r>
        <w:t>479</w:t>
      </w:r>
    </w:p>
    <w:p>
      <w:pPr>
        <w:pStyle w:val="TOC2"/>
      </w:pPr>
      <w:r>
        <w:t xml:space="preserve">Article M.4 - Authoritative Nomenclature and Source Hierarchy</w:t>
      </w:r>
      <w:r>
        <w:tab/>
      </w:r>
      <w:r>
        <w:t>480</w:t>
      </w:r>
    </w:p>
    <w:p>
      <w:pPr>
        <w:pStyle w:val="TOC2"/>
      </w:pPr>
      <w:r>
        <w:t xml:space="preserve">Article M.5 - Mapping Types and Correspondence States</w:t>
      </w:r>
      <w:r>
        <w:tab/>
      </w:r>
      <w:r>
        <w:t>480</w:t>
      </w:r>
    </w:p>
    <w:p>
      <w:pPr>
        <w:pStyle w:val="TOC2"/>
      </w:pPr>
      <w:r>
        <w:t xml:space="preserve">Article M.6 - One-to-One and Statistical Successor Continuity</w:t>
      </w:r>
      <w:r>
        <w:tab/>
      </w:r>
      <w:r>
        <w:t>481</w:t>
      </w:r>
    </w:p>
    <w:p>
      <w:pPr>
        <w:pStyle w:val="TOC2"/>
      </w:pPr>
      <w:r>
        <w:t xml:space="preserve">Article M.7 - Splits, Mergers, and Partial Correspondence</w:t>
      </w:r>
      <w:r>
        <w:tab/>
      </w:r>
      <w:r>
        <w:t>482</w:t>
      </w:r>
    </w:p>
    <w:p>
      <w:pPr>
        <w:pStyle w:val="TOC2"/>
      </w:pPr>
      <w:r>
        <w:t xml:space="preserve">Article M.8 - Product Identity and Cross-Annex Legal-State Continuity</w:t>
      </w:r>
      <w:r>
        <w:tab/>
      </w:r>
      <w:r>
        <w:t>482</w:t>
      </w:r>
    </w:p>
    <w:p>
      <w:pPr>
        <w:pStyle w:val="TOC2"/>
      </w:pPr>
      <w:r>
        <w:t xml:space="preserve">Article M.9 - Origin-Rule and Product-Specific Rule Continuity</w:t>
      </w:r>
      <w:r>
        <w:tab/>
      </w:r>
      <w:r>
        <w:t>483</w:t>
      </w:r>
    </w:p>
    <w:p>
      <w:pPr>
        <w:pStyle w:val="TOC2"/>
      </w:pPr>
      <w:r>
        <w:t xml:space="preserve">Article M.10 - Verification, Ambiguity, and Dispute Routing</w:t>
      </w:r>
      <w:r>
        <w:tab/>
      </w:r>
      <w:r>
        <w:t>484</w:t>
      </w:r>
    </w:p>
    <w:p>
      <w:pPr>
        <w:pStyle w:val="TOC2"/>
      </w:pPr>
      <w:r>
        <w:t xml:space="preserve">Article M.11 - Corrections, Versioning, and Anti-Bootstrap Controls</w:t>
      </w:r>
      <w:r>
        <w:tab/>
      </w:r>
      <w:r>
        <w:t>484</w:t>
      </w:r>
    </w:p>
    <w:p>
      <w:pPr>
        <w:pStyle w:val="TOC2"/>
      </w:pPr>
      <w:r>
        <w:t xml:space="preserve">Article M.12 - Publication, Historical Ancestry, and Successor Maintenance</w:t>
      </w:r>
      <w:r>
        <w:tab/>
      </w:r>
      <w:r>
        <w:t>485</w:t>
      </w:r>
    </w:p>
    <w:p>
      <w:pPr>
        <w:pStyle w:val="TOC2"/>
      </w:pPr>
      <w:r>
        <w:t xml:space="preserve">Annex M HS Concordance and Successor-Record Register - Controlled Schema</w:t>
      </w:r>
      <w:r>
        <w:tab/>
      </w:r>
      <w:r>
        <w:t>486</w:t>
      </w:r>
    </w:p>
    <w:p>
      <w:pPr>
        <w:pStyle w:val="TOC1"/>
      </w:pPr>
      <w:r>
        <w:t xml:space="preserve">Implementation Status and Remaining Controlled Data Work</w:t>
      </w:r>
      <w:r>
        <w:tab/>
      </w:r>
      <w:r>
        <w:t>493</w:t>
      </w:r>
    </w:p>
    <w:p>
      <w:pPr>
        <w:pStyle w:val="TOC1"/>
      </w:pPr>
      <w:r>
        <w:t xml:space="preserve">NAAFTC Completion Forge Control Note</w:t>
      </w:r>
      <w:r>
        <w:tab/>
      </w:r>
      <w:r>
        <w:t>494</w:t>
      </w:r>
    </w:p>
    <w:p>
      <w:pPr>
        <w:pStyle w:val="TOC1"/>
      </w:pPr>
      <w:r>
        <w:t xml:space="preserve">Annex A-B Authoritative-Source Population Pilot - Historical Validation Record</w:t>
      </w:r>
      <w:r>
        <w:tab/>
      </w:r>
      <w:r>
        <w:t>495</w:t>
      </w:r>
      <w:r>
        <w:fldChar w:fldCharType="end"/>
      </w:r>
    </w:p>
    <w:p>
      <w:pPr>
        <w:pStyle w:val="Heading1"/>
      </w:pPr>
      <w:r>
        <w:t>Instrument Overview</w:t>
      </w:r>
    </w:p>
    <w:tbl>
      <w:tblPr>
        <w:tblStyle w:val="TableGrid"/>
        <w:tblW w:type="dxa" w:w="9994"/>
        <w:jc w:val="center"/>
        <w:tblLayout w:type="fixed"/>
        <w:tblLook w:firstColumn="1" w:firstRow="1" w:lastColumn="0" w:lastRow="0" w:noHBand="0" w:noVBand="1" w:val="04A0"/>
      </w:tblPr>
      <w:tblGrid>
        <w:gridCol w:w="4997"/>
        <w:gridCol w:w="4997"/>
      </w:tblGrid>
      <w:tr>
        <w:tc>
          <w:tcPr>
            <w:tcW w:type="dxa" w:w="4997"/>
            <w:shd w:fill="E7E7E7"/>
          </w:tcPr>
          <w:p>
            <w:pPr>
              <w:spacing w:before="20" w:after="20"/>
            </w:pPr>
            <w:r>
              <w:rPr>
                <w:b/>
                <w:sz w:val="16"/>
                <w:szCs w:val="16"/>
              </w:rPr>
              <w:t>Instrument component</w:t>
            </w:r>
          </w:p>
        </w:tc>
        <w:tc>
          <w:tcPr>
            <w:tcW w:type="dxa" w:w="4997"/>
            <w:shd w:fill="E7E7E7"/>
          </w:tcPr>
          <w:p>
            <w:pPr>
              <w:spacing w:before="20" w:after="20"/>
            </w:pPr>
            <w:r>
              <w:rPr>
                <w:b/>
                <w:sz w:val="16"/>
                <w:szCs w:val="16"/>
              </w:rPr>
              <w:t>Core function</w:t>
            </w:r>
          </w:p>
        </w:tc>
        <w:trPr>
          <w:tblHeader/>
        </w:trPr>
      </w:tr>
      <w:tr>
        <w:tc>
          <w:tcPr>
            <w:tcW w:type="dxa" w:w="4997"/>
            <w:vAlign w:val="top"/>
          </w:tcPr>
          <w:p>
            <w:pPr>
              <w:spacing w:before="20" w:after="20"/>
            </w:pPr>
            <w:r>
              <w:rPr>
                <w:sz w:val="16"/>
                <w:szCs w:val="16"/>
              </w:rPr>
              <w:t>Preamble</w:t>
            </w:r>
          </w:p>
        </w:tc>
        <w:tc>
          <w:tcPr>
            <w:tcW w:type="dxa" w:w="4997"/>
            <w:vAlign w:val="top"/>
          </w:tcPr>
          <w:p>
            <w:pPr>
              <w:spacing w:before="20" w:after="20"/>
            </w:pPr>
            <w:r>
              <w:rPr>
                <w:sz w:val="16"/>
                <w:szCs w:val="16"/>
              </w:rPr>
              <w:t>Purpose, trilateral bargain, food security, sovereignty, reciprocity.</w:t>
            </w:r>
          </w:p>
        </w:tc>
      </w:tr>
      <w:tr>
        <w:tc>
          <w:tcPr>
            <w:tcW w:type="dxa" w:w="4997"/>
            <w:vAlign w:val="top"/>
          </w:tcPr>
          <w:p>
            <w:pPr>
              <w:spacing w:before="20" w:after="20"/>
            </w:pPr>
            <w:r>
              <w:rPr>
                <w:sz w:val="16"/>
                <w:szCs w:val="16"/>
              </w:rPr>
              <w:t>Chapter 1 - Initial Provisions, Objectives, and Scope</w:t>
            </w:r>
          </w:p>
        </w:tc>
        <w:tc>
          <w:tcPr>
            <w:tcW w:type="dxa" w:w="4997"/>
            <w:vAlign w:val="top"/>
          </w:tcPr>
          <w:p>
            <w:pPr>
              <w:spacing w:before="20" w:after="20"/>
            </w:pPr>
            <w:r>
              <w:rPr>
                <w:sz w:val="16"/>
                <w:szCs w:val="16"/>
              </w:rPr>
              <w:t>What the Compact covers and what it does not.</w:t>
            </w:r>
          </w:p>
        </w:tc>
      </w:tr>
      <w:tr>
        <w:tc>
          <w:tcPr>
            <w:tcW w:type="dxa" w:w="4997"/>
            <w:vAlign w:val="top"/>
          </w:tcPr>
          <w:p>
            <w:pPr>
              <w:spacing w:before="20" w:after="20"/>
            </w:pPr>
            <w:r>
              <w:rPr>
                <w:sz w:val="16"/>
                <w:szCs w:val="16"/>
              </w:rPr>
              <w:t>Chapter 2 - Definitions and Interpretive Rules</w:t>
            </w:r>
          </w:p>
        </w:tc>
        <w:tc>
          <w:tcPr>
            <w:tcW w:type="dxa" w:w="4997"/>
            <w:vAlign w:val="top"/>
          </w:tcPr>
          <w:p>
            <w:pPr>
              <w:spacing w:before="20" w:after="20"/>
            </w:pPr>
            <w:r>
              <w:rPr>
                <w:sz w:val="16"/>
                <w:szCs w:val="16"/>
              </w:rPr>
              <w:t>Core legal vocabulary and interpretation.</w:t>
            </w:r>
          </w:p>
        </w:tc>
      </w:tr>
      <w:tr>
        <w:tc>
          <w:tcPr>
            <w:tcW w:type="dxa" w:w="4997"/>
            <w:vAlign w:val="top"/>
          </w:tcPr>
          <w:p>
            <w:pPr>
              <w:spacing w:before="20" w:after="20"/>
            </w:pPr>
            <w:r>
              <w:rPr>
                <w:sz w:val="16"/>
                <w:szCs w:val="16"/>
              </w:rPr>
              <w:t>Chapter 3 - Covered Agricultural Goods and Product Schedules</w:t>
            </w:r>
          </w:p>
        </w:tc>
        <w:tc>
          <w:tcPr>
            <w:tcW w:type="dxa" w:w="4997"/>
            <w:vAlign w:val="top"/>
          </w:tcPr>
          <w:p>
            <w:pPr>
              <w:spacing w:before="20" w:after="20"/>
            </w:pPr>
            <w:r>
              <w:rPr>
                <w:sz w:val="16"/>
                <w:szCs w:val="16"/>
              </w:rPr>
              <w:t>Coverage, tariff lines, sensitive schedules, schedule maintenance.</w:t>
            </w:r>
          </w:p>
        </w:tc>
      </w:tr>
      <w:tr>
        <w:tc>
          <w:tcPr>
            <w:tcW w:type="dxa" w:w="4997"/>
            <w:vAlign w:val="top"/>
          </w:tcPr>
          <w:p>
            <w:pPr>
              <w:spacing w:before="20" w:after="20"/>
            </w:pPr>
            <w:r>
              <w:rPr>
                <w:sz w:val="16"/>
                <w:szCs w:val="16"/>
              </w:rPr>
              <w:t>Chapter 4 - Immediate Zero-Tariff Lock and No-New-Barrier Rule</w:t>
            </w:r>
          </w:p>
        </w:tc>
        <w:tc>
          <w:tcPr>
            <w:tcW w:type="dxa" w:w="4997"/>
            <w:vAlign w:val="top"/>
          </w:tcPr>
          <w:p>
            <w:pPr>
              <w:spacing w:before="20" w:after="20"/>
            </w:pPr>
            <w:r>
              <w:rPr>
                <w:sz w:val="16"/>
                <w:szCs w:val="16"/>
              </w:rPr>
              <w:t>Protect existing zero treatment from regression.</w:t>
            </w:r>
          </w:p>
        </w:tc>
      </w:tr>
      <w:tr>
        <w:tc>
          <w:tcPr>
            <w:tcW w:type="dxa" w:w="4997"/>
            <w:vAlign w:val="top"/>
          </w:tcPr>
          <w:p>
            <w:pPr>
              <w:spacing w:before="20" w:after="20"/>
            </w:pPr>
            <w:r>
              <w:rPr>
                <w:sz w:val="16"/>
                <w:szCs w:val="16"/>
              </w:rPr>
              <w:t>Chapter 5 - General Tariff Elimination</w:t>
            </w:r>
          </w:p>
        </w:tc>
        <w:tc>
          <w:tcPr>
            <w:tcW w:type="dxa" w:w="4997"/>
            <w:vAlign w:val="top"/>
          </w:tcPr>
          <w:p>
            <w:pPr>
              <w:spacing w:before="20" w:after="20"/>
            </w:pPr>
            <w:r>
              <w:rPr>
                <w:sz w:val="16"/>
                <w:szCs w:val="16"/>
              </w:rPr>
              <w:t>Rapid elimination of remaining ordinary agricultural tariffs.</w:t>
            </w:r>
          </w:p>
        </w:tc>
      </w:tr>
      <w:tr>
        <w:tc>
          <w:tcPr>
            <w:tcW w:type="dxa" w:w="4997"/>
            <w:vAlign w:val="top"/>
          </w:tcPr>
          <w:p>
            <w:pPr>
              <w:spacing w:before="20" w:after="20"/>
            </w:pPr>
            <w:r>
              <w:rPr>
                <w:sz w:val="16"/>
                <w:szCs w:val="16"/>
              </w:rPr>
              <w:t>Chapter 6 - Sensitive-Sector Transition Schedules</w:t>
            </w:r>
          </w:p>
        </w:tc>
        <w:tc>
          <w:tcPr>
            <w:tcW w:type="dxa" w:w="4997"/>
            <w:vAlign w:val="top"/>
          </w:tcPr>
          <w:p>
            <w:pPr>
              <w:spacing w:before="20" w:after="20"/>
            </w:pPr>
            <w:r>
              <w:rPr>
                <w:sz w:val="16"/>
                <w:szCs w:val="16"/>
              </w:rPr>
              <w:t>Dairy, poultry, eggs, sugar and any other designated sectors.</w:t>
            </w:r>
          </w:p>
        </w:tc>
      </w:tr>
      <w:tr>
        <w:tc>
          <w:tcPr>
            <w:tcW w:type="dxa" w:w="4997"/>
            <w:vAlign w:val="top"/>
          </w:tcPr>
          <w:p>
            <w:pPr>
              <w:spacing w:before="20" w:after="20"/>
            </w:pPr>
            <w:r>
              <w:rPr>
                <w:sz w:val="16"/>
                <w:szCs w:val="16"/>
              </w:rPr>
              <w:t>Chapter 7 - Progressive Market-Access Vesting and TRQ Displacement</w:t>
            </w:r>
          </w:p>
        </w:tc>
        <w:tc>
          <w:tcPr>
            <w:tcW w:type="dxa" w:w="4997"/>
            <w:vAlign w:val="top"/>
          </w:tcPr>
          <w:p>
            <w:pPr>
              <w:spacing w:before="20" w:after="20"/>
            </w:pPr>
            <w:r>
              <w:rPr>
                <w:sz w:val="16"/>
                <w:szCs w:val="16"/>
              </w:rPr>
              <w:t>Permanent vesting of unrestricted access, corresponding displacement of managed-access authority, and Full-Vesting Confirmation.</w:t>
            </w:r>
          </w:p>
        </w:tc>
      </w:tr>
      <w:tr>
        <w:tc>
          <w:tcPr>
            <w:tcW w:type="dxa" w:w="4997"/>
            <w:vAlign w:val="top"/>
          </w:tcPr>
          <w:p>
            <w:pPr>
              <w:spacing w:before="20" w:after="20"/>
            </w:pPr>
            <w:r>
              <w:rPr>
                <w:sz w:val="16"/>
                <w:szCs w:val="16"/>
              </w:rPr>
              <w:t>Chapter 8 - Synchronized Reciprocity and Activation</w:t>
            </w:r>
          </w:p>
        </w:tc>
        <w:tc>
          <w:tcPr>
            <w:tcW w:type="dxa" w:w="4997"/>
            <w:vAlign w:val="top"/>
          </w:tcPr>
          <w:p>
            <w:pPr>
              <w:spacing w:before="20" w:after="20"/>
            </w:pPr>
            <w:r>
              <w:rPr>
                <w:sz w:val="16"/>
                <w:szCs w:val="16"/>
              </w:rPr>
              <w:t>Paired milestones so no Party liberalizes alone.</w:t>
            </w:r>
          </w:p>
        </w:tc>
      </w:tr>
      <w:tr>
        <w:tc>
          <w:tcPr>
            <w:tcW w:type="dxa" w:w="4997"/>
            <w:vAlign w:val="top"/>
          </w:tcPr>
          <w:p>
            <w:pPr>
              <w:spacing w:before="20" w:after="20"/>
            </w:pPr>
            <w:r>
              <w:rPr>
                <w:sz w:val="16"/>
                <w:szCs w:val="16"/>
              </w:rPr>
              <w:t>Chapter 9 - Zero-Line Registry and No-Backsliding</w:t>
            </w:r>
          </w:p>
        </w:tc>
        <w:tc>
          <w:tcPr>
            <w:tcW w:type="dxa" w:w="4997"/>
            <w:vAlign w:val="top"/>
          </w:tcPr>
          <w:p>
            <w:pPr>
              <w:spacing w:before="20" w:after="20"/>
            </w:pPr>
            <w:r>
              <w:rPr>
                <w:sz w:val="16"/>
                <w:szCs w:val="16"/>
              </w:rPr>
              <w:t>Append-only record of completed liberalization.</w:t>
            </w:r>
          </w:p>
        </w:tc>
      </w:tr>
      <w:tr>
        <w:tc>
          <w:tcPr>
            <w:tcW w:type="dxa" w:w="4997"/>
            <w:vAlign w:val="top"/>
          </w:tcPr>
          <w:p>
            <w:pPr>
              <w:spacing w:before="20" w:after="20"/>
            </w:pPr>
            <w:r>
              <w:rPr>
                <w:sz w:val="16"/>
                <w:szCs w:val="16"/>
              </w:rPr>
              <w:t>Chapter 10 - Rules of Origin</w:t>
            </w:r>
          </w:p>
        </w:tc>
        <w:tc>
          <w:tcPr>
            <w:tcW w:type="dxa" w:w="4997"/>
            <w:vAlign w:val="top"/>
          </w:tcPr>
          <w:p>
            <w:pPr>
              <w:spacing w:before="20" w:after="20"/>
            </w:pPr>
            <w:r>
              <w:rPr>
                <w:sz w:val="16"/>
                <w:szCs w:val="16"/>
              </w:rPr>
              <w:t>Eligibility for Compact preferences.</w:t>
            </w:r>
          </w:p>
        </w:tc>
      </w:tr>
      <w:tr>
        <w:tc>
          <w:tcPr>
            <w:tcW w:type="dxa" w:w="4997"/>
            <w:vAlign w:val="top"/>
          </w:tcPr>
          <w:p>
            <w:pPr>
              <w:spacing w:before="20" w:after="20"/>
            </w:pPr>
            <w:r>
              <w:rPr>
                <w:sz w:val="16"/>
                <w:szCs w:val="16"/>
              </w:rPr>
              <w:t>Chapter 11 - Anti-Circumvention, Transshipment, and Fraud</w:t>
            </w:r>
          </w:p>
        </w:tc>
        <w:tc>
          <w:tcPr>
            <w:tcW w:type="dxa" w:w="4997"/>
            <w:vAlign w:val="top"/>
          </w:tcPr>
          <w:p>
            <w:pPr>
              <w:spacing w:before="20" w:after="20"/>
            </w:pPr>
            <w:r>
              <w:rPr>
                <w:sz w:val="16"/>
                <w:szCs w:val="16"/>
              </w:rPr>
              <w:t>Protect independent external tariff policies.</w:t>
            </w:r>
          </w:p>
        </w:tc>
      </w:tr>
      <w:tr>
        <w:tc>
          <w:tcPr>
            <w:tcW w:type="dxa" w:w="4997"/>
            <w:vAlign w:val="top"/>
          </w:tcPr>
          <w:p>
            <w:pPr>
              <w:spacing w:before="20" w:after="20"/>
            </w:pPr>
            <w:r>
              <w:rPr>
                <w:sz w:val="16"/>
                <w:szCs w:val="16"/>
              </w:rPr>
              <w:t xml:space="preserve">Chapter 12 - Customs Administration, Origin Verification, and Border Facilitation</w:t>
            </w:r>
          </w:p>
        </w:tc>
        <w:tc>
          <w:tcPr>
            <w:tcW w:type="dxa" w:w="4997"/>
            <w:vAlign w:val="top"/>
          </w:tcPr>
          <w:p>
            <w:pPr>
              <w:spacing w:before="20" w:after="20"/>
            </w:pPr>
            <w:r>
              <w:rPr>
                <w:sz w:val="16"/>
                <w:szCs w:val="16"/>
              </w:rPr>
              <w:t>Low-friction movement and commercial usability.</w:t>
            </w:r>
          </w:p>
        </w:tc>
      </w:tr>
      <w:tr>
        <w:tc>
          <w:tcPr>
            <w:tcW w:type="dxa" w:w="4997"/>
            <w:vAlign w:val="top"/>
          </w:tcPr>
          <w:p>
            <w:pPr>
              <w:spacing w:before="20" w:after="20"/>
            </w:pPr>
            <w:r>
              <w:rPr>
                <w:sz w:val="16"/>
                <w:szCs w:val="16"/>
              </w:rPr>
              <w:t xml:space="preserve">Chapter 13 - Advance Rulings and Binding Origin Guidance</w:t>
            </w:r>
          </w:p>
        </w:tc>
        <w:tc>
          <w:tcPr>
            <w:tcW w:type="dxa" w:w="4997"/>
            <w:vAlign w:val="top"/>
          </w:tcPr>
          <w:p>
            <w:pPr>
              <w:spacing w:before="20" w:after="20"/>
            </w:pPr>
            <w:r>
              <w:rPr>
                <w:sz w:val="16"/>
                <w:szCs w:val="16"/>
              </w:rPr>
              <w:t xml:space="preserve">Binding pre-transaction rulings on origin and classification.</w:t>
            </w:r>
          </w:p>
        </w:tc>
      </w:tr>
      <w:tr>
        <w:tc>
          <w:tcPr>
            <w:tcW w:type="dxa" w:w="4997"/>
            <w:vAlign w:val="top"/>
          </w:tcPr>
          <w:p>
            <w:pPr>
              <w:spacing w:before="20" w:after="20"/>
            </w:pPr>
            <w:r>
              <w:rPr>
                <w:sz w:val="16"/>
                <w:szCs w:val="16"/>
              </w:rPr>
              <w:t xml:space="preserve">Chapter 14 - Sanitary and Phytosanitary Measures</w:t>
            </w:r>
          </w:p>
        </w:tc>
        <w:tc>
          <w:tcPr>
            <w:tcW w:type="dxa" w:w="4997"/>
            <w:vAlign w:val="top"/>
          </w:tcPr>
          <w:p>
            <w:pPr>
              <w:spacing w:before="20" w:after="20"/>
            </w:pPr>
            <w:r>
              <w:rPr>
                <w:sz w:val="16"/>
                <w:szCs w:val="16"/>
              </w:rPr>
              <w:t>Science, risk, sovereignty, regionalization, emergency action.</w:t>
            </w:r>
          </w:p>
        </w:tc>
      </w:tr>
      <w:tr>
        <w:tc>
          <w:tcPr>
            <w:tcW w:type="dxa" w:w="4997"/>
            <w:vAlign w:val="top"/>
          </w:tcPr>
          <w:p>
            <w:pPr>
              <w:spacing w:before="20" w:after="20"/>
            </w:pPr>
            <w:r>
              <w:rPr>
                <w:sz w:val="16"/>
                <w:szCs w:val="16"/>
              </w:rPr>
              <w:t xml:space="preserve">Chapter 15 - Equivalence, Recognition, Inspection, and Certification</w:t>
            </w:r>
          </w:p>
        </w:tc>
        <w:tc>
          <w:tcPr>
            <w:tcW w:type="dxa" w:w="4997"/>
            <w:vAlign w:val="top"/>
          </w:tcPr>
          <w:p>
            <w:pPr>
              <w:spacing w:before="20" w:after="20"/>
            </w:pPr>
            <w:r>
              <w:rPr>
                <w:sz w:val="16"/>
                <w:szCs w:val="16"/>
              </w:rPr>
              <w:t>Comparable outcomes and electronic systems.</w:t>
            </w:r>
          </w:p>
        </w:tc>
      </w:tr>
      <w:tr>
        <w:tc>
          <w:tcPr>
            <w:tcW w:type="dxa" w:w="4997"/>
            <w:vAlign w:val="top"/>
          </w:tcPr>
          <w:p>
            <w:pPr>
              <w:spacing w:before="20" w:after="20"/>
            </w:pPr>
            <w:r>
              <w:rPr>
                <w:sz w:val="16"/>
                <w:szCs w:val="16"/>
              </w:rPr>
              <w:t xml:space="preserve">Chapter 16 - Agricultural Regulatory Friction and Anti-Substitution</w:t>
            </w:r>
          </w:p>
        </w:tc>
        <w:tc>
          <w:tcPr>
            <w:tcW w:type="dxa" w:w="4997"/>
            <w:vAlign w:val="top"/>
          </w:tcPr>
          <w:p>
            <w:pPr>
              <w:spacing w:before="20" w:after="20"/>
            </w:pPr>
            <w:r>
              <w:rPr>
                <w:sz w:val="16"/>
                <w:szCs w:val="16"/>
              </w:rPr>
              <w:t>Prevent administrative replacement of abolished tariffs/TRQs.</w:t>
            </w:r>
          </w:p>
        </w:tc>
      </w:tr>
      <w:tr>
        <w:tc>
          <w:tcPr>
            <w:tcW w:type="dxa" w:w="4997"/>
            <w:vAlign w:val="top"/>
          </w:tcPr>
          <w:p>
            <w:pPr>
              <w:spacing w:before="20" w:after="20"/>
            </w:pPr>
            <w:r>
              <w:rPr>
                <w:sz w:val="16"/>
                <w:szCs w:val="16"/>
              </w:rPr>
              <w:t xml:space="preserve">Chapter 17 - Agricultural Liberalization Verification System (ALVS)</w:t>
            </w:r>
          </w:p>
        </w:tc>
        <w:tc>
          <w:tcPr>
            <w:tcW w:type="dxa" w:w="4997"/>
            <w:vAlign w:val="top"/>
          </w:tcPr>
          <w:p>
            <w:pPr>
              <w:spacing w:before="20" w:after="20"/>
            </w:pPr>
            <w:r>
              <w:rPr>
                <w:sz w:val="16"/>
                <w:szCs w:val="16"/>
              </w:rPr>
              <w:t>Purpose-built verification architecture.</w:t>
            </w:r>
          </w:p>
        </w:tc>
      </w:tr>
      <w:tr>
        <w:tc>
          <w:tcPr>
            <w:tcW w:type="dxa" w:w="4997"/>
            <w:vAlign w:val="top"/>
          </w:tcPr>
          <w:p>
            <w:pPr>
              <w:spacing w:before="20" w:after="20"/>
            </w:pPr>
            <w:r>
              <w:rPr>
                <w:sz w:val="16"/>
                <w:szCs w:val="16"/>
              </w:rPr>
              <w:t xml:space="preserve">Chapter 18 - Independent Technical and Scientific Review</w:t>
            </w:r>
          </w:p>
        </w:tc>
        <w:tc>
          <w:tcPr>
            <w:tcW w:type="dxa" w:w="4997"/>
            <w:vAlign w:val="top"/>
          </w:tcPr>
          <w:p>
            <w:pPr>
              <w:spacing w:before="20" w:after="20"/>
            </w:pPr>
            <w:r>
              <w:rPr>
                <w:sz w:val="16"/>
                <w:szCs w:val="16"/>
              </w:rPr>
              <w:t>Escalated review for contested technical matters.</w:t>
            </w:r>
          </w:p>
        </w:tc>
      </w:tr>
      <w:tr>
        <w:tc>
          <w:tcPr>
            <w:tcW w:type="dxa" w:w="4997"/>
            <w:vAlign w:val="top"/>
          </w:tcPr>
          <w:p>
            <w:pPr>
              <w:spacing w:before="20" w:after="20"/>
            </w:pPr>
            <w:r>
              <w:rPr>
                <w:sz w:val="16"/>
                <w:szCs w:val="16"/>
              </w:rPr>
              <w:t xml:space="preserve">Chapter 19 - Transition Safeguards and Emergency Measures</w:t>
            </w:r>
          </w:p>
        </w:tc>
        <w:tc>
          <w:tcPr>
            <w:tcW w:type="dxa" w:w="4997"/>
            <w:vAlign w:val="top"/>
          </w:tcPr>
          <w:p>
            <w:pPr>
              <w:spacing w:before="20" w:after="20"/>
            </w:pPr>
            <w:r>
              <w:rPr>
                <w:sz w:val="16"/>
                <w:szCs w:val="16"/>
              </w:rPr>
              <w:t>Temporary brakes without rebuilding permanent protection.</w:t>
            </w:r>
          </w:p>
        </w:tc>
      </w:tr>
      <w:tr>
        <w:tc>
          <w:tcPr>
            <w:tcW w:type="dxa" w:w="4997"/>
            <w:vAlign w:val="top"/>
          </w:tcPr>
          <w:p>
            <w:pPr>
              <w:spacing w:before="20" w:after="20"/>
            </w:pPr>
            <w:r>
              <w:rPr>
                <w:sz w:val="16"/>
                <w:szCs w:val="16"/>
              </w:rPr>
              <w:t xml:space="preserve">Chapter 20 - Food Security, Shortage, and Continuity</w:t>
            </w:r>
          </w:p>
        </w:tc>
        <w:tc>
          <w:tcPr>
            <w:tcW w:type="dxa" w:w="4997"/>
            <w:vAlign w:val="top"/>
          </w:tcPr>
          <w:p>
            <w:pPr>
              <w:spacing w:before="20" w:after="20"/>
            </w:pPr>
            <w:r>
              <w:rPr>
                <w:sz w:val="16"/>
                <w:szCs w:val="16"/>
              </w:rPr>
              <w:t>Critical shortage and resilience rules.</w:t>
            </w:r>
          </w:p>
        </w:tc>
      </w:tr>
      <w:tr>
        <w:tc>
          <w:tcPr>
            <w:tcW w:type="dxa" w:w="4997"/>
            <w:vAlign w:val="top"/>
          </w:tcPr>
          <w:p>
            <w:pPr>
              <w:spacing w:before="20" w:after="20"/>
            </w:pPr>
            <w:r>
              <w:rPr>
                <w:sz w:val="16"/>
                <w:szCs w:val="16"/>
              </w:rPr>
              <w:t xml:space="preserve">Chapter 21 - Domestic Producer Adjustment and Policy Space</w:t>
            </w:r>
          </w:p>
        </w:tc>
        <w:tc>
          <w:tcPr>
            <w:tcW w:type="dxa" w:w="4997"/>
            <w:vAlign w:val="top"/>
          </w:tcPr>
          <w:p>
            <w:pPr>
              <w:spacing w:before="20" w:after="20"/>
            </w:pPr>
            <w:r>
              <w:rPr>
                <w:sz w:val="16"/>
                <w:szCs w:val="16"/>
              </w:rPr>
              <w:t>Long-tail support without re-creating border protection.</w:t>
            </w:r>
          </w:p>
        </w:tc>
      </w:tr>
      <w:tr>
        <w:tc>
          <w:tcPr>
            <w:tcW w:type="dxa" w:w="4997"/>
            <w:vAlign w:val="top"/>
          </w:tcPr>
          <w:p>
            <w:pPr>
              <w:spacing w:before="20" w:after="20"/>
            </w:pPr>
            <w:r>
              <w:rPr>
                <w:sz w:val="16"/>
                <w:szCs w:val="16"/>
              </w:rPr>
              <w:t xml:space="preserve">Chapter 22 - Transparency, Data, and Shared Registry</w:t>
            </w:r>
          </w:p>
        </w:tc>
        <w:tc>
          <w:tcPr>
            <w:tcW w:type="dxa" w:w="4997"/>
            <w:vAlign w:val="top"/>
          </w:tcPr>
          <w:p>
            <w:pPr>
              <w:spacing w:before="20" w:after="20"/>
            </w:pPr>
            <w:r>
              <w:rPr>
                <w:sz w:val="16"/>
                <w:szCs w:val="16"/>
              </w:rPr>
              <w:t>Publication, confidentiality, metrics, audit trails.</w:t>
            </w:r>
          </w:p>
        </w:tc>
      </w:tr>
      <w:tr>
        <w:tc>
          <w:tcPr>
            <w:tcW w:type="dxa" w:w="4997"/>
            <w:vAlign w:val="top"/>
          </w:tcPr>
          <w:p>
            <w:pPr>
              <w:spacing w:before="20" w:after="20"/>
            </w:pPr>
            <w:r>
              <w:rPr>
                <w:sz w:val="16"/>
                <w:szCs w:val="16"/>
              </w:rPr>
              <w:t xml:space="preserve">Chapter 23 - Stakeholder, Producer, Processor, and SME Access</w:t>
            </w:r>
          </w:p>
        </w:tc>
        <w:tc>
          <w:tcPr>
            <w:tcW w:type="dxa" w:w="4997"/>
            <w:vAlign w:val="top"/>
          </w:tcPr>
          <w:p>
            <w:pPr>
              <w:spacing w:before="20" w:after="20"/>
            </w:pPr>
            <w:r>
              <w:rPr>
                <w:sz w:val="16"/>
                <w:szCs w:val="16"/>
              </w:rPr>
              <w:t>Practical participation and procedural assistance.</w:t>
            </w:r>
          </w:p>
        </w:tc>
      </w:tr>
      <w:tr>
        <w:tc>
          <w:tcPr>
            <w:tcW w:type="dxa" w:w="4997"/>
            <w:vAlign w:val="top"/>
          </w:tcPr>
          <w:p>
            <w:pPr>
              <w:spacing w:before="20" w:after="20"/>
            </w:pPr>
            <w:r>
              <w:rPr>
                <w:sz w:val="16"/>
                <w:szCs w:val="16"/>
              </w:rPr>
              <w:t xml:space="preserve">Chapter 24 - Institutional Administration</w:t>
            </w:r>
          </w:p>
        </w:tc>
        <w:tc>
          <w:tcPr>
            <w:tcW w:type="dxa" w:w="4997"/>
            <w:vAlign w:val="top"/>
          </w:tcPr>
          <w:p>
            <w:pPr>
              <w:spacing w:before="20" w:after="20"/>
            </w:pPr>
            <w:r>
              <w:rPr>
                <w:sz w:val="16"/>
                <w:szCs w:val="16"/>
              </w:rPr>
              <w:t>Lean governance using existing bodies where possible.</w:t>
            </w:r>
          </w:p>
        </w:tc>
      </w:tr>
      <w:tr>
        <w:tc>
          <w:tcPr>
            <w:tcW w:type="dxa" w:w="4997"/>
            <w:vAlign w:val="top"/>
          </w:tcPr>
          <w:p>
            <w:pPr>
              <w:spacing w:before="20" w:after="20"/>
            </w:pPr>
            <w:r>
              <w:rPr>
                <w:sz w:val="16"/>
                <w:szCs w:val="16"/>
              </w:rPr>
              <w:t xml:space="preserve">Chapter 25 - Consultations, Cure, and Automatic Restoration</w:t>
            </w:r>
          </w:p>
        </w:tc>
        <w:tc>
          <w:tcPr>
            <w:tcW w:type="dxa" w:w="4997"/>
            <w:vAlign w:val="top"/>
          </w:tcPr>
          <w:p>
            <w:pPr>
              <w:spacing w:before="20" w:after="20"/>
            </w:pPr>
            <w:r>
              <w:rPr>
                <w:sz w:val="16"/>
                <w:szCs w:val="16"/>
              </w:rPr>
              <w:t>Correction-first compliance.</w:t>
            </w:r>
          </w:p>
        </w:tc>
      </w:tr>
      <w:tr>
        <w:tc>
          <w:tcPr>
            <w:tcW w:type="dxa" w:w="4997"/>
            <w:vAlign w:val="top"/>
          </w:tcPr>
          <w:p>
            <w:pPr>
              <w:spacing w:before="20" w:after="20"/>
            </w:pPr>
            <w:r>
              <w:rPr>
                <w:sz w:val="16"/>
                <w:szCs w:val="16"/>
              </w:rPr>
              <w:t xml:space="preserve">Chapter 26 - Remedies and Dispute Settlement</w:t>
            </w:r>
          </w:p>
        </w:tc>
        <w:tc>
          <w:tcPr>
            <w:tcW w:type="dxa" w:w="4997"/>
            <w:vAlign w:val="top"/>
          </w:tcPr>
          <w:p>
            <w:pPr>
              <w:spacing w:before="20" w:after="20"/>
            </w:pPr>
            <w:r>
              <w:rPr>
                <w:sz w:val="16"/>
                <w:szCs w:val="16"/>
              </w:rPr>
              <w:t>Narrow remedies; no whole-Compact snapback.</w:t>
            </w:r>
          </w:p>
        </w:tc>
      </w:tr>
      <w:tr>
        <w:tc>
          <w:tcPr>
            <w:tcW w:type="dxa" w:w="4997"/>
            <w:vAlign w:val="top"/>
          </w:tcPr>
          <w:p>
            <w:pPr>
              <w:spacing w:before="20" w:after="20"/>
            </w:pPr>
            <w:r>
              <w:rPr>
                <w:sz w:val="16"/>
                <w:szCs w:val="16"/>
              </w:rPr>
              <w:t xml:space="preserve">Chapter 27 - Relationship to CUSMA and Other International Agreements</w:t>
            </w:r>
          </w:p>
        </w:tc>
        <w:tc>
          <w:tcPr>
            <w:tcW w:type="dxa" w:w="4997"/>
            <w:vAlign w:val="top"/>
          </w:tcPr>
          <w:p>
            <w:pPr>
              <w:spacing w:before="20" w:after="20"/>
            </w:pPr>
            <w:r>
              <w:rPr>
                <w:sz w:val="16"/>
                <w:szCs w:val="16"/>
              </w:rPr>
              <w:t>Standalone status and treaty interaction.</w:t>
            </w:r>
          </w:p>
        </w:tc>
      </w:tr>
      <w:tr>
        <w:tc>
          <w:tcPr>
            <w:tcW w:type="dxa" w:w="4997"/>
            <w:vAlign w:val="top"/>
          </w:tcPr>
          <w:p>
            <w:pPr>
              <w:spacing w:before="20" w:after="20"/>
            </w:pPr>
            <w:r>
              <w:rPr>
                <w:sz w:val="16"/>
                <w:szCs w:val="16"/>
              </w:rPr>
              <w:t xml:space="preserve">Chapter 28 - Incorporation by Reference and Optional Future Integration</w:t>
            </w:r>
          </w:p>
        </w:tc>
        <w:tc>
          <w:tcPr>
            <w:tcW w:type="dxa" w:w="4997"/>
            <w:vAlign w:val="top"/>
          </w:tcPr>
          <w:p>
            <w:pPr>
              <w:spacing w:before="20" w:after="20"/>
            </w:pPr>
            <w:r>
              <w:rPr>
                <w:sz w:val="16"/>
                <w:szCs w:val="16"/>
              </w:rPr>
              <w:t>Optional later linkage without dependency.</w:t>
            </w:r>
          </w:p>
        </w:tc>
      </w:tr>
      <w:tr>
        <w:tc>
          <w:tcPr>
            <w:tcW w:type="dxa" w:w="4997"/>
            <w:vAlign w:val="top"/>
          </w:tcPr>
          <w:p>
            <w:pPr>
              <w:spacing w:before="20" w:after="20"/>
            </w:pPr>
            <w:r>
              <w:rPr>
                <w:sz w:val="16"/>
                <w:szCs w:val="16"/>
              </w:rPr>
              <w:t xml:space="preserve">Chapter 29 - Review, Acceleration, and Technical Amendment</w:t>
            </w:r>
          </w:p>
        </w:tc>
        <w:tc>
          <w:tcPr>
            <w:tcW w:type="dxa" w:w="4997"/>
            <w:vAlign w:val="top"/>
          </w:tcPr>
          <w:p>
            <w:pPr>
              <w:spacing w:before="20" w:after="20"/>
            </w:pPr>
            <w:r>
              <w:rPr>
                <w:sz w:val="16"/>
                <w:szCs w:val="16"/>
              </w:rPr>
              <w:t>Accelerate liberalization without reopening the bargain.</w:t>
            </w:r>
          </w:p>
        </w:tc>
      </w:tr>
      <w:tr>
        <w:tc>
          <w:tcPr>
            <w:tcW w:type="dxa" w:w="4997"/>
            <w:vAlign w:val="top"/>
          </w:tcPr>
          <w:p>
            <w:pPr>
              <w:spacing w:before="20" w:after="20"/>
            </w:pPr>
            <w:r>
              <w:rPr>
                <w:sz w:val="16"/>
                <w:szCs w:val="16"/>
              </w:rPr>
              <w:t xml:space="preserve">Chapter 30 - Entry into Force, Withdrawal, Survival, and Final Provisions</w:t>
            </w:r>
          </w:p>
        </w:tc>
        <w:tc>
          <w:tcPr>
            <w:tcW w:type="dxa" w:w="4997"/>
            <w:vAlign w:val="top"/>
          </w:tcPr>
          <w:p>
            <w:pPr>
              <w:spacing w:before="20" w:after="20"/>
            </w:pPr>
            <w:r>
              <w:rPr>
                <w:sz w:val="16"/>
                <w:szCs w:val="16"/>
              </w:rPr>
              <w:t>Legal lifecycle and survival of completed rights.</w:t>
            </w:r>
          </w:p>
        </w:tc>
      </w:tr>
    </w:tbl>
    <w:p>
      <w:pPr>
        <w:pStyle w:val="Heading1"/>
      </w:pPr>
      <w:r>
        <w:t>Structural Design Rules</w:t>
      </w:r>
    </w:p>
    <w:p>
      <w:r>
        <w:t>Current structural rule: The Compact contains no TRQ sunset architecture. Managed-access restrictions are progressively displaced by permanent vested market-access rights. Time schedules pace implementation, while legal change occurs through operative milestones, vesting, reciprocal performance where expressly required, and completed liberalization rather than expiration.</w:t>
      </w:r>
    </w:p>
    <w:p>
      <w:pPr>
        <w:pStyle w:val="ListBullet"/>
        <w:spacing w:after="40"/>
        <w:ind w:left="403"/>
      </w:pPr>
      <w:r>
        <w:t>Standalone first. NAAFTC must be legally and politically intelligible without NAESTMA, CUSMA-PLUS, or any other user-created instrument.</w:t>
      </w:r>
    </w:p>
    <w:p>
      <w:pPr>
        <w:pStyle w:val="ListBullet"/>
        <w:spacing w:after="40"/>
        <w:ind w:left="403"/>
      </w:pPr>
      <w:r>
        <w:t>One headline bargain. Originating North American agricultural goods move toward complete internal tariff-free and TRQ-free treatment.</w:t>
      </w:r>
    </w:p>
    <w:p>
      <w:pPr>
        <w:pStyle w:val="ListBullet"/>
        <w:spacing w:after="40"/>
        <w:ind w:left="403"/>
      </w:pPr>
      <w:r>
        <w:t>Independent external trade policy. Canada, the United States, and Mexico retain separate tariffs and agreements toward non-Parties.</w:t>
      </w:r>
    </w:p>
    <w:p>
      <w:pPr>
        <w:pStyle w:val="ListBullet"/>
        <w:spacing w:after="40"/>
        <w:ind w:left="403"/>
      </w:pPr>
      <w:r>
        <w:t>Reciprocity before exposure. Sensitive liberalization is synchronized so one Party is not required to make an unpaired concession.</w:t>
      </w:r>
    </w:p>
    <w:p>
      <w:pPr>
        <w:pStyle w:val="ListBullet"/>
        <w:spacing w:after="40"/>
        <w:ind w:left="403"/>
      </w:pPr>
      <w:r>
        <w:t>Completed liberalization locks. A later unrelated dispute does not casually resurrect an abolished tariff or TRQ.</w:t>
      </w:r>
    </w:p>
    <w:p>
      <w:pPr>
        <w:pStyle w:val="ListBullet"/>
        <w:spacing w:after="40"/>
        <w:ind w:left="403"/>
      </w:pPr>
      <w:r>
        <w:t>Producer transition is separate from border transition. Domestic support can continue long after tariff/TRQ elimination.</w:t>
      </w:r>
    </w:p>
    <w:p>
      <w:pPr>
        <w:pStyle w:val="ListBullet"/>
        <w:spacing w:after="40"/>
        <w:ind w:left="403"/>
      </w:pPr>
      <w:r>
        <w:t>SPS sovereignty survives. Genuine health and biosecurity regulation remains available, but cannot become disguised replacement protection.</w:t>
      </w:r>
    </w:p>
    <w:p>
      <w:pPr>
        <w:pStyle w:val="ListBullet"/>
        <w:spacing w:after="40"/>
        <w:ind w:left="403"/>
      </w:pPr>
      <w:r>
        <w:t>Verification is lean. ALVS handles routine compliance; independent expert review is reserved for material disputes.</w:t>
      </w:r>
    </w:p>
    <w:p>
      <w:pPr>
        <w:pStyle w:val="ListBullet"/>
        <w:spacing w:after="40"/>
        <w:ind w:left="403"/>
      </w:pPr>
      <w:r>
        <w:t>Remedies are narrow. Cure and restoration precede broader suspension; cross-sector retaliation is outside the Compact's default machinery.</w:t>
      </w:r>
    </w:p>
    <w:p>
      <w:pPr>
        <w:pStyle w:val="ListBullet"/>
        <w:spacing w:after="40"/>
        <w:ind w:left="403"/>
      </w:pPr>
      <w:r>
        <w:t>The sensitive-sector tariff architecture uses a 36-month ordinary track and a 28-month standardized accelerated track, with an Exceptional Accelerated Tranche capable of reaching zero as early as month 12 and a one-time unanimously approved Exceptional Adjustment Extension capped at month 42.</w:t>
      </w:r>
    </w:p>
    <w:p>
      <w:pPr>
        <w:pStyle w:val="Heading1"/>
      </w:pPr>
      <w:r>
        <w:t>Front Matter Architecture</w:t>
      </w:r>
    </w:p>
    <w:p>
      <w:pPr>
        <w:pStyle w:val="Heading2"/>
      </w:pPr>
      <w:r>
        <w:t>Status and Verification Notice</w:t>
      </w:r>
    </w:p>
    <w:p>
      <w:pPr/>
      <w:r>
        <w:t>Status and verification notice: this is a release-candidate negotiating draft, not an executed agreement. Whole-annex reconciliation, whole-instrument regression QA, and final adversarial validation have been completed for this version, while unresolved negotiated values and governmental adoption decisions remain expressly controlled. Technical or negotiated values lacking the required authority retain their applicable verification or adoption status and are not promoted by drafting convenience. This notice is non-operative unless an adopted text expressly gives it legal effect.</w:t>
      </w:r>
    </w:p>
    <w:p>
      <w:pPr>
        <w:pStyle w:val="Heading2"/>
      </w:pPr>
      <w:r>
        <w:t>Executive Summary</w:t>
      </w:r>
    </w:p>
    <w:p>
      <w:r>
        <w:t xml:space="preserve">This Executive Summary is non-operative and is provided to explain the structure, bargain, implementation logic, and safeguards of the Compact in accessible form. It does not create, enlarge, narrow, suspend, or interpret an obligation independently of the operative text. Where this Summary and the operative text differ, the operative text controls. Technical schedules, tariff records, quantitative values, and other data remain subject to the verification status assigned by the controlling Chapter or Annex.</w:t>
      </w:r>
    </w:p>
    <w:p>
      <w:r>
        <w:t xml:space="preserve">The North American Agricultural Free Trade Compact (NAAFTC) is a standalone trilateral framework for progressively eliminating internal agricultural tariffs and tariff-rate quota restrictions on qualifying originating agricultural trade among Canada, the United States, and Mexico. Its central bargain is reciprocal liberalization with controlled transition: existing access is protected against deterioration, ordinary tariffs move toward zero, managed-access restrictions are progressively displaced, and completed liberalization becomes a durable legal state rather than a concession that casually reopens after an unrelated dispute. The Compact is designed to make commercially usable market access, not merely nominal tariff preference, the practical measure of agricultural integration. At the same time, each Party retains its independent external agricultural trade policy toward non-Parties.</w:t>
      </w:r>
    </w:p>
    <w:p>
      <w:r>
        <w:t xml:space="preserve">The Compact separates product coverage, origin, tariff treatment, managed access, transition status, regulatory compliance, verification, and remedies into distinct legal functions. Annex A identifies the covered agricultural universe and preserves persistent product identity across tariff-nomenclature change, while Annex M supplies controlled concordance for splits, mergers, successor classifications, and historical reconstruction. Chapter 10 and Annex G determine whether covered goods satisfy the applicable rules of origin. This separation is intended to prevent a database field, classification event, administrative shortcut, or technical mapping from silently creating or extinguishing substantive rights.</w:t>
      </w:r>
    </w:p>
    <w:p>
      <w:r>
        <w:t xml:space="preserve">The border-liberalization architecture begins with an immediate standstill. Chapter 4 preserves the verified market-access floor so an existing zero does not become positive protection and an existing restriction does not increase while later liberalization proceeds. Chapter 5 and Annex B govern general tariff elimination, while Chapter 6 and Annex C provide a controlled transition for sensitive sectors. The sensitive-sector architecture uses a 36-month ordinary track, a 28-month standardized accelerated track, an Exceptional Accelerated Tranche capable of reaching zero as early as month 12 where selected, and a narrowly bounded unanimously approved Exceptional Adjustment Extension capped at month 42.</w:t>
      </w:r>
    </w:p>
    <w:p>
      <w:r>
        <w:t xml:space="preserve">Managed-access and tariff-rate quota restrictions follow a separate vesting architecture. Chapter 7 and Annex D progressively convert restricted access into durable market-access rights through identified displacement and vesting events rather than through an automatic sunset. Chapter 8 and Annex E govern synchronization where reciprocal performance is expressly required, while independence remains the default where the Compact does not create a matched dependency. Chapter 9 and Annex F record completed liberalization and Zero-Line states so that completed results remain traceable, durable, and protected against administrative or political backsliding except through authority expressly provided by the Compact.</w:t>
      </w:r>
    </w:p>
    <w:p>
      <w:r>
        <w:t xml:space="preserve">Canadian supply management and other sensitive domestic agricultural systems are not treated as automatically incompatible with the Compact. NAAFTC distinguishes border commitments from domestic producer-adjustment policy and allows Parties to design transition, income-stabilization, modernization, diversification, retirement, regional-development, and related support within the applicable disciplines. Liberalization therefore does not depend on prescribing a single domestic agricultural model. The Compact instead concentrates on the treatment applied to covered originating trade and on whether negotiated access is actually usable.</w:t>
      </w:r>
    </w:p>
    <w:p>
      <w:r>
        <w:t xml:space="preserve">Regulatory sovereignty remains a central boundary. The Compact preserves each Party's authority to pursue legitimate sanitary, phytosanitary, food-safety, biosecurity, environmental, and other regulatory objectives within the disciplines assigned to the relevant Chapters. Tariff liberalization does not create a presumption that a protective measure is unnecessary, scientifically invalid, discriminatory, or unlawful. At the same time, regulatory sovereignty does not protect avoidable duplication, opaque administration, unexplained delay, incompatible data practices, or disguised replacement protection from the transparency, facilitation, verification, and dispute processes established by the Compact.</w:t>
      </w:r>
    </w:p>
    <w:p>
      <w:r>
        <w:t xml:space="preserve">Chapters 14 through 18 establish the principal regulatory and technical architecture, with Annex I supplying the controlled schema and routing layer for the existing Regulatory Friction Register. Annex I identifies, records, routes, and tracks regulatory friction without determining whether a measure is lawful or requiring a Party to alter its chosen level of protection. A friction record is not a barrier finding, a routing decision is not a jurisdictional or merits determination, facilitation is not deregulation, and measurement is not a Legal Finding. Mixed complaints can be decomposed into independently traceable component records so that one label, allegation, or strong issue does not contaminate unrelated questions.</w:t>
      </w:r>
    </w:p>
    <w:p>
      <w:r>
        <w:t xml:space="preserve">Safeguards are similarly divided between technical measurement and legal authority. Chapter 19 supplies the substantive safeguard architecture, while Annex K standardizes and preserves technical inputs, methodologies, datasets, transformations, and measurement history. Annex K does not authorize, impose, extend, escalate, or determine a safeguard, and a measured threshold exceedance does not itself establish a legal trigger. This boundary is designed to prevent a formula, dashboard, software output, provisional dataset, or administrative record from becoming an automatic trade restriction.</w:t>
      </w:r>
    </w:p>
    <w:p>
      <w:r>
        <w:t xml:space="preserve">Verification and enforcement emphasize cure, proportionality, traceability, and restoration. Routine administration and verification remain separated from exceptional expert or adjudicative functions, and technical findings do not automatically become legal findings. Where a verified failure occurs, the Compact generally directs the responsible process toward a defined corrective path before broader suspension is considered, and restoration follows verified correction within the authority assigned by the controlling provision. Remedies remain connected to the affected obligation rather than becoming a general license for unrelated retaliation.</w:t>
      </w:r>
    </w:p>
    <w:p>
      <w:r>
        <w:t xml:space="preserve">The Compact also contains institutional, transparency, stakeholder, registry, dispute, technical-maintenance, amendment, incorporation, and lifecycle rules intended to keep administrative machinery subordinate to substantive law. Chapter 22 provides shared registry and record architecture, Chapter 24 allocates administrative functions, Chapters 25 and 26 govern cure and dispute functions, Chapter 29 governs bounded technical maintenance, and Chapter 30 governs formal lifecycle and substantive amendment questions. Administrative convenience, publication practice, software behavior, silence, non-objection, or omission from a register does not independently amend the Compact. Formal substantive change follows the authority assigned to that change rather than being achieved through technical maintenance.</w:t>
      </w:r>
    </w:p>
    <w:p>
      <w:r>
        <w:t xml:space="preserve">NAAFTC is drafted to operate as a standalone instrument, but it can coexist with CUSMA, USMCA/T-MEC, NAESTMA, or another international instrument according to the relationship and incorporation rules in Chapters 27 and 28. Incorporation by reference does not occur merely because provisions are compatible, and amendment of one legal instrument does not automatically amend another unless a valid incorporation mechanism expressly produces that result. The Compact therefore preserves a distinct legal address while allowing governments to adopt, adapt, incorporate, or negotiate its components through lawful processes of their choosing.</w:t>
      </w:r>
    </w:p>
    <w:p>
      <w:pPr>
        <w:pStyle w:val="Heading2"/>
      </w:pPr>
      <w:r>
        <w:t>Table of Contents</w:t>
      </w:r>
    </w:p>
    <w:p>
      <w:pPr/>
      <w:r>
        <w:t>The Table of Contents is generated from the document's controlled heading hierarchy. Pagination may shift slightly across Word installations, fonts, printers, or later authenticated amendments, so the field is refreshable without changing operative text.</w:t>
      </w:r>
    </w:p>
    <w:p>
      <w:pPr>
        <w:pStyle w:val="Heading1"/>
      </w:pPr>
      <w:r>
        <w:t>Preamble</w:t>
      </w:r>
    </w:p>
    <w:p>
      <w:r>
        <w:t xml:space="preserve">Canada, the United States, and Mexico, recognizing the depth of their agricultural trade, production, processing, transportation, and food-security relationships, and seeking a durable framework for progressively freer and more predictable trade in originating agricultural goods, set out this Compact as a basis for reciprocal North American agricultural integration.</w:t>
      </w:r>
    </w:p>
    <w:p>
      <w:pPr>
        <w:pStyle w:val="Heading2"/>
      </w:pPr>
      <w:r>
        <w:t xml:space="preserve">Preamble Principles</w:t>
      </w:r>
    </w:p>
    <w:p>
      <w:r>
        <w:t xml:space="preserve">The Parties recognize that commercially meaningful agricultural integration depends not only on tariff reduction but also on usable access, predictable administration, transparent rules, resilient supply chains, and confidence that completed liberalization will not be casually reversed. They seek to reduce unnecessary border friction while preserving the ability of each Party to maintain legitimate domestic agricultural, food-security, and producer-adjustment policies. They further recognize that agricultural sectors differ in structure, sensitivity, production cycles, and exposure to transition. The Compact therefore combines a common liberalization objective with controlled sequencing, verification, and transition machinery.</w:t>
      </w:r>
    </w:p>
    <w:p>
      <w:r>
        <w:t xml:space="preserve">The Parties affirm that protection of human, animal, and plant life or health, food safety, biosecurity, environmental objectives, and other legitimate regulatory purposes remains compatible with deeper agricultural trade. They intend science-based and risk-based regulation to remain available within the disciplines of the Compact and do not treat tariff liberalization as evidence that a regulatory measure lacks justification. They also recognize that duplicative requirements, opaque procedures, avoidable delay, and disguised replacement protection can frustrate negotiated access even when nominal tariff treatment appears favorable. The Compact accordingly separates regulatory sovereignty from administrative friction and provides distinct processes for facilitation, technical examination, verification, and legal review.</w:t>
      </w:r>
    </w:p>
    <w:p>
      <w:r>
        <w:t xml:space="preserve">The Parties recognize that sensitive agricultural liberalization is more durable when reciprocal exposure is sequenced transparently and when producers, processors, workers, communities, and regional economies have room to adjust. They therefore distinguish border liberalization from domestic adjustment policy and preserve substantial space for lawful domestic transition measures. They intend synchronization to apply only where the operative text expressly creates a reciprocal dependency rather than as a general condition on every concession. Completed liberalization is intended to remain completed except where the Compact expressly authorizes a temporary measure, correction, formal amendment, or other defined legal consequence.</w:t>
      </w:r>
    </w:p>
    <w:p>
      <w:r>
        <w:t xml:space="preserve">The Parties seek administration that is technically rigorous without allowing technical machinery to become a substitute source of law. Product records, registries, concordances, datasets, verification states, formulas, software systems, and administrative publications support implementation but do not independently create coverage, treatment, origin, breach, remedy, or amendment. The Compact therefore assigns separate functions to substantive rules, controlled schedules, verification processes, administrative institutions, and adjudicative mechanisms. This separation is intended to preserve traceability, reduce accidental legal drift, and make corrections possible without silently rewriting negotiated outcomes.</w:t>
      </w:r>
    </w:p>
    <w:p>
      <w:r>
        <w:t xml:space="preserve">The Parties further recognize the importance of independent external commercial policy and do not establish a customs union or common external agricultural tariff through this Compact. Each Party retains authority over its agricultural trade relations with non-Parties subject to its other international obligations. Preferences negotiated with a non-Party do not automatically become NAAFTC preferences, and NAAFTC treatment does not automatically rewrite another agreement. The Compact instead governs the agricultural relationship among its Parties according to its own terms while providing controlled mechanisms for coexistence and incorporation with other instruments.</w:t>
      </w:r>
    </w:p>
    <w:p>
      <w:r>
        <w:t xml:space="preserve">The Parties intend disputes to be addressed through procedures that preserve the underlying bargain wherever possible. Verification, consultation, cure, proportionality, and restoration are designed to distinguish correctable implementation failures from circumstances requiring adjudication or a temporary protective response. A technical disagreement is not automatically a legal violation, and a legal violation does not automatically authorize an unrelated commercial response. The Compact therefore seeks remedies that are connected to the affected obligation and that end or narrow when verified correction restores compliance.</w:t>
      </w:r>
    </w:p>
    <w:p>
      <w:r>
        <w:t xml:space="preserve">With these objectives, the Parties establish a framework directed toward complete internal tariff-free and tariff-rate-quota-free treatment for qualifying originating agricultural goods, subject to the transition, safeguard, regulatory, verification, and lifecycle rules set out in the operative text. They intend the resulting market-access rights to become increasingly predictable, commercially usable, and durable as the Compact's milestones are satisfied. They also intend the Compact to remain intelligible and operable as a standalone instrument while permitting lawful incorporation into a broader North American agreement if the Parties later choose that course. The operative Chapters, Annexes, and Schedules define the legal content of that framework.</w:t>
      </w:r>
    </w:p>
    <w:p>
      <w:pPr>
        <w:pStyle w:val="Heading1"/>
      </w:pPr>
      <w:r>
        <w:t>Chapter 1 - Initial Provisions, Objectives, and Scope</w:t>
      </w:r>
    </w:p>
    <w:p>
      <w:pPr>
        <w:pStyle w:val="Heading2"/>
      </w:pPr>
      <w:r>
        <w:t>Article 1.1 - Establishment of the Compact</w:t>
      </w:r>
    </w:p>
    <w:p>
      <w:pPr>
        <w:pStyle w:val="Heading3"/>
      </w:pPr>
      <w:r>
        <w:t>1.1.1 Standalone Legal Character</w:t>
      </w:r>
    </w:p>
    <w:p>
      <w:pPr/>
      <w:r>
        <w:t>The Parties establish the North American Agricultural Free Trade Compact as a standalone trilateral instrument governing the agricultural trade matters within its scope. The Compact operates according to its own provisions from the date on which it enters into force among the Parties. Incorporation into CUSMA, NAESTMA, a successor agreement, or another international instrument does not constitute a condition for the operation of this Compact. Chapter 28 governs any later incorporation by reference or other expressly agreed integration.</w:t>
      </w:r>
    </w:p>
    <w:p>
      <w:pPr>
        <w:pStyle w:val="Heading3"/>
      </w:pPr>
      <w:r>
        <w:t>1.1.2 The Compact operates through staged legal states rather than through a single undifferentiated liberalization event. Chapters 4, 5, 6, 7, and 9 govern the principal tariff and access states, while Chapters 8, 17, 25, and 26 govern synchronization, verification, cure, and remedies. A legal state created under one Chapter is not displaced by another Chapter unless the Compact expressly provides that result. Interpretation preserves the function assigned to each Chapter.</w:t>
      </w:r>
    </w:p>
    <w:p>
      <w:pPr/>
      <w:r>
        <w:t>Canada, the United States, and Mexico constitute the Parties to this Compact. The Compact establishes reciprocal rights and obligations among the Parties and organizes agricultural liberalization around synchronized implementation, verified performance, and durable market access. A bilateral implementation circumstance does not convert the Compact into a bilateral instrument or diminish the trilateral architecture established here. Chapters 8, 17, 25, and 26 govern synchronization, verification, cure, and remedies where implementation diverges among the Parties.</w:t>
      </w:r>
    </w:p>
    <w:p>
      <w:pPr>
        <w:pStyle w:val="Heading3"/>
      </w:pPr>
      <w:r>
        <w:t>1.1.3 Operative Independence</w:t>
      </w:r>
    </w:p>
    <w:p>
      <w:pPr/>
      <w:r>
        <w:t>The international legal force of an obligation under this Compact derives from the Compact once it enters into force for the Party concerned. Each Party gives effect to that obligation through the measures required by its domestic legal order. A reference to CUSMA, NAESTMA, another agreement, a domestic authority, or an existing administrative system identifies a relationship or implementation mechanism and does not make NAAFTC legally dependent upon that instrument or system unless the Compact expressly states otherwise. The Parties use existing institutions and systems where this Compact assigns them a function, while NAAFTC retains its independent legal identity. Chapter 27 governs coexistence with other international agreements.</w:t>
      </w:r>
    </w:p>
    <w:p>
      <w:pPr>
        <w:pStyle w:val="Heading3"/>
      </w:pPr>
      <w:r>
        <w:t>1.1.4 Governing Bargain</w:t>
      </w:r>
    </w:p>
    <w:p>
      <w:pPr/>
      <w:r>
        <w:t>The Compact establishes a reciprocal pathway from existing agricultural market-access conditions to complete tariff-free and quota-free treatment for originating agricultural goods within its covered scope. The pathway combines immediate protection of existing zero treatment, scheduled tariff elimination, progressive market-access vesting, TRQ displacement, synchronized reciprocity, and verification. Domestic adjustment and legitimate regulation continue on the separate terms established by this Compact and do not convert the border bargain into a common agricultural policy. The remaining Chapters and Annexes implement this governing bargain.</w:t>
      </w:r>
    </w:p>
    <w:p>
      <w:pPr>
        <w:pStyle w:val="Heading2"/>
      </w:pPr>
      <w:r>
        <w:t>Article 1.2 - Objectives</w:t>
      </w:r>
    </w:p>
    <w:p>
      <w:pPr>
        <w:pStyle w:val="Heading3"/>
      </w:pPr>
      <w:r>
        <w:t>1.2.1 Complete Internal Agricultural Free Trade</w:t>
      </w:r>
    </w:p>
    <w:p>
      <w:pPr/>
      <w:r>
        <w:t>The Compact progressively establishes complete tariff-free and quota-free trade among the Parties in originating agricultural goods covered by Annex A. The liberalization architecture removes ordinary customs duties and progressively displaces tariff-rate quotas and other covered quantitative market-access restrictions according to the applicable schedules and vesting rules. Existing duty-free treatment forms the protected starting point rather than a concession available for routine renegotiation. Chapters 4 through 9 establish the operative pathway from the existing baseline to full preferential agricultural market access.</w:t>
      </w:r>
    </w:p>
    <w:p>
      <w:pPr>
        <w:pStyle w:val="Heading3"/>
      </w:pPr>
      <w:r>
        <w:t>1.2.2 Commercially Usable Access</w:t>
      </w:r>
    </w:p>
    <w:p>
      <w:pPr/>
      <w:r>
        <w:t>The Compact treats legal access and commercially usable access as connected elements of agricultural liberalization. Customs administration, allocation practices during transition, licensing, certification, inspection, release procedures, and other border administration operate in a manner that permits qualifying trade to use the market access established by the Compact. A nominal preference does not satisfy the Compact where an inconsistent administrative measure materially prevents ordinary commercial use of that preference. Chapters 12, 16, 17, and 21 provide the detailed administration, anti-substitution, verification, and transparency disciplines.</w:t>
      </w:r>
    </w:p>
    <w:p>
      <w:pPr>
        <w:pStyle w:val="Heading3"/>
      </w:pPr>
      <w:r>
        <w:t>1.2.3 Food Safety, Biosecurity, and Regulatory Protection</w:t>
      </w:r>
    </w:p>
    <w:p>
      <w:pPr/>
      <w:r>
        <w:t>The Compact preserves each Party's authority to protect human, animal, and plant life or health and to administer legitimate food-safety and biosecurity measures consistent with this Compact. Agricultural liberalization does not convert tariff elimination into a presumption against science-based regulation, inspection, certification, disease control, pest control, or emergency health protection. Regulatory measures remain subject to the applicable disciplines concerning evidence, non-discrimination, administration, regionalization, equivalence, and review. Chapters 14, 15, and 17 provide the specialized rules for those functions.</w:t>
      </w:r>
    </w:p>
    <w:p>
      <w:pPr>
        <w:pStyle w:val="Heading3"/>
      </w:pPr>
      <w:r>
        <w:t>1.2.4 Food Security and Supply Resilience</w:t>
      </w:r>
    </w:p>
    <w:p>
      <w:pPr/>
      <w:r>
        <w:t>The Compact strengthens North American food security by widening reliable access to originating agricultural supply while preserving domestic production capacity and lawful emergency response. Integration under the Compact does not create compulsory continental production quotas, mandatory purchasing arrangements, or a requirement that a Party abandon prudent domestic resilience measures. The Parties facilitate continuity in agricultural inputs, perishable trade, logistics, and emergency cooperation where those measures support the operation of the Compact. Chapter 20 governs food-security, shortage, and continuity measures in detail.</w:t>
      </w:r>
    </w:p>
    <w:p>
      <w:pPr>
        <w:pStyle w:val="Heading3"/>
      </w:pPr>
      <w:r>
        <w:t>1.2.5 Predictability and Transition</w:t>
      </w:r>
    </w:p>
    <w:p>
      <w:pPr/>
      <w:r>
        <w:t>The Compact provides producers, processors, workers, consumers, importers, exporters, and public authorities with a predictable liberalization path supported by published schedules, objective verification, and durable treatment of completed milestones. The Compact separates the timing of border liberalization from the timing and design of domestic producer adjustment. Each Party retains policy space for lawful transition measures while market-access rights progress according to the Compact. Chapters 21 through 24 provide the detailed domestic-policy, transparency, stakeholder-access, and institutional architecture.</w:t>
      </w:r>
    </w:p>
    <w:p>
      <w:pPr>
        <w:pStyle w:val="Heading2"/>
      </w:pPr>
      <w:r>
        <w:t>Article 1.3 - Geographic and Product Scope</w:t>
      </w:r>
    </w:p>
    <w:p>
      <w:pPr>
        <w:pStyle w:val="Heading3"/>
      </w:pPr>
      <w:r>
        <w:t>1.3.1 Geographic Scope</w:t>
      </w:r>
    </w:p>
    <w:p>
      <w:pPr/>
      <w:r>
        <w:t>This Compact applies among Canada, the United States, and Mexico within the territorial scope assigned to each Party under Chapter 2. The Compact governs covered agricultural trade between the Parties and the administration of rights and obligations directly connected to that trade. It does not create rights for a non-Party merely because a transaction, enterprise, shipment, or supply chain has a connection to a Party. Articles 1.5 and 1.6 govern the external-policy boundary of this geographic scope.</w:t>
      </w:r>
    </w:p>
    <w:p>
      <w:pPr>
        <w:pStyle w:val="Heading3"/>
      </w:pPr>
      <w:r>
        <w:t>1.3.2 Product Scope</w:t>
      </w:r>
    </w:p>
    <w:p>
      <w:pPr/>
      <w:r>
        <w:t>The Compact applies to Agricultural Goods as defined in Chapter 2 and identified through Annex A and the schedules incorporated into it. Annex A provides the authoritative product-coverage architecture for tariff-line implementation and technical classification. Coverage includes the agricultural goods that the applicable schedules identify without regard to whether a good enters trade as a primary product, ingredient, input, breeding material, seed, or processed product. A technical description, commercial label, processing stage, or packaging form does not remove a scheduled good from coverage where the governing tariff classification and applicable origin rule place that good within Annex A.</w:t>
      </w:r>
    </w:p>
    <w:p>
      <w:pPr>
        <w:pStyle w:val="Heading3"/>
      </w:pPr>
      <w:r>
        <w:t>1.3.3 Technical Classification Integrity</w:t>
      </w:r>
    </w:p>
    <w:p>
      <w:pPr/>
      <w:r>
        <w:t>Technical updates to tariff nomenclature preserve the substantive coverage established by the Compact. A concordance, transposition, tariff-code revision, or administrative reclassification does not independently expand or contract negotiated product coverage. The authority responsible for a technical update records the basis for the change and preserves traceability to the preceding classification. Chapters 3, 22, and 28 govern product schedules, registry information, and technical amendment procedures.</w:t>
      </w:r>
    </w:p>
    <w:p>
      <w:pPr>
        <w:pStyle w:val="Heading3"/>
      </w:pPr>
      <w:r>
        <w:t>1.3.4 Scope Boundary</w:t>
      </w:r>
    </w:p>
    <w:p>
      <w:pPr/>
      <w:r>
        <w:t>Chapter 1 establishes the legal perimeter of covered agricultural trade and does not independently determine the tariff classification, origin qualification, SPS status, safeguard eligibility, or transition treatment of an individual good. The controlling Chapter and Annex determine those questions according to their specific rules. Where a product falls within Annex A, its treatment follows the applicable tariff, vesting, origin, regulatory, and safeguard provisions of the Compact. This separation keeps general scope from displacing specialized rules.</w:t>
      </w:r>
    </w:p>
    <w:p>
      <w:pPr>
        <w:pStyle w:val="Heading2"/>
      </w:pPr>
      <w:r>
        <w:t>Article 1.4 - Application to Originating Goods</w:t>
      </w:r>
    </w:p>
    <w:p>
      <w:pPr>
        <w:pStyle w:val="Heading3"/>
      </w:pPr>
      <w:r>
        <w:t>1.4.1 Origin-Based Eligibility</w:t>
      </w:r>
    </w:p>
    <w:p>
      <w:pPr/>
      <w:r>
        <w:t>Preferential market-access treatment under this Compact attaches to an agricultural good that qualifies as originating under Chapter 10 and the applicable product-specific rule in Annex G. Shipment from, transit through, storage in, or invoicing from the territory of a Party does not by itself establish originating status. The Compact therefore distinguishes North American origin from North American routing. Chapter 10 governs the substantive and documentary rules that establish origin.</w:t>
      </w:r>
    </w:p>
    <w:p>
      <w:pPr>
        <w:pStyle w:val="Heading3"/>
      </w:pPr>
      <w:r>
        <w:t>1.4.2 Scope of Preferential Treatment</w:t>
      </w:r>
    </w:p>
    <w:p>
      <w:pPr/>
      <w:r>
        <w:t>An originating agricultural good receives the tariff, quota, customs, and other preferential treatment applicable to that good under the relevant Chapter and Schedule. The applicable treatment reflects the good's current liberalization status, including any Zero-Line Status, transition schedule, Vested Market-Access Right, or Full-Vesting Confirmation. Originating status does not displace a legitimate SPS, food-safety, emergency, or other measure authorized by this Compact. The specialized Chapter governing such a measure controls its administration.</w:t>
      </w:r>
    </w:p>
    <w:p>
      <w:pPr>
        <w:pStyle w:val="Heading3"/>
      </w:pPr>
      <w:r>
        <w:t>1.4.3 Non-Originating Goods</w:t>
      </w:r>
    </w:p>
    <w:p>
      <w:pPr/>
      <w:r>
        <w:t>A non-originating agricultural good does not acquire NAAFTC preferential treatment solely through entry into commerce, processing that fails the applicable origin rule, transshipment, repackaging, relabeling, or other minimal operation within a Party. Each Party retains its external tariff and other lawful treatment for non-originating goods subject to its international obligations. Chapter 11 addresses circumvention, transshipment, and fraud where conduct seeks to obtain NAAFTC treatment without satisfying origin requirements. This rule protects the internal bargain without creating a common external tariff.</w:t>
      </w:r>
    </w:p>
    <w:p>
      <w:pPr>
        <w:pStyle w:val="Heading3"/>
      </w:pPr>
      <w:r>
        <w:t>1.4.4 Neutral Administration of Origin Rules</w:t>
      </w:r>
    </w:p>
    <w:p>
      <w:pPr/>
      <w:r>
        <w:t>Origin administration distinguishes qualifying from non-qualifying trade through objective rules and evidence rather than through discrimination among traders or Parties beyond distinctions expressly required by the applicable origin rules. Verification activity remains proportionate to the origin question and the risk presented by the transaction or product. A Party does not use origin administration as a disguised means of withdrawing market access from goods that satisfy the applicable rules. Chapters 10, 11, 17, and 24 govern detailed verification, correction, and cure.</w:t>
      </w:r>
    </w:p>
    <w:p>
      <w:pPr>
        <w:pStyle w:val="Heading2"/>
      </w:pPr>
      <w:r>
        <w:t>Article 1.5 - Independent External Agricultural Trade Policy</w:t>
      </w:r>
    </w:p>
    <w:p>
      <w:pPr>
        <w:pStyle w:val="Heading3"/>
      </w:pPr>
      <w:r>
        <w:t>1.5.1 Retained External Authority</w:t>
      </w:r>
    </w:p>
    <w:p>
      <w:pPr/>
      <w:r>
        <w:t>Each Party retains authority over its agricultural trade relations with non-Parties, subject to the international obligations that bind that Party. This authority includes the design and administration of external agricultural tariffs, tariff-rate quotas, trade agreements, preference programs, import measures, export measures, and other external commercial policies within the limits of applicable law. NAAFTC governs the preferential agricultural relationship among the Parties and does not establish a common external agricultural policy. Chapter 27 governs the relationship between this Compact and other international agreements.</w:t>
      </w:r>
    </w:p>
    <w:p>
      <w:pPr>
        <w:pStyle w:val="Heading3"/>
      </w:pPr>
      <w:r>
        <w:t>1.5.2 No Customs Union</w:t>
      </w:r>
    </w:p>
    <w:p>
      <w:pPr/>
      <w:r>
        <w:t>This Compact creates no customs union among the Parties. Each Party retains its own customs territory, external tariff schedule, border authorities, and legal relationships with non-Parties. Internal agricultural liberalization under NAAFTC therefore operates through preferential treatment for originating goods rather than through a common external border regime. Chapter 10 supplies the origin architecture necessary to preserve that distinction.</w:t>
      </w:r>
    </w:p>
    <w:p>
      <w:pPr>
        <w:pStyle w:val="Heading3"/>
      </w:pPr>
      <w:r>
        <w:t>1.5.3 No Common External Tariff or Commercial Policy</w:t>
      </w:r>
    </w:p>
    <w:p>
      <w:pPr/>
      <w:r>
        <w:t>This Compact creates no common external tariff and no common external commercial policy. A Party does not acquire authority under NAAFTC to set another Party's tariff or negotiating position toward a non-Party. Differences among the Parties' external tariffs or third-country agreements do not by themselves constitute non-compliance with this Compact. The origin and anti-circumvention rules protect NAAFTC preferences where those external differences create routing or evasion risks.</w:t>
      </w:r>
    </w:p>
    <w:p>
      <w:pPr>
        <w:pStyle w:val="Heading3"/>
      </w:pPr>
      <w:r>
        <w:t>1.5.4 Regulatory and Domestic Policy Independence</w:t>
      </w:r>
    </w:p>
    <w:p>
      <w:pPr/>
      <w:r>
        <w:t>Independent external trade policy coexists with each Party's retained domestic agricultural, regulatory, transition, and related fiscal authority within the scope of this Compact as preserved elsewhere in this Compact. The preservation of that authority does not authorize a Party to frustrate an NAAFTC market-access obligation through a measure that falls within Article 1.8 or another applicable discipline. The Compact therefore separates legitimate sovereign policy space from measures that recreate negotiated border protection. The specialized Chapters determine that boundary in individual cases.</w:t>
      </w:r>
    </w:p>
    <w:p>
      <w:pPr>
        <w:pStyle w:val="Heading2"/>
      </w:pPr>
      <w:r>
        <w:t>Article 1.6 - No Implied Obligation Concerning Non-Party Trade</w:t>
      </w:r>
    </w:p>
    <w:p>
      <w:pPr>
        <w:pStyle w:val="Heading3"/>
      </w:pPr>
      <w:r>
        <w:t>1.6.1 No Automatic Extension to Non-Parties</w:t>
      </w:r>
    </w:p>
    <w:p>
      <w:pPr/>
      <w:r>
        <w:t>A market-access right, tariff preference, quota treatment, administrative benefit, or other advantage established by this Compact for an originating good of a Party does not by itself extend to a good of a non-Party. NAAFTC preferential treatment rests on the reciprocal obligations and origin conditions established among the Parties. A non-Party connection to a supply chain does not create NAAFTC entitlement unless the applicable origin rule attributes originating status to the final good. Chapter 10 governs that determination.</w:t>
      </w:r>
    </w:p>
    <w:p>
      <w:pPr>
        <w:pStyle w:val="Heading3"/>
      </w:pPr>
      <w:r>
        <w:t>1.6.2 No Automatic Importation of Third-Country Preferences</w:t>
      </w:r>
    </w:p>
    <w:p>
      <w:pPr/>
      <w:r>
        <w:t>A preference or concession that a Party grants to a non-Party under another international agreement does not automatically amend, enlarge, diminish, or otherwise alter the rights of another NAAFTC Party. A preference or concession granted under another international agreement does not, by operation of this Compact alone, amend, enlarge, diminish, or otherwise alter a NAAFTC right. This rule preserves the integrity of separately negotiated bargains. Chapter 27 governs conflicts and coexistence with other international obligations.</w:t>
      </w:r>
    </w:p>
    <w:p>
      <w:pPr>
        <w:pStyle w:val="Heading3"/>
      </w:pPr>
      <w:r>
        <w:t>1.6.3 No Implied Most-Favored-Nation Mechanism</w:t>
      </w:r>
    </w:p>
    <w:p>
      <w:pPr/>
      <w:r>
        <w:t>This Compact does not create an implied most-favored-nation mechanism for agricultural market access. Any obligation to extend third-country treatment among the Parties arises only from express NAAFTC text or another independently applicable legal obligation. A NAAFTC adjudicator, committee, or administrative authority does not infer such an obligation solely from the objectives, reciprocity principles, or liberalization trajectory of this Compact. This provision protects negotiated specificity while leaving express future liberalization available through Chapter 29 or formal amendment.</w:t>
      </w:r>
    </w:p>
    <w:p>
      <w:pPr>
        <w:pStyle w:val="Heading3"/>
      </w:pPr>
      <w:r>
        <w:t>1.6.4 External Commitments Remain Distinct</w:t>
      </w:r>
    </w:p>
    <w:p>
      <w:pPr/>
      <w:r>
        <w:t>Each Party administers its commitments to non-Parties according to the legal instruments that create those commitments. NAAFTC does not rewrite those instruments merely because agricultural products overlap across schedules. Where simultaneous obligations apply to the same transaction, the Party gives effect to them according to applicable international law and Chapter 27. Nothing in this Article converts separate external commitments into NAAFTC obligations.</w:t>
      </w:r>
    </w:p>
    <w:p>
      <w:pPr>
        <w:pStyle w:val="Heading2"/>
      </w:pPr>
      <w:r>
        <w:t>Article 1.7 - Separation of Border Liberalization and Domestic Adjustment</w:t>
      </w:r>
    </w:p>
    <w:p>
      <w:pPr>
        <w:pStyle w:val="Heading3"/>
      </w:pPr>
      <w:r>
        <w:t>1.7.1 Separate Legal Tracks</w:t>
      </w:r>
    </w:p>
    <w:p>
      <w:pPr/>
      <w:r>
        <w:t>Border liberalization and domestic producer adjustment operate as separate legal tracks under this Compact. Tariff elimination, market-access vesting, TRQ displacement, and other border commitments progress according to the schedules, conditions, and verification rules assigned to them. Domestic adjustment programs operate according to each Party's policy choices and the disciplines of Chapter 21. Progress or delay on one track does not alter the other except where an express provision of this Compact creates that connection.</w:t>
      </w:r>
    </w:p>
    <w:p>
      <w:pPr>
        <w:pStyle w:val="Heading3"/>
      </w:pPr>
      <w:r>
        <w:t>1.7.2 Preserved Adjustment Authority</w:t>
      </w:r>
    </w:p>
    <w:p>
      <w:pPr/>
      <w:r>
        <w:t>A Party may maintain, establish, modify, or terminate domestic programs that support agricultural producers, processors, workers, communities, or regions through the transition associated with this Compact. Such programs may include income stabilization, transition payments, modernization support, debt adjustment, retirement or farm-transfer assistance, processor adaptation, regional development, diversification, and export-development measures consistent with Chapter 21. The design, amount, duration, eligibility rules, and financing of those programs remain matters for the Party administering them, subject to its applicable legal obligations. No other Party acquires authority under this Compact to dictate a domestic compensation formula.</w:t>
      </w:r>
    </w:p>
    <w:p>
      <w:pPr>
        <w:pStyle w:val="Heading3"/>
      </w:pPr>
      <w:r>
        <w:t>1.7.3 No Transition Veto Over Vested Access</w:t>
      </w:r>
    </w:p>
    <w:p>
      <w:pPr/>
      <w:r>
        <w:t>The existence, continuation, modification, insufficiency, or completion of a domestic adjustment program does not postpone, suspend, diminish, or reverse a Vested Market-Access Right or Completed Liberalization Milestone. A Party does not condition implementation of a due border milestone on completion of domestic compensation or restructuring unless an express NAAFTC provision establishes that condition. Domestic transition therefore cushions adjustment without becoming a second border gate. Chapters 7, 8, and 20 govern vesting, synchronization, and domestic adjustment respectively.</w:t>
      </w:r>
    </w:p>
    <w:p>
      <w:pPr>
        <w:pStyle w:val="Heading3"/>
      </w:pPr>
      <w:r>
        <w:t>1.7.4 No Disguised Border Protection Through Domestic Programs</w:t>
      </w:r>
    </w:p>
    <w:p>
      <w:pPr/>
      <w:r>
        <w:t>Domestic adjustment authority does not authorize a program whose design or administration recreates a prohibited border restriction or discriminates against originating goods contrary to this Compact. The legal analysis focuses on the operation and effect of the challenged measure under the applicable NAAFTC discipline rather than on the label attached to the program. Legitimate domestic support remains available where it operates consistently with the Compact. Chapters 16, 21, and 25 govern anti-substitution, policy space, and remedies.</w:t>
      </w:r>
    </w:p>
    <w:p>
      <w:pPr>
        <w:pStyle w:val="Heading2"/>
      </w:pPr>
      <w:r>
        <w:t>Article 1.8 - Good-Faith Implementation and Non-Frustration</w:t>
      </w:r>
    </w:p>
    <w:p>
      <w:pPr>
        <w:pStyle w:val="Heading3"/>
      </w:pPr>
      <w:r>
        <w:t>1.8.1 Good-Faith Performance</w:t>
      </w:r>
    </w:p>
    <w:p>
      <w:pPr/>
      <w:r>
        <w:t>Each Party implements this Compact in good faith and administers its NAAFTC obligations in a manner consistent with their text, structure, and negotiated function. Administrative form does not defeat an obligation whose substantive conditions have been satisfied. An implementing authority applies the specialized Chapters and Annexes according to their defined standards rather than creating additional conditions that the Compact does not establish. Consultation and cure mechanisms address good-faith technical errors without converting every implementation defect into a formal dispute.</w:t>
      </w:r>
    </w:p>
    <w:p>
      <w:pPr>
        <w:pStyle w:val="Heading3"/>
      </w:pPr>
      <w:r>
        <w:t>1.8.2 Non-Frustration of Liberalization</w:t>
      </w:r>
    </w:p>
    <w:p>
      <w:pPr/>
      <w:r>
        <w:t>The Compact prohibits the indirect recreation of a tariff, tariff-rate quota, quantitative restriction, or other border protection that the Compact eliminates, displaces, or limits. A fee, licensing condition, allocation practice, eligibility rule, processing delay, inspection practice, certification procedure, administrative classification, or comparable measure falls within this principle where its operation materially frustrates a market-access right contrary to an applicable NAAFTC discipline. The analysis distinguishes genuine regulation and administration from functional substitution for prohibited protection. Chapter 16 supplies the detailed anti-substitution and commercial-usability rules.</w:t>
      </w:r>
    </w:p>
    <w:p>
      <w:pPr>
        <w:pStyle w:val="Heading3"/>
      </w:pPr>
      <w:r>
        <w:t>1.8.3 Preservation of Legitimate Regulation</w:t>
      </w:r>
    </w:p>
    <w:p>
      <w:pPr/>
      <w:r>
        <w:t>The non-frustration principle does not create a presumption against legitimate food-safety, SPS, biosecurity, environmental, consumer-protection, fraud-control, or other regulatory measures to the extent those measures affect matters within the scope of this Compact that operate consistently with this Compact. A measure does not become inconsistent merely because compliance imposes cost, delay, inspection, documentation, or other commercial burden. The applicable specialized Chapter determines whether the measure satisfies the governing legal and evidentiary standard. Chapters 14, 15, 18, and 19 preserve and discipline the relevant regulatory, technical-review, safeguard, and emergency authorities.</w:t>
      </w:r>
    </w:p>
    <w:p>
      <w:pPr>
        <w:pStyle w:val="Heading3"/>
      </w:pPr>
      <w:r>
        <w:t>1.8.4 Proportional Response to Implementation Failure</w:t>
      </w:r>
    </w:p>
    <w:p>
      <w:pPr/>
      <w:r>
        <w:t>An alleged frustration of the Compact does not automatically reopen unrelated agricultural concessions or reverse completed liberalization. The Parties first use the applicable verification, consultation, cure, and restoration procedures unless an urgent provision authorizes immediate action. Any remedy remains connected to the verified non-compliance and follows the proportionality rules of Chapter 26. Compliance restores ordinary Compact treatment according to the applicable automatic-restoration mechanism.</w:t>
      </w:r>
    </w:p>
    <w:p>
      <w:pPr>
        <w:pStyle w:val="Heading2"/>
      </w:pPr>
      <w:r>
        <w:t>Article 1.9 - Progressive and Durable Liberalization</w:t>
      </w:r>
    </w:p>
    <w:p>
      <w:pPr>
        <w:pStyle w:val="Heading3"/>
      </w:pPr>
      <w:r>
        <w:t>1.9.1 Vesting Architecture</w:t>
      </w:r>
    </w:p>
    <w:p>
      <w:pPr/>
      <w:r>
        <w:t>Liberalization under this Compact proceeds through the progressive acquisition and vesting of market-access rights and the completion of defined liberalization milestones. Each verified milestone changes the legal state of the covered trade according to Chapters 4 through 9 and the applicable Annex. The corresponding restriction loses its field of application to the extent established by the completed milestone. Chapter 7 governs the detailed Market-Access Vesting Ratchet and Full-Vesting Confirmation process.</w:t>
      </w:r>
    </w:p>
    <w:p>
      <w:pPr>
        <w:pStyle w:val="Heading3"/>
      </w:pPr>
      <w:r>
        <w:t>1.9.2 No-Fade Principle</w:t>
      </w:r>
    </w:p>
    <w:p>
      <w:pPr/>
      <w:r>
        <w:t>A Vested Market-Access Right remains in force without periodic renewal while this Compact remains applicable to the Parties concerned, subject to the express amendment and withdrawal provisions of this Compact. An authorized safeguard or emergency measure temporarily limits the exercise of that right only to the extent expressly provided by this Compact and does not extinguish the underlying vested legal state. Passage of time alone does not diminish the right or restore a displaced restriction. A periodic review does not suspend, reopen, diminish, or condition the right solely because the review occurs, remains incomplete, or produces no consensus recommendation. Chapters 9, 19, 29, and 30 govern registry durability, temporary safeguards and emergency measures, review and amendment, withdrawal, and survival.</w:t>
      </w:r>
    </w:p>
    <w:p>
      <w:pPr>
        <w:pStyle w:val="Heading3"/>
      </w:pPr>
      <w:r>
        <w:t>1.9.3 Completed Liberalization Milestones</w:t>
      </w:r>
    </w:p>
    <w:p>
      <w:pPr/>
      <w:r>
        <w:t>A Completed Liberalization Milestone establishes the new minimum level of ordinary preferential treatment for the covered trade under this Compact. A later disagreement, implementation defect, or dispute does not by itself restore a tariff, tariff-rate quota, or quantitative restriction displaced by that milestone. An express temporary measure operates only within the scope and conditions assigned to it and does not silently erase the underlying completed state. The Zero-Line Registry and other applicable records preserve an auditable history of completed milestones.</w:t>
      </w:r>
    </w:p>
    <w:p>
      <w:pPr>
        <w:pStyle w:val="Heading3"/>
      </w:pPr>
      <w:r>
        <w:t>1.9.4 Condition-Based Temporary Measures</w:t>
      </w:r>
    </w:p>
    <w:p>
      <w:pPr/>
      <w:r>
        <w:t>A temporary restriction authorized by this Compact remains operative only while the legal conditions supporting that restriction continue and the applicable continuation requirements remain satisfied. Verification that the qualifying condition no longer exists activates cessation of the temporary measure and restoration of ordinary Compact treatment according to the governing Chapter. The passage of a calendar period functions as a review or implementation clock where specified and does not independently convert temporary protection into permanent authority. Chapter 19 supplies the detailed safeguard and emergency architecture.</w:t>
      </w:r>
    </w:p>
    <w:p>
      <w:pPr>
        <w:pStyle w:val="Heading3"/>
      </w:pPr>
      <w:r>
        <w:t>1.9.5 Review, Amendment, and Sovereign Withdrawal</w:t>
      </w:r>
    </w:p>
    <w:p>
      <w:pPr/>
      <w:r>
        <w:t>Durability within the Compact does not eliminate the formal authority of the Parties to amend the Compact by agreement or to exercise an express withdrawal right under Chapter 30. Review examines operation, implementation, administrative burden, commercial usability, technical modernization, and opportunities for acceleration without functioning as recurring reauthorization of vested access. An amendment changes rights only according to the amendment procedure and its stated legal effect. Withdrawal, survival, accrued-right, and transaction-in-progress consequences follow Chapter 30 rather than an implied sunset.</w:t>
      </w:r>
    </w:p>
    <w:p>
      <w:pPr>
        <w:pStyle w:val="Heading1"/>
      </w:pPr>
      <w:r>
        <w:t>Chapter 2 - Definitions and Interpretive Rules</w:t>
      </w:r>
    </w:p>
    <w:p>
      <w:pPr>
        <w:pStyle w:val="Heading2"/>
      </w:pPr>
      <w:r>
        <w:t>Article 2.1 - Application, Hierarchy, and Use of Definitions</w:t>
      </w:r>
    </w:p>
    <w:p>
      <w:pPr/>
      <w:r>
        <w:t>2.1.1 The definitions and interpretive rules in this Chapter apply throughout this Compact unless an operative provision expressly assigns a more specific meaning for a stated purpose. A more specific meaning controls only within the scope expressly assigned to it. An Annex or Schedule supplements a core definition where the Annex or Schedule identifies the additional technical content that applies to its subject matter. Silence, administrative practice, or an unstated assumption does not alter a definition established by this Chapter.</w:t>
      </w:r>
    </w:p>
    <w:p>
      <w:pPr/>
      <w:r>
        <w:t>2.1.2 A definition identifies a legal category, status, object, actor, or event used by this Compact. A definition does not by itself establish an evidentiary burden, procedural deadline, remedy, sanction, or substantive liberalization obligation unless the definition expressly identifies an existing legal state created elsewhere in this Compact. The operative Chapter governing the defined concept supplies the applicable test, procedure, consequence, or implementation rule. This separation prevents a definition from silently creating machinery assigned to another Chapter.</w:t>
      </w:r>
    </w:p>
    <w:p>
      <w:pPr/>
      <w:r>
        <w:t>2.1.3 A defined term retains the same meaning throughout this Compact unless context and an express provision establish a narrower application. A Party does not substitute an undefined synonym for a defined term when the substitution changes the legal category or consequence. Technical drafting, translations, forms, notices, registries, and implementation instruments preserve defined-term consistency. Chapter-specific shorthand remains permissible where its scope and relationship to the core term are express.</w:t>
      </w:r>
    </w:p>
    <w:p>
      <w:pPr/>
      <w:r>
        <w:t>2.1.4 Where two provisions appear to assign different meanings to the same term, the express and more specific definition controls for the matter to which it applies. The general definition continues to govern outside that matter. An Annex or Schedule does not displace Chapters 1 or 2 through silence, formatting, administrative practice, or technical nomenclature alone. Article 2.16 governs conflicts involving product-specific schedules, classification changes, and nomenclature continuity.</w:t>
      </w:r>
    </w:p>
    <w:p>
      <w:pPr>
        <w:pStyle w:val="Heading2"/>
      </w:pPr>
      <w:r>
        <w:t>Article 2.2 - General Rules of Defined-Term Construction</w:t>
      </w:r>
    </w:p>
    <w:p>
      <w:pPr/>
      <w:r>
        <w:t>2.2.1 The word means introduces an exhaustive definition unless the provision expressly states otherwise. The word includes introduces a non-exhaustive list and does not limit a broader category to the examples stated. The phrase including means including without limitation unless the context expressly establishes a closed list. Drafting under this Compact uses these terms consistently so the form of a definition signals its intended scope.</w:t>
      </w:r>
    </w:p>
    <w:p>
      <w:pPr/>
      <w:r>
        <w:t>2.2.2 A singular term includes its plural where the context permits, and a plural term includes its singular where the context permits. A reference to a person applies without regard to gender. A reference to a natural person, enterprise, authority, agency, body, good, measure, document, or legal event carries the meaning assigned by this Compact or, where no definition applies, its ordinary legal meaning in context. These rules do not enlarge product coverage, create jurisdiction, or alter an express numerical threshold.</w:t>
      </w:r>
    </w:p>
    <w:p>
      <w:pPr/>
      <w:r>
        <w:t>2.2.3 Headings, article titles, captions, navigation aids, and the Executive Summary assist organization and interpretation but do not independently create an obligation. A heading does not narrow operative text that expressly reaches a broader category, and it does not expand operative text that establishes a narrower rule. Notes marked drafting, verification, explanatory, or non-operative do not form part of an adopted obligation unless the Parties expressly incorporate them. Operative Annexes and Schedules retain the legal status assigned by this Compact regardless of their location after the Chapters.</w:t>
      </w:r>
    </w:p>
    <w:p>
      <w:pPr/>
      <w:r>
        <w:t>2.2.4 A cross-reference identifies the operative provision in force as amended in accordance with this Compact unless the cross-reference expressly fixes a version. A reference to an Article includes its paragraphs and subparagraphs where the context requires. A reference to a Chapter includes its operative Annexes or Schedules only where the Chapter or the referenced instrument establishes that relationship. Cross-references do not import unrelated powers, exceptions, remedies, or procedures.</w:t>
      </w:r>
    </w:p>
    <w:p>
      <w:pPr>
        <w:pStyle w:val="Heading2"/>
      </w:pPr>
      <w:r>
        <w:t>Article 2.3 - Party, Parties, Party Concerned, Person, and Territory</w:t>
      </w:r>
    </w:p>
    <w:p>
      <w:pPr/>
      <w:r>
        <w:t>2.3.1 Party means Canada, the United States, or Mexico for which this Compact is in force. Parties means the Parties collectively or the subset expressly identified by the applicable provision. A bilateral implementation circumstance between two Parties does not convert this Compact into a bilateral agreement or diminish obligations that remain trilateral. A provision that requires trilateral action states that requirement expressly.</w:t>
      </w:r>
    </w:p>
    <w:p>
      <w:pPr/>
      <w:r>
        <w:t>2.3.2 Party concerned means the Party whose measure, action, omission, schedule, verification result, or implementation status is the subject of the applicable provision. Implementing Party means a Party carrying out the particular obligation, administrative action, or domestic measure identified by the provision. These terms identify functional roles and do not alter the equality of the Parties under this Compact. The same Party occupies more than one functional role in a single matter where the operative provision assigns or permits that result.</w:t>
      </w:r>
    </w:p>
    <w:p>
      <w:pPr/>
      <w:r>
        <w:t>2.3.3 Person means a natural person or an enterprise where the context permits. Enterprise means an entity constituted or organized under applicable law, whether privately owned, publicly owned, or otherwise organized, where the context concerns commercial or administrative participation. These definitions identify the persons and enterprises referenced by this Compact without determining questions of domestic standing, direct effect, or private rights of action. Chapter 30 and each Party's implementing law govern those questions to the extent applicable.</w:t>
      </w:r>
    </w:p>
    <w:p>
      <w:pPr/>
      <w:r>
        <w:t>2.3.4 Territory means, for each Party, the geographic area to which this Compact applies under the territorial definition expressly adopted by the Parties in this Compact or an instrument incorporated by express reference. A domestic implementing measure identifies administration within that agreed territory but does not unilaterally expand or contract the territorial scope of this Compact. The definition does not enlarge maritime, customs, constitutional, or sovereign claims beyond the legal boundaries otherwise applicable to a Party. Chapter 1 establishes the trilateral geographic scope, and Article 2.16 preserves classification and schedule continuity without altering that scope.</w:t>
      </w:r>
    </w:p>
    <w:p>
      <w:pPr>
        <w:pStyle w:val="Heading2"/>
      </w:pPr>
      <w:r>
        <w:t>Article 2.4 - Agricultural Good and Covered Agricultural Good</w:t>
      </w:r>
    </w:p>
    <w:p>
      <w:pPr/>
      <w:r>
        <w:t>2.4.1 Agricultural Good means a good of agricultural, horticultural, livestock, dairy, poultry, egg, grain, oilseed, pulse, sugar, seed, breeding, food-processing, or other agricultural character capable of classification within the agricultural product universe used by this Compact. The term includes primary and processed agricultural goods where their objective characteristics place them within that universe. The term does not by itself establish coverage or grant Preferential Treatment. Annex A identifies which Agricultural Goods are Covered Agricultural Goods and provides the controlling product-identification and verification fields.</w:t>
      </w:r>
    </w:p>
    <w:p>
      <w:pPr/>
      <w:r>
        <w:t>2.4.2 Covered Agricultural Good means an Agricultural Good identified in Annex A as subject to one or more operative provisions of this Compact. Coverage attaches according to the classification, description, origin status, schedule status, and other fields that Annex A makes legally relevant. A good does not acquire coverage solely because it resembles a covered good or shares a commercial use with one. Article 2.16 governs classification changes and concordance without silently expanding or contracting negotiated coverage.</w:t>
      </w:r>
    </w:p>
    <w:p>
      <w:pPr/>
      <w:r>
        <w:t>2.4.3 A product-specific Schedule identifies a subclass, processing state, end use, composition threshold, seasonal category, or other technical distinction where that distinction is necessary to administer a covered commitment. The technical distinction controls for that scheduled treatment where it is express and objectively administrable. A technical distinction does not alter the general meaning of Agricultural Good outside the scheduled treatment. Chapter 3 and Annex A govern additions, corrections, exclusions, and technical maintenance of product coverage.</w:t>
      </w:r>
    </w:p>
    <w:p>
      <w:pPr/>
      <w:r>
        <w:t>2.4.4 A nomenclature revision or technical reclassification of an Agricultural Good already within negotiated coverage does not by itself cause that good to receive or lose NAAFTC treatment. Article 2.16 and the applicable Chapter 3 procedure preserve the substantive bargain for successor classifications supported by objective technical correspondence. A genuinely new or novel agricultural product that lacks an objectively corresponding covered predecessor enters NAAFTC coverage only through the applicable Chapter 3 coverage procedure. These rules do not prejudge SPS, food-safety, labeling, or other regulatory treatment.</w:t>
      </w:r>
    </w:p>
    <w:p>
      <w:pPr>
        <w:pStyle w:val="Heading2"/>
      </w:pPr>
      <w:r>
        <w:t>Article 2.5 - Originating Agricultural Good and Treatment of Non-Originating Goods</w:t>
      </w:r>
    </w:p>
    <w:p>
      <w:pPr/>
      <w:r>
        <w:t>2.5.1 Originating Agricultural Good means a Covered Agricultural Good that satisfies the applicable rules of origin in Chapter 10 and Annex G. Origin status attaches through the substantive origin rule and the verification framework applicable to the good. Shipment from, invoicing in, storage in, transit through, or presentation at a port of a Party does not by itself establish origin. Minimal handling or repackaging does not establish origin where Chapter 10 treats the operation as insufficient.</w:t>
      </w:r>
    </w:p>
    <w:p>
      <w:pPr/>
      <w:r>
        <w:t>2.5.2 A good that does not satisfy the applicable rule of origin does not receive NAAFTC preferential treatment merely because it enters commerce through a Party. Each Party applies its otherwise applicable external tariff, trade agreement, customs, and regulatory treatment to that good, subject to its other international obligations. This Compact does not create a common external tariff or common external commercial policy. Articles 1.5 and 1.6 preserve each Party's independent external agricultural trade policy.</w:t>
      </w:r>
    </w:p>
    <w:p>
      <w:pPr/>
      <w:r>
        <w:t>2.5.3 Origin and coverage are distinct legal questions. A good falls within the agricultural product universe without necessarily qualifying as originating, and an originating good receives only the treatment that the applicable Schedule and current legal status provide. A determination of origin does not itself establish a tariff rate, vesting status, safeguard status, or SPS authorization. The operative Chapters governing those matters supply the corresponding legal consequences.</w:t>
      </w:r>
    </w:p>
    <w:p>
      <w:pPr/>
      <w:r>
        <w:t>2.5.4 Chapter 10 and Annex G govern accumulation, de minimis treatment, certification, recordkeeping, advance rulings, product-specific rules, and other origin mechanics. Chapter 11 governs targeted anti-circumvention and fraud controls. This Chapter defines the categories used by those systems without importing their evidentiary or procedural machinery. A later origin determination applies according to the review and correction rules established by those Chapters.</w:t>
      </w:r>
    </w:p>
    <w:p>
      <w:pPr>
        <w:pStyle w:val="Heading2"/>
      </w:pPr>
      <w:r>
        <w:t>Article 2.6 - Tariff, Customs Duty, and Equivalent Border Charge</w:t>
      </w:r>
    </w:p>
    <w:p>
      <w:pPr/>
      <w:r>
        <w:t>2.6.1 Tariff or Customs Duty means a duty imposed on or in connection with the importation of a good, including an ad valorem duty, specific duty, compound duty, mixed duty, seasonal duty, and an over-access duty applied through a Tariff-Rate Quota. The term covers the customs-duty component of a measure regardless of the label assigned under domestic law. A Party does not avoid a tariff commitment by changing the name, collection mechanism, or administrative location of the duty. Chapter 5 governs elimination and technical treatment of covered duties.</w:t>
      </w:r>
    </w:p>
    <w:p>
      <w:pPr/>
      <w:r>
        <w:t>2.6.2 Tariff or Customs Duty does not include a charge limited in amount to the approximate cost of a service rendered, an internal tax imposed on imported and domestic goods under equivalent conditions, or a monetary penalty imposed for a proven violation. Treatment of antidumping duties, countervailing duties, and other trade-remedy charges follows the provisions of this Compact and the other legal regimes applicable to those measures rather than this definitional exclusion. An exclusion in this paragraph does not apply where the design or amount of a charge functions as an ordinary import tariff contrary to this Compact. This paragraph preserves legitimate revenue and enforcement instruments without creating a substitute channel for ordinary agricultural protection.</w:t>
      </w:r>
    </w:p>
    <w:p>
      <w:pPr/>
      <w:r>
        <w:t>2.6.3 Equivalent Border Charge means a financial charge imposed because a Covered Agricultural Good crosses the border that operates as a substitute for a tariff eliminated, reduced, displaced, or prohibited by this Compact. The term does not include a charge excluded under paragraph 2.6.2 where the charge satisfies the conditions of that exclusion. Classification as an Equivalent Border Charge depends on legal design, basis, incidence, amount, and operation rather than title alone. Chapters 4, 5, 12, and 15 govern the substantive disciplines applicable to such charges.</w:t>
      </w:r>
    </w:p>
    <w:p>
      <w:pPr/>
      <w:r>
        <w:t>2.6.4 Where a duty uses a specific, compound, mixed, seasonal, or other non-ad-valorem form, the applicable Schedule identifies the legal treatment required for elimination, conversion, staging, or verification. A technical conversion supports implementation and comparison but does not silently change the negotiated economic commitment. Annex B records the applicable methodology and source data where conversion is necessary. Article 2.16 governs nomenclature continuity and technical corrections.</w:t>
      </w:r>
    </w:p>
    <w:p>
      <w:pPr>
        <w:pStyle w:val="Heading2"/>
      </w:pPr>
      <w:r>
        <w:t>Article 2.7 - Measure</w:t>
      </w:r>
    </w:p>
    <w:p>
      <w:pPr/>
      <w:r>
        <w:t>2.7.1 Measure means a law, regulation, rule, procedure, requirement, decision, administrative practice, licensing condition, allocation practice, inspection practice, certification procedure, fee, charge, restriction, authorization, or other governmental action or omission capable of affecting trade in a Covered Agricultural Good. The term is neutral and does not by itself characterize the measure as lawful, unlawful, protectionist, discriminatory, scientific, emergency, or otherwise. The substantive Chapter applicable to the measure supplies that characterization. A private commercial act is not a Measure unless an operative provision expressly attributes the act to a Party or governmental authority.</w:t>
      </w:r>
    </w:p>
    <w:p>
      <w:pPr/>
      <w:r>
        <w:t>2.7.2 A Measure operates at the border or behind the border according to its design and effect. Its classification under this Article does not determine whether it falls within customs, SPS, regulatory, safeguard, food-security, domestic-support, or other disciplines. Where more than one specialized Chapter applies, each Chapter operates according to its scope and the conflict rules of this Compact. A Party does not escape an applicable discipline by relocating administration from one agency or procedural stage to another.</w:t>
      </w:r>
    </w:p>
    <w:p>
      <w:pPr/>
      <w:r>
        <w:t>2.7.3 An omission constitutes a Measure only where this Compact or applicable domestic administration assigns the Party or governmental authority a relevant function and the omission is capable of affecting covered trade. Delay constitutes a Measure where the applicable Chapter treats timing or processing as legally relevant and the other elements of paragraph 2.7.3 are satisfied. Ordinary commercial delay outside governmental control does not become a Measure solely because it affects a transaction. Chapters 12, 16, 17, and 24 provide specialized treatment for administrative performance, commercial usability, verification, and cure.</w:t>
      </w:r>
    </w:p>
    <w:p>
      <w:pPr/>
      <w:r>
        <w:t>2.7.4 The breadth of the term Measure does not expand the substantive jurisdiction of this Compact. A Measure becomes subject to a particular obligation only where an operative provision reaches the subject matter, actor, product, and legal effect concerned. Regulatory sovereignty preserved by Chapter 1 remains subject to the specialized disciplines that the Parties expressly adopt. This rule prevents a general definition from creating an unstated regulatory mandate.</w:t>
      </w:r>
    </w:p>
    <w:p>
      <w:pPr>
        <w:pStyle w:val="Heading2"/>
      </w:pPr>
      <w:r>
        <w:t>Article 2.8 - Tariff-Rate Quota, Managed Access, and Managed-Access Field</w:t>
      </w:r>
    </w:p>
    <w:p>
      <w:pPr/>
      <w:r>
        <w:t>2.8.1 Tariff-Rate Quota or TRQ means a market-access arrangement under which a specified quantity or share of a good receives one tariff treatment and imports beyond that quantity or share receive a different tariff treatment. Within-Access Quantity means the quantity or share eligible for the preferential within-access treatment. Over-Access Treatment means the duty or other scheduled tariff treatment applicable beyond the Within-Access Quantity. Allocation Machinery means the administrative system used to distribute, reallocate, monitor, document, or administer access under the TRQ.</w:t>
      </w:r>
    </w:p>
    <w:p>
      <w:pPr/>
      <w:r>
        <w:t>2.8.2 Managed Access means market access whose exercise remains subject to a TRQ quantity, eligibility condition, allocation mechanism, or comparable scheduled access limitation recognized by this Compact. Managed Access does not include an ordinary customs procedure that applies equally to unrestricted zero-duty trade. The existence of administrative documentation alone does not establish Managed Access. Chapter 7 governs the progressive replacement of Managed Access with vested unrestricted preferential access.</w:t>
      </w:r>
    </w:p>
    <w:p>
      <w:pPr/>
      <w:r>
        <w:t>2.8.3 Managed-Access Field means the legally applicable portion of covered originating trade to which a TRQ or corresponding managed-access restriction remains capable of applying at a given point in implementation. The Managed-Access Field contracts as Vested Market-Access Rights displace the corresponding restriction. The field reaches zero when all Vesting Tranches assigned to that TRQ have vested and Full-Vesting Confirmation records completion of the scheduled displacement process. Administrative records or obsolete allocation machinery do not enlarge a Managed-Access Field that has already contracted by operation of this Compact.</w:t>
      </w:r>
    </w:p>
    <w:p>
      <w:pPr/>
      <w:r>
        <w:t>2.8.4 A TRQ contains one or more tariff, quantitative, allocation, eligibility, utilization, reallocation, or administrative components according to its legal design. Identification of those components does not validate a component that conflicts with this Compact. Annex C and Annex D record the relevant baseline and transition architecture for sensitive products. Chapter 7 determines the legal consequences of vesting, displacement, full vesting, and administrative retirement.</w:t>
      </w:r>
    </w:p>
    <w:p>
      <w:pPr>
        <w:pStyle w:val="Heading2"/>
      </w:pPr>
      <w:r>
        <w:t>Article 2.9 - Vested Market-Access Right</w:t>
      </w:r>
    </w:p>
    <w:p>
      <w:pPr/>
      <w:r>
        <w:t>2.9.1 Vested Market-Access Right means a legally completed increment of preferential market access that this Compact identifies as vested through the applicable liberalization process. The right attaches to the covered treatment rather than to a particular private trader, allocation holder, shipment, or commercial contract unless an operative provision expressly states otherwise. Vesting changes the legal state of the corresponding market access for the Parties concerned. Chapter 7 determines the conditions and verification event through which the right vests.</w:t>
      </w:r>
    </w:p>
    <w:p>
      <w:pPr/>
      <w:r>
        <w:t>2.9.2 A Vested Market-Access Right receives the No-Fade protection established by Article 1.9 and the applicable later Chapters. Passage of time, an incomplete periodic review, an unrelated dispute, administrative delay, or continued existence of obsolete domestic machinery does not by itself diminish the vested legal state. An authorized temporary safeguard or emergency measure limits exercise of the right only according to the conditions established by this Compact. Formal amendment and withdrawal remain governed by Chapter 30.</w:t>
      </w:r>
    </w:p>
    <w:p>
      <w:pPr/>
      <w:r>
        <w:t>2.9.3 A Vested Market-Access Right does not guarantee a sale, market share, commercial profit, allocation to a particular trader, or regulatory approval unrelated to the market-access commitment. The right establishes the preferential legal treatment due to qualifying trade under the applicable Schedule and current implementation status. Commercial Usability disciplines protect practical access to that legal treatment without guaranteeing commercial success. Chapters 12, 16, and 17 govern the relevant administrative, commercial-usability, and verification disciplines.</w:t>
      </w:r>
    </w:p>
    <w:p>
      <w:pPr/>
      <w:r>
        <w:t>2.9.4 A Vested Market-Access Right remains distinct from a Completed Liberalization Milestone and from Zero-Line Status. A milestone records completion of an identified liberalization obligation, while Zero-Line Status records the legal condition of unrestricted zero-duty treatment for a tariff line. A Vested Market-Access Right arises through TRQ displacement before the entire tariff line reaches its final unrestricted state where Chapter 7 establishes that sequence. Articles 2.10 and 2.11 define the related legal categories.</w:t>
      </w:r>
    </w:p>
    <w:p>
      <w:pPr>
        <w:pStyle w:val="Heading2"/>
      </w:pPr>
      <w:r>
        <w:t>Article 2.10 - Vesting Tranche, TRQ Displacement, and Full-Vesting Confirmation</w:t>
      </w:r>
    </w:p>
    <w:p>
      <w:pPr/>
      <w:r>
        <w:t>2.10.1 Vesting Tranche means a defined increment of Managed Access identified by Annex D for potential conversion into a Vested Market-Access Right. A Vesting Tranche is expressed as a quantity, percentage, share, tariff treatment, or other objectively measurable unit appropriate to the scheduled product. The definition identifies the unit of liberalization and does not itself determine whether the conditions for vesting are satisfied. Chapter 7 and Chapter 17 govern activation and verification.</w:t>
      </w:r>
    </w:p>
    <w:p>
      <w:pPr/>
      <w:r>
        <w:t>2.10.2 TRQ Displacement means the loss of legal applicability of a TRQ restriction to the quantity, share, or treatment represented by a Vested Market-Access Right. Displacement contracts the Managed-Access Field to the corresponding extent. A displaced restriction does not remain legally available merely because domestic tariff schedules, allocation records, software, forms, or administrative instructions have not yet been retired or conformed. Chapter 7 governs the implementation record and cure of inconsistent administrative remnants.</w:t>
      </w:r>
    </w:p>
    <w:p>
      <w:pPr/>
      <w:r>
        <w:t>2.10.3 Full-Vesting Confirmation means the legal and verification record establishing that every Vesting Tranche assigned to a TRQ has vested under the applicable Chapter 7 process. The confirmation records completion of the scheduled displacement process, with the result that the Managed-Access Field for covered originating trade is zero. Full-Vesting Confirmation does not depend on the lapse of a fixed expiration date and triggers the administrative-retirement consequences established by Chapter 7 and Annex D. Failure to retire obsolete Allocation Machinery does not revive or preserve legal authority to apply the displaced restriction.</w:t>
      </w:r>
    </w:p>
    <w:p>
      <w:pPr/>
      <w:r>
        <w:t>2.10.4 Administrative retirement means removal, deactivation, archival treatment, or other formal housekeeping for Allocation Machinery that no longer administers a legally applicable Managed-Access Field. Administrative retirement follows the legal displacement of the underlying restriction and does not create that displacement. A clerical or systems delay in retirement remains subject to cure without reopening vested access. This sequencing separates the legal state from the administrative shell that once implemented it.</w:t>
      </w:r>
    </w:p>
    <w:p>
      <w:pPr>
        <w:pStyle w:val="Heading2"/>
      </w:pPr>
      <w:r>
        <w:t>Article 2.11 - Completed Liberalization Milestone, Zero-Line Status, Reciprocity Milestone, and Synchronized Activation</w:t>
      </w:r>
    </w:p>
    <w:p>
      <w:pPr/>
      <w:r>
        <w:t>2.11.1 Completed Liberalization Milestone means an identified liberalization obligation or implementation step that the applicable Chapter records as completed after satisfaction of its governing conditions. Completion establishes the legal consequence assigned to that milestone by the Compact. A Completed Liberalization Milestone does not automatically create Zero-Line Status unless the applicable provision assigns that result. The relevant substantive Chapter and Chapter 17 govern verification and recording of a Completed Liberalization Milestone, while Chapter 8 governs Reciprocity Milestones and synchronized implementation.</w:t>
      </w:r>
    </w:p>
    <w:p>
      <w:pPr/>
      <w:r>
        <w:t>2.11.2 Zero-Line Status means the legal condition of a covered tariff line for which unrestricted zero-customs-duty treatment for qualifying originating trade has become effective and is recorded under Chapter 9. Zero-Line Status is not merely a historical statement that a tariff once reached zero. The status receives the no-backsliding protection established by Chapters 4 and 9, subject to the express temporary and final provisions of this Compact. The Zero-Line Registry provides the authoritative implementation record without creating the underlying obligation by itself.</w:t>
      </w:r>
    </w:p>
    <w:p>
      <w:pPr/>
      <w:r>
        <w:t>2.11.3 Reciprocity Milestone means a defined implementation event paired with one or more corresponding events of another Party for purposes of synchronized liberalization under Chapter 8. The term identifies the event to be compared and does not itself establish the evidence threshold, cure period, or consequence of non-performance. A Reciprocity Milestone concerns tariff elimination, a Vesting Tranche, administrative access, or another scheduled reciprocal benefit identified by Annex E. Annex E identifies the applicable pairings and evidence fields.</w:t>
      </w:r>
    </w:p>
    <w:p>
      <w:pPr/>
      <w:r>
        <w:t>2.11.4 Synchronized Activation means the legal activation of paired reciprocal treatment according to Chapter 8 when the objective substantive performance conditions assigned to the synchronized set are satisfied. Chapter 17 may verify and record whether those conditions were satisfied and whether resulting treatment was implemented, but ALVS completion, verifier approval, committee confirmation, or absence of a verification dispute does not create or postpone the activation event unless an operative provision expressly makes that event a substantive condition. Synchronization coordinates new reciprocal benefits without reversing a Vested Market-Access Right, Zero-Line Status, or Completed Liberalization Milestone protected from ordinary backsliding. A temporary hold applies only to a future unmatched benefit where Chapter 8 expressly authorizes that consequence, and Chapter 25 governs cure and Restoration where implementation falls out of alignment.</w:t>
      </w:r>
    </w:p>
    <w:p>
      <w:pPr>
        <w:pStyle w:val="Heading2"/>
      </w:pPr>
      <w:r>
        <w:t>Article 2.12 - Commercial Usability and Preferential Treatment</w:t>
      </w:r>
    </w:p>
    <w:p>
      <w:pPr/>
      <w:r>
        <w:t>2.12.1 Commercial Usability means the practical ability of an eligible trader to exercise a legal market-access entitlement under ordinary commercial conditions without an inconsistent administrative barrier materially preventing use of that entitlement. The assessment considers eligibility, availability of access, processing time, documentation, allocation and reallocation where applicable, reasoned denials, release practices, and other objectively relevant administrative conditions. Commercial Usability does not guarantee demand, sales, profitability, financing, logistics performance outside governmental control, or success of a particular transaction. Chapters 12, 16, and 17 establish the applicable administrative, anti-substitution, verification, evidence, benchmark, and cure interfaces.</w:t>
      </w:r>
    </w:p>
    <w:p>
      <w:pPr/>
      <w:r>
        <w:t>2.12.2 A market-access entitlement lacks Commercial Usability where the applicable operative Chapter determines that administration materially prevents practical exercise of legal access under ordinary commercial conditions. The definition does not establish the evidentiary burden, attribution test, materiality threshold, or causation standard for that determination. Ordinary compliance with a legitimate, consistently administered regulatory requirement does not establish lack of Commercial Usability solely because compliance creates cost or delay. Chapters 12, 16, and 17 establish the applicable administrative, anti-substitution, verification, evidence, benchmark, and cure interfaces.</w:t>
      </w:r>
    </w:p>
    <w:p>
      <w:pPr/>
      <w:r>
        <w:t>2.12.3 Preferential Treatment means the tariff, TRQ, vesting, customs, or other market-access treatment currently due to a qualifying Covered Agricultural Good under the applicable Schedule and operative legal status of this Compact. The term reflects the treatment in force at the relevant time rather than the most favorable treatment scheduled for a later milestone. A safeguard or emergency measure modifies exercise of Preferential Treatment only to the extent expressly authorized. Chapters 25 and 26 use the applicable legal status to determine cure, restoration, and permissible remedies.</w:t>
      </w:r>
    </w:p>
    <w:p>
      <w:pPr/>
      <w:r>
        <w:t>2.12.4 Preferential Treatment remains distinct from Commercial Usability. Preferential Treatment identifies the legal entitlement, while Commercial Usability evaluates whether administration permits practical exercise of that entitlement under the applicable disciplines. A Party's compliance with one concept does not establish compliance with the other where the operative facts support a different result. ALVS records and evaluates the evidence according to Chapter 17.</w:t>
      </w:r>
    </w:p>
    <w:p>
      <w:pPr>
        <w:pStyle w:val="Heading2"/>
      </w:pPr>
      <w:r>
        <w:t>Article 2.13 - Circumvention and Transshipment</w:t>
      </w:r>
    </w:p>
    <w:p>
      <w:pPr/>
      <w:r>
        <w:t>2.13.1 Circumvention means conduct structured to obtain NAAFTC treatment for a good or transaction contrary to an applicable origin, eligibility, tariff, TRQ, safeguard, or other express condition of this Compact. A finding of Circumvention requires evidence connecting the conduct to avoidance of the applicable condition. Commercial complexity, use of an intermediary, or routing through more than one jurisdiction does not by itself establish Circumvention. Chapter 11 supplies the investigation, evidence, procedural, and remedy rules.</w:t>
      </w:r>
    </w:p>
    <w:p>
      <w:pPr/>
      <w:r>
        <w:t>2.13.2 Transshipment means movement of a good through the territory of an intermediate Party or non-Party before entry into the importing Party. Transshipment is neutral conduct and does not by itself establish Circumvention, non-origin, fraud, or loss of preference. Storage, consolidation, deconsolidation, preservation, or other handling during transit receives the treatment established by Chapter 10 and Chapter 11. Conduct that changes origin eligibility or evades an express condition remains subject to those Chapters.</w:t>
      </w:r>
    </w:p>
    <w:p>
      <w:pPr/>
      <w:r>
        <w:t>2.13.3 Fraud means a knowing material misrepresentation, falsification, concealment, or deceptive act concerning a fact relevant to NAAFTC treatment where the applicable Chapter establishes that standard. A good-faith clerical error, reasonable classification disagreement, or corrected administrative mistake does not become Fraud solely because it affects preferential treatment. Chapter 11 distinguishes deliberate misconduct from correctable error and establishes proportionate consequences. This definition does not displace criminal-law standards that a Party applies under its domestic law.</w:t>
      </w:r>
    </w:p>
    <w:p>
      <w:pPr/>
      <w:r>
        <w:t>2.13.4 Anti-circumvention administration remains targeted to the risk and evidence associated with the good, trader, route, transaction, or practice concerned. The definitions in this Article do not create a presumption against a country, commodity, corridor, or legitimate business model. Chapter 11 governs enhanced verification and return to ordinary treatment after cure. Article 1.8 continues to prohibit indirect frustration of the Compact through inconsistent administration.</w:t>
      </w:r>
    </w:p>
    <w:p>
      <w:pPr>
        <w:pStyle w:val="Heading2"/>
      </w:pPr>
      <w:r>
        <w:t>Article 2.14 - Serious Injury, Critical Shortage, SPS Emergency, and Incremental Benefit</w:t>
      </w:r>
    </w:p>
    <w:p>
      <w:pPr/>
      <w:r>
        <w:t>2.14.1 Serious Injury means a significant overall impairment in the position of a domestic agricultural industry producing a like or directly competitive good, assessed under the causation and evidence rules of Chapter 19. The term identifies the level of harm relevant to a transition safeguard and does not by itself establish that imports caused the harm. Threat of Serious Injury means Serious Injury that is clearly imminent under the standard established by Chapter 19. Annex K supplies the applicable evidence matrix and review fields.</w:t>
      </w:r>
    </w:p>
    <w:p>
      <w:pPr/>
      <w:r>
        <w:t>2.14.2 Critical Shortage means an objectively demonstrated insufficiency in the reasonably available supply of a food, agricultural good, or critical agricultural input that creates a material food-security or continuity risk under Chapter 20. The term does not include an ordinary price increase, seasonal fluctuation, commercial inconvenience, or localized scarcity that does not satisfy the Chapter 20 threshold. A finding remains tied to the product, geography, duration, and continuity risk supported by the evidence. Chapter 20 governs prevention, cooperation, response, and cessation.</w:t>
      </w:r>
    </w:p>
    <w:p>
      <w:pPr/>
      <w:r>
        <w:t>2.14.3 SPS Emergency means an urgent sanitary or phytosanitary situation involving a material risk to human, animal, or plant life or health that reasonably requires temporary action before completion of ordinary review procedures. The definition does not determine the scientific validity, scope, necessity, duration, or consistency of the temporary action. Chapters 14, 18, and 19 establish the applicable evidence, technical review, emergency, proportionality, and continuation requirements. An SPS Emergency ceases to support emergency treatment when the governing conditions no longer exist.</w:t>
      </w:r>
    </w:p>
    <w:p>
      <w:pPr/>
      <w:r>
        <w:t>2.14.4 Incremental Benefit means a future preferential benefit scheduled under this Compact that has not yet vested, acquired Zero-Line Status, or become a Completed Liberalization Milestone protected from ordinary reversal. The term identifies the portion of prospective treatment potentially available for a narrow remedy where Chapter 26 expressly authorizes that remedy. Suspension of an Incremental Benefit does not by definition reopen an already vested or completed legal state. Chapter 26 determines proportionality, scope, duration, and automatic termination of the remedy.</w:t>
      </w:r>
    </w:p>
    <w:p>
      <w:pPr>
        <w:pStyle w:val="Heading2"/>
      </w:pPr>
      <w:r>
        <w:t>Article 2.15 - Agricultural Liberalization Verification System</w:t>
      </w:r>
    </w:p>
    <w:p>
      <w:pPr/>
      <w:r>
        <w:t>2.15.1 Agricultural Liberalization Verification System or ALVS means the verification architecture established by Chapter 17 for implementation of this Compact. ALVS supports the Reciprocity Ledger, Zero-Line Registry, commercial-usability review, milestone verification, cure records, and other functions expressly assigned to it. This definition identifies the system and does not independently confer investigative, adjudicative, enforcement, or amendment authority. Chapter 17 defines its functions, limits, procedures, data rules, and escalation thresholds.</w:t>
      </w:r>
    </w:p>
    <w:p>
      <w:pPr/>
      <w:r>
        <w:t>2.15.2 An ALVS record documents an implementation fact, verification result, status, correction, or other matter that an operative Chapter assigns to the system. The legal consequence of the record arises from the operative provision that requires or recognizes it. A registry entry does not create a tariff concession or Vested Market-Access Right where the governing conditions have not been satisfied. A correction to an ALVS record follows the applicable append-only, audit, and cure rules without erasing a valid underlying legal state.</w:t>
      </w:r>
    </w:p>
    <w:p>
      <w:pPr/>
      <w:r>
        <w:t>2.15.3 ALVS relies on existing customs, agricultural, SPS, statistical, and trade-administration systems where those systems provide reliable information suitable for the assigned function. The system does not require duplicate data collection merely because NAAFTC uses the information for verification. Chapter 17 applies data minimization, confidentiality, evidence-integrity, and administrative-burden disciplines. Chapter 22 governs shared registry architecture and public or non-public data layers.</w:t>
      </w:r>
    </w:p>
    <w:p>
      <w:pPr/>
      <w:r>
        <w:t>2.15.4 A disagreement with an ALVS record does not by itself alter the applicable legal treatment. The applicable Chapter determines whether a verification hold, technical review, cure process, safeguard, or dispute procedure affects implementation while the disagreement is resolved. Independent technical or scientific review remains limited to the triggers established by Chapter 18. This structure separates routine verification from exceptional adjudicative or scientific review.</w:t>
      </w:r>
    </w:p>
    <w:p>
      <w:pPr>
        <w:pStyle w:val="Heading2"/>
      </w:pPr>
      <w:r>
        <w:t>Article 2.16 - Rules of Construction, Schedule Hierarchy, and Tariff Nomenclature Continuity</w:t>
      </w:r>
    </w:p>
    <w:p>
      <w:pPr/>
      <w:r>
        <w:t>2.16.1 An Annex or Schedule designated as operative forms part of this Compact according to the legal function assigned to it. A product-specific Schedule controls the technical tariff treatment, quantity, staging, vesting unit, origin rule, or other product-specific field that the Compact expressly assigns to that Schedule. The Schedule does not displace a general rule in Chapters 1 or 2 through silence, administrative practice, or an unstated implication. Where an express conflict remains, a more specific operative provision controls only to the extent of the conflict and within its assigned subject matter, and it varies a foundational rule in Chapter 1 or this Chapter only where this Compact expressly authorizes that variation.</w:t>
      </w:r>
    </w:p>
    <w:p>
      <w:pPr/>
      <w:r>
        <w:t>2.16.2 A reference to a domestic ministry, department, agency, board, commission, or other authority includes a lawful successor performing the same relevant function unless an operative provision requires action by the named body itself. Reorganization does not suspend an obligation, erase a record, or reopen a completed liberalization state. A Party identifies the successor authority through the transparency mechanisms of Chapter 22. The identification does not amend the substantive obligation assigned to the function.</w:t>
      </w:r>
    </w:p>
    <w:p>
      <w:pPr/>
      <w:r>
        <w:t>2.16.3 A revision to the Harmonized System or another tariff nomenclature does not by itself expand, contract, restore, erase, accelerate, or postpone a commitment under this Compact. The Parties maintain an HS Concordance Register that maps superseded classifications to successor classifications using objective technical correspondence and preserves the substantive bargain represented by the applicable Schedule. A concordance entry receives technical verification before use for an operative tariff or vesting decision. Chapter 3 and the applicable Annex govern publication, correction, source dating, and verification labels.</w:t>
      </w:r>
    </w:p>
    <w:p>
      <w:pPr/>
      <w:r>
        <w:t>2.16.4 Where an HS revision divides one covered tariff line into multiple successor lines, the successor treatment preserves the substantive scope and economic effect of the existing commitment to the greatest extent objectively supported by the classification change. Where multiple lines merge, the concordance does not use the merger to restore a restriction already eliminated or displaced for covered originating trade. A technical transposition does not create a new sensitive-sector designation or new Managed-Access Field. A material policy change requires the amendment or schedule-modification procedure expressly provided by this Compact.</w:t>
      </w:r>
    </w:p>
    <w:p>
      <w:pPr/>
      <w:r>
        <w:t>2.16.5 A Definitions Index may accompany this Compact as a non-operative navigation, drafting-control, translation, and legal-scrub aid. The Index identifies each defined term, its governing Article, its status as core or cross-reference terminology, the Chapters that use it, and any identified circularity risk. An omission, clerical error, or later inconsistency in the Index does not alter the operative meaning of a defined term. The Index and any Defined-Term Map remain explanatory aids and do not constitute independent sources of obligation.</w:t>
      </w:r>
    </w:p>
    <w:p>
      <w:pPr/>
      <w:r>
        <w:t>2.16.6 Cothrom Cure means a proportional and reversible compliance process that preserves the underlying obligation while adjusting only the benefit or administrative treatment reasonably necessary to address a verified failure. It identifies the corrective action, verification method, measurable completion condition, responsible authority, and Restoration trigger applicable to the affected scope. Verified correction progressively restores affected treatment without reopening unrelated accrued or vested rights except where this Compact expressly provides otherwise. The term does not create a separate remedy, origin rule, or discretionary basis for withholding Restoration.</w:t>
      </w:r>
    </w:p>
    <w:p>
      <w:pPr>
        <w:pStyle w:val="Heading1"/>
      </w:pPr>
      <w:r>
        <w:t>Chapter 3 - Covered Agricultural Goods and Product Schedules</w:t>
      </w:r>
    </w:p>
    <w:p>
      <w:pPr>
        <w:pStyle w:val="Heading2"/>
      </w:pPr>
      <w:r>
        <w:t>Article 3.1 - Scope and Function of Product Coverage</w:t>
      </w:r>
    </w:p>
    <w:p>
      <w:pPr/>
      <w:r>
        <w:t>3.1.1 This Chapter establishes the legal machinery for identifying the Agricultural Goods that receive treatment under this Compact. Annex A contains the Covered Agricultural Goods Master Schedule and the product records through which coverage is administered. Coverage under this Chapter remains distinct from origin, tariff treatment, TRQ treatment, vesting status, SPS authorization, safeguard eligibility, customs valuation, and Commercial Usability. The specialized Chapters and Schedules governing those matters determine their separate legal consequences.</w:t>
      </w:r>
    </w:p>
    <w:p>
      <w:pPr/>
      <w:r>
        <w:t>3.1.2 A good receives treatment as a Covered Agricultural Good only where Annex A or an operative coverage determination under this Chapter assigns that status. Agricultural character, commercial use, negotiating history, administrative familiarity, or resemblance to another product does not independently create coverage. An unresolved classification or coverage question receives neither an implied exclusion nor an implied preference. Articles 3.4 through 3.10 govern resolution of that question.</w:t>
      </w:r>
    </w:p>
    <w:p>
      <w:pPr/>
      <w:r>
        <w:t>3.1.3 This Chapter does not create a common external tariff, common external agricultural policy, implied most-favored-nation rule, or automatic importation of a third-country preference. Each Party retains the external-policy authority preserved by Articles 1.5 and 1.6. Annex A identifies NAAFTC coverage without determining the treatment that a Party applies to non-originating goods. Chapter 10 separately determines whether a Covered Agricultural Good qualifies as originating.</w:t>
      </w:r>
    </w:p>
    <w:p>
      <w:pPr/>
      <w:r>
        <w:t>3.1.4 Product coverage remains administrable through objective classifications, explicit statuses, controlled source records, and traceable changes. A Party does not alter coverage through an informal understanding, unpublished administrative practice, software configuration, statistical convention, or negotiating label. Technical administration implements the legal coverage established by this Compact rather than replacing it. Article 3.12 governs the legal effect of inconsistencies between administration and the operative coverage record.</w:t>
      </w:r>
    </w:p>
    <w:p>
      <w:pPr>
        <w:pStyle w:val="Heading2"/>
      </w:pPr>
      <w:r>
        <w:t>Article 3.2 - Covered Agricultural Goods Master Schedule</w:t>
      </w:r>
    </w:p>
    <w:p>
      <w:pPr/>
      <w:r>
        <w:t>3.2.1 Annex A constitutes the Covered Agricultural Goods Master Schedule and forms an operative part of this Compact only with respect to fields designated as Operative Fields in the Annex A Schema. Each product record receives a unique persistent Product Record ID that remains associated with the record through classification revisions, technical corrections, and schedule linkages. Annexes B, C, D, E, and F and the ALVS architecture use the Product Record ID where cross-schedule traceability is required. A tariff-code change does not by itself retire or replace the Product Record ID.</w:t>
      </w:r>
    </w:p>
    <w:p>
      <w:pPr/>
      <w:r>
        <w:t>3.2.2 The Annex A Agricultural Universe definition establishes the objective product universe presented for NAAFTC coverage administration, and Annex A product records map individual goods within that universe to their applicable Coverage Status. An exclusion is identifiable, sourced, legally traceable, and attached to the relevant Product Record ID or objectively defined group of records. Silence does not create an exclusion, and absence of a completed coverage determination does not create a preference. Articles 3.5 and 3.6 govern the status and procedure applicable while a coverage question remains unresolved.</w:t>
      </w:r>
    </w:p>
    <w:p>
      <w:pPr/>
      <w:r>
        <w:t>3.2.3 Annex A classifies each field as an Operative Field, Administrative Metadata Field, or Field Status Field. Only an Operative Field establishes, modifies, or removes product coverage or legal treatment, while Administrative Metadata and Field Status Fields record provenance, verification, administration, or the state of an Operative Field. Metadata maintenance, software configuration, publication update, or administrative practice does not change an Operative Field, and reclassification of a field category follows the amendment procedure assigned by Chapter 29. Article 3.10 governs the change track applicable to each field and prevents an operative change from masquerading as metadata maintenance.</w:t>
      </w:r>
    </w:p>
    <w:p>
      <w:pPr/>
      <w:r>
        <w:t>3.2.4 Annex A remains usable in human-readable and machine-readable form. The machine-readable representation preserves Product Record IDs, operative fields, source fields, status fields, schedule links, and version history without altering their legal meaning. A formatting difference between representations does not change coverage where the underlying controlled record is identical. Article 3.11 governs official publication, version control, archives, and change history.</w:t>
      </w:r>
    </w:p>
    <w:p>
      <w:pPr>
        <w:pStyle w:val="Heading2"/>
      </w:pPr>
      <w:r>
        <w:t>Article 3.3 - Mandatory Product Record, Source, and Verification Fields</w:t>
      </w:r>
    </w:p>
    <w:p>
      <w:pPr/>
      <w:r>
        <w:t>3.3.1 Each Annex A product record identifies the Party, Product Record ID, applicable HS edition or version, HS code, national tariff-line identifier, and objective product description. Where a Party uses a statistical suffix, ex-out, seasonal subdivision, or other national extension relevant to administration, the record identifies that extension separately from the international HS code. The record identifies technical qualifiers such as composition, processing state, end use, season, weight, or other objectively measurable characteristics where those qualifiers determine classification or coverage. A required Operative Field that remains blank does not receive Officially Verified Field Verification Status, and the product record does not receive derived Verified status while that required field remains incomplete.</w:t>
      </w:r>
    </w:p>
    <w:p>
      <w:pPr/>
      <w:r>
        <w:t>3.3.2 Each product record identifies the legally authoritative primary source used for the HS classification and the source date or edition applicable to that classification. The record separately identifies the legally authoritative domestic tariff-schedule source, its version or effective date, and the domestic legal basis for the recorded baseline treatment. The record includes retrieval date, archive reference where available, and enough citation information to permit an official reviewer to reproduce the source trail. A prior NAAFTC draft, spreadsheet, negotiating note, or derivative summary does not verify an external baseline fact.</w:t>
      </w:r>
    </w:p>
    <w:p>
      <w:pPr/>
      <w:r>
        <w:t>3.3.3 Each product record states the baseline treatment relevant to the covered line, including the form of any duty, specific or compound component, seasonal treatment, TRQ status, quantitative condition, allocation mechanism, or other baseline condition that the applicable Schedule requires. Each quantitative or classification datum carries a Value Type or Provenance category identifying it as an Official Source Datum, Negotiated Value, Technical Conversion, Concordance Mapping, or Administrative Provisional Datum. Value Type remains distinct from Verification Status, so a Negotiated Value receives verification as a correct transcription of an adopted NAAFTC decision without masquerading as an externally observed baseline fact. The record preserves that distinction wherever a datum passes among Annex A and the treatment Schedules.</w:t>
      </w:r>
    </w:p>
    <w:p>
      <w:pPr/>
      <w:r>
        <w:t>3.3.4 Each product record carries Coverage Status separately from field-level and derived record-level Verification Status. Coverage Status uses the categories Covered, Excluded, Pending Technical Verification, Pending Negotiation, or Out of Scope unless an operative amendment establishes another category. Field Verification Status uses the categories Officially Verified, Technically Verified, Provisional Pending Verification, Disputed, or Retired, while Not Applicable remains a field-level applicability marker rather than a product Coverage Status. None of these status fields substitutes for the treatment status supplied by Annex B, C, D, or another applicable Schedule.</w:t>
      </w:r>
    </w:p>
    <w:p>
      <w:pPr/>
      <w:r>
        <w:t>3.3.5 Each Operative Field identifies the verifying authority or responsible verification function and the last-verified date where verification applies. Derived Record Verification Status uses Verified, Provisional Pending Verification, or Disputed: any required Operative Field that is Disputed produces a Disputed record; otherwise, any required Operative Field that remains Provisional Pending Verification produces a Provisional Pending Verification record; otherwise, completion of verification for all required Operative Fields produces a Verified record. A record-level status does not override a more specific field-level status, and the record identifies any active HS Concordance Register entry and applicable Annex B, C, or D linkage. Chapter 17 governs ALVS verification where the Compact assigns verification to that system.</w:t>
      </w:r>
    </w:p>
    <w:p>
      <w:pPr/>
      <w:r>
        <w:t>3.3.6 The legally authoritative primary source for a datum controls source verification according to the legal function of that datum. Other official primary sources support corroboration, technical interpretation, or reconciliation where appropriate, while secondary explanatory material receives an express label and does not displace a controlling primary source. Where authoritative official sources conflict, the affected Operative Field receives Disputed status until the applicable technical or legal procedure resolves the conflict. The derived record-level Verification Status then follows Article 3.3.5 rather than independently overriding the field-level result.</w:t>
      </w:r>
    </w:p>
    <w:p>
      <w:pPr>
        <w:pStyle w:val="Heading2"/>
      </w:pPr>
      <w:r>
        <w:t>Article 3.4 - Product Identification and Classification</w:t>
      </w:r>
    </w:p>
    <w:p>
      <w:pPr/>
      <w:r>
        <w:t>3.4.1 Classification under this Chapter follows objective tariff nomenclature, legally relevant product characteristics, and the applicable classification rules rather than commercial nickname, policy label, negotiating objective, or administrative convenience. The classification of the good presented for importation ordinarily controls product coverage, subject to express rules for sets, mixtures, composite goods, ingredients, and other classifications recognized by the applicable nomenclature. Chapter 10 separately determines origin and does not change the classification of the good merely because an ingredient has a different origin. A classification determination remains subject to the technical review and correction procedures established by this Compact.</w:t>
      </w:r>
    </w:p>
    <w:p>
      <w:pPr/>
      <w:r>
        <w:t>3.4.2 Commercial use as food, feed, seed, breeding material, ingredient, industrial input, bio-based input, or another agricultural use does not independently create coverage. Packaging for retail, food service, wholesale, institutional, or industrial use does not alter coverage where the applicable tariff classification and scheduled qualifiers remain the same. A packaging characteristic controls only where the applicable classification or operative Schedule expressly makes that characteristic legally relevant. This rule prevents presentation or marketing form from silently changing negotiated coverage.</w:t>
      </w:r>
    </w:p>
    <w:p>
      <w:pPr/>
      <w:r>
        <w:t>3.4.3 A technical qualifier used to distinguish coverage is objective, measurable, and administrable. A qualifier based on fat content, sugar content, processing state, composition, weight, end use, season, species, or another characteristic identifies the measurement method or legally applicable classification rule where ambiguity affects treatment. A Party does not use an undefined qualitative label to create a de facto exclusion from an otherwise covered line. Annex A records the qualifier and its source where the qualifier affects the legal coverage field.</w:t>
      </w:r>
    </w:p>
    <w:p>
      <w:pPr/>
      <w:r>
        <w:t>3.4.4 A national tariff extension, statistical suffix, ex-out, seasonal subdivision, or administrative subcategory does not create a de facto exclusion, additional restriction, or new Managed-Access Field contrary to the treatment assigned by this Compact. A Party retains authority to maintain national subdivisions for legitimate customs, statistical, regulatory, or administrative purposes. Those subdivisions remain consistent with the substantive coverage and treatment attached to the parent or corresponding NAAFTC record. Articles 3.9 and 3.10 govern technical reconciliation where a national subdivision changes or creates an apparent conflict.</w:t>
      </w:r>
    </w:p>
    <w:p>
      <w:pPr>
        <w:pStyle w:val="Heading2"/>
      </w:pPr>
      <w:r>
        <w:t>Article 3.5 - Coverage Status and Pending Determinations</w:t>
      </w:r>
    </w:p>
    <w:p>
      <w:pPr/>
      <w:r>
        <w:t>3.5.1 Covered means that Annex A or an operative determination under this Chapter identifies the product record as within NAAFTC coverage. Excluded means that an express operative entry identifies a product within the Agricultural Universe as outside the coverage assigned by this Compact, while Out of Scope means that the product falls outside the Agricultural Universe established under Article 3.6.3. Pending Technical Verification means that the intended coverage treatment depends on unresolved classification, source, concordance, or technical verification. Pending Negotiation means that the Parties have not completed the policy determination necessary to assign Covered or Excluded status.</w:t>
      </w:r>
    </w:p>
    <w:p>
      <w:pPr/>
      <w:r>
        <w:t>3.5.2 Not Applicable is a field-level applicability marker stating that the field concerned is not required for the product record or treatment at issue. Not Applicable does not mean Excluded, Out of Scope, or unverified and does not determine product Coverage Status. A blank field does not receive the effect of Not Applicable unless the Annex A Schema expressly permits the field to remain blank or assigns that marker. The controlled record therefore distinguishes deliberate non-applicability from missing, unresolved, or unverified data.</w:t>
      </w:r>
    </w:p>
    <w:p>
      <w:pPr/>
      <w:r>
        <w:t>3.5.3 A Pending Technical Verification or Pending Negotiation status does not create Preferential Treatment by default. The treatment established by the last valid controlled legal record continues unless another provision of this Compact lawfully changes that treatment. Each pending record enters the applicable decision process, records the unresolved question and reasons for continued pendency, and proceeds to the review or escalation mechanism assigned by Chapter 17 or Chapter 25 when the applicable decision period ends without resolution. Passage of time alone does not convert pending status into Covered or Excluded status and does not create or extinguish Preferential Treatment.</w:t>
      </w:r>
    </w:p>
    <w:p>
      <w:pPr/>
      <w:r>
        <w:t>3.5.4 An Excluded status identifies the product and legal basis with enough specificity to prevent expansion by implication. An exclusion affecting only a subheading, ex-out, season, composition, end use, or other objectively defined portion of a tariff line remains limited to that portion. Administrative interpretation does not enlarge the exclusion beyond its express terms. A material expansion of an exclusion follows the applicable amendment procedure rather than a technical correction.</w:t>
      </w:r>
    </w:p>
    <w:p>
      <w:pPr>
        <w:pStyle w:val="Heading2"/>
      </w:pPr>
      <w:r>
        <w:t>Article 3.6 - Express Exclusions and Negative-List Discipline</w:t>
      </w:r>
    </w:p>
    <w:p>
      <w:pPr/>
      <w:r>
        <w:t>3.6.1 An exclusion from NAAFTC coverage for a product within the Agricultural Universe appears expressly in Annex A or another operative Schedule incorporated into the coverage record. The exclusion states the Party, Product Record ID or objectively defined record group, tariff classification, product description, scope, and legal basis. Where the exclusion is temporary or conditional under another Chapter, the record identifies that separate legal status rather than converting the product to permanently Excluded status. This architecture distinguishes product coverage from temporary treatment restrictions.</w:t>
      </w:r>
    </w:p>
    <w:p>
      <w:pPr/>
      <w:r>
        <w:t>3.6.2 An understood exclusion, negotiating assumption, side notation, administrative convention, or unpublished practice does not alter Annex A. A Party seeking recognition of an omitted exclusion uses the applicable correction or amendment procedure and supplies the source and legal basis supporting the request. A clerical omission receives correction only where the correction satisfies Article 3.10 without changing the negotiated substantive bargain. A disputed substantive omission remains unresolved until the appropriate legal procedure determines it.</w:t>
      </w:r>
    </w:p>
    <w:p>
      <w:pPr/>
      <w:r>
        <w:t>3.6.3 The Annex A Agricultural Universe definition establishes the objective outer boundary for this Chapter by reference to the applicable HS edition, identified chapters, headings or subheadings, and any express objective inclusion or exclusion criteria. A product within that Agricultural Universe but omitted from a completed product record receives Pending Technical Verification where classification, source, concordance, or technical evidence remains unresolved and receives Pending Negotiation where the unresolved question is a policy determination concerning coverage. A product outside the Agricultural Universe is Out of Scope and requires no artificial exclusion record merely because it appears elsewhere in a Party's customs tariff. Revision of the Agricultural Universe follows the same nomenclature-continuity and no-silent-change protections that apply to individual Product Record IDs.</w:t>
      </w:r>
    </w:p>
    <w:p>
      <w:pPr/>
      <w:r>
        <w:t>3.6.4 An exclusion does not determine origin, SPS admissibility, safeguard eligibility, customs valuation, or treatment of a different product record. The exclusion applies only to the coverage field and scope expressly assigned to it. A Party does not use an exclusion record as authority for a broader restriction under another Chapter. The specialized Chapter independently determines any restriction within its jurisdiction.</w:t>
      </w:r>
    </w:p>
    <w:p>
      <w:pPr>
        <w:pStyle w:val="Heading2"/>
      </w:pPr>
      <w:r>
        <w:t>Article 3.7 - Relationship to Tariff, Transition, and Vesting Schedules</w:t>
      </w:r>
    </w:p>
    <w:p>
      <w:pPr/>
      <w:r>
        <w:t>3.7.1 Annex A answers whether an Agricultural Good is a Covered Agricultural Good and identifies the product record used by the remaining Schedules. Annex B identifies general tariff-elimination treatment for covered lines. Annex C identifies sensitive-sector transition treatment where the Compact assigns such treatment. Annex D identifies Vesting Tranches, Managed Access, and TRQ Displacement where the Compact applies that architecture.</w:t>
      </w:r>
    </w:p>
    <w:p>
      <w:pPr/>
      <w:r>
        <w:t>3.7.2 A Covered status in Annex A does not by itself establish zero duty, immediate tariff elimination, TRQ displacement, SPS authorization, or a particular transition period. A treatment Schedule does not by itself create product coverage for a line that lacks Covered status unless the operative amendment expressly modifies Annex A at the same time. Schedule linkages use the Product Record ID to prevent a tariff-code revision from severing the relationship among coverage and treatment records. Article 3.9 governs concordance after nomenclature revision.</w:t>
      </w:r>
    </w:p>
    <w:p>
      <w:pPr/>
      <w:r>
        <w:t>3.7.3 Where a product record links to more than one treatment Schedule, each Schedule operates only within the legal function assigned to it. A sensitive transition in Annex C does not erase a vesting rule in Annex D unless the Compact expressly establishes that interaction. A verification field in Annex A does not substitute for the substantive treatment recorded in the applicable Schedule. The Chapters governing tariff elimination, transition, vesting, reciprocity, and no-backsliding determine conflicts within their respective subject matter.</w:t>
      </w:r>
    </w:p>
    <w:p>
      <w:pPr/>
      <w:r>
        <w:t>3.7.4 A change to one Schedule does not silently alter another Schedule. A material change to coverage updates Annex A through the applicable procedure and identifies consequential schedule changes that require coordinated amendment. A technical code correction propagates through linked records where the correction does not change substantive treatment. The controlled change history records each linked update so an official reviewer reconstructs the legal state before and after the change.</w:t>
      </w:r>
    </w:p>
    <w:p>
      <w:pPr>
        <w:pStyle w:val="Heading2"/>
      </w:pPr>
      <w:r>
        <w:t>Article 3.8 - New, Novel, and Boundary Agricultural Goods</w:t>
      </w:r>
    </w:p>
    <w:p>
      <w:pPr/>
      <w:r>
        <w:t>3.8.1 A genuinely new or novel product within or potentially within the Agricultural Universe does not automatically inherit NAAFTC coverage through resemblance, commercial substitution, shared ingredients, or technological lineage. The product enters the coverage-determination process through technical classification, notice, verification, and an express coverage decision. The process determines whether the product falls within the Agricultural Universe before assigning Covered, Excluded, or another applicable status. Article 2.4.4 preserves treatment for true successor classifications of already covered goods without converting novelty into automatic coverage.</w:t>
      </w:r>
    </w:p>
    <w:p>
      <w:pPr/>
      <w:r>
        <w:t>3.8.2 A boundary category receives an express classification or coverage determination where reasonable officials differ on whether the product falls within the Agricultural Universe. The determination applies the objective criteria in the Annex A Agricultural Universe definition and the Article 3.8 procedure rather than colloquial understandings of agriculture. A non-operative Annex A Implementation Note identifies illustrative boundary categories for administrative screening without serving as an interpretive aid or creating a presumption of coverage or exclusion. Annex A records the resulting determination and its classification and source basis.</w:t>
      </w:r>
    </w:p>
    <w:p>
      <w:pPr/>
      <w:r>
        <w:t>3.8.3 Processed goods, mixtures, composite goods, ingredients, kits, sets, and mixed shipments receive coverage according to the applicable tariff classification and the operative product record for the good presented for importation. An ingredient does not independently confer coverage on a final good whose classification falls outside the covered product record. A covered final good does not cause every ingredient to acquire separate Covered status. Chapter 10 determines origin treatment for inputs, accumulation, processing, and product-specific origin rules.</w:t>
      </w:r>
    </w:p>
    <w:p>
      <w:pPr/>
      <w:r>
        <w:t>3.8.4 A coverage determination for a new, novel, or boundary product states the classification basis, coverage rationale, applicable Product Record ID, source material, effective date, and relationship to existing records. A determination that changes the substantive product universe receives the legal approval required for a material coverage change. A purely technical determination that maps a successor classification to an existing covered product follows Article 3.9. The distinction prevents technical classification from becoming an undeclared negotiating procedure.</w:t>
      </w:r>
    </w:p>
    <w:p>
      <w:pPr>
        <w:pStyle w:val="Heading2"/>
      </w:pPr>
      <w:r>
        <w:t>Article 3.9 - HS Revisions and Concordance Register</w:t>
      </w:r>
    </w:p>
    <w:p>
      <w:pPr/>
      <w:r>
        <w:t>3.9.1 An HS Concordance Register records predecessor and successor classifications affecting Annex A and linked Schedules, and this Article governs the legal effect of those concordances. Each concordance entry identifies the predecessor code, successor code or codes, HS editions, mapping type, source, source date, retrieval date, verifier, verification status, affected Product Record IDs, and change history. Chapter 22 and Annex M govern administration, publication, data architecture, version control, and access for the Register, while Chapter 17 governs verification where the Register interfaces with ALVS. Article 2.16 supplies the governing principle of nomenclature continuity.</w:t>
      </w:r>
    </w:p>
    <w:p>
      <w:pPr/>
      <w:r>
        <w:t>3.9.2 Where one covered tariff line splits into multiple successor lines, the concordance preserves the substantive scope and economic effect of the existing commitment to the extent objectively supported by the classification change. Where multiple lines merge, the merger does not restore a tariff, TRQ restriction, sensitive designation, or Managed-Access Field already eliminated or displaced for covered originating trade. A pure nomenclature transposition does not create a new sensitive-sector designation, exclusion, or transition obligation. A material policy change follows the amendment procedure applicable to the affected Schedule.</w:t>
      </w:r>
    </w:p>
    <w:p>
      <w:pPr/>
      <w:r>
        <w:t>3.9.3 A concordance entry receives technical verification before it permanently controls an operative tariff, TRQ, vesting, or coverage decision. Before verification is complete, a one-to-one successor inherits the predecessor treatment, while a split preserves predecessor treatment only for the objectively corresponding product scope represented by each successor Product Record. In a merge or unresolved correspondence, predecessor treatment remains attached through the affected Product Record IDs and objective product qualifiers sufficient to identify the corresponding predecessor goods, so the nomenclature change itself creates neither a broader preference nor a broader restriction. Provisional mapping remains visibly labeled and enters the expedited verification timetable established under Chapter 17 or Chapter 22, as applicable, without diminishing a Vested Market-Access Right, Zero-Line Status, or Completed Liberalization Milestone.</w:t>
      </w:r>
    </w:p>
    <w:p>
      <w:pPr/>
      <w:r>
        <w:t>3.9.4 The HS Concordance Register is version-controlled and preserves prior versions. A later correction identifies the reason, source, authority, date, affected Product Record IDs, and effect on linked Schedules. The change history does not erase the predecessor mapping or conceal an earlier administrative application. Chapter 22 governs publication and data architecture where the Register interfaces with shared systems.</w:t>
      </w:r>
    </w:p>
    <w:p>
      <w:pPr>
        <w:pStyle w:val="Heading2"/>
      </w:pPr>
      <w:r>
        <w:t>Article 3.10 - Metadata Maintenance, Corrections, Technical Amendments, and Substantive Amendments</w:t>
      </w:r>
    </w:p>
    <w:p>
      <w:pPr/>
      <w:r>
        <w:t>3.10.1 Metadata Maintenance changes only an Administrative Metadata Field, including a source link, retrieval date, archive reference, verifier identity, or comparable non-operative audit information. Metadata Maintenance has no independent legal effect and does not alter coverage, treatment, quantity, eligibility, origin, transition, vesting, or another negotiated economic commitment. Each metadata change enters the controlled change history with its source, date, authority, and affected Product Record ID. An attempted operative change does not qualify as Metadata Maintenance merely because an administrator labels it that way.</w:t>
      </w:r>
    </w:p>
    <w:p>
      <w:pPr/>
      <w:r>
        <w:t>3.10.2 A Clerical Correction fixes a transcription, typographical, formatting, citation, identifier, or comparable objectively demonstrable error without changing substantive legal scope or commercial effect. A Clerical Correction does not change product coverage, tariff treatment, quantity, eligibility, origin rule, transition status, vesting status, or another negotiated economic commitment. The correction identifies the error, controlling record, authority, reason, and affected Product Record ID and preserves the superseded entry for audit purposes. A change producing substantive effect does not become clerical merely because the initiating error was clerical.</w:t>
      </w:r>
    </w:p>
    <w:p>
      <w:pPr/>
      <w:r>
        <w:t>3.10.3 A Technical Amendment updates classification, concordance, terminology, or linked identifiers where objective evidence establishes continuity of the existing substantive bargain. The Technical Amendment identifies the predecessor record, successor record, legal basis, source, verifier, reason, and affected treatment linkages. It does not create a new exclusion, sensitive designation, TRQ, Managed-Access Field, tariff obligation, preference, or other negotiated economic change. Article 3.9 governs HS transpositions and split or merge mappings, and the controlled change history preserves the legal state before and after the Technical Amendment.</w:t>
      </w:r>
    </w:p>
    <w:p>
      <w:pPr/>
      <w:r>
        <w:t>3.10.4 A Substantive Amendment changes product coverage, tariff treatment, quantity, eligibility, origin rule, transition status, vesting status, or another negotiated economic commitment and follows the amendment or schedule-modification procedure assigned by Chapters 29 and 30. A correction process does not retroactively expand a preference beyond the pre-existing legal entitlement or contract a Vested Market-Access Right, Zero-Line Status, or other protected completed legal state. The applicable Chapter determines treatment of entries, payments, refunds, assessments, or administrative actions affected by a valid correction or amendment. Article 3.11 records the version, authority, reason, source, verification status, affected Product Record IDs, linked Schedule changes, publication record, and effective treatment for each change.</w:t>
      </w:r>
    </w:p>
    <w:p>
      <w:pPr>
        <w:pStyle w:val="Heading2"/>
      </w:pPr>
      <w:r>
        <w:t>Article 3.11 - Publication, Version Control, and Change History</w:t>
      </w:r>
    </w:p>
    <w:p>
      <w:pPr/>
      <w:r>
        <w:t>3.11.1 Annex A and the HS Concordance Register operate as controlled, versioned records with an identifiable official version and effective date. Each published version carries a change record sufficient to identify additions, removals, corrections, status changes, source updates, concordance changes, and linked Schedule effects. Prior official versions remain archived and retrievable for legal and audit purposes. A later publication does not erase the legal history of treatment applied under an earlier version.</w:t>
      </w:r>
    </w:p>
    <w:p>
      <w:pPr/>
      <w:r>
        <w:t>3.11.2 The official publication process distinguishes operative changes from non-operative metadata maintenance. A metadata update records its source and date without being characterized as a substantive treaty amendment where no operative field changes. An operative change identifies the legal authority and procedure supporting that change. The publication record allows a reviewer to determine which version governed a product on a specified date.</w:t>
      </w:r>
    </w:p>
    <w:p>
      <w:pPr/>
      <w:r>
        <w:t>3.11.3 Machine-readable publication includes a stable schema, Product Record IDs, field definitions, version identifiers, effective dates, and change data suitable for comparison between versions. A human-readable publication provides equivalent access to the operative product and coverage information. A technical failure in one publication format does not change the underlying legal state recorded in the controlled official version. The responsible authority corrects publication defects through the procedure appropriate to the affected field.</w:t>
      </w:r>
    </w:p>
    <w:p>
      <w:pPr/>
      <w:r>
        <w:t>3.11.4 No quantitative tariff, quota, quantity, percentage, conversion, or other numerical datum receives Officially Verified Field Verification Status solely because it appears in a prior NAAFTC document or negotiating artifact. Verification traces the datum to the legally authoritative source or to the express negotiated decision that creates a Negotiated Value. A Negotiated Value carries its adoption authority and effective treatment separately from baseline-source metadata. This provenance rule applies before Annex A data population and throughout subsequent maintenance.</w:t>
      </w:r>
    </w:p>
    <w:p>
      <w:pPr>
        <w:pStyle w:val="Heading2"/>
      </w:pPr>
      <w:r>
        <w:t>Article 3.12 - Legal Effect and No Silent Coverage Change</w:t>
      </w:r>
    </w:p>
    <w:p>
      <w:pPr/>
      <w:r>
        <w:t>3.12.1 The operative coverage state derives from this Compact, Annex A, and valid determinations or amendments made under the procedures this Compact establishes. Administrative practice, customs software, classification error, stale forms, inconsistent websites, omitted database fields, unofficial spreadsheets, or other administrative artifacts do not silently expand or contract negotiated coverage. Where administration conflicts with the operative legal state, the responsible Party corrects administration through the applicable cure and correction process. The correction does not convert the inconsistent practice into precedent for a different coverage rule.</w:t>
      </w:r>
    </w:p>
    <w:p>
      <w:pPr/>
      <w:r>
        <w:t>3.12.2 A tariff nomenclature revision, national-line renumbering, statistical suffix, ex-out, database migration, agency reorganization, or publication-format change does not by itself create, erase, restore, accelerate, or postpone coverage. Articles 3.9 through 3.11 govern continuity, correction, and publication. A material change to the negotiated product universe requires the approval procedure assigned by this Compact. Technical maintenance preserves rather than renegotiates the substantive bargain.</w:t>
      </w:r>
    </w:p>
    <w:p>
      <w:pPr/>
      <w:r>
        <w:t>3.12.3 A coverage dispute does not by itself alter the treatment established by the last valid controlled legal record in Annex A and the linked Schedules as of the date the dispute is recorded. If the validity of that controlled record is itself disputed, the last uncontested controlled version supplies the interim legal reference until the applicable procedure determines otherwise. An erroneous applied treatment unsupported by the controlling legal record does not acquire continuing force merely because administration previously applied it. Chapters 17, 25, and 26 govern verification, cure, restoration, and remedies without reopening an unrelated Vested Market-Access Right, Zero-Line Status, or Completed Liberalization Milestone.</w:t>
      </w:r>
    </w:p>
    <w:p>
      <w:pPr/>
      <w:r>
        <w:t>3.12.4 Chapter 3 and Annex A remain subject to the foundational rules in Chapters 1 and 2. A product-specific entry controls the technical product field expressly assigned to it but does not vary a foundational rule unless this Compact expressly authorizes that variation. The controlled record, source trail, and change history permit officials to identify what the product is, why it is covered or excluded, what source supports the record, and which treatment Schedule applies. This structure makes product coverage traceable without allowing data administration to become an undeclared source of treaty amendment.</w:t>
      </w:r>
    </w:p>
    <w:p>
      <w:pPr>
        <w:pStyle w:val="Heading1"/>
      </w:pPr>
      <w:r>
        <w:t>Chapter 4 - Immediate Zero-Tariff Lock and No-New-Barrier Rule</w:t>
      </w:r>
    </w:p>
    <w:p>
      <w:pPr/>
      <w:r>
        <w:t>Drafting short-name: Agricultural Standstill Ratchet. This label is non-operative and does not replace the formal Chapter title.</w:t>
      </w:r>
    </w:p>
    <w:p>
      <w:pPr>
        <w:pStyle w:val="Heading2"/>
      </w:pPr>
      <w:r>
        <w:t>Article 4.1 - Scope, Function, and Standstill Character</w:t>
      </w:r>
    </w:p>
    <w:p>
      <w:pPr/>
      <w:r>
        <w:t>4.1.1 This Chapter establishes the immediate standstill protection for Covered Agricultural Goods that qualify as originating under Chapter 10 and Annex G. It freezes the controlling level of ordinary border protection applicable at the NAAFTC Baseline Date and prevents that level from increasing while later liberalization proceeds. This Chapter applies only among Parties for which this Compact is in force and only from the entry into force applicable to the Party concerned. Chapter 3 determines product coverage, and Chapter 10 determines origin before this Chapter supplies its standstill consequence.</w:t>
      </w:r>
    </w:p>
    <w:p>
      <w:pPr/>
      <w:r>
        <w:t>4.1.2 This Chapter operates as a standstill chapter rather than a tariff-elimination, sensitive-sector-transition, or TRQ-vesting chapter. Chapter 5 governs general tariff elimination, Chapter 6 governs sensitive-sector transition, and Chapter 7 governs Progressive Market-Access Vesting and TRQ Displacement. The absence, delay, or dispute of a later liberalization event does not authorize protection above the Chapter 4 floor. A later operative liberalization event lowers that floor to the extent of the more favorable treatment.</w:t>
      </w:r>
    </w:p>
    <w:p>
      <w:pPr/>
      <w:r>
        <w:t>4.1.3 Immediate Zero-Tariff Lock means the Chapter 4 protection that preserves qualifying zero ordinary customs-duty treatment existing under the controlling baseline record. Immediate Zero-Tariff Lock remains distinct from Zero-Line Status under Chapter 9 and does not depend on prior entry in the Zero-Line Registry. A locked line receives the Chapter 4 protection from the point at which this Chapter applies to the qualifying trade. Chapter 9 supplies the later registry and durable no-backsliding consequences expressly assigned to Zero-Line Status.</w:t>
      </w:r>
    </w:p>
    <w:p>
      <w:pPr/>
      <w:r>
        <w:t>4.1.4 This Chapter creates no customs union, common external tariff, common external agricultural policy, or implied most-favored-nation entitlement. Each Party retains its independent treatment of non-originating trade and the legitimate regulatory authority preserved elsewhere in this Compact. Customs, food-safety, sanitary, phytosanitary, biosecurity, and enforcement measures remain governed by their specialized Chapters and by Article 1.8. A measure does not escape Chapter 4 merely because it uses a legitimate regulatory form while operating as prohibited substitute protection.</w:t>
      </w:r>
    </w:p>
    <w:p>
      <w:pPr>
        <w:pStyle w:val="Heading2"/>
      </w:pPr>
      <w:r>
        <w:t>Article 4.2 - NAAFTC Baseline Date and Controlled Baseline Treatment</w:t>
      </w:r>
    </w:p>
    <w:p>
      <w:pPr/>
      <w:r>
        <w:t>4.2.1 NAAFTC Baseline Date means the common reference date identified in Annex B for Chapter 4 baseline determinations. Each baseline determination identifies the applicable Annex A Product Record ID and the corresponding Annex B treatment record. The baseline record distinguishes the common reference date from the later date on which this Chapter becomes legally applicable to a Party. An agreed implementation adjustment appears expressly in the operative Schedule and does not arise from administrative practice alone.</w:t>
      </w:r>
    </w:p>
    <w:p>
      <w:pPr/>
      <w:r>
        <w:t>4.2.2 The baseline determination traces to the legally authoritative source for the treatment in force on the NAAFTC Baseline Date. Chapter 3 supplies the source-control, provenance, verification-status, version, retrieval, and archive disciplines applicable to the underlying product and treatment data. A prior NAAFTC draft, spreadsheet, negotiating note, derivative summary, or repeated drafting artifact does not establish an external baseline fact. The controlled baseline record preserves enough source information to reproduce the legal treatment without converting source metadata into an independent obligation.</w:t>
      </w:r>
    </w:p>
    <w:p>
      <w:pPr/>
      <w:r>
        <w:t>4.2.3 The baseline record distinguishes most-favored-nation zero treatment, autonomous zero treatment, CUSMA or other preferential zero treatment, and another legally distinct basis relevant to the Chapter 4 determination. A seasonal duty retains its legally applicable seasonal structure and does not become year-round zero solely because zero treatment applies during part of the year. A specific, compound, mixed, or other non-ad-valorem duty remains recorded in its original legal form. A technical conversion used for comparison or verification does not replace or silently alter that legal form.</w:t>
      </w:r>
    </w:p>
    <w:p>
      <w:pPr/>
      <w:r>
        <w:t>4.2.4 A temporary suspension, waiver, discretionary relief measure, undercollection, administrative non-collection, or comparable temporary departure does not establish the permanent Chapter 4 baseline merely because it exists on the NAAFTC Baseline Date. The controlled record distinguishes the ordinary underlying legal treatment from the temporary exceptional treatment and identifies the authority supporting the temporary departure. Baseline verification does not become a precondition that permits deterioration while an unresolved record completes the applicable verification process. Article 4.9 supplies the interim rule for an incomplete or disputed baseline record.</w:t>
      </w:r>
    </w:p>
    <w:p>
      <w:pPr>
        <w:pStyle w:val="Heading2"/>
      </w:pPr>
      <w:r>
        <w:t>Article 4.3 - Immediate Zero-Tariff Lock</w:t>
      </w:r>
    </w:p>
    <w:p>
      <w:pPr/>
      <w:r>
        <w:t>4.3.1 A Covered Agricultural Good that qualifies as originating and legally receives zero ordinary customs duty under the controlling baseline record receives the Immediate Zero-Tariff Lock when this Chapter applies between the Parties concerned. The last valid controlled legal record supplies the provisional baseline while verification remains pending, and Article 4.9 governs confirmation or correction without suspending the lock. The lock attaches through the Product Record ID and controlling treatment record rather than through a tariff code standing alone. Article 3.9 preserves continuity of the lock through a technically verified HS revision, split, merge, or successor classification.</w:t>
      </w:r>
    </w:p>
    <w:p>
      <w:pPr/>
      <w:r>
        <w:t>4.3.2 Entry into force of this Compact does not by itself authorize reimposition of an ordinary tariff on a locked line. Continued protection of another agricultural line does not authorize reimposition on the locked line. A dispute concerning a later liberalization milestone does not by itself authorize reimposition on the locked line. The existence, omission, or correction of a navigational link among Annexes does not create or extinguish the lock where the controlling operative record establishes the legal treatment.</w:t>
      </w:r>
    </w:p>
    <w:p>
      <w:pPr/>
      <w:r>
        <w:t>4.3.3 The Immediate Zero-Tariff Lock protects qualifying originating trade and does not extend zero treatment to a non-originating good solely because the same tariff classification is locked for originating trade. Chapter 10 and Annex G determine whether the good satisfies the applicable origin rule. A transaction-specific failure to establish origin affects eligibility for that transaction without erasing the locked legal treatment available to goods that qualify. Articles 1.5 and 1.6 preserve each Party's independent external agricultural trade policy.</w:t>
      </w:r>
    </w:p>
    <w:p>
      <w:pPr/>
      <w:r>
        <w:t>4.3.4 An expressly authorized temporary measure under another operative Chapter affects exercise of locked treatment only to the extent and for the period established by that Chapter. The temporary measure does not erase the Immediate Zero-Tariff Lock, alter the permanent baseline, or create ordinary tariff authority after the qualifying temporary condition ceases. Chapter 19 supplies the safeguard and emergency architecture within its scope rather than an exception embedded inside the Zero-Tariff Lock. Article 4.8 governs restoration of the underlying locked legal state.</w:t>
      </w:r>
    </w:p>
    <w:p>
      <w:pPr>
        <w:pStyle w:val="Heading2"/>
      </w:pPr>
      <w:r>
        <w:t>Article 4.4 - No New Tariff or Tariff Increase</w:t>
      </w:r>
    </w:p>
    <w:p>
      <w:pPr/>
      <w:r>
        <w:t>4.4.1 For a Covered Agricultural Good not subject to zero ordinary customs duty under the controlling baseline record, a Party does not increase the ordinary customs duty applicable to qualifying originating trade above that baseline. The prohibition applies to ad valorem, specific, compound, mixed, seasonal, and other duty forms within Article 2.6. A change in collection method, nomenclature, administrative location, or domestic label does not avoid the prohibition. Chapter 5 or Chapter 6 supplies the later reduction path applicable to the line.</w:t>
      </w:r>
    </w:p>
    <w:p>
      <w:pPr/>
      <w:r>
        <w:t>4.4.2 A Party does not create a new ordinary agricultural tariff on qualifying originating trade where no such ordinary tariff forms part of the controlling baseline record. A technical tariff-schedule reorganization does not create authority for a new duty. A reclassification contrary to the controlling Product Record and Article 3.9 does not create a higher Chapter 4 floor. Chapter 3 governs classification correction and concordance without allowing nomenclature maintenance to become tariff renegotiation.</w:t>
      </w:r>
    </w:p>
    <w:p>
      <w:pPr/>
      <w:r>
        <w:t>4.4.3 For an existing TRQ, a Party does not increase the over-access duty or equivalent over-access tariff burden above the controlling baseline. A specific, compound, mixed, or seasonal over-access treatment remains compared in the legal form recorded at baseline, with technical conversion used only where objective comparison requires it. A nomenclature revision does not reset the comparison or create a new higher baseline. Chapters 6 and 7 govern subsequent transition and displacement of the managed-access architecture.</w:t>
      </w:r>
    </w:p>
    <w:p>
      <w:pPr/>
      <w:r>
        <w:t>4.4.4 A later verified liberalization event under Chapters 5 through 9 replaces the earlier Chapter 4 tariff floor to the extent that the later event establishes more favorable ordinary treatment. The pre-liberalization baseline then remains a historical audit record rather than an available higher tariff ceiling. A temporary measure expressly authorized elsewhere in this Compact affects exercise of the current treatment without restoring an obsolete ordinary baseline. The controlled records preserve both the historical baseline and the current lower legal floor.</w:t>
      </w:r>
    </w:p>
    <w:p>
      <w:pPr>
        <w:pStyle w:val="Heading2"/>
      </w:pPr>
      <w:r>
        <w:t>Article 4.5 - No New TRQ Restriction or Managed-Access Expansion</w:t>
      </w:r>
    </w:p>
    <w:p>
      <w:pPr/>
      <w:r>
        <w:t>4.5.1 A Party does not establish a new TRQ or comparable managed-access restriction on qualifying originating trade that was unrestricted by such a mechanism under the controlling baseline record. An administrative quota label, permit ceiling, allocation cap, seasonal access ceiling, or comparable device receives treatment according to its legal operation rather than its title. A new quantitative border restriction does not become consistent with this Chapter solely because the corresponding ordinary tariff remains unchanged. Chapters 7 and 16 govern vesting, displacement, and broader anti-substitution consequences beyond this standstill rule.</w:t>
      </w:r>
    </w:p>
    <w:p>
      <w:pPr/>
      <w:r>
        <w:t>4.5.2 For an existing TRQ, a Party does not reduce the Within-Access Quantity or otherwise contract legally available within-access treatment below the controlling baseline. The Party does not expand the Managed-Access Field beyond the scope recorded in the controlling baseline record. A change in allocation machinery, tariff classification, or administrative platform does not enlarge the portion of covered originating trade to which managed access applies. Chapter 7 progressively contracts the Managed-Access Field according to the vesting architecture.</w:t>
      </w:r>
    </w:p>
    <w:p>
      <w:pPr/>
      <w:r>
        <w:t>4.5.3 A Party does not add an eligibility condition that materially narrows legally available managed access below the controlling baseline. The standstill reaches allocation rules, applicant classes, utilization conditions, reallocation practices, and comparable eligibility conditions to the extent that they determine access protected by the baseline. A legitimate administrative update remains governed by the applicable specialized Chapter and does not violate this paragraph solely because it changes procedure. Chapters 12, 16, and 17 govern detailed commercial-usability, administrative, anti-substitution, and verification questions.</w:t>
      </w:r>
    </w:p>
    <w:p>
      <w:pPr/>
      <w:r>
        <w:t>4.5.4 Chapter 4 preserves existing managed access against deterioration and does not itself eliminate a TRQ, enlarge a Within-Access Quantity, or create a Vested Market-Access Right. Chapter 6 governs the sensitive-sector transition schedule applicable to designated products. Chapter 7 governs Vesting Tranches, TRQ Displacement, Full-Vesting Confirmation, and contraction of the Managed-Access Field. A later liberalization under those Chapters replaces the Chapter 4 floor to the extent that it establishes more favorable treatment.</w:t>
      </w:r>
    </w:p>
    <w:p>
      <w:pPr>
        <w:pStyle w:val="Heading2"/>
      </w:pPr>
      <w:r>
        <w:t>Article 4.6 - Equivalent Border Charges and Substitute Tariff Protection</w:t>
      </w:r>
    </w:p>
    <w:p>
      <w:pPr/>
      <w:r>
        <w:t>4.6.1 The prohibition in this Chapter extends to an Equivalent Border Charge within Article 2.6 where the charge substitutes for a tariff that this Chapter locks, caps, or prohibits. Article 2.6 supplies the controlling definition and prevents Chapter 4 from creating a competing test for the same charge. A different domestic name, collecting authority, accounting treatment, or payment mechanism does not displace the controlling legal characterization. Chapter 16 supplies the broader anti-substitution discipline for measures outside the narrow border-charge question addressed here.</w:t>
      </w:r>
    </w:p>
    <w:p>
      <w:pPr/>
      <w:r>
        <w:t>4.6.2 A Party does not impose a new licensing fee, import surcharge, border assessment, processing charge, or comparable exaction that constitutes an Equivalent Border Charge prohibited by this Chapter. Several coordinated charges receive assessment according to their combined legal operation where fragmentation otherwise reproduces prohibited tariff protection. A lawful charge excluded by Article 2.6 remains governed by the Compact discipline applicable to its actual function. The exclusion does not protect an amount or condition that independently constitutes prohibited border protection.</w:t>
      </w:r>
    </w:p>
    <w:p>
      <w:pPr/>
      <w:r>
        <w:t>4.6.3 Article 1.8 supplies the general non-frustration principle where a measure using a customs, tax, service, or enforcement form affects the Chapter 4 standstill, while Chapter 16 supplies the specialized anti-substitution analysis. The Chapter 4 inquiry remains limited to identifying deterioration of the protected border-access floor and does not create an independent functional-substitution test. A specialized Chapter controls the legality of the underlying regulatory function where that question extends beyond Chapter 4. The Chapter 4 consequence remains restoration of the protected floor rather than creation of a parallel regulatory code.</w:t>
      </w:r>
    </w:p>
    <w:p>
      <w:pPr/>
      <w:r>
        <w:t>4.6.4 A finding under this Article remains connected to the charge or practice that produces the prohibited substitute tariff effect. The finding does not reopen unrelated internal taxes, service fees, customs charges, enforcement penalties, tariff lines, or market-access rights. Correction removes or conforms the inconsistent charge through the applicable cure architecture without increasing protection elsewhere. Restoration returns the affected trade to the Chapter 4 floor or to any more liberal treatment that has since become operative.</w:t>
      </w:r>
    </w:p>
    <w:p>
      <w:pPr>
        <w:pStyle w:val="Heading2"/>
      </w:pPr>
      <w:r>
        <w:t>Article 4.7 - No Administrative Deterioration of Protected Access</w:t>
      </w:r>
    </w:p>
    <w:p>
      <w:pPr/>
      <w:r>
        <w:t>4.7.1 A Party does not make legally available access protected by this Chapter materially less usable through a new or modified border-administration condition that functions as deterioration of the controlling baseline. The rule reaches allocation practices, eligibility conditions, licensing procedures, documentation requirements, and comparable administrative changes to the extent that their operation materially narrows protected access. Chapter 4 supplies the standstill consequence and does not replace the detailed Commercial Usability or anti-substitution machinery of Chapters 12 and 16. Chapter 17 supplies verification where ALVS receives the applicable function.</w:t>
      </w:r>
    </w:p>
    <w:p>
      <w:pPr/>
      <w:r>
        <w:t>4.7.2 A change in administration receives assessment against the legally available baseline rather than against the convenience of a particular trader or shipment. A regulatory change does not violate this Article solely because compliance creates cost, delay, inspection, documentation, or a different administrative sequence. The measure remains subject to the specialized customs, SPS, food-safety, biosecurity, origin, and anti-substitution disciplines applicable to its purpose and operation. Material deterioration exists only where the protected access itself becomes narrower or less commercially usable in a manner inconsistent with this Compact.</w:t>
      </w:r>
    </w:p>
    <w:p>
      <w:pPr/>
      <w:r>
        <w:t>4.7.3 An eligibility rule directed at a retailer, distributor, end user, processor, importer, applicant class, or comparable participant does not materially narrow legally available access below the controlling baseline contrary to this Compact. A genuine regulatory qualification remains governed by the specialized Chapter that authorizes and disciplines the relevant function. The identity of the affected commercial actor does not by itself determine consistency or inconsistency with this Article. The controlling question remains whether the measure materially deteriorates legally available access contrary to the Chapter 4 floor.</w:t>
      </w:r>
    </w:p>
    <w:p>
      <w:pPr/>
      <w:r>
        <w:t>4.7.4 Chapter 16 governs a measure that preserves the formal tariff or quota while substituting another regulatory restriction for the protection prohibited by this Chapter. Chapter 12 governs the customs and border-facilitation machinery assigned to that Chapter. Chapters 14 and 15 govern SPS, equivalence, inspection, certification, and related scientific or technical disciplines within their scope. Chapter 4 preserves the baseline result while those Chapters supply the detailed legality tests and administrative procedures.</w:t>
      </w:r>
    </w:p>
    <w:p>
      <w:pPr>
        <w:pStyle w:val="Heading2"/>
      </w:pPr>
      <w:r>
        <w:t>Article 4.8 - Temporary Exceptional Treatment and Automatic Restoration</w:t>
      </w:r>
    </w:p>
    <w:p>
      <w:pPr/>
      <w:r>
        <w:t>4.8.1 Underlying Legal Treatment means the ordinary tariff, TRQ, or market-access treatment legally applicable apart from a temporary exceptional measure recognized by this Compact. Temporary Exceptional Treatment means a time-limited departure from that underlying state that an applicable Compact discipline recognizes or authorizes and that arises under the corresponding operative legal authority. The controlled baseline record identifies the two states separately where Temporary Exceptional Treatment exists on the NAAFTC Baseline Date. A temporary state does not become the permanent Chapter 4 floor solely because it coincides with that date.</w:t>
      </w:r>
    </w:p>
    <w:p>
      <w:pPr/>
      <w:r>
        <w:t>4.8.2 A lawful safeguard, SPS emergency measure, court-ordered suspension, authorized enforcement action, or other temporary treatment does not convert into permanent baseline protection through Chapter 4. The authorizing Chapter determines the legal basis, scope, conditions, duration, review, evidence, and cessation requirements applicable to that measure. Chapter 19 governs safeguards and emergency measures within its scope. Chapter 4 supplies no independent authority to create a temporary restriction that another operative provision of this Compact does not authorize.</w:t>
      </w:r>
    </w:p>
    <w:p>
      <w:pPr/>
      <w:r>
        <w:t>4.8.3 An authorized temporary measure limits exercise of the protected treatment only to the extent established by the authorizing provision and does not erase the underlying locked or capped legal state. Continuation depends on the conditions established by the authorizing Chapter rather than on administrative inertia or passage of time alone. Temporary protection does not convert into permanent ordinary protection through repeated administrative continuation unsupported by the governing legal conditions. The underlying Chapter 4 state remains recorded throughout the temporary measure.</w:t>
      </w:r>
    </w:p>
    <w:p>
      <w:pPr/>
      <w:r>
        <w:t>4.8.4 Cessation of the temporary measure automatically restores the Underlying Legal Treatment or any more liberal NAAFTC treatment that became operative while the temporary measure remained in force. Restoration does not require renegotiation, renewal, or recreation of the Chapter 4 baseline. Administrative implementation conforms to the restored legal state through the applicable cure and restoration machinery. Obsolete temporary instructions, forms, software settings, or notices do not preserve restrictive authority after the temporary measure ceases.</w:t>
      </w:r>
    </w:p>
    <w:p>
      <w:pPr>
        <w:pStyle w:val="Heading2"/>
      </w:pPr>
      <w:r>
        <w:t>Article 4.9 - Verification, Correction, and Disputed Baselines</w:t>
      </w:r>
    </w:p>
    <w:p>
      <w:pPr/>
      <w:r>
        <w:t>4.9.1 A disagreement concerning the baseline does not authorize a Party to increase protection while the disagreement remains unresolved. The last valid controlled legal record identified through Chapter 3 supplies the provisional Chapter 4 reference unless an operative provision establishes a different interim rule. Where the validity of that record is itself disputed, Article 3.12.3 supplies the controlling interim-record discipline. A Disputed baseline enters the applicable technical or legal review rather than unilateral tariff, TRQ, or administrative escalation.</w:t>
      </w:r>
    </w:p>
    <w:p>
      <w:pPr/>
      <w:r>
        <w:t>4.9.2 A baseline correction follows the Metadata Maintenance, Clerical Correction, Technical Amendment, or Substantive Amendment track applicable under Article 3.10. A good-faith clerical or technical error does not become fraud solely because correction changes the treatment previously administered. The correction establishes the legally correct treatment for the affected record as of the date on which that treatment legally applies and does not authorize unrelated backsliding on another Product Record or treatment line. The applicable cure and restoration provisions govern entries, assessments, collections, refunds, and other consequences that require treatment beyond correction of the controlled record.</w:t>
      </w:r>
    </w:p>
    <w:p>
      <w:pPr/>
      <w:r>
        <w:t>4.9.3 Chapter 17 governs ALVS verification where this Compact assigns baseline or lock verification to ALVS. Chapter 3 continues to govern the field-level and record-level source, provenance, verification-status, and controlled-record distinctions used by Chapter 4. A verification record documents the legal state and does not independently manufacture a tariff concession or restriction unsupported by an operative provision. Delay in verification does not itself create authority to increase protection above the last valid controlled Chapter 4 floor.</w:t>
      </w:r>
    </w:p>
    <w:p>
      <w:pPr/>
      <w:r>
        <w:t>4.9.4 The controlled Chapter 4 record maintains the locked-line status, Product Record ID, baseline reference, source linkage, verification status, and correction history necessary to trace the standstill treatment. Annex B contains the Chapter 4 baseline fields needed to connect that record to the later tariff-elimination schedule. Chapter 22 governs publication, version control, shared-registry mechanics, public access, protected data, and related data administration. A publication or navigational defect does not silently create, extinguish, or increase the underlying legal treatment.</w:t>
      </w:r>
    </w:p>
    <w:p>
      <w:pPr>
        <w:pStyle w:val="Heading2"/>
      </w:pPr>
      <w:r>
        <w:t>Article 4.10 - Agricultural Standstill Ratchet and Later Liberalization</w:t>
      </w:r>
    </w:p>
    <w:p>
      <w:pPr/>
      <w:r>
        <w:t>4.10.1 Chapter 4 establishes a floor against increased protection and not a ceiling on liberalization. More favorable treatment that becomes operative under Chapters 5 through 9 replaces the earlier Chapter 4 floor to the extent of the improvement. The newer liberalized state becomes the controlling ordinary treatment, while the historical baseline remains preserved for audit. The historical baseline does not remain available as authority for later ordinary backsliding.</w:t>
      </w:r>
    </w:p>
    <w:p>
      <w:pPr/>
      <w:r>
        <w:t>4.10.2 Chapter 5 controls ordinary residual tariff elimination and Chapter 6 controls sensitive-sector transition schedules. Chapter 7 controls Progressive Market-Access Vesting, TRQ Displacement, and Full-Vesting Confirmation. Chapter 8 controls synchronized reciprocity and activation, and Chapter 9 controls the Zero-Line Registry and durable no-backsliding status. Each later Chapter supplies its own activation conditions without reopening an Immediate Zero-Tariff Lock that already protects existing zero treatment.</w:t>
      </w:r>
    </w:p>
    <w:p>
      <w:pPr/>
      <w:r>
        <w:t>4.10.3 An acceleration of liberalization follows the procedure assigned by Chapter 29 and the substantive Chapter governing the affected treatment. Acceleration does not require deterioration of another line and does not convert the Chapter 4 standstill into a bargaining credit against unrelated treatment. A completed liberalization state receives the protection assigned by the Chapter that creates it. A later technical correction preserves that state unless an operative substantive amendment lawfully changes the underlying commitment.</w:t>
      </w:r>
    </w:p>
    <w:p>
      <w:pPr/>
      <w:r>
        <w:t>4.10.4 The Agricultural Standstill Ratchet therefore preserves existing zero treatment, prevents existing ordinary protection from increasing, and allows future liberalization to move the controlling floor downward. A completed reduction does not climb back to an obsolete Chapter 4 baseline merely because a later review, verification process, or unrelated dispute remains unresolved. Chapters 17, 19, 25, 26, and 28 supply specialized verification, temporary-measure, cure, remedy, and amendment machinery without duplicating that machinery here. This Chapter remains narrow by design and protects the economic direction of travel without becoming the administrative system for every later Chapter.</w:t>
      </w:r>
    </w:p>
    <w:p>
      <w:pPr>
        <w:pStyle w:val="Heading1"/>
      </w:pPr>
      <w:r>
        <w:t>Chapter 5 - General Tariff Elimination</w:t>
      </w:r>
    </w:p>
    <w:p>
      <w:pPr>
        <w:pStyle w:val="Normal"/>
      </w:pPr>
      <w:r>
        <w:t>Non-operative drafting short-name: General Tariff Elimination Engine.</w:t>
      </w:r>
    </w:p>
    <w:p>
      <w:pPr>
        <w:pStyle w:val="Heading2"/>
      </w:pPr>
      <w:r>
        <w:t>Article 5.1 - Scope, Function, and Relationship to Chapter 4</w:t>
      </w:r>
    </w:p>
    <w:p>
      <w:pPr>
        <w:pStyle w:val="Normal"/>
      </w:pPr>
      <w:r>
        <w:t>5.1.1 This Chapter eliminates ordinary customs duties on qualifying originating Covered Agricultural Goods that do not receive a valid sensitive-sector designation under Chapter 6 and Annex C. It converts the Chapter 4 standstill floor into the Chapter 5 zero-duty treatment when this Chapter becomes legally applicable to the affected trade. The Chapter 5 elimination treatment replaces the corresponding higher Chapter 4 tariff floor in full. The displaced higher treatment remains historical baseline information and does not become available again as tariff authority.</w:t>
      </w:r>
    </w:p>
    <w:p>
      <w:pPr>
        <w:pStyle w:val="Normal"/>
      </w:pPr>
      <w:r>
        <w:t>5.1.2 General tariff liberalization is the default treatment under this Chapter. A Covered Agricultural Good receives Chapter 5 treatment unless an operative Annex C entry validly assigns the affected treatment to Chapter 6 by reference to the applicable Product Record ID. Silence, administrative delay, pending negotiation, incomplete scheduling, or unilateral characterization does not create sensitive-sector status. A missing or defective Annex B entry therefore does not preserve a positive ordinary customs duty that this Chapter otherwise eliminates.</w:t>
      </w:r>
    </w:p>
    <w:p>
      <w:pPr>
        <w:pStyle w:val="Normal"/>
      </w:pPr>
      <w:r>
        <w:t>5.1.3 Chapter 4 continues to protect the controlling tariff treatment until Chapter 5 zero treatment becomes legally effective. Entry into this Chapter does not validate an earlier increase, collection, restriction, or other treatment inconsistent with Chapter 4. The Chapter 5 baseline is the ordinary customs-duty treatment legally controlling under Chapter 4 immediately before the applicable Chapter 5 elimination takes legal effect, including a completed improvement already protected by the Agricultural Standstill Ratchet. This Chapter creates no separate most-favorable-treatment comparator.</w:t>
      </w:r>
    </w:p>
    <w:p>
      <w:pPr>
        <w:pStyle w:val="Normal"/>
      </w:pPr>
      <w:r>
        <w:t>5.1.4 This Chapter governs ordinary customs-duty elimination except to the extent an over-access duty forms part of a Tariff-Rate Quota managed-access structure assigned to Chapter 7. It does not itself dismantle a Tariff-Rate Quota, displace a Managed-Access Field, or create a Vested Market-Access Right. Chapter 6 governs a valid sensitive-sector transition, Chapter 7 governs Progressive Market-Access Vesting and TRQ Displacement, and Chapter 8 governs synchronized activation where this Compact assigns synchronization to the affected treatment. The separation of functions prevents an ordinary tariff rule from altering specialized managed-access architecture by implication.</w:t>
      </w:r>
    </w:p>
    <w:p>
      <w:pPr>
        <w:pStyle w:val="Heading2"/>
      </w:pPr>
      <w:r>
        <w:t>Article 5.2 - General Zero-Tariff Obligation</w:t>
      </w:r>
    </w:p>
    <w:p>
      <w:pPr>
        <w:pStyle w:val="Normal"/>
      </w:pPr>
      <w:r>
        <w:t>5.2.1 Each Party applies zero ordinary customs duty to qualifying originating trade in every Covered Agricultural Good governed by this Chapter. Zero ordinary customs duty means that every component of the ordinary customs duty produces a zero amount under every condition in which the duty applies. A positive ad valorem, specific, compound, mixed, minimum, maximum, seasonal, or comparable ordinary-duty component does not satisfy the zero treatment. Article 2.6 supplies the controlling meaning and characterization of Tariff, Customs Duty, and Equivalent Border Charge.</w:t>
      </w:r>
    </w:p>
    <w:p>
      <w:pPr>
        <w:pStyle w:val="Normal"/>
      </w:pPr>
      <w:r>
        <w:t>5.2.2 The zero treatment applies to all qualifying originating trade without using importer identity, commercial category, allocation status, or comparable administrative classification as a tariff qualification. A regulatory, licensing, customs, SPS, food-safety, or managed-access requirement retains the legal treatment assigned by its specialized Chapter. Such a requirement does not alter the Chapter 5 ordinary-duty rate merely because it applies to a particular commercial actor. Chapters 7, 12, 14, 15, and 16 govern the legality and administration of those distinct managed-access, customs, SPS, recognition, and anti-substitution requirements as applicable.</w:t>
      </w:r>
    </w:p>
    <w:p>
      <w:pPr>
        <w:pStyle w:val="Normal"/>
      </w:pPr>
      <w:r>
        <w:t>5.2.3 The absence of a Covered Agricultural Good from Annex B does not exempt the good from the zero-duty obligation. An omitted, incomplete, or incorrectly linked Annex B record constitutes a schedule or controlled-record defect rather than tariff authority. Chapter 3 governs correction of the affected Product Record and Chapter 25 governs cure and restoration consequences where treatment was administered inconsistently with this Chapter. The operative Chapter 5 treatment therefore depends on the legal coverage and sensitivity status of the good rather than on administrative perfection of the schedule.</w:t>
      </w:r>
    </w:p>
    <w:p>
      <w:pPr>
        <w:pStyle w:val="Normal"/>
      </w:pPr>
      <w:r>
        <w:t>5.2.4 Article 2.6 governs whether a border charge constitutes an ordinary customs duty or Equivalent Border Charge and governs the exclusions applicable to that characterization. Chapter 16 governs specialized anti-substitution analysis where another measure replaces tariff protection in regulatory or administrative form. Chapter 5 supplies the zero-duty consequence after the controlling characterization identifies a charge within its scope. It does not create a parallel fee test, equivalent-charge definition, or functional-substitution doctrine.</w:t>
      </w:r>
    </w:p>
    <w:p>
      <w:pPr>
        <w:pStyle w:val="Heading2"/>
      </w:pPr>
      <w:r>
        <w:t>Article 5.3 - Immediate Elimination of Residual Ordinary Tariffs</w:t>
      </w:r>
    </w:p>
    <w:p>
      <w:pPr>
        <w:pStyle w:val="Normal"/>
      </w:pPr>
      <w:r>
        <w:t>5.3.1 A positive ordinary customs duty on a Covered Agricultural Good governed by this Chapter falls to zero on the date this Chapter becomes applicable to the relevant qualifying originating trade. Administrative implementation, publication, verification, or schedule maintenance does not postpone that legal effect. A Party does not retain a positive residual duty merely because its domestic tariff schedule has not yet completed a conforming technical update. Chapter 25 governs cure and restoration where collection continues after the applicable elimination date.</w:t>
      </w:r>
    </w:p>
    <w:p>
      <w:pPr>
        <w:pStyle w:val="Normal"/>
      </w:pPr>
      <w:r>
        <w:t>5.3.2 Chapter 5 contains no general phase-out track for non-sensitive goods. A good requiring a genuine phased tariff transition receives that treatment only through a valid Chapter 6 designation and the corresponding Annex C schedule. An elimination administered under this Chapter does not increase, defer, recreate, or back-load protection before zero treatment becomes effective. This division keeps ordinary tariff elimination immediate while reserving transition architecture for the products affirmatively designated to use it.</w:t>
      </w:r>
    </w:p>
    <w:p>
      <w:pPr>
        <w:pStyle w:val="Normal"/>
      </w:pPr>
      <w:r>
        <w:t>5.3.3 A positive duty of any magnitude remains a positive ordinary customs duty and does not constitute zero treatment. A de minimis rate, nominal specific amount, minimum charge, or rounding remainder therefore does not survive the applicable Chapter 5 elimination date. A computational rounding rule produces zero where the legally applicable elimination treatment requires zero and does not round a completed elimination upward to a positive amount. Technical calculation conventions remain subordinate to the substantive zero-duty result.</w:t>
      </w:r>
    </w:p>
    <w:p>
      <w:pPr>
        <w:pStyle w:val="Normal"/>
      </w:pPr>
      <w:r>
        <w:t>5.3.4 Collection of an ordinary customs duty after its Chapter 5 elimination date is inconsistent with this Compact and does not alter the legal zero state. The erroneous collection does not create a new baseline, revive an earlier tariff, or postpone completion of the elimination. Chapter 25 governs cure and restoration, including the treaty consequences of collection inconsistent with the controlling treatment. Applicable domestic implementation law governs domestic procedural details to the extent this Compact assigns them no separate rule.</w:t>
      </w:r>
    </w:p>
    <w:p>
      <w:pPr>
        <w:pStyle w:val="Heading2"/>
      </w:pPr>
      <w:r>
        <w:t>Article 5.4 - Non-Ad-Valorem, Compound, Mixed, and Formula Duties</w:t>
      </w:r>
    </w:p>
    <w:p>
      <w:pPr>
        <w:pStyle w:val="Normal"/>
      </w:pPr>
      <w:r>
        <w:t>5.4.1 A specific ordinary customs duty reaches zero only when the applicable specific amount reaches zero. Conversion of the duty into an ad valorem form is unnecessary unless a controlling schedule or verification method requires that conversion for a defined technical purpose. A technical conversion does not increase the applicable protective burden, delay the elimination date, or prevent the duty from reaching zero. Revenue neutrality does not justify maintaining a positive protective burden that this Chapter eliminates.</w:t>
      </w:r>
    </w:p>
    <w:p>
      <w:pPr>
        <w:pStyle w:val="Normal"/>
      </w:pPr>
      <w:r>
        <w:t>5.4.2 A compound ordinary customs duty reaches zero only when every ad valorem and specific component reaches zero. Elimination of one component does not satisfy this Chapter while another component continues to produce a positive duty. The same rule applies to an additional component expressed as a minimum amount, surcharge, formula amount, or comparable tariff element. Annex B records the treatment necessary to identify the applicable components without creating a second tariff-characterization system.</w:t>
      </w:r>
    </w:p>
    <w:p>
      <w:pPr>
        <w:pStyle w:val="Normal"/>
      </w:pPr>
      <w:r>
        <w:t>5.4.3 A mixed ordinary customs duty that applies the greater, lesser, alternative, minimum, or maximum of two or more tariff calculations reaches zero only when the operative formula produces zero in every applicable circumstance. A positive floor, ceiling, minimum specific amount, or alternative rate does not survive merely because another branch of the formula equals zero. Technical re-expression of the formula does not preserve a protective result that the scheduled treatment eliminates. Article 2.6 controls characterization where disagreement concerns whether an element forms part of the ordinary customs duty.</w:t>
      </w:r>
    </w:p>
    <w:p>
      <w:pPr>
        <w:pStyle w:val="Normal"/>
      </w:pPr>
      <w:r>
        <w:t>5.4.4 An ad valorem equivalent is used only where a comparison, technical conversion, or verification task actually requires one. The applicable methodology and source data are recorded through Annex B or the Chapter 17 verification specification as appropriate to the task. An ad valorem equivalent does not replace the legally operative duty form unless the controlling legal instrument separately effects that conversion. Chapter 5 therefore avoids a universal conversion methodology where direct elimination of the existing duty form produces the required zero result.</w:t>
      </w:r>
    </w:p>
    <w:p>
      <w:pPr>
        <w:pStyle w:val="Heading2"/>
      </w:pPr>
      <w:r>
        <w:t>Article 5.5 - Seasonal, Calendar-Based, and Entry-Conditioned Tariffs</w:t>
      </w:r>
    </w:p>
    <w:p>
      <w:pPr>
        <w:pStyle w:val="Normal"/>
      </w:pPr>
      <w:r>
        <w:t>5.5.1 A seasonal ordinary customs duty includes a duty whose rate varies by calendar date, harvest period, entry window, season, or another objectively identifiable temporal condition. Zero treatment under this Chapter applies during every period in which the ordinary customs duty operates. A tariff that reaches zero during only part of the year does not satisfy the Chapter 5 obligation for the remaining positive period. The controlling Product Record and Annex B treatment preserve the temporal conditions necessary to identify the affected tariff treatment.</w:t>
      </w:r>
    </w:p>
    <w:p>
      <w:pPr>
        <w:pStyle w:val="Normal"/>
      </w:pPr>
      <w:r>
        <w:t>5.5.2 A Party does not shift a positive seasonal duty from one period to another in order to preserve or recreate protection that Chapter 5 eliminates. A change in seasonal boundaries, entry windows, or tariff timing does not delay the applicable zero treatment or increase the protective burden before elimination. Where a harvest-period or comparable condition affects an ordinary customs duty, the condition uses objective and controlled criteria capable of being traced to the affected Product Record. Annex B identifies or links the controlling condition without requiring Chapter 5 to establish a continental harvest-period definition.</w:t>
      </w:r>
    </w:p>
    <w:p>
      <w:pPr>
        <w:pStyle w:val="Normal"/>
      </w:pPr>
      <w:r>
        <w:t>5.5.3 For a seasonal TRQ, Chapter 7 exclusively governs the over-access duty and the managed-access architecture associated with that TRQ, while Chapter 5 governs any separate ordinary customs-duty treatment outside that architecture. Within-Access Quantity, allocation, Managed-Access Field, and TRQ Displacement remain governed by Chapter 7. Seasonal timing does not transfer an over-access duty into Chapter 5 merely because a separate ordinary customs duty operates during the same period. The controlled records distinguish the tariff and managed-access components sufficiently to prevent double treatment or accidental displacement.</w:t>
      </w:r>
    </w:p>
    <w:p>
      <w:pPr>
        <w:pStyle w:val="Normal"/>
      </w:pPr>
      <w:r>
        <w:t>5.5.4 A price-band, entry-price, or comparable formula loses any ordinary customs-duty component governed by this Chapter when the applicable Chapter 5 elimination takes effect. Chapter 7 governs a residual managed-access element, Chapter 19 governs any claimed safeguard authority, and Chapter 16 governs regulatory or substitute-protection elements. This Chapter does not determine the legality of a residual mechanism outside its ordinary-duty function. A change in legal form therefore does not preserve an ordinary tariff component that Chapter 5 has reduced to zero.</w:t>
      </w:r>
    </w:p>
    <w:p>
      <w:pPr>
        <w:pStyle w:val="Heading2"/>
      </w:pPr>
      <w:r>
        <w:t>Article 5.6 - Annex B General Tariff Elimination Schedule</w:t>
      </w:r>
    </w:p>
    <w:p>
      <w:pPr>
        <w:pStyle w:val="Normal"/>
      </w:pPr>
      <w:r>
        <w:t>5.6.1 Annex B serves as the General Tariff Elimination Schedule and as the linked treatment record used for the Chapter 4 baseline and Chapter 5 elimination treatment. Each applicable entry connects to the Product Record ID established through Chapter 3 and Annex A. The entry records the controlling Chapter 4 treatment, the Chapter 5 elimination treatment, the legally effective date or activation event, and the resulting zero status relevant to the affected Party and trade flow. Party-specific baseline differences remain visible within the common Product Record architecture rather than requiring separate product identities.</w:t>
      </w:r>
    </w:p>
    <w:p>
      <w:pPr>
        <w:pStyle w:val="Normal"/>
      </w:pPr>
      <w:r>
        <w:t>5.6.2 Annex B contains the Chapter 5-specific treatment fields needed to administer the elimination obligation, including elimination status, legally effective date, resulting zero treatment, applicable duty-form information, and Chapter 9 linkage. Product identity, source, provenance, verification status, change history, and common metadata remain governed by Chapter 3 and Annex A and are inherited or linked rather than duplicated. A field required for a particular non-ad-valorem or seasonal treatment appears only where the field is relevant to that treatment. The schedule therefore remains legally complete without reproducing the Chapter 3 metadata architecture.</w:t>
      </w:r>
    </w:p>
    <w:p>
      <w:pPr>
        <w:pStyle w:val="Normal"/>
      </w:pPr>
      <w:r>
        <w:t>5.6.3 Every Covered Agricultural Good governed by this Chapter has an Annex B treatment record or a traceable controlled-record link sufficient to establish its Chapter 5 treatment. A missing entry, broken link, or clerical omission constitutes a schedule defect and does not authorize retention of a positive ordinary customs duty. Annex A, Annex B, and Annex C remain consistent as to Product Record identity, coverage, and any valid sensitive-sector designation. Chapter 3 governs technical correction and concordance where those controlled records diverge.</w:t>
      </w:r>
    </w:p>
    <w:p>
      <w:pPr>
        <w:pStyle w:val="Normal"/>
      </w:pPr>
      <w:r>
        <w:t>5.6.4 Each Chapter 5 elimination treatment uses a legally determinate effective date or activation event sufficient to identify when zero treatment controls. The treatment becomes effective on that date or event rather than on a later administrative publication or implementation date. Chapter 22 governs publication, controlled updates, version control, and commercial accessibility of Annex B. A publication or housekeeping defect does not by itself suspend otherwise operative Chapter 5 zero treatment.</w:t>
      </w:r>
    </w:p>
    <w:p>
      <w:pPr>
        <w:pStyle w:val="Heading2"/>
      </w:pPr>
      <w:r>
        <w:t>Article 5.7 - Relationship to Sensitive-Sector Treatment</w:t>
      </w:r>
    </w:p>
    <w:p>
      <w:pPr>
        <w:pStyle w:val="Normal"/>
      </w:pPr>
      <w:r>
        <w:t>5.7.1 Chapter 6 applies to an affected tariff treatment only where an operative Annex C entry expressly designates the treatment as sensitive and identifies the applicable Product Record ID. The designation states the objective product scope and the Chapter 6 treatment sufficiently to distinguish the designated portion from treatment remaining under Chapter 5. A general reference to agriculture, food, a sector, political sensitivity, negotiating history, or administrative practice does not create sensitive status. An Annex C designation included in this Compact becomes operative under the applicable entry-into-force and schedule rules, while Chapter 29 governs a later formal addition, deletion, or amendment to an Annex C designation.</w:t>
      </w:r>
    </w:p>
    <w:p>
      <w:pPr>
        <w:pStyle w:val="Normal"/>
      </w:pPr>
      <w:r>
        <w:t>5.7.2 A pending, proposed, disputed, incomplete, or non-operative sensitive designation does not suspend Chapter 5 treatment. Until an Annex C designation becomes legally operative, the affected qualifying originating trade remains governed by the Chapter 5 zero-duty obligation. Administrative delay in completing Annex C therefore does not create an interim protection period. A later valid designation operates only according to the legal effect assigned by Chapters 6 and 29 and does not retroactively validate an earlier inconsistent collection.</w:t>
      </w:r>
    </w:p>
    <w:p>
      <w:pPr>
        <w:pStyle w:val="Normal"/>
      </w:pPr>
      <w:r>
        <w:t>5.7.3 A sensitive designation remains limited to the objectively identified product, product form, season, treatment component, or other scope stated in the operative Annex C entry. Related tariff lines, processed goods, successor products, or commercially associated goods do not inherit sensitivity merely through economic relationship. A linked scope applies only where Annex C expressly defines that scope through controlled Product Records or objective criteria. The portion outside the valid designation remains subject to Chapter 5.</w:t>
      </w:r>
    </w:p>
    <w:p>
      <w:pPr>
        <w:pStyle w:val="Normal"/>
      </w:pPr>
      <w:r>
        <w:t>5.7.4 Completion of the applicable Chapter 6 transition causes the resulting zero ordinary-duty treatment to govern the affected trade without administrative re-designation back to sensitivity. The completed treatment enters the no-backsliding architecture applicable to completed liberalization and proceeds to the Chapter 9 recording function as appropriate. Chapter 29 governs a genuine formal amendment and does not create ordinary administrative authority to restore an eliminated tariff. The legal effect of a completed transition therefore follows completion and operative treatment rather than expiration of a sensitive designation by lapse of time.</w:t>
      </w:r>
    </w:p>
    <w:p>
      <w:pPr>
        <w:pStyle w:val="Heading2"/>
      </w:pPr>
      <w:r>
        <w:t>Article 5.8 - Acceleration and More Liberal Treatment</w:t>
      </w:r>
    </w:p>
    <w:p>
      <w:pPr>
        <w:pStyle w:val="Normal"/>
      </w:pPr>
      <w:r>
        <w:t>5.8.1 Chapter 5 does not prevent a Party from applying more liberal ordinary customs-duty treatment where this Compact otherwise authorizes that treatment. An acceleration becomes operative only through the activation and amendment architecture applicable under Chapters 8 and 29 to the affected treatment. This Article does not determine whether a particular acceleration requires synchronized reciprocity, unilateral notice, mutual consent, or another activation condition. Those questions remain reserved to the Chapters that govern the relevant acceleration mechanism.</w:t>
      </w:r>
    </w:p>
    <w:p>
      <w:pPr>
        <w:pStyle w:val="Normal"/>
      </w:pPr>
      <w:r>
        <w:t>5.8.2 Once a valid acceleration becomes legally effective, the accelerated treatment becomes the controlling Chapter 5 treatment for the affected trade. The superseded treatment remains historical schedule information and does not authorize reversion. Chapter 4 protects an operative intermediate improvement where its ratchet applies, and Chapter 9 records a completed zero state where its conditions are satisfied. Acceleration therefore moves treatment only toward greater liberalization within the legal mechanism that authorized it.</w:t>
      </w:r>
    </w:p>
    <w:p>
      <w:pPr>
        <w:pStyle w:val="Normal"/>
      </w:pPr>
      <w:r>
        <w:t>5.8.3 An acceleration affecting one Product Record does not require deterioration, delayed elimination, or compensating protection on another Product Record. Cross-line balancing does not create authority to restore a tariff already eliminated or to postpone a more liberal treatment already legally effective. Any reciprocal or synchronized condition attaches only where the governing Chapter expressly assigns that condition to the affected treatment. Chapter 5 otherwise preserves the product-specific legal state established by each operative liberalization.</w:t>
      </w:r>
    </w:p>
    <w:p>
      <w:pPr>
        <w:pStyle w:val="Normal"/>
      </w:pPr>
      <w:r>
        <w:t>5.8.4 A technical update to Annex B records a valid acceleration after the acceleration becomes legally effective and does not itself constitute the source of that legal effect unless the governing Chapter expressly provides otherwise. The update identifies the affected Product Record, revised treatment, effective event, and resulting legal treatment. Chapter 22 governs publication and version control, while Chapter 17 governs verification assigned to ALVS. Neither administrative recording nor later verification converts into a condition precedent unless this Compact expressly makes it one outside Chapter 5.</w:t>
      </w:r>
    </w:p>
    <w:p>
      <w:pPr>
        <w:pStyle w:val="Heading2"/>
      </w:pPr>
      <w:r>
        <w:t>Article 5.9 - Verification, Correction, and Classification Continuity</w:t>
      </w:r>
    </w:p>
    <w:p>
      <w:pPr>
        <w:pStyle w:val="Normal"/>
      </w:pPr>
      <w:r>
        <w:t>5.9.1 Chapter 5 zero treatment becomes legally effective when the operative conditions assigned by this Chapter and the controlling schedule are satisfied. Verification confirms implementation, Product Record identity, applicable treatment, and factual compliance after or alongside that legal effect and does not postpone zero treatment merely because verification remains pending. Chapter 17 governs ALVS verification where this Compact assigns the relevant matter to ALVS. A verification delay therefore does not create tariff authority or revive an earlier positive duty.</w:t>
      </w:r>
    </w:p>
    <w:p>
      <w:pPr>
        <w:pStyle w:val="Normal"/>
      </w:pPr>
      <w:r>
        <w:t>5.9.2 A correction establishes the legally correct Chapter 5 treatment as of the date on which that treatment legally applies. A clerical, technical, source, linkage, or schedule error does not preserve an unlawful collection merely because the error is discovered later. Chapter 3 governs the applicable correction track and Chapter 25 governs cure, refund, restoration, and other consequences assigned to the remedial architecture. Legitimately completed zero treatment remains protected unless the correction demonstrates that the treatment never legally applied to the affected Product Record.</w:t>
      </w:r>
    </w:p>
    <w:p>
      <w:pPr>
        <w:pStyle w:val="Normal"/>
      </w:pPr>
      <w:r>
        <w:t>5.9.3 An HS revision, tariff-line split, merge, renumbering, nomenclature update, or successor classification does not erase or reset a Chapter 5 elimination treatment. Chapter 3 and its concordance process propagate the legally controlling treatment to the successor Product Record or records according to the substantive continuity of the covered good. A technical classification change does not create a new positive tariff starting point. Where the revision changes substantive product coverage rather than nomenclature alone, Chapter 3 supplies the controlling determination and amendment track.</w:t>
      </w:r>
    </w:p>
    <w:p>
      <w:pPr>
        <w:pStyle w:val="Normal"/>
      </w:pPr>
      <w:r>
        <w:t>5.9.4 A disagreement concerning classification, schedule linkage, baseline, duty form, or verification does not authorize self-help through restoration of a higher ordinary customs duty. The last legally controlling treatment continues to govern while the applicable correction, consultation, verification, or dispute process proceeds. Chapter 25 governs cure and automatic restoration where the Compact assigns those consequences, and Chapter 26 governs dispute settlement. The disputed status of one Product Record does not reopen completed treatment on an unrelated Product Record.</w:t>
      </w:r>
    </w:p>
    <w:p>
      <w:pPr>
        <w:pStyle w:val="Heading2"/>
      </w:pPr>
      <w:r>
        <w:t>Article 5.10 - Completion, Zero Status, and No Reversion</w:t>
      </w:r>
    </w:p>
    <w:p>
      <w:pPr>
        <w:pStyle w:val="Normal"/>
      </w:pPr>
      <w:r>
        <w:t>5.10.1 A Chapter 5 tariff elimination completes when the legally operative ordinary customs duty for the affected qualifying originating trade reaches zero under this Chapter. Completion occurs automatically upon satisfaction of the operative conditions and does not depend on a prior declaration, publication, verification finding, registry entry, or administrative confirmation. The responsible body subsequently records the completed state through the Chapter 9 Zero-Line Registry architecture. Recording confirms and traces the legal state rather than creating it.</w:t>
      </w:r>
    </w:p>
    <w:p>
      <w:pPr>
        <w:pStyle w:val="Normal"/>
      </w:pPr>
      <w:r>
        <w:t>5.10.2 Once zero treatment is achieved under this Chapter, ordinary administrative action does not restore the eliminated tariff or the earlier Chapter 4 baseline. A later technical correction, HS revision, verification exercise, review cycle, or institutional delay does not by itself diminish the completed zero treatment. Chapter 9 supplies the durable recording and no-backsliding architecture applicable to completed zero lines. The completed state therefore persists inside the Compact unless a distinct legal mechanism expressly changes treaty applicability or authorizes temporary exceptional treatment.</w:t>
      </w:r>
    </w:p>
    <w:p>
      <w:pPr>
        <w:pStyle w:val="Normal"/>
      </w:pPr>
      <w:r>
        <w:t>5.10.3 Chapter 19 governs only temporary exceptional treatment that it expressly authorizes within its own conditions and does not convert that treatment into a permanent ordinary tariff. Chapter 30 separately governs withdrawal and the resulting applicability of this Compact rather than functioning as an internal tariff exception. Chapter 29 governs formal treaty amendment and does not create ordinary administrative reimposition authority. These mechanisms remain legally distinct and do not supply an implied route for routine reversion from completed Chapter 5 liberalization.</w:t>
      </w:r>
    </w:p>
    <w:p>
      <w:pPr>
        <w:pStyle w:val="Normal"/>
      </w:pPr>
      <w:r>
        <w:t>5.10.4 Completion of Chapter 5 treatment does not immunize a surviving licensing rule, inspection charge, regulatory condition, managed-access measure, or other non-tariff measure from the specialized disciplines of this Compact. Chapter 7 governs managed access, Chapters 12 through 15 govern their assigned border and regulatory functions, and Chapter 16 governs substitute protection. Chapter 5 remains a result chapter whose completed result is zero ordinary customs duty on the qualifying originating trade within its scope. The later operation of another Chapter does not rewrite that result except to the extent that the other Chapter expressly governs a distinct legal treatment.</w:t>
      </w:r>
    </w:p>
    <w:p>
      <w:pPr>
        <w:pStyle w:val="Normal"/>
      </w:pPr>
      <w:r>
        <w:t>Annex B remains the General Tariff Elimination Schedule and carries the linked Chapter 4 baseline and Chapter 5 elimination treatment history for each applicable Product Record. Chapter 5-specific fields include elimination status, legally effective date or event, resulting zero treatment, applicable duty-form information where needed, and Chapter 9 linkage. Product identity, source, provenance, verification status, and change history remain inherited or linked from Chapter 3 and Annex A rather than duplicated. Detailed publication and version-control mechanics remain governed by Chapter 22.</w:t>
      </w:r>
    </w:p>
    <w:p>
      <w:pPr>
        <w:pStyle w:val="Normal"/>
      </w:pPr>
      <w:r>
        <w:t xml:space="preserve">Chapter 8 now supplies the controlling synchronization architecture where expressly invoked, and no obsolete pre-Chapter-8 drafting reservation remains operative.</w:t>
      </w:r>
    </w:p>
    <w:p>
      <w:pPr>
        <w:pStyle w:val="Heading1"/>
      </w:pPr>
      <w:r>
        <w:t>Chapter 6 - Sensitive-Sector Transition Schedules</w:t>
      </w:r>
    </w:p>
    <w:p>
      <w:pPr>
        <w:pStyle w:val="Heading2"/>
      </w:pPr>
      <w:r>
        <w:t>Article 6.1 - Scope and Function of Sensitive-Sector Transition</w:t>
      </w:r>
    </w:p>
    <w:p>
      <w:pPr>
        <w:pStyle w:val="Heading3"/>
      </w:pPr>
      <w:r>
        <w:t>Category: Narrow Function and Chapter 5 Default</w:t>
      </w:r>
    </w:p>
    <w:p>
      <w:pPr/>
      <w:r>
        <w:t>6.1.1 This Chapter establishes the exclusive ordinary customs-duty transition for qualifying originating Covered Agricultural Goods subject to an operative sensitive-sector designation under Annex C. Chapter 5 remains the controlling default for every covered good, portion of a tariff line, or Product Record not governed by such a designation. Chapter 6 treatment operates only for the Party, product scope, and period identified by the controlling Annex C entry. Sensitivity outside that operative scope supplies no authority to preserve positive ordinary customs-duty treatment.</w:t>
      </w:r>
    </w:p>
    <w:p>
      <w:pPr/>
      <w:r>
        <w:t>6.1.2 Sensitive-Sector Treatment under this Chapter concerns only the staged elimination of ordinary customs duties that otherwise fall within Chapter 5. This Chapter creates no Tariff-Rate Quota, Managed-Access Field, sanitary or phytosanitary restriction, regulatory restriction, domestic-support limitation, safeguard, or new tariff authority. Chapters 7, 14, 15, 16, 19, and 20 retain their assigned functions without enlargement through a Chapter 6 designation. A legal characterization assigned elsewhere in this Compact remains controlling for the function assigned to that other Chapter.</w:t>
      </w:r>
    </w:p>
    <w:p>
      <w:pPr/>
      <w:r>
        <w:t>6.1.3 This Chapter applies only to qualifying originating goods under Chapter 10 and Annex G within the covered agricultural universe established by Chapters 1 and 3. It does not alter a Party's treatment of non-originating goods or its independent external agricultural trade policy except where another provision of this Compact expressly provides otherwise. No Chapter 6 designation creates a customs union, common external tariff, common commercial policy, continental production quota, purchase requirement, or common farm-gate pricing system. The Parties retain the sovereignty and policy space preserved by Articles 1.5 and 1.6 and the specialized Chapters of this Compact.</w:t>
      </w:r>
    </w:p>
    <w:p>
      <w:pPr/>
      <w:r>
        <w:t>6.1.4 A Chapter 6 transition supplies a temporary path from the controlling Chapter 4 treatment to zero ordinary customs duty. Time paces implementation through legally operative stages and does not create an independent right to maintain protection until a calendar period expires. Each completed stage changes the controlling legal treatment according to this Chapter and Annex C. Completion exhausts the Chapter 6 authority for positive ordinary customs-duty treatment on the affected trade.</w:t>
      </w:r>
    </w:p>
    <w:p>
      <w:pPr>
        <w:pStyle w:val="Heading2"/>
      </w:pPr>
      <w:r>
        <w:t>Article 6.2 - Affirmative Sensitive-Sector Designation</w:t>
      </w:r>
    </w:p>
    <w:p>
      <w:pPr>
        <w:pStyle w:val="Heading3"/>
      </w:pPr>
      <w:r>
        <w:t>Category: Designation and Anti-Creep</w:t>
      </w:r>
    </w:p>
    <w:p>
      <w:pPr/>
      <w:r>
        <w:t>6.2.1 Sensitive-Sector Treatment exists only through an operative Annex C entry tied to identified Product Record IDs. Political characterization, historical protection, administrative practice, sector reputation, pending negotiation, domestic terminology, or unilateral declaration does not create a Chapter 6 designation. Silence in Annex C leaves the affected trade under Chapter 5. A Party invoking Chapter 6 identifies the controlling Annex C entry and Product Record connection for the treatment applied.</w:t>
      </w:r>
    </w:p>
    <w:p>
      <w:pPr/>
      <w:r>
        <w:t>6.2.2 Each designation states its product scope through objective tariff-line, composition, end-use, technical, or ex-out criteria sufficient to distinguish covered from non-covered goods. A sensitive ingredient does not transmit sensitive status to a downstream good merely because that ingredient appears in the downstream good. A related product does not inherit sensitivity from another product, tariff line, sector, or production chain. Separate treatment requires a separate operative designation or an objectively defined scope that already encompasses the product.</w:t>
      </w:r>
    </w:p>
    <w:p>
      <w:pPr/>
      <w:r>
        <w:t>6.2.3 Where a tariff line contains both sensitive and non-sensitive goods, Annex C identifies the sensitive portion through an objective ex-out or equivalent controlled distinction. The non-sensitive portion remains governed by Chapter 5 from the time Chapter 5 becomes applicable to that trade. Administrative classification, interpretive practice, or later descriptive refinement does not expand the sensitive envelope beyond the operative designation. Chapter 3 correction machinery preserves the negotiated boundary when nomenclature or classification changes.</w:t>
      </w:r>
    </w:p>
    <w:p>
      <w:pPr/>
      <w:r>
        <w:t>6.2.4 An additional sensitive designation after entry into force requires the formal legal procedure assigned by Chapter 29 and affirmative agreement of all three Parties. A technical correction preserves the existing substantive bargain and does not convert a non-sensitive product into a sensitive product. A pending proposal to amend Annex C supplies no interim tariff authority. The treatment legally controlling before the amendment remains controlling until the amendment itself becomes operative.</w:t>
      </w:r>
    </w:p>
    <w:p>
      <w:pPr>
        <w:pStyle w:val="Heading2"/>
      </w:pPr>
      <w:r>
        <w:t>Article 6.3 - Annex C Sensitive-Sector Transition Schedule</w:t>
      </w:r>
    </w:p>
    <w:p>
      <w:pPr>
        <w:pStyle w:val="Heading3"/>
      </w:pPr>
      <w:r>
        <w:t>Category: Controlled Schedule Architecture</w:t>
      </w:r>
    </w:p>
    <w:p>
      <w:pPr/>
      <w:r>
        <w:t>6.3.1 Annex C serves as the controlling schedule for every Chapter 6 sensitive-sector tariff transition. Each entry identifies the Party, Product Record ID, applicable tariff line or ex-out, controlling Chapter 4 starting treatment, transition track, operative stages, effective dates or activation events, completion event, and resulting zero treatment. The entry also identifies relevant Annex A, B, D, E, F, and G linkages where those linkages exist. The absence of an inapplicable linkage does not create a schedule defect.</w:t>
      </w:r>
    </w:p>
    <w:p>
      <w:pPr/>
      <w:r>
        <w:t>6.3.2 Annex C inherits product identity, source, provenance, controlled-record, correction, publication, version-control, and change-history architecture from Chapters 3 and 22. Chapter 6 does not duplicate those systems or create a parallel evidentiary registry. The controlled record distinguishes operative legal fields from explanatory or administrative metadata. A metadata defect does not alter the legal treatment established by an otherwise operative designation and schedule.</w:t>
      </w:r>
    </w:p>
    <w:p>
      <w:pPr/>
      <w:r>
        <w:t>6.3.3 A missing, incomplete, broken, or clerically defective Annex C entry does not preserve positive ordinary customs-duty treatment unless an operative designation and legally determinate transition remain ascertainable under this Compact. Where no operative sensitive designation is legally ascertainable, Chapter 5 controls. Chapter 3 governs correction of schedule defects and continuity of Product Record identity. Chapter 25 governs cure, refund, restoration, and other consequences of inconsistent collection.</w:t>
      </w:r>
    </w:p>
    <w:p>
      <w:pPr/>
      <w:r>
        <w:t>6.3.4 An Annex C designation adopted as part of this Compact becomes operative according to Chapter 30 and the legal effect assigned to its schedule. A later substantive change follows Chapter 29 and any activation rule assigned by Chapter 8 or another controlling Chapter. Publication, record maintenance, or administrative transcription records legal effect and does not create it unless this Compact expressly assigns that function. No schedule-maintenance delay postpones a treatment already operative under the controlling legal rule.</w:t>
      </w:r>
    </w:p>
    <w:p>
      <w:pPr>
        <w:pStyle w:val="Heading2"/>
      </w:pPr>
      <w:r>
        <w:t>Article 6.4 - Baseline and Accelerated Transition Tracks</w:t>
      </w:r>
    </w:p>
    <w:p>
      <w:pPr>
        <w:pStyle w:val="Heading3"/>
      </w:pPr>
      <w:r>
        <w:t>Category: 36-Month and 28-Month Architecture</w:t>
      </w:r>
    </w:p>
    <w:p>
      <w:pPr/>
      <w:r>
        <w:t>6.4.1 The ordinary sensitive-sector transition track reaches zero ordinary customs duty no later than month 36 from the objectively ascertainable commencement event identified in Annex C. Annex C defines that event by treaty facts, a fixed date, or another legally determinate occurrence and does not make commencement depend on discretionary domestic certification. Domestic litigation, administrative review, emergency declaration, delayed ministerial action, or failure to update a domestic system does not toll, postpone, restart, or extinguish a commencement event that has objectively occurred. Earlier completion becomes controlling when established through the applicable acceleration architecture.</w:t>
      </w:r>
    </w:p>
    <w:p>
      <w:pPr/>
      <w:r>
        <w:t>6.4.2 The standardized accelerated transition track reaches zero ordinary customs duty no later than month 28 from the commencement event identified in Annex C. It satisfies the same Progressive Liberalization Test, ratchet, product-boundary, and anti-substitution disciplines that govern the ordinary track. Compression of the timetable does not weaken the legal quality of any stage or the resulting zero treatment. Annex C identifies the accelerated stages with sufficient precision for automatic legal effect.</w:t>
      </w:r>
    </w:p>
    <w:p>
      <w:pPr/>
      <w:r>
        <w:t>6.4.3 Neither the 36-month nor the 28-month track creates a waiting period before more favorable treatment takes effect. A more favorable operative stage controls from its assigned effective date or activation event. A Party's application of more favorable treatment outside a formal schedule change does not by itself rewrite Annex C or create reciprocal rights. Articles 6.7 and 6.8 govern exceptional movement beyond the standardized tracks in the directions assigned to those Articles.</w:t>
      </w:r>
    </w:p>
    <w:p>
      <w:pPr/>
      <w:r>
        <w:t>6.4.4 Completion under either standardized track produces zero ordinary customs-duty treatment automatically. Review, domestic adjustment, verification, publication, or administrative implementation does not extend the controlling completion boundary. Chapter 19 temporary exceptional treatment operates according to Article 6.10 without ordinarily stopping the underlying transition clock. A formally approved Article 6.8 extension supplies the only Chapter 6 mechanism for moving a completion boundary later than the otherwise controlling Annex C trajectory, subject to the absolute month-42 ceiling.</w:t>
      </w:r>
    </w:p>
    <w:p>
      <w:pPr>
        <w:pStyle w:val="Heading2"/>
      </w:pPr>
      <w:r>
        <w:t>Article 6.5 - Progressive Liberalization and Anti-Backloading</w:t>
      </w:r>
    </w:p>
    <w:p>
      <w:pPr>
        <w:pStyle w:val="Heading3"/>
      </w:pPr>
      <w:r>
        <w:t>Category: Transition Mathematics</w:t>
      </w:r>
    </w:p>
    <w:p>
      <w:pPr/>
      <w:r>
        <w:t>6.5.1 Every Annex C trajectory satisfies a Progressive Liberalization Test throughout its controlling transition period. The trajectory produces meaningful early movement, meaningful cumulative liberalization by its midpoint, continued movement toward zero, and complete elimination by its controlling completion event. The exact sequence reflects the tariff form, sector characteristics, and negotiated product-specific circumstances recorded in Annex C. Different trajectories remain permissible where each independently satisfies these substantive requirements.</w:t>
      </w:r>
    </w:p>
    <w:p>
      <w:pPr/>
      <w:r>
        <w:t>6.5.2 A trajectory does not concentrate substantially all liberalization at its final stage or preserve the starting treatment through a sequence of nominal or economically immaterial changes. A principal stage produces a meaningful improvement in the ordinary customs-duty treatment unless Annex C identifies an objective scheduling reason for a different interval structure. An interval used for technical administration or synchronized activation does not become a device for deliberate backloading. The legal and economic substance of the full trajectory controls the anti-backloading assessment.</w:t>
      </w:r>
    </w:p>
    <w:p>
      <w:pPr/>
      <w:r>
        <w:t>6.5.3 Each completed stage becomes the new controlling ceiling for the affected ordinary customs-duty treatment. A later stage does not increase that ceiling, restore an earlier rate, or offset liberalization through another ordinary tariff component. Non-ad-valorem, compound, mixed, seasonal, minimum, maximum, and formula duties progress toward zero across every component necessary to achieve complete ordinary customs-duty elimination. Chapter 16 governs attempts to recreate displaced tariff protection through a fee, charge, licensing condition, regulatory condition, or equivalent substitute.</w:t>
      </w:r>
    </w:p>
    <w:p>
      <w:pPr/>
      <w:r>
        <w:t>6.5.4 Annex C states each stage through a legally determinate effective date, activation event, or objective condition expressly assigned by the controlling provision. A condition-based stage uses criteria capable of objective determination and independent review. Verification confirms satisfaction or implementation and does not silently become the condition itself. Uncertainty in administration triggers the correction, consultation, and dispute architecture of this Compact without authorizing unilateral restoration of a higher completed stage.</w:t>
      </w:r>
    </w:p>
    <w:p>
      <w:pPr>
        <w:pStyle w:val="Heading2"/>
      </w:pPr>
      <w:r>
        <w:t>Article 6.6 - Product-Specific and Sector-Specific Scheduling</w:t>
      </w:r>
    </w:p>
    <w:p>
      <w:pPr>
        <w:pStyle w:val="Heading3"/>
      </w:pPr>
      <w:r>
        <w:t>Category: Sector Boundaries and Tranches</w:t>
      </w:r>
    </w:p>
    <w:p>
      <w:pPr/>
      <w:r>
        <w:t>6.6.1 Sector-specific schedules reside in Annex C rather than in separate substantive regimes within this Chapter. Annex C identifies sensitive dairy, chicken, turkey, table egg, broiler hatching egg and chick, sugar, sugar-containing product, and other mutually designated product treatment only to the extent affirmatively agreed. Each sector remains divided into objectively controlled products or tranches where materially different treatment is negotiated. Sector identity alone does not determine the tariff treatment of every product associated with that sector.</w:t>
      </w:r>
    </w:p>
    <w:p>
      <w:pPr/>
      <w:r>
        <w:t>6.6.2 A transition tranche consists of an objectively defined group of Product Record IDs governed by a common Chapter 6 trajectory. The tranche definition uses fixed product criteria sufficient to prevent opportunistic expansion, contraction, or substitution after the trajectory becomes operative. Originally defined tranches remain traceable through later HS nomenclature changes under Chapter 3. A technical concordance preserves substantive scope and does not create a new tranche.</w:t>
      </w:r>
    </w:p>
    <w:p>
      <w:pPr/>
      <w:r>
        <w:t>6.6.3 Sugar-containing products, dairy-containing products, prepared foods, and other downstream goods receive sensitive treatment only where Annex C separately and objectively includes them. Ingredient content alone does not establish sensitivity unless the operative designation expressly uses an objective composition threshold or equivalent criterion. End-use distinctions remain effective only where Annex C states an administrable and non-discriminatory method for applying them. Ambiguity is resolved without enlarging the sensitive envelope beyond the negotiated designation.</w:t>
      </w:r>
    </w:p>
    <w:p>
      <w:pPr/>
      <w:r>
        <w:t>6.6.4 Sector-specific differences in staging, tariff form, tranche structure, and completion timing remain confined to Annex C within the limits of this Chapter. Domestic producer-adjustment indicators do not become tariff conditions through their appearance in explanatory materials or Chapter 21 programs. A sector schedule does not delay Chapter 5 treatment for a related non-sensitive product. The controlled schedules preserve enough separation to prevent sensitivity from migrating across products, sectors, or legal functions.</w:t>
      </w:r>
    </w:p>
    <w:p>
      <w:pPr>
        <w:pStyle w:val="Heading2"/>
      </w:pPr>
      <w:r>
        <w:t>Article 6.7 - Exceptional Accelerated Tranches</w:t>
      </w:r>
    </w:p>
    <w:p>
      <w:pPr>
        <w:pStyle w:val="Heading3"/>
      </w:pPr>
      <w:r>
        <w:t>Category: 12-Month Fast Lane</w:t>
      </w:r>
    </w:p>
    <w:p>
      <w:pPr/>
      <w:r>
        <w:t>6.7.1 An objectively defined transition tranche receives an Exceptional Accelerated Tranche trajectory through affirmative agreement of all three Parties under the applicable Chapter 8 and Chapter 29 architecture. Where the Parties select the 12-month fast lane, the accelerated trajectory reaches zero ordinary customs duty no later than month 12 from the controlling commencement event. Annex C identifies the affected Product Record IDs, commencement event, stages, and completion event. The acceleration does not alter products outside the expressly identified tranche.</w:t>
      </w:r>
    </w:p>
    <w:p>
      <w:pPr/>
      <w:r>
        <w:t>6.7.2 A formally operative Exceptional Accelerated Tranche trajectory replaces the slower Annex C trajectory previously governing that tranche. The displaced slower trajectory thereafter supplies no authority for positive ordinary customs-duty treatment. Every completed accelerated stage receives the same ratchet protection as a completed stage under Articles 6.4 and 6.5. A later political, administrative, or commercial reassessment does not revive the displaced trajectory.</w:t>
      </w:r>
    </w:p>
    <w:p>
      <w:pPr/>
      <w:r>
        <w:t>6.7.3 A Party remains free to apply more favorable ordinary customs-duty treatment unilaterally where this Compact otherwise permits that treatment. Unilateral more-favorable treatment does not by itself amend Annex C, create a reciprocal entitlement, satisfy another Party's synchronized obligation, or convert a temporary applied preference into a new treaty schedule. A permanent treaty acceleration follows the legal architecture assigned by Chapters 8 and 29. This distinction preserves unilateral generosity without manufacturing an unintended trilateral bargain.</w:t>
      </w:r>
    </w:p>
    <w:p>
      <w:pPr/>
      <w:r>
        <w:t>6.7.4 Paired or reciprocal accelerated tranches use Chapter 8 for any synchronized activation rule expressly assigned there. Chapter 6 recognizes the resulting operative trajectory and does not independently determine whether reciprocal activation conditions have been satisfied. Verification under Chapter 17 follows the legal allocation established by Chapter 8 and does not add an unstated activation gate. Chapter 8 retains exclusive ownership of reciprocal activation consequences not expressly assigned by this Article.</w:t>
      </w:r>
    </w:p>
    <w:p>
      <w:pPr>
        <w:pStyle w:val="Heading2"/>
      </w:pPr>
      <w:r>
        <w:t>Article 6.8 - Exceptional Adjustment Extension</w:t>
      </w:r>
    </w:p>
    <w:p>
      <w:pPr>
        <w:pStyle w:val="Heading3"/>
      </w:pPr>
      <w:r>
        <w:t>Category: One-Time 42-Month Reverse Gear</w:t>
      </w:r>
    </w:p>
    <w:p>
      <w:pPr/>
      <w:r>
        <w:t>6.8.1 An originally defined Annex C transition group experiencing substantial adjustment difficulty receives one Exceptional Adjustment Extension only through affirmative approval of all three Parties. The extension addresses demonstrated adjustment pressure that materially impairs orderly completion under the controlling trajectory. General political preference, administrative delay, verification delay, or incomplete domestic adjustment does not by itself establish the required basis. The approving instrument identifies the affected group, evidence relied upon, revised stages, and reasons supporting the limited extension.</w:t>
      </w:r>
    </w:p>
    <w:p>
      <w:pPr/>
      <w:r>
        <w:t>6.8.2 An Exceptional Adjustment Extension never carries the affected transition beyond month 42 measured from its original objectively determined commencement event. Approval does not restart, suspend, rebase, toll, or postpone the original transition clock, and no unilateral domestic law, court order, emergency declaration, administrative decision, or executive measure alters that ceiling. Only affirmative unanimous action of all three Parties through the procedure expressly assigned by this Compact can create the extension, and that action remains subject to the month-42 maximum. The revised trajectory continues to satisfy the Progressive Liberalization Test, reaches zero by the approved completion event, and receives no second Chapter 6 extension for the same originally defined transition group.</w:t>
      </w:r>
    </w:p>
    <w:p>
      <w:pPr/>
      <w:r>
        <w:t>6.8.3 Every stage completed before approval of an extension remains controlling and irreversible. The revised trajectory begins from the treatment legally controlling when the extension becomes operative and does not restore any displaced higher treatment. An extension reschedules only the remaining path to zero within the month-42 ceiling. Reciprocal concessions, vested access, and completed liberalization elsewhere remain unaffected unless another provision of this Compact independently changes them.</w:t>
      </w:r>
    </w:p>
    <w:p>
      <w:pPr/>
      <w:r>
        <w:t>6.8.4 An originally defined transition group does not subdivide, relabel, merge, or migrate for the purpose of manufacturing additional extension rights. Chapter 3 continuity rules preserve the group's identity through technical tariff-nomenclature changes. The extension record remains linked to the original Annex C designation and its change history. Chapter 29 governs the formal legal procedure for the extension without converting the extension into a general amendment power to reopen completed stages.</w:t>
      </w:r>
    </w:p>
    <w:p>
      <w:pPr>
        <w:pStyle w:val="Heading2"/>
      </w:pPr>
      <w:r>
        <w:t>Article 6.9 - Relationship to Managed Access and Chapter 7</w:t>
      </w:r>
    </w:p>
    <w:p>
      <w:pPr>
        <w:pStyle w:val="Heading3"/>
      </w:pPr>
      <w:r>
        <w:t>Category: TRQ Firewall</w:t>
      </w:r>
    </w:p>
    <w:p>
      <w:pPr/>
      <w:r>
        <w:t>6.9.1 Chapter 6 governs only the ordinary customs-duty transition assigned to an operative sensitive-sector designation. Chapter 7 exclusively governs Progressive Market-Access Vesting, Managed-Access Fields, Within-Access Quantity, Over-Access Treatment within the managed-access architecture, allocation consequences, TRQ Displacement, and Full-Vesting Confirmation. A Chapter 6 schedule does not create a new Tariff-Rate Quota or enlarge an existing Managed-Access Field. Characterization under Article 2.6 does not transfer a Chapter 7 managed-access function into Chapter 6.</w:t>
      </w:r>
    </w:p>
    <w:p>
      <w:pPr/>
      <w:r>
        <w:t>6.9.2 Where Chapters 6 and 7 operate on the same Product Record, Annex C and Annex D cross-link the relevant schedules and legal events. Coordination prevents a gap, duplicate protection, contradictory treatment, or accidental displacement between the ordinary tariff transition and managed-access vesting. Each Chapter retains exclusive ownership of the legal function assigned to it. A cross-link records coordination and does not merge the two legal mechanisms.</w:t>
      </w:r>
    </w:p>
    <w:p>
      <w:pPr/>
      <w:r>
        <w:t>6.9.3 Full agricultural border liberalization for a product subject to both Chapters requires completion of the Chapter 6 ordinary customs-duty transition and the Chapter 7 managed-access displacement applicable to that product. Completion of one mechanism does not falsely certify completion of the other. Chapter 7 Full-Vesting Confirmation remains an independent legal event under Chapter 7. Chapter 9 records completed zero ordinary customs-duty treatment according to its own function without substituting for Chapter 7 vesting records.</w:t>
      </w:r>
    </w:p>
    <w:p>
      <w:pPr/>
      <w:r>
        <w:t>6.9.4 Chapter 8 governs synchronized activation for paired sensitive-sector milestones only where Chapter 8 expressly assigns synchronization to the relevant legal event. Chapter 6 does not presume that every unilateral improvement, acceleration, tariff stage, or managed-access milestone requires synchronization. Annex C and Annex D identify a Chapter 8 linkage where the negotiated architecture requires one. Silence does not create an unstated synchronization condition.</w:t>
      </w:r>
    </w:p>
    <w:p>
      <w:pPr>
        <w:pStyle w:val="Heading2"/>
      </w:pPr>
      <w:r>
        <w:t xml:space="preserve">Article 6.10 - Verification, Correction, Exceptional Treatment, and Restoration</w:t>
      </w:r>
    </w:p>
    <w:p>
      <w:pPr>
        <w:pStyle w:val="Heading3"/>
      </w:pPr>
      <w:r>
        <w:t>Category: No Verification Gate and No Hidden Brake</w:t>
      </w:r>
    </w:p>
    <w:p>
      <w:pPr/>
      <w:r>
        <w:t>6.10.1 The Chapter 6 starting treatment derives from the legally controlling Chapter 4 treatment for the affected Product Record. Chapter 3 governs source, provenance, controlled-record continuity, HS concordance, and correction of the information supporting that treatment. Pending verification does not postpone an operative Chapter 6 stage or create authority for a higher tariff. A later correction produces the legally correct treatment through Chapters 3 and 25 without converting verification into a condition precedent.</w:t>
      </w:r>
    </w:p>
    <w:p>
      <w:pPr/>
      <w:r>
        <w:t>6.10.2 Chapter 17 ALVS confirms implementation of Chapter 6 stages after or alongside their legal effect. An ALVS delay, incomplete record, pending audit, or disagreement does not suspend a scheduled stage unless another provision of this Compact expressly establishes an objective condition for that stage. ALVS records completed stages and identifies discrepancies for correction, consultation, or review. The verification record does not itself create, enlarge, postpone, or restore tariff authority.</w:t>
      </w:r>
    </w:p>
    <w:p>
      <w:pPr/>
      <w:r>
        <w:t>6.10.3 Chapter 19 exclusively governs qualifying temporary exceptional treatment affecting a Chapter 6 product. Temporary exceptional treatment does not erase the underlying Chapter 6 stage or convert the temporary measure into a revised Annex C trajectory. The underlying Chapter 6 transition ordinarily continues to progress while the Chapter 19 measure operates. When the temporary measure ceases, restoration occurs to the Chapter 6 treatment legally controlling at that time.</w:t>
      </w:r>
    </w:p>
    <w:p>
      <w:pPr/>
      <w:r>
        <w:t>6.10.4 A disputed classification, baseline, stage, or implementation question does not authorize self-help restoration of an earlier higher tariff. Chapters 18, 25, and 26 govern technical review, consultation, cure, and dispute consequences according to their assigned functions. Treatment on unrelated products and tranches remains unaffected by the dispute. The narrowest legally sufficient correction controls any restoration, refund, or prospective adjustment.</w:t>
      </w:r>
    </w:p>
    <w:p>
      <w:pPr>
        <w:pStyle w:val="Heading2"/>
      </w:pPr>
      <w:r>
        <w:t xml:space="preserve">Article 6.11 - Completion, Ratchet, and Zero Treatment</w:t>
      </w:r>
    </w:p>
    <w:p>
      <w:pPr>
        <w:pStyle w:val="Heading3"/>
      </w:pPr>
      <w:r>
        <w:t>Category: Graduation to Chapter 9</w:t>
      </w:r>
    </w:p>
    <w:p>
      <w:pPr/>
      <w:r>
        <w:t>6.11.1 Each legally completed Chapter 6 stage becomes the new controlling ceiling for ordinary customs-duty treatment on the affected trade. The higher treatment displaced by that stage remains historical baseline information and no longer supplies tariff authority. Review, verification delay, administrative inaction, classification correction, political disagreement, or a dispute does not revive the displaced treatment. A distinct temporary measure under Chapter 19 affects applied treatment only according to that Chapter.</w:t>
      </w:r>
    </w:p>
    <w:p>
      <w:pPr/>
      <w:r>
        <w:t>6.11.2 The final completion event for each Annex C trajectory produces zero ordinary customs-duty treatment automatically. No declaration, publication, registry entry, verification report, committee decision, or administrative confirmation creates the completed zero state. A domestic schedule that lags behind the operative completion event does not preserve positive duty authority. Chapter 25 governs cure, refund, restoration, and related consequences of collection inconsistent with the completed zero state.</w:t>
      </w:r>
    </w:p>
    <w:p>
      <w:pPr/>
      <w:r>
        <w:t>6.11.3 Chapter 9 records completed zero treatment in the Zero-Line Registry and applies its durable no-backsliding architecture. Registry maintenance confirms and preserves the completed legal state without becoming a condition for that state. Historical Annex C records retain the former sensitive designation, transition history, and completion information for provenance. That historical status does not continue Chapter 6 authority after completion.</w:t>
      </w:r>
    </w:p>
    <w:p>
      <w:pPr/>
      <w:r>
        <w:t>6.11.4 Completion of the Chapter 6 tariff transition does not by itself certify completion of a separate Chapter 7 managed-access transition, Chapter 14 sanitary measure, Chapter 16 regulatory matter, or Chapter 21 producer-adjustment program. Each specialized Chapter retains its independent legal state and completion rules. The Chapter 6 result remains zero ordinary customs duty notwithstanding the continued operation of a lawful non-tariff mechanism elsewhere in the Compact. A different Chapter alters that result only through a distinct legal mechanism expressly assigned to that Chapter.</w:t>
      </w:r>
    </w:p>
    <w:p>
      <w:pPr>
        <w:pStyle w:val="Heading2"/>
      </w:pPr>
      <w:r>
        <w:t xml:space="preserve">Article 6.12 - Producer Adjustment, Remedies, and Institutional Boundaries</w:t>
      </w:r>
    </w:p>
    <w:p>
      <w:pPr>
        <w:pStyle w:val="Heading3"/>
      </w:pPr>
      <w:r>
        <w:t>Category: Chapter Ownership and No Substitution</w:t>
      </w:r>
    </w:p>
    <w:p>
      <w:pPr/>
      <w:r>
        <w:t>6.12.1 Border liberalization under Chapter 6 and domestic producer adjustment under Chapter 21 operate as distinct legal tracks. Chapter 21 governs permitted income stabilization, modernization, restructuring, retirement assistance, regional adjustment, and other producer-support architecture. Completion of a domestic adjustment program does not condition, postpone, or reverse a Chapter 6 stage. Chapter 6 therefore protects the transition path while Chapter 21 addresses producer adjustment without recreating border protection.</w:t>
      </w:r>
    </w:p>
    <w:p>
      <w:pPr/>
      <w:r>
        <w:t>6.12.2 Chapter 16 governs regulatory friction, commercial-usability concerns, and attempts to substitute administrative protection for a displaced ordinary customs duty. Chapter 17 governs ALVS verification, Chapter 19 governs temporary exceptional treatment, and Chapter 22 governs publication and shared data. Chapter 25 governs consultation, cure, refund, and restoration, while Chapter 26 governs remedies and dispute settlement. Chapter 6 inherits those systems and does not recreate parallel procedures.</w:t>
      </w:r>
    </w:p>
    <w:p>
      <w:pPr/>
      <w:r>
        <w:t>6.12.3 Chapter 8 governs synchronized activation where expressly assigned, Chapter 29 governs formal amendment and authorized acceleration procedure, and Chapter 30 governs entry into force, withdrawal, survival, and treaty applicability. A Chapter 6 review does not reopen a completed stage or create an independent tariff-resurrection mechanism. Remedies for a Chapter 6 breach remain confined to the scope and proportionality architecture assigned by Chapters 25 and 26. Whole-Compact snapback does not arise from Chapter 6 unless another operative provision expressly establishes that consequence.</w:t>
      </w:r>
    </w:p>
    <w:p>
      <w:pPr/>
      <w:r>
        <w:t>6.12.4 Chapter 6 creates a transitional path to zero ordinary customs duty for affirmatively designated sensitive treatment. It does not create continuing authority to protect a sector after that path is complete. Faster treatment remains available through the applicable acceleration architecture, while slower treatment remains confined to the one-time Article 6.8 mechanism and its absolute month-42 boundary. The completed bargain therefore favors forward movement while preserving a narrow, controlled adjustment valve for demonstrated need.</w:t>
      </w:r>
    </w:p>
    <w:p>
      <w:pPr/>
      <w:r>
        <w:t xml:space="preserve">The Chapter contains 12 articles and 48 operative clauses built around the 36-month ordinary track, 28-month standardized accelerated track, Exceptional Accelerated Tranches reaching zero by month 12 where selected, and a one-time unanimously approved Exceptional Adjustment Extension capped at month 42. Chapter 8 governs synchronization only where expressly assigned, while product-specific Annex C designations remain controlled adoption decisions rather than drafting omissions.</w:t>
      </w:r>
    </w:p>
    <w:p>
      <w:r>
        <w:t xml:space="preserve">The Chapter contains 12 articles and 48 operative clauses, with Chapter 8 governing synchronization only where expressly assigned. Product-specific Annex D managed-access and vesting entries remain controlled adoption decisions rather than drafting omissions.</w:t>
      </w:r>
    </w:p>
    <w:p>
      <w:pPr>
        <w:pStyle w:val="Heading1"/>
      </w:pPr>
      <w:r>
        <w:t>Chapter 7 - Progressive Market-Access Vesting and TRQ Displacement</w:t>
      </w:r>
    </w:p>
    <w:p>
      <w:pPr>
        <w:pStyle w:val="Heading2"/>
      </w:pPr>
      <w:r>
        <w:t>Article 7.1 - Scope and Function of Progressive Market-Access Vesting</w:t>
      </w:r>
    </w:p>
    <w:p>
      <w:pPr>
        <w:pStyle w:val="Heading3"/>
      </w:pPr>
      <w:r>
        <w:t>Category: Chapter Ownership and Managed-Access Scope</w:t>
      </w:r>
    </w:p>
    <w:p>
      <w:r>
        <w:t>7.1.1 Chapter 7 governs the progressive displacement of tariff-rate quotas and other Managed-Access Fields applicable to qualifying originating Covered Agricultural Goods. It governs managed-access quantities, within-access treatment, over-access treatment that forms part of managed-access architecture, allocation consequences, and the vesting of unrestricted market access. Chapter 6 separately governs ordinary customs-duty transition outside the managed-access architecture assigned to this Chapter. Chapter 7 does not create authority over ordinary tariffs, sanitary or phytosanitary measures, domestic support, rules of origin, customs facilitation, or temporary safeguards except through an express cross-reference.</w:t>
      </w:r>
    </w:p>
    <w:p>
      <w:r>
        <w:t>7.1.2 A Managed-Access Field means the residual legal field within which a Party retains authority under this Compact to apply an identified managed-access restriction to qualifying originating trade. The field contracts as Vested Market-Access Rights become operative and never expands through administrative practice, interpretation, reclassification, or incomplete implementation. Historical tariff-rate quota machinery remains relevant only to the extent that a residual Managed-Access Field continues to exist. Full vesting reduces that residual field to zero for the covered qualifying originating trade.</w:t>
      </w:r>
    </w:p>
    <w:p>
      <w:r>
        <w:t>7.1.3 A Vested Market-Access Right attaches to the covered trade treatment identified in Annex D rather than to a particular trader, shipment, permit holder, or allocation recipient. Each right is cumulative, permanent, and non-fading once its operative Vesting Event occurs. Changes in traders, allocation systems, administrative forms, or market participation do not diminish the amount of access already vested. Article 1.9 and the Chapter 7 ratchet protect the vested treatment against ordinary reversal.</w:t>
      </w:r>
    </w:p>
    <w:p>
      <w:r>
        <w:t>7.1.4 Chapter 7 and Chapter 6 use coordinated but legally independent trajectories unless Annex C and Annex D expressly identify a synchronization rule assigned to Chapter 8 for specified Product Records. Matching completion periods do not create a presumption that legal effect under one Chapter depends on completion under the other. Different trajectories do not authorize delay, duplicate protection, contradictory treatment, or deterioration of either controlling trajectory. Each Chapter reaches its own legal result according to its operative schedule and the conditions expressly assigned to that Chapter.</w:t>
      </w:r>
    </w:p>
    <w:p>
      <w:pPr>
        <w:pStyle w:val="Heading2"/>
      </w:pPr>
      <w:r>
        <w:t>Article 7.2 - Annex D Managed-Access Schedule</w:t>
      </w:r>
    </w:p>
    <w:p>
      <w:pPr>
        <w:pStyle w:val="Heading3"/>
      </w:pPr>
      <w:r>
        <w:t>Category: Controlled Baseline and Schedule Architecture</w:t>
      </w:r>
    </w:p>
    <w:p>
      <w:r>
        <w:t>7.2.1 Annex D supplies the controlling managed-access schedule for each Product Record governed by this Chapter and defines each commencement event through a fixed date, objective treaty fact, or other legally determinate occurrence. Each entry identifies the Party, Product Record ID, Managed-Access Field ID, objective product scope, baseline quantity or share, measurement unit, allocation mechanism, utilization method, over-access treatment, commencement event, vesting stages, cumulative vested amount, residual field, completion event, and relevant cross-links. A commencement event that has objectively occurred does not await discretionary domestic certification and is not tolled, postponed, restarted, or extinguished by domestic litigation, administrative review, emergency declaration, delayed ministerial action, or systems failure. Annex D also records any Chapter 8 synchronization socket, Chapter 17 implementation status, Full-Vesting State, historical tariff-rate quota reference, and other controlled fields required by its schema.</w:t>
      </w:r>
    </w:p>
    <w:p>
      <w:r>
        <w:t>7.2.2 The Annex D baseline records the legally controlling managed-access state at the applicable commencement event and does not create a permanent entitlement to restriction. Chapter 3 governs source, provenance, Product Record continuity, nomenclature continuity, controlled correction, and datum-level history. A disputed or incomplete baseline does not authorize unilateral enlargement of the Managed-Access Field. Pending correction leaves the last valid controlled legal record in effect to the extent necessary to administer the already controlling trajectory.</w:t>
      </w:r>
    </w:p>
    <w:p>
      <w:r>
        <w:t>7.2.3 Each Vesting Tranche links to one or more identified Product Record IDs and one Managed-Access Field ID through objectively measurable criteria. Annex D states the tranche measurement method, source, legally determinate Vesting Event, resulting cumulative vested amount, and residual Managed-Access Field. A tranche uses quantity, percentage, share, or another measurable unit suited to the managed-access structure without converting Chapter 6 ordinary-duty treatment into Chapter 7 subject matter. Technical concordance preserves tranche identity and does not enlarge the covered restrictive field.</w:t>
      </w:r>
    </w:p>
    <w:p>
      <w:r>
        <w:t>7.2.4 Initial Annex D entries take legal effect under the entry-into-force architecture assigned to Chapter 30. A later substantive addition, enlargement, acceleration, extension, or other operative schedule change follows the procedure assigned to Chapter 29 and any synchronization rule expressly assigned to Chapter 8. Technical correction does not create a new Managed-Access Field, restore displaced authority, or reduce a Vested Market-Access Right. Publication, transcription, verification, or registry entry records legal effect and does not create it unless this Compact expressly assigns that function.</w:t>
      </w:r>
    </w:p>
    <w:p>
      <w:pPr>
        <w:pStyle w:val="Heading2"/>
      </w:pPr>
      <w:r>
        <w:t>Article 7.3 - Progressive Market-Access Vesting</w:t>
      </w:r>
    </w:p>
    <w:p>
      <w:pPr>
        <w:pStyle w:val="Heading3"/>
      </w:pPr>
      <w:r>
        <w:t>Category: Vesting Events and Permanent Rights</w:t>
      </w:r>
    </w:p>
    <w:p>
      <w:r>
        <w:t>7.3.1 Each legally operative Vesting Event creates the Vested Market-Access Right identified for that tranche automatically. The right exists from the operative event without awaiting verification, committee action, publication, permit-system retirement, or administrative confirmation. The corresponding portion of the Managed-Access Field contracts at the same legal moment. Chapter 17 measures and confirms implementation after or alongside that legal effect and does not become an unstated condition precedent.</w:t>
      </w:r>
    </w:p>
    <w:p>
      <w:r>
        <w:t>7.3.2 Completed vesting accumulates across successive tranches until the residual Managed-Access Field reaches zero. Each completed tranche establishes a new minimum level of unrestricted covered access that later ordinary administration does not reduce. Passage of time, incomplete review, unrelated dispute, administrative delay, or political disagreement does not return vested trade to a displaced restrictive field. A later schedule stage operates from the already vested legal state rather than from the original baseline.</w:t>
      </w:r>
    </w:p>
    <w:p>
      <w:r>
        <w:t>7.3.3 A Party administers each Vested Market-Access Right as genuinely available covered treatment rather than as a nominal paper entitlement. Eligibility rules, allocation procedures, permit timing, application windows, documentation requirements, or comparable administration do not materially prevent commercial use of the vested access. Chapter 16 applies to any measure that substitutes a regulatory or administrative restriction for displaced managed access. Chapters 12, 22, 23, and 24 supply the assigned facilitation, transparency, stakeholder-access, and cure procedures without recreating the substantive right.</w:t>
      </w:r>
    </w:p>
    <w:p>
      <w:r>
        <w:t>7.3.4 A unilateral decision to provide more favorable access operates to the extent this Compact otherwise permits that treatment. Such treatment does not by itself amend Annex D, create a reciprocal obligation, satisfy a Chapter 8 synchronization requirement, or convert a temporary unilateral preference into a treaty vesting stage. Formal vesting beyond the controlling Annex D trajectory requires the operative mechanism assigned by this Compact. Existing Vested Market-Access Rights remain unaffected by the legal characterization of additional unilateral access.</w:t>
      </w:r>
    </w:p>
    <w:p>
      <w:pPr>
        <w:pStyle w:val="Heading2"/>
      </w:pPr>
      <w:r>
        <w:t>Article 7.4 - Contraction and Displacement of the Managed-Access Field</w:t>
      </w:r>
    </w:p>
    <w:p>
      <w:pPr>
        <w:pStyle w:val="Heading3"/>
      </w:pPr>
      <w:r>
        <w:t>Category: Residual Field Mathematics and Anti-Regeneration</w:t>
      </w:r>
    </w:p>
    <w:p>
      <w:r>
        <w:t>7.4.1 The residual Managed-Access Field consists only of the portion of the original applicable Managed-Access Field not permanently displaced through completed vesting, measured according to the method specified in Annex D. The calculation operates against the legally relevant quantity, share, seasonal component, allocation category, product subdivision, or other objective unit identified for the entry. Annex D supplies the measurement rule for structures that do not reduce to a single homogeneous numerical quantity. Administrative calculation confirms the residual field and does not postpone the contraction produced by a Vesting Event.</w:t>
      </w:r>
    </w:p>
    <w:p>
      <w:r>
        <w:t>7.4.2 No Party enlarges the residual Managed-Access Field through administrative practice, obsolete allocation machinery, product reclassification, seasonal manipulation, changed eligibility rules, new fees, new charges, or reinterpretation of the original restriction. A displaced portion remains outside the permissible field even where domestic legislation, databases, forms, or historical tariff schedules continue to display the former architecture. Chapter 4 supplies the standstill floor and Chapter 16 supplies the anti-substitution discipline. A technical or clerical inconsistency receives correction without restoring displaced restrictive authority.</w:t>
      </w:r>
    </w:p>
    <w:p>
      <w:r>
        <w:t>7.4.3 Administrative machinery associated exclusively with a displaced portion retires as that portion loses legal application to qualifying originating trade. Retirement follows legal displacement and does not create the displacement. Clerical delay in removing obsolete machinery does not preserve authority to apply it. Chapter 22 records the correction and Chapter 25 supplies cure where obsolete administration interferes with vested access.</w:t>
      </w:r>
    </w:p>
    <w:p>
      <w:r>
        <w:t>7.4.4 No new tariff-rate quota, managed-access eligibility barrier, equivalent fee, or comparable restrictive device replaces a displaced portion of the Managed-Access Field. Over-access treatment associated with a residual field does not increase in a manner that offsets completed vesting or recreates the economic restriction already displaced. A remaining tariff-rate quota label has no independent legal significance where no substantive managed-access restriction remains for the covered qualifying originating trade. Full displacement depends on substantive legal effect rather than survival or retirement of a bureaucratic label.</w:t>
      </w:r>
    </w:p>
    <w:p>
      <w:pPr>
        <w:pStyle w:val="Heading2"/>
      </w:pPr>
      <w:r>
        <w:t>Article 7.5 - Vesting Tracks and Progressive Vesting Test</w:t>
      </w:r>
    </w:p>
    <w:p>
      <w:pPr>
        <w:pStyle w:val="Heading3"/>
      </w:pPr>
      <w:r>
        <w:t>Category: 12-28-36-42 Vesting Architecture</w:t>
      </w:r>
    </w:p>
    <w:p>
      <w:r>
        <w:t>7.5.1 The ordinary Progressive Vesting Track reaches Full-Vesting State no later than month 36 from the controlling Annex D commencement event. The Standardized Accelerated Vesting Track reaches Full-Vesting State no later than month 28 from that event. An Exceptional Accelerated Vesting Tranche reaches Full-Vesting State no later than month 12 where the Parties select the 12-month fast lane under Article 7.6. An Immediate Full-Vesting designation produces Full-Vesting State on its operative event where the Parties determine that no managed-access transition is required.</w:t>
      </w:r>
    </w:p>
    <w:p>
      <w:r>
        <w:t>7.5.2 The named track establishes an outer completion boundary rather than a protected minimum duration. Annex D supplies the product-specific vesting stages and measurement geometry within that boundary. Earlier more favorable operative vesting controls from its effective event and does not authorize a later return to the slower state. Matching Chapter 6 and Chapter 7 tracks facilitate coordination but do not merge their legal operation.</w:t>
      </w:r>
    </w:p>
    <w:p>
      <w:r>
        <w:t>7.5.3 Every non-immediate trajectory satisfies the Progressive Vesting Test through meaningful early vesting, meaningful cumulative vesting by the temporal midpoint, continued movement toward full vesting, and complete displacement by the controlling completion event. A trajectory does not satisfy the test through nominal, economically immaterial, or deliberately end-loaded stages that reserve substantially all liberalization for the final event. Sector-specific mathematics remain flexible where the trajectory produces genuine progressive contraction throughout the transition. Annex D records the applicable midpoint assessment point and cumulative vesting without turning administrative assessment into a gate.</w:t>
      </w:r>
    </w:p>
    <w:p>
      <w:r>
        <w:t>7.5.4 Each completed vesting stage establishes the new legal floor for covered access and the new maximum residual Managed-Access Field. A later stage does not increase the residual field, restore an earlier allocation restriction, or offset vesting through over-access treatment, fees, or administrative conditions. Over-access duty associated with managed-access architecture reaches zero whenever the controlling schedule so provides, including before Full-Vesting State where the remaining field retains another substantive restrictive function. Where no substantive restrictive function remains, the Managed-Access Field is zero regardless of continued historical terminology.</w:t>
      </w:r>
    </w:p>
    <w:p>
      <w:pPr>
        <w:pStyle w:val="Heading2"/>
      </w:pPr>
      <w:r>
        <w:t>Article 7.6 - Exceptional Acceleration and Immediate Full Vesting</w:t>
      </w:r>
    </w:p>
    <w:p>
      <w:pPr>
        <w:pStyle w:val="Heading3"/>
      </w:pPr>
      <w:r>
        <w:t>Category: Fast Lanes and Trilateral Consent</w:t>
      </w:r>
    </w:p>
    <w:p>
      <w:r>
        <w:t>7.6.1 An objectively defined Vesting Tranche receives an Exceptional Accelerated Vesting trajectory through affirmative agreement of all three Parties under the applicable Chapter 8 and Chapter 29 architecture. Where the Parties select the 12-month fast lane, the affected Managed-Access Field reaches zero no later than month 12 from the controlling commencement event. Annex D identifies the Product Record IDs, Managed-Access Field ID, stages, measurement method, and completion event governed by the acceleration. The accelerated trajectory does not alter products or fields outside the expressly identified tranche.</w:t>
      </w:r>
    </w:p>
    <w:p>
      <w:r>
        <w:t>7.6.2 An Immediate Full-Vesting designation applies where affirmative agreement of all three Parties identifies an objectively defined field for which no managed-access transition remains necessary. The operative event immediately vests the entire covered access and contracts the residual Managed-Access Field to zero. Full-Vesting State arises automatically at that event without ceremonial staging or administrative confirmation. Annex D records the designation and resulting completed state for controlled schedule purposes.</w:t>
      </w:r>
    </w:p>
    <w:p>
      <w:r>
        <w:t>7.6.3 A formally operative accelerated trajectory replaces the slower Annex D trajectory for the affected tranche prospectively from the acceleration event. Every vesting stage completed before acceleration remains permanently vested and forms the floor from which the faster trajectory proceeds. Failure to agree on a proposed acceleration leaves the already controlling Annex D trajectory unchanged and continuing. Non-agreement does not suspend, postpone, or diminish any existing Vesting Event or Vested Market-Access Right.</w:t>
      </w:r>
    </w:p>
    <w:p>
      <w:r>
        <w:t>7.6.4 A dispute body does not manufacture consent to an optional acceleration merely because fewer than all three Parties support it. Existing obligations, completed vesting, required procedures, non-discrimination duties, anti-substitution rules, and other independently binding commitments remain reviewable under Chapters 18, 25, and 26. A Party does not convert withholding of consent into authority to obstruct the controlling trajectory. Chapter 8 retains ownership of bilateral or plurilateral faster treatment and reciprocal activation consequences not expressly assigned by this Article.</w:t>
      </w:r>
    </w:p>
    <w:p>
      <w:pPr>
        <w:pStyle w:val="Heading2"/>
      </w:pPr>
      <w:r>
        <w:t>Article 7.7 - Exceptional Vesting Adjustment Extension</w:t>
      </w:r>
    </w:p>
    <w:p>
      <w:pPr>
        <w:pStyle w:val="Heading3"/>
      </w:pPr>
      <w:r>
        <w:t>Category: One-Time 42-Month Reverse Gear</w:t>
      </w:r>
    </w:p>
    <w:p>
      <w:r>
        <w:t>7.7.1 An originally defined Annex D transition group experiencing substantial adjustment difficulty receives one Exceptional Vesting Adjustment Extension only through affirmative approval of all three Parties. The extension addresses demonstrated adjustment pressure that materially impairs orderly completion of the remaining unvested portion under the controlling trajectory. General political preference, administrative delay, verification delay, incomplete domestic adjustment, or dissatisfaction with completed vesting does not by itself establish the required basis. The approving instrument identifies the fixed transition group, evidence relied upon, remaining unvested portion, revised stages, and reasons supporting the limited extension.</w:t>
      </w:r>
    </w:p>
    <w:p>
      <w:r>
        <w:t>7.7.2 The revised trajectory reaches Full-Vesting State no later than month 42 measured from the original objectively determined Annex D commencement event. Approval does not restart, suspend, rebase, toll, or postpone the original transition clock, and no unilateral domestic law, court order, emergency declaration, administrative decision, or executive measure alters that ceiling. Only affirmative unanimous action of all three Parties through the procedure expressly assigned by this Compact can create the extension, and that action remains subject to the month-42 maximum. The revised trajectory satisfies the Progressive Vesting Test, continues meaningful contraction of the remaining Managed-Access Field, and receives no second Chapter 7 extension for the same originally defined transition group.</w:t>
      </w:r>
    </w:p>
    <w:p>
      <w:r>
        <w:t>7.7.3 Every Vested Market-Access Right existing before the extension remains fully vested and irreversible. The extension reschedules only the portion of the Managed-Access Field that remained legally undisplaced when the extension became operative, including where the superseded trajectory was accelerated. No revised stage restores a displaced field, reduces cumulative vested access, revives obsolete allocation authority, or treats the superseded slower trajectory as though it had remained legally controlling. Reciprocal concessions and completed liberalization elsewhere remain unaffected unless another provision independently changes their legal treatment.</w:t>
      </w:r>
    </w:p>
    <w:p>
      <w:r>
        <w:t>7.7.4 Subdivision, relabeling, merger, nomenclature migration, or administrative reorganization does not manufacture a new extension entitlement for an originally defined transition group. Chapter 3 preserves group identity through tariff-classification and Product Record changes. Failure to obtain unanimous approval leaves the controlling Annex D trajectory in force without pause or deterioration. Chapter 29 governs the formal extension procedure without creating a general power to reopen completed vesting.</w:t>
      </w:r>
    </w:p>
    <w:p>
      <w:pPr>
        <w:pStyle w:val="Heading2"/>
      </w:pPr>
      <w:r>
        <w:t xml:space="preserve">Article 7.8 - Allocation, Utilization, and Commercial Usability</w:t>
      </w:r>
    </w:p>
    <w:p>
      <w:pPr>
        <w:pStyle w:val="Heading3"/>
      </w:pPr>
      <w:r>
        <w:t>Category: Usable Access and Anti-Sludge</w:t>
      </w:r>
    </w:p>
    <w:p>
      <w:r>
        <w:t>7.8.1 Allocation administration during a residual Managed-Access Field operates neutrally and preserves genuine commercial use of both existing managed access and newly vested access. A Party does not use strategic under-allocation, impossible eligibility criteria, delayed permits, unusable application windows, discriminatory documentation, or comparable administration to recreate scarcity displaced by vesting. Processing arrangements remain proportionate to legitimate administration and the perishability or commercial timing of the goods concerned. Chapter 12 supplies border-facilitation disciplines and Chapter 16 applies where administration substitutes for displaced market-access restriction.</w:t>
      </w:r>
    </w:p>
    <w:p>
      <w:r>
        <w:t>7.8.2 Annex D records the baseline allocation mechanism and utilization calculation necessary to measure the managed-access transition. Utilization monitoring identifies fill rates, denials, processing times, returned allocations, and other indicators necessary to test commercial usability without imposing punitive conditions on legitimate traders. Chapter 22 governs publication, data definitions, machine-readable records, and protection of confidential business information. Administrative data quality does not become a condition for a Vesting Event already made operative by the schedule.</w:t>
      </w:r>
    </w:p>
    <w:p>
      <w:r>
        <w:t>7.8.3 Unused allocations return to the applicable pool under published reallocation rules while a residual Managed-Access Field continues to require allocation. Reallocation occurs on a timetable that preserves commercially meaningful access for willing eligible importers. A Party does not use reallocation criteria, delayed redistribution, or newly invented eligibility barriers to preserve artificial scarcity. Full displacement ends any allocation authority that depended exclusively on the displaced Managed-Access Field.</w:t>
      </w:r>
    </w:p>
    <w:p>
      <w:r>
        <w:t>7.8.4 A reasoned administrative record accompanies a denial that materially limits access governed by the residual Managed-Access Field. Chapter 25 supplies the cure and review route for a denial alleged to impair vested access, and Chapter 23 supplies stakeholder access for affected producers, importers, processors, and small or medium-sized enterprises. Review of an individual allocation decision does not suspend unrelated vesting or reduce the cumulative vested amount. Corrective action restores commercially usable treatment without creating a new restrictive entitlement.</w:t>
      </w:r>
    </w:p>
    <w:p>
      <w:pPr>
        <w:pStyle w:val="Heading2"/>
      </w:pPr>
      <w:r>
        <w:t>Article 7.9 - Synchronization and Non-Agreement Continuity</w:t>
      </w:r>
    </w:p>
    <w:p>
      <w:pPr>
        <w:pStyle w:val="Heading3"/>
      </w:pPr>
      <w:r>
        <w:t>Category: Chapter 8 Socket and No Pocket Veto</w:t>
      </w:r>
    </w:p>
    <w:p>
      <w:r>
        <w:t>7.9.1 Chapter 8 exclusively governs synchronized activation where Annex D expressly identifies a reciprocal or paired vesting condition. Chapter 7 records the Vested Market-Access Right and residual-field consequence produced when the Chapter 8 activation event legally occurs. Silence in Annex D or Chapter 8 creates no synchronization requirement. A unilateral or bilateral liberalization permitted elsewhere in this Compact does not automatically impose a reciprocal obligation on a non-participating Party.</w:t>
      </w:r>
    </w:p>
    <w:p>
      <w:r>
        <w:t>7.9.2 Non-agreement on a proposed acceleration, extension, synchronization change, or other prospective modification leaves the controlling Annex D trajectory in force. Negotiation, consultation, technical review, or dispute concerning a proposed change does not create an interim suspension. A Party continues every already binding Vesting Event while the prospective proposal remains unresolved. This continuity rule prevents a proposal to change the schedule from becoming authority to pause the schedule.</w:t>
      </w:r>
    </w:p>
    <w:p>
      <w:r>
        <w:t>7.9.3 Chapter 8 addresses any narrowly defined treatment of a minor technical delay affecting a future unmatched reciprocal tranche. Any such treatment operates prospectively and does not reverse a completed tranche, reduce cumulative vested access, or enlarge a residual Managed-Access Field already contracted by law. Catch-up and re-synchronization procedures preserve the controlling legal floor while addressing the unmatched future event. Chapter 7 does not independently create a hold on future vesting merely because technical performance differs between Parties.</w:t>
      </w:r>
    </w:p>
    <w:p>
      <w:r>
        <w:t>7.9.4 Withholding consent to a discretionary prospective change remains distinct from non-compliance with an existing obligation. Chapters 18, 25, and 26 review existing obligations, required procedures, discriminatory conduct, prohibited substitution, implementation failures, and other independently binding duties without substituting a tribunal's policy preference for a Party's lawful consent decision. A Party does not shield independently unlawful conduct merely by describing that conduct as refusal to consent. The remedy addresses the violation while leaving the unagreed prospective change uncreated.</w:t>
      </w:r>
    </w:p>
    <w:p>
      <w:pPr>
        <w:pStyle w:val="Heading2"/>
      </w:pPr>
      <w:r>
        <w:t xml:space="preserve">Article 7.10 - Verification, Measurement, and Correction</w:t>
      </w:r>
    </w:p>
    <w:p>
      <w:pPr>
        <w:pStyle w:val="Heading3"/>
      </w:pPr>
      <w:r>
        <w:t>Category: ALVS Confirmation Without a Verification Gate</w:t>
      </w:r>
    </w:p>
    <w:p>
      <w:r>
        <w:t>7.10.1 Chapter 17 assigns ALVS responsibility for measuring and confirming implementation of Chapter 7 vesting. ALVS tests timeliness, measurement integrity, non-discrimination, commercial usability, cumulative vesting, residual-field calculation, and clean performance after cure. Verification follows the legal sequence established in Article 7.3 and does not create a Vested Market-Access Right. Pending, delayed, incomplete, or disputed verification does not postpone a due Vesting Event or authorize a larger Managed-Access Field.</w:t>
      </w:r>
    </w:p>
    <w:p>
      <w:r>
        <w:t>7.10.2 Annex D maintains an append-only vesting ledger showing each operative Vesting Event, cumulative vested amount, residual field, correction, acceleration, extension, and Full-Vesting state. Version control preserves superseded schedule states for audit without reviving their legal effect. Chapter 22 governs machine-readable publication, public and protected data layers, and confidential business information. The ledger records the controlling legal history and does not replace the operative Annex D schedule.</w:t>
      </w:r>
    </w:p>
    <w:p>
      <w:r>
        <w:t>7.10.3 A material measurement dispute proceeds to the independent technical or scientific review mechanism assigned to Chapter 18 where the dispute falls within that mechanism's competence. Pending review, the last valid controlled record governs administration without authorizing unilateral escalation above the legally vested floor. Correction uses the narrowest sufficient adjustment and does not erase a completed Vesting Event supported by the controlling legal record. Disputed vesting does not authorize self-help restoration of a displaced Managed-Access Field.</w:t>
      </w:r>
    </w:p>
    <w:p>
      <w:r>
        <w:t>7.10.4 Chapter 25 governs cure where administration fails to implement legally vested access, including clerical retirement delay, allocation obstruction, publication error, or other correctable non-performance. Cure restores the legally required treatment and preserves later Vesting Events unless another provision expressly establishes a lawful prospective consequence. Chapter 26 supplies narrow and proportional remedies for unresolved violations without reopening unrelated vested access or the Compact as a whole. Successful cure terminates the corrective response and returns administration to the controlling trajectory.</w:t>
      </w:r>
    </w:p>
    <w:p>
      <w:pPr>
        <w:pStyle w:val="Heading2"/>
      </w:pPr>
      <w:r>
        <w:t xml:space="preserve">Article 7.11 - Full-Vesting State, Confirmation, and Record</w:t>
      </w:r>
    </w:p>
    <w:p>
      <w:pPr>
        <w:pStyle w:val="Heading3"/>
      </w:pPr>
      <w:r>
        <w:t>Category: Automatic Completion and Separate Vesting Record</w:t>
      </w:r>
    </w:p>
    <w:p>
      <w:r>
        <w:t>7.11.1 Full-Vesting State occurs automatically when every required Vesting Tranche for the applicable Managed-Access Field has become legally operative and the residual field equals zero. The state depends on substantive completion rather than expiration of a tariff-rate quota, completion of verification boxes, administrative retirement, committee vote, publication, or registry entry. No covered qualifying originating trade within the completed field remains subject to the displaced managed-access restriction. A historical tariff-rate quota reference remains available for provenance without preserving restrictive authority.</w:t>
      </w:r>
    </w:p>
    <w:p>
      <w:r>
        <w:t>7.11.2 Full-Vesting Confirmation formally records a Full-Vesting State that already exists and does not create that state. Annex D identifies the responsible recording authority and the administrative confirmation period established under Chapter 24, while Chapter 22 governs publication of the resulting status. Failure, delay, or disagreement in issuing the confirmation does not postpone, diminish, or reverse Full-Vesting State. Any correction to the confirmation record conforms the record to the substantive legal state rather than altering completed vesting.</w:t>
      </w:r>
    </w:p>
    <w:p>
      <w:r>
        <w:t>7.11.3 The Full-Vesting Record remains distinct from the Chapter 9 Zero-Line Registry. The Full-Vesting Record identifies completed displacement of managed-access restrictions, while the Zero-Line Registry identifies completed zero ordinary customs-duty treatment. Completion in one record does not falsely certify completion of the other legal state. Cross-links between Annex D and Annex F permit integrated administration without merging their legal functions.</w:t>
      </w:r>
    </w:p>
    <w:p>
      <w:r>
        <w:t>7.11.4 Full-Vesting State triggers retirement of administrative machinery whose only remaining legal function depended on the displaced Managed-Access Field. Failure to retire obsolete machinery does not preserve authority, delay unrestricted treatment, or recreate an allocation requirement. Chapter 22 preserves the historical record and Chapter 25 addresses implementation defects. A later review records performance and does not reopen the completed field.</w:t>
      </w:r>
    </w:p>
    <w:p>
      <w:pPr>
        <w:pStyle w:val="Heading2"/>
      </w:pPr>
      <w:r>
        <w:t xml:space="preserve">Article 7.12 - Ratchet, Safeguards, Remedies, and Final Boundary</w:t>
      </w:r>
    </w:p>
    <w:p>
      <w:pPr>
        <w:pStyle w:val="Heading3"/>
      </w:pPr>
      <w:r>
        <w:t>Category: No-Fade Completion and Chapter Boundaries</w:t>
      </w:r>
    </w:p>
    <w:p>
      <w:r>
        <w:t>7.12.1 The Agricultural Market-Access Vesting Ratchet combines progressive vesting, the No-Fade rule, and permanent contraction of the Managed-Access Field. A completed Vesting Event does not reverse through passage of time, ordinary review, administrative inaction, political disagreement, unrelated dispute, or failure to issue a confirmation record. No new tariff-rate quota or equivalent managed-access restriction replaces a displaced field for the same covered qualifying originating trade except where another provision expressly authorizes temporary treatment without extinguishing the underlying right. Chapter 7 therefore protects the cumulative liberalization already achieved while future stages continue toward Full-Vesting State.</w:t>
      </w:r>
    </w:p>
    <w:p>
      <w:r>
        <w:t>7.12.2 Chapter 19 temporary safeguards or emergency measures limit exercise of vested access only to the extent expressly authorized by that Chapter and do not extinguish the underlying Vested Market-Access Right. A temporary measure does not permanently reconstruct a displaced tariff-rate quota, enlarge the underlying Managed-Access Field, or rewrite Annex D. On cessation, administration returns to the Chapter 7 treatment legally controlling at that time. The underlying vesting trajectory continues unless Chapter 19 expressly and narrowly provides otherwise.</w:t>
      </w:r>
    </w:p>
    <w:p>
      <w:r>
        <w:t>7.12.3 Chapter 21 governs producer adjustment, income stabilization, modernization, restructuring, retirement, regional adjustment, and other domestic transition policy. Completion or non-completion of domestic adjustment does not veto, postpone, reverse, or condition a Chapter 7 Vesting Event. Chapters 16, 17, 18, 22, 23, 24, 25, 26, 29, and 30 retain their assigned anti-substitution, verification, review, transparency, stakeholder, institutional, cure, remedy, amendment, and final-provision functions. Chapter 7 inherits those procedures without recreating them.</w:t>
      </w:r>
    </w:p>
    <w:p>
      <w:r>
        <w:t>7.12.4 At Full-Vesting State, no covered qualifying originating trade remains within the tariff-rate quota's permissible Managed-Access Field. Remedies remain narrow, proportional, curative, and directed to the violation rather than to unrelated vested access or whole-Compact snapback. Non-agreement on a prospective change leaves the completed or continuing legal trajectory intact. Chapter 7 ends with unrestricted covered market access as the durable result of completed vesting.</w:t>
      </w:r>
    </w:p>
    <w:p>
      <w:r>
        <w:t xml:space="preserve">The Chapter contains 12 articles and 50 operative clauses built around express synchronization only, independence as the default, bilateral and trilateral synchronized sets, objective automatic activation, qualitative Material Performance, product-specific quantitative tolerances, a narrow Minor Technical Delay doctrine, Deferred Activation of unmatched future treatment, automatic catch-up and re-synchronization, non-agreement continuity, and strict chapter-boundary rules. Product-specific Annex E synchronization sets remain controlled adoption decisions.</w:t>
      </w:r>
    </w:p>
    <w:p>
      <w:pPr>
        <w:pStyle w:val="Heading1"/>
      </w:pPr>
      <w:r>
        <w:t>Chapter 8 - Synchronized Reciprocity and Activation</w:t>
      </w:r>
    </w:p>
    <w:p>
      <w:pPr>
        <w:pStyle w:val="Heading2"/>
      </w:pPr>
      <w:r>
        <w:t>Article 8.1 - Scope and Exclusive Function</w:t>
      </w:r>
    </w:p>
    <w:p>
      <w:pPr>
        <w:pStyle w:val="Heading3"/>
      </w:pPr>
      <w:r>
        <w:t>Category: Express Synchronization and Independence Default</w:t>
      </w:r>
    </w:p>
    <w:p>
      <w:r>
        <w:t>8.1.1 Chapter 8 governs synchronized or reciprocal activation only where Annex E expressly designates the applicable synchronized set. Independence remains the default legal condition throughout the Compact. Absence of an operative Annex E entry creates no implied reciprocity condition, waiting requirement, or dependency between otherwise independent obligations. Objectives, general reciprocity principles, aligned liberalization trajectories, or administrative coordination do not create synchronization by implication.</w:t>
      </w:r>
    </w:p>
    <w:p>
      <w:r>
        <w:t>8.1.2 Chapter 8 does not govern ordinary customs-duty elimination, managed-access vesting trajectories, sanitary or phytosanitary measures, domestic support, rules of origin, customs facilitation, or temporary safeguards except through an express activation socket assigned by the substantive Chapter. The substantive Chapter continues to own the legal treatment produced after activation. Chapter 8 does not create a general condition that one Party performs only after another Party performs. An independently due obligation proceeds according to its own controlling schedule.</w:t>
      </w:r>
    </w:p>
    <w:p>
      <w:r>
        <w:t>8.1.3 Coordinated Independent Implementation means alignment of dates, notices, data exchanges, administrative milestones, or implementation activities without making one Party's legal performance conditional on another Party's performance. Coordinated Independent Implementation does not create a synchronized set or a deferred activation consequence. Administrative convenience does not convert coordination into legal conditionality. Annex E identifies synchronization expressly where the Parties intend legal conditionality.</w:t>
      </w:r>
    </w:p>
    <w:p>
      <w:r>
        <w:t>8.1.4 Chapter 8 supports bilateral paired synchronization and trilateral synchronization according to the form expressly identified in Annex E. A bilateral synchronized set binds only its participating Parties and creates no new right or obligation for the third Party. A trilateral synchronized set applies only to the expressly identified three-Party activation arrangement. Unilateral or bilateral liberalization does not become trilateral merely because another Party receives an indirect commercial benefit.</w:t>
      </w:r>
    </w:p>
    <w:p>
      <w:pPr>
        <w:pStyle w:val="Heading2"/>
      </w:pPr>
      <w:r>
        <w:t>Article 8.2 - Annex E Synchronized Reciprocity Matrix</w:t>
      </w:r>
    </w:p>
    <w:p>
      <w:pPr>
        <w:pStyle w:val="Heading3"/>
      </w:pPr>
      <w:r>
        <w:t>Category: Controlled Synchronization Architecture</w:t>
      </w:r>
    </w:p>
    <w:p>
      <w:r>
        <w:t>8.2.1 Annex E supplies the controlling record for every synchronized set governed by this Chapter. Each entry identifies the participating Parties, Product Record IDs, synchronization form, corresponding treatments, substantive Chapter sockets, objective activation event, measurement basis, Material Performance criteria, and legal consequence of material non-performance. Each entry also identifies any express quantitative tolerance, Minor Technical Delay parameters, re-synchronization reference, completion event, Chapter 17 linkage, Chapter 22 publication linkage, and controlled change history. Product population remains a later schedule task governed by the Compact's source, provenance, and correction architecture.</w:t>
      </w:r>
    </w:p>
    <w:p>
      <w:r>
        <w:t>8.2.2 Every synchronized treatment links to the Chapter 6 or Chapter 7 provision that owns the legal result after activation. Annex E does not recreate the tariff trajectory, Vesting Tranche, Managed-Access Field, or other substantive treatment assigned to that Chapter. The synchronization socket identifies only the condition governing activation of the specified future treatment. Once activation occurs, the substantive Chapter governs the resulting legal state.</w:t>
      </w:r>
    </w:p>
    <w:p>
      <w:r>
        <w:t>8.2.3 A missing, defective, or legally indeterminate Annex E synchronization entry does not create an implied hold on an underlying independent schedule. The affected treatment follows its independently controlling schedule unless another operative provision supplies a legally determinate synchronization rule. Technical correction preserves an already valid synchronized set without enlarging its legal perimeter or creating new conditionality. A proposed substantive synchronization change follows Chapter 29 and does not suspend the existing legal state.</w:t>
      </w:r>
    </w:p>
    <w:p>
      <w:r>
        <w:t>8.2.4 Chapter 3 governs Product Record identity, source, provenance, nomenclature continuity, controlled correction, and historical traceability for Annex E. Chapter 22 governs publication, data definitions, version control, and the public or protected treatment of implementation records. Administrative records confirm the synchronized legal state without creating an additional activation condition. No metadata field becomes a hidden prerequisite to treatment unless the Compact expressly assigns it operative effect.</w:t>
      </w:r>
    </w:p>
    <w:p>
      <w:pPr>
        <w:pStyle w:val="Heading2"/>
      </w:pPr>
      <w:r>
        <w:t>Article 8.3 - Independent Performance as Default</w:t>
      </w:r>
    </w:p>
    <w:p>
      <w:pPr>
        <w:pStyle w:val="Heading3"/>
      </w:pPr>
      <w:r>
        <w:t>Category: No Implied Waiting Condition</w:t>
      </w:r>
    </w:p>
    <w:p>
      <w:r>
        <w:t>8.3.1 An operative stage in Annex C or Annex D proceeds according to its own schedule where no express Chapter 8 synchronization socket applies. Silence does not become a waiting condition. A Party does not suspend its independently due performance because another Party's corresponding political, administrative, technical, or legal action remains pending. Independent legal effect requires no reciprocal performance beyond the conditions expressly assigned by the substantive Chapter.</w:t>
      </w:r>
    </w:p>
    <w:p>
      <w:r>
        <w:t>8.3.2 A Party's unilateral acceleration does not create a reciprocal obligation for another Party. Failure by another Party to accelerate does not suspend, postpone, or diminish an independently binding obligation. Domestic political delay in one Party does not alter the legal timetable governing another Party. Verification delay likewise does not convert an independent obligation into synchronized performance.</w:t>
      </w:r>
    </w:p>
    <w:p>
      <w:r>
        <w:t>8.3.3 No Party derives implicit synchronization from the Compact's objectives, references to reciprocity, common completion periods, similar Annex C and Annex D tracks, or a pattern of coordinated implementation. Legal conditionality arises only from an express operative synchronization rule. A common calendar remains administrative coordination where the Compact does not expressly state otherwise. This rule prevents interpretive expansion of Chapter 8 beyond its defined legal perimeter.</w:t>
      </w:r>
    </w:p>
    <w:p>
      <w:r>
        <w:t>8.3.4 A proposal to create synchronization for an independently operating treatment does not change that treatment before the proposal becomes operative under the Compact. Negotiation of a future reciprocal arrangement leaves existing independent duties intact. A Party continues performance according to the controlling legal schedule during that negotiation. Non-agreement leaves the independent treatment unchanged.</w:t>
      </w:r>
    </w:p>
    <w:p>
      <w:pPr>
        <w:pStyle w:val="Heading2"/>
      </w:pPr>
      <w:r>
        <w:t>Article 8.4 - Paired and Trilateral Synchronization</w:t>
      </w:r>
    </w:p>
    <w:p>
      <w:pPr>
        <w:pStyle w:val="Heading3"/>
      </w:pPr>
      <w:r>
        <w:t>Category: Defined Sets and Legal Perimeters</w:t>
      </w:r>
    </w:p>
    <w:p>
      <w:r>
        <w:t>8.4.1 Paired Synchronization links expressly identified reciprocal treatment between two participating Parties. The Annex E entry defines the pair, affected Product Records, substantive obligations, measurement basis, and activation event. The third Party neither assumes an obligation nor acquires a new reciprocal entitlement solely from the paired set. Independently existing rights of the third Party remain unaffected.</w:t>
      </w:r>
    </w:p>
    <w:p>
      <w:r>
        <w:t>8.4.2 Trilateral Synchronization links expressly identified corresponding treatment among Canada, the United States, and Mexico. The synchronized set activates only when each substantive condition assigned to the three-Party activation event satisfies the applicable Material Performance requirement, subject to any lawful tolerance under Article 8.6. Partial performance that does not satisfy the activation architecture leaves only the affected future synchronized treatment unactivated. Previously completed treatment and independent obligations remain outside that consequence.</w:t>
      </w:r>
    </w:p>
    <w:p>
      <w:r>
        <w:t>8.4.3 Each synchronized set has a defined legal perimeter consisting only of the Parties, Product Records, treatments, tranches, and activation conditions expressly identified in Annex E. A deficiency within one synchronized set does not block, suspend, offset, or condition an unrelated synchronized set. Overperformance in one product or tranche does not compensate for underperformance in another product or tranche. Unused tolerance does not accumulate, transfer, or become a credit against a different obligation.</w:t>
      </w:r>
    </w:p>
    <w:p>
      <w:r>
        <w:t>8.4.4 A Party's decision not to consent to a proposed trilateral synchronized set does not alter an independently operative bilateral set. A bilateral acceleration does not convert itself into trilateral synchronization. A later trilateral arrangement requires its own operative Annex E entry and applicable Chapter 29 action. Existing synchronized and independent legal states continue until lawfully changed.</w:t>
      </w:r>
    </w:p>
    <w:p>
      <w:pPr/>
      <w:r>
        <w:t>8.4.5 Material Performance for a synchronized set evaluates the commercially meaningful composition of the promised treatment rather than merely counting tariff lines, administrative acts, or nominally completed items. Annex E identifies the objective weighting method appropriate to the set, including trade value, historical utilization, quantity, market significance, or another verifiable measure where necessary to prevent token performance from activating disproportionate reciprocal treatment. Performance on low-volume or economically immaterial components does not substitute for an unsatisfied high-volume or commercially central condition unless Annex E expressly establishes that equivalence. The weighting method applies symmetrically to every Party in the synchronized set and does not become a discretionary post hoc barrier to activation.</w:t>
      </w:r>
    </w:p>
    <w:p>
      <w:pPr/>
      <w:r>
        <w:t>8.4.6 A Party does not fragment, aggregate, sequence, or reclassify components of a synchronized set principally to manufacture apparent Material Performance while withholding the commercially significant substance of its obligation. Chapter 17 may evaluate the distribution, timing, concentration, and commercial effect of performance across the defined set using the Annex E measurement basis. A good-faith variation in ordinary implementation does not constitute circumvention merely because performance is uneven across components. Where manipulation is established, only the affected future matched treatment remains subject to the proportionate Chapter 8, Chapter 25, and Chapter 26 consequences expressly available under this Compact.</w:t>
      </w:r>
    </w:p>
    <w:p>
      <w:pPr>
        <w:pStyle w:val="Heading2"/>
      </w:pPr>
      <w:r>
        <w:t>Article 8.5 - Synchronized Activation Events</w:t>
      </w:r>
    </w:p>
    <w:p>
      <w:pPr>
        <w:pStyle w:val="Heading3"/>
      </w:pPr>
      <w:r>
        <w:t>Category: Objective and Automatic Activation</w:t>
      </w:r>
    </w:p>
    <w:p>
      <w:r>
        <w:t>8.5.1 Every synchronized set uses a legally determinate activation event based on objective substantive conditions identified in Annex E. Corresponding treatment activates automatically at the legal instant those conditions are satisfied. Activation requires no second political decision, committee vote, ministerial declaration, or discretionary administrative release. Publication and notice record the event and do not create it.</w:t>
      </w:r>
    </w:p>
    <w:p>
      <w:r>
        <w:t>8.5.2 The same legal activation instant governs every participating treatment within the synchronized set even where administrative systems record implementation at slightly different times. Immaterial system latency does not alter the legal instant or sequence the reciprocal treatment. A Party does not unilaterally delay its activation after the substantive conditions exist. A Party likewise does not unilaterally accelerate synchronized activation beyond the express conditions assigned to the set.</w:t>
      </w:r>
    </w:p>
    <w:p>
      <w:r>
        <w:t>8.5.3 Chapter 17 verification measures and confirms whether the substantive activation conditions were satisfied and whether resulting treatment was implemented. ALVS completion, verifier approval, committee confirmation, or absence of a verification dispute does not create the activation event. Verification delay does not postpone activation where the objective substantive conditions already exist. Article 2.11.4's reference to applicable verification conditions is implemented in this Chapter as reference to objectively verifiable substantive performance rather than completion of an ALVS approval process.</w:t>
      </w:r>
    </w:p>
    <w:p>
      <w:r>
        <w:t>8.5.4 Chapter 22 governs prompt notice and publication of synchronized activation records. The record identifies the synchronized set, legal activation instant, participating Parties, affected Product Records, and resulting substantive treatment. A delayed or erroneous notice receives correction without changing an activation event that already occurred by law. Failure to publish does not authorize withholding treatment.</w:t>
      </w:r>
    </w:p>
    <w:p>
      <w:pPr>
        <w:pStyle w:val="Heading2"/>
      </w:pPr>
      <w:r>
        <w:t>Article 8.6 - Material Performance and Express Quantitative Tolerances</w:t>
      </w:r>
    </w:p>
    <w:p>
      <w:pPr>
        <w:pStyle w:val="Heading3"/>
      </w:pPr>
      <w:r>
        <w:t>Category: Substantive Performance Without Arithmetic Formalism</w:t>
      </w:r>
    </w:p>
    <w:p>
      <w:r>
        <w:t>8.6.1 Material Performance means substantial fulfillment of the express substantive conditions assigned to a synchronized activation event. Assessment focuses on whether the core market-access benefit exists and whether any discrepancy materially affects quantity, timing, quality, commercial usability, legal security, or the reciprocal economic and legal bargain. Material Performance does not require formal perfection and does not excuse a substantive shortfall merely because the Party acted in good faith. Cause, intent, and curability inform treatment of a deficiency without substituting for the performance result itself.</w:t>
      </w:r>
    </w:p>
    <w:p>
      <w:r>
        <w:t>8.6.2 Annex E identifies the measurement basis for Material Performance separately for each synchronized treatment. Performance in one tranche does not establish performance in another tranche, and overperformance elsewhere does not offset an identified shortfall. A pattern of deficiencies informs assessment of systemic performance without retroactively destroying a completed activation event. The Material Performance Test applies only to an expressly synchronized treatment and never to an independent obligation.</w:t>
      </w:r>
    </w:p>
    <w:p>
      <w:r>
        <w:t>8.6.3 Annex E specifies a numerical tolerance only for an objectively quantifiable obligation and only through an express product-specific or obligation-specific entry. No universal percentage, implied tolerance, cross-product tolerance, cumulative tolerance, or transferable tolerance operates under this Chapter. A numerical tolerance does not apply to a binary obligation, qualitative obligation, legal-condition obligation, or other condition whose substance cannot lawfully be reduced to the stated metric. The tolerance remains subordinate to the substantive Material Performance Test and never becomes the definition of Material Performance.</w:t>
      </w:r>
    </w:p>
    <w:p>
      <w:r>
        <w:t>8.6.4 Annex E distinguishes an accepted measurement range from a correctable temporary quantitative discrepancy where the synchronized set requires that distinction. Performance within an accepted measurement range satisfies the identified quantitative component without creating an obligation to manufacture a meaningless administrative correction. A correctable discrepancy within an express cure tolerance does not block activation where Annex E so provides and receives correction within the stated period. A shortfall outside the applicable tolerance prevents activation only of the affected future matched treatment subject to Articles 8.8 and 8.9.</w:t>
      </w:r>
    </w:p>
    <w:p>
      <w:r>
        <w:t>8.6.5 Repeated reliance on a numerical tolerance, engineered near-miss performance, or a pattern designed to convert the tolerance into a permanent lower obligation triggers review of prospective compliance under Chapters 17, 18, and 24. Such a pattern does not retroactively reverse treatment that validly activated under the then-controlling conditions. A Party does not bank unused tolerance for later use or aggregate separate tolerances into a larger permissible shortfall. Chapter 26 addresses unresolved violations through narrow remedies without reopening unrelated synchronized sets.</w:t>
      </w:r>
    </w:p>
    <w:p>
      <w:r>
        <w:t>8.6.6 In the absence of an express quantitative tolerance, a Party does not invoke a general substantial-compliance percentage to excuse a measurable shortfall. An immaterial technical or clerical discrepancy receives treatment only through the narrow Minor Technical Delay doctrine in Article 8.7 where its elements are established. A numerically small discrepancy is not minor merely because its percentage appears small. The legal and commercial effect of the discrepancy controls its treatment.</w:t>
      </w:r>
    </w:p>
    <w:p>
      <w:pPr>
        <w:pStyle w:val="Heading2"/>
      </w:pPr>
      <w:r>
        <w:t>Article 8.7 - Minor Technical Delay Doctrine</w:t>
      </w:r>
    </w:p>
    <w:p>
      <w:pPr>
        <w:pStyle w:val="Heading3"/>
      </w:pPr>
      <w:r>
        <w:t>Category: Narrow De Minimis Technical Safety Valve</w:t>
      </w:r>
    </w:p>
    <w:p>
      <w:r>
        <w:t>8.7.1 Minor Technical Delay means an immaterial and temporary clerical, technical, transmission, recording, or comparable implementation discrepancy that does not materially reduce the substantive reciprocal treatment. The discrepancy remains non-discriminatory, does not alter commercial usability or legal security, and is capable of prompt correction where correction is applicable. Substantive shortfall, deliberate underperformance, repeated failure, systemic failure, or material market-access impairment falls outside this doctrine. The Party relying on Minor Technical Delay bears the burden of establishing every applicable element.</w:t>
      </w:r>
    </w:p>
    <w:p>
      <w:r>
        <w:t>8.7.2 Annex E records any product-specific technical tolerance or correction period deliberately negotiated for a synchronized set. In the absence of such an entry, a Minor Technical Delay does not exceed 24 consecutive hours for a qualifying event and qualifying delays do not exceed 48 cumulative hours in any rolling 30-day period for the same obligation or implementation channel. Exceeding either default ceiling removes the excess delay from Article 8.7 treatment and routes the affected performance through the ordinary Material Performance, cure, and review architecture. A product-specific Annex E rule may replace the default only where it states the alternative period expressly and preserves the doctrine's de minimis character.</w:t>
      </w:r>
    </w:p>
    <w:p>
      <w:r>
        <w:t>8.7.3 A qualifying Minor Technical Delay receives rapid correction without blocking activation of treatment whose substantive conditions otherwise reach Material Performance. Correction proceeds through the ordinary responsible administration without requiring formal dispute settlement. The correction record identifies the discrepancy, its duration, its substantive effect, and the action taken. Chapter 17 confirms clean performance after correction without becoming a condition for the original activation.</w:t>
      </w:r>
    </w:p>
    <w:p>
      <w:r>
        <w:t>8.7.4 Repeated invocation of Minor Technical Delay for the same obligation, clustered delays across related channels, or a recurring pattern of nominally technical defects triggers cumulative review of whether the conduct has become substantive, systemic, or strategically timed. The review may consider frequency, concentration, timing, commercial effect, statistical deviation, and cumulative burden even where individual incidents would appear immaterial in isolation. Prior valid activation remains protected where the legal conditions were satisfied at the time, while future treatment receives the Material Performance Test without any presumption created by earlier tolerance. Minor Technical Delay creates no precedent, credit, waiver, banked tolerance, or permanent exemption for later performance.</w:t>
      </w:r>
    </w:p>
    <w:p>
      <w:pPr>
        <w:pStyle w:val="Heading2"/>
      </w:pPr>
      <w:r>
        <w:t>Article 8.8 - Deferred Activation of an Unmatched Future Tranche</w:t>
      </w:r>
    </w:p>
    <w:p>
      <w:pPr>
        <w:pStyle w:val="Heading3"/>
      </w:pPr>
      <w:r>
        <w:t>Category: Prospective Proportionality and No Reversal</w:t>
      </w:r>
    </w:p>
    <w:p>
      <w:r>
        <w:t>8.8.1 Where an expressly synchronized future treatment fails to reach Material Performance and no applicable Article 8.6 or Article 8.7 rule preserves activation, only the affected unmatched future treatment remains unactivated. This Deferred Activation is the absence of a completed activation event rather than suspension of a right that already vested or completed. The consequence remains confined to the defined synchronized set and identified future treatment. Independent obligations and unrelated synchronized sets continue according to their controlling legal schedules.</w:t>
      </w:r>
    </w:p>
    <w:p>
      <w:r>
        <w:t>8.8.2 Deferred Activation does not reverse a previously completed tranche, extinguish a Vested Market-Access Right, alter Zero-Line Status, reopen a Completed Liberalization Milestone, enlarge a Managed-Access Field, revive a displaced restriction, or create a new tariff or tariff-rate quota. The previously controlling legal floor remains intact throughout the deferred period. Chapter 7's ratchet and Article 1.9 No-Fade protection continue without interruption. Chapter 8 creates no whole-Compact or cross-sector suspension.</w:t>
      </w:r>
    </w:p>
    <w:p>
      <w:r>
        <w:t>8.8.3 Annex E records the affected future treatment, unmet substantive condition, measurement basis, date of the unmatched event, and applicable catch-up route. Chapter 17 records implementation evidence without converting Deferred Activation into a discretionary administrative hold. A Party does not broaden the deferred consequence beyond the treatment whose activation condition remains unsatisfied. Administrative terminology does not transform Deferred Activation into safeguard, remedy, retaliation, or withdrawal.</w:t>
      </w:r>
    </w:p>
    <w:p>
      <w:r>
        <w:t>8.8.4 Deferred Activation terminates automatically when Article 8.9's catch-up conditions are satisfied. No second political decision releases the affected future treatment. Delay does not create a new extension entitlement, restart a transition clock, or alter the original outer completion boundary. Any additional consequence for unresolved non-compliance arises only through the Chapters expressly assigned to cure and remedies.</w:t>
      </w:r>
    </w:p>
    <w:p>
      <w:pPr>
        <w:pStyle w:val="Heading2"/>
      </w:pPr>
      <w:r>
        <w:t>Article 8.9 - Catch-Up and Re-synchronization</w:t>
      </w:r>
    </w:p>
    <w:p>
      <w:pPr>
        <w:pStyle w:val="Heading3"/>
      </w:pPr>
      <w:r>
        <w:t>Category: Automatic Cure and Original Clock Preservation</w:t>
      </w:r>
    </w:p>
    <w:p>
      <w:r>
        <w:t>8.9.1 A lagging Party enters the Catch-Up Procedure when a synchronized future treatment remains unactivated because the applicable Material Performance condition is not satisfied. Catch-up consists of completing the missing substantive performance and any necessary implementation correction identified by the controlling Annex E entry. The procedure does not require renegotiation of the synchronized set or creation of new substantive conditions. Chapter 25 remains available where ordinary catch-up does not cure an underlying violation.</w:t>
      </w:r>
    </w:p>
    <w:p>
      <w:r>
        <w:t>8.9.2 Once the lagging performance satisfies the controlling substantive condition, the affected synchronized treatment activates automatically at the resulting legal activation instant. No second political decision, committee release, ministerial declaration, or renegotiated concession is required. The substantive Chapter immediately governs the treatment produced by activation. Chapter 17 confirms the restored synchronized performance without creating the activation.</w:t>
      </w:r>
    </w:p>
    <w:p>
      <w:r>
        <w:t>8.9.3 Re-synchronization restores the affected treatment to the original synchronized trajectory without resetting the original commencement clock or extending the controlling overall completion boundary. A missed earlier activation event does not become a new month-zero event when cure occurs. Completed tranches remain completed and unrelated synchronized sets remain untouched. Catch-up creates no new Article 7 extension right or other mechanism for converting delay into additional transition time.</w:t>
      </w:r>
    </w:p>
    <w:p>
      <w:r>
        <w:t>8.9.4 Annex E and the Chapter 17 implementation record identify the cure event, resulting activation instant, restored trajectory, and any remaining future synchronized stages. The record preserves the No-Fade protection applicable to previously completed treatment. Correction of the lagging performance does not reopen settled treatment or manufacture a new reciprocal bargain. Chapters 18, 25, and 26 remain available for material disputes or unresolved violations within their assigned functions.</w:t>
      </w:r>
    </w:p>
    <w:p>
      <w:pPr>
        <w:pStyle w:val="Heading2"/>
      </w:pPr>
      <w:r>
        <w:t>Article 8.10 - Non-Agreement Continuity</w:t>
      </w:r>
    </w:p>
    <w:p>
      <w:pPr>
        <w:pStyle w:val="Heading3"/>
      </w:pPr>
      <w:r>
        <w:t>Category: Proposed Change Is Not Suspension</w:t>
      </w:r>
    </w:p>
    <w:p>
      <w:r>
        <w:t>8.10.1 Non-agreement on a proposed acceleration, extension, synchronization change, or other prospective modification leaves the controlling Annex E arrangement and every underlying independent trajectory in force. Negotiation does not create an interim suspension. Consultation does not create an interim suspension. Technical review or dispute concerning the proposed change likewise does not suspend an already binding obligation.</w:t>
      </w:r>
    </w:p>
    <w:p>
      <w:r>
        <w:t>8.10.2 A Party continues every already binding activation event while a prospective proposal remains unresolved. A proposal to change a synchronized schedule does not become authority to pause the schedule. Withholding consent to a discretionary prospective change remains distinct from non-compliance with an existing obligation. Failure to secure the proposed change leaves that change uncreated.</w:t>
      </w:r>
    </w:p>
    <w:p>
      <w:r>
        <w:t>8.10.3 A Party does not shield independently unlawful conduct by describing the conduct as refusal to consent. Chapters 18, 25, and 26 remain available to determine compliance with existing obligations, required procedures, non-discrimination rules, anti-substitution disciplines, and other independently binding commitments. Review does not manufacture consent to the unagreed prospective proposal. The remedy addresses the established violation while leaving the proposed change legally nonexistent.</w:t>
      </w:r>
    </w:p>
    <w:p>
      <w:r>
        <w:t>8.10.4 Non-agreement neither improves nor worsens the legal position that existed immediately before the proposed change. Completed activation remains completed, Deferred Activation remains governed by its existing conditions, and independent obligations continue on their schedules. No Party obtains bargaining leverage through an implied pause that the Compact does not expressly create. This continuity rule preserves the controlling trajectory while political discretion remains political.</w:t>
      </w:r>
    </w:p>
    <w:p>
      <w:pPr>
        <w:pStyle w:val="Heading2"/>
      </w:pPr>
      <w:r>
        <w:t xml:space="preserve">Article 8.11 - Verification, Review, Cure, and Remedies</w:t>
      </w:r>
    </w:p>
    <w:p>
      <w:pPr>
        <w:pStyle w:val="Heading3"/>
      </w:pPr>
      <w:r>
        <w:t>Category: Inherit Without Recreating</w:t>
      </w:r>
    </w:p>
    <w:p>
      <w:r>
        <w:t>8.11.1 Chapter 17 owns verification of Material Performance, synchronized activation implementation, technical-delay correction, Deferred Activation records, and re-synchronization evidence. Verification confirms objective legal events and does not create them. A pending verification process does not suspend an independently due obligation or reverse completed synchronized treatment. Annex E supplies the measurement basis against which Chapter 17 performs its assigned function.</w:t>
      </w:r>
    </w:p>
    <w:p>
      <w:r>
        <w:t>8.11.2 Chapter 18 owns independent technical or scientific review of material measurement, classification, or comparable technical disputes within its competence. Pending review does not authorize self-help reversal of completed activation or expansion of a deferred consequence beyond the affected future treatment. The last valid controlled legal record governs interim administration only where the operative state cannot otherwise be determined, and a stale record does not delay an objectively determinate activation event or diminish an already effective legal state. Review resolves the disputed technical issue without acquiring general authority over the policy wisdom of synchronization.</w:t>
      </w:r>
    </w:p>
    <w:p>
      <w:r>
        <w:t>8.11.3 Chapter 25 owns consultation, cure, restoration, and implementation correction where ordinary Chapter 8 catch-up does not resolve non-compliance. Cure restores the treatment legally required under the controlling synchronized set and substantive Chapter. A successful cure terminates the corresponding corrective process without requiring renegotiation. Chapter 25 does not convert a discretionary prospective proposal into an existing obligation.</w:t>
      </w:r>
    </w:p>
    <w:p>
      <w:r>
        <w:t>8.11.4 Chapter 26 owns narrow and proportional remedies for unresolved violations. A remedy remains confined to the established violation and does not reopen unrelated synchronized sets, independent obligations, vested access, completed zero treatment, or the Compact as a whole. Automatic termination or restoration applies where Chapter 26 assigns that consequence after cure. Chapter 8 supplies no independent retaliation or whole-Compact snapback authority.</w:t>
      </w:r>
    </w:p>
    <w:p>
      <w:pPr>
        <w:pStyle w:val="Heading2"/>
      </w:pPr>
      <w:r>
        <w:t>Article 8.12 - Completion and Chapter Boundaries</w:t>
      </w:r>
    </w:p>
    <w:p>
      <w:pPr>
        <w:pStyle w:val="Heading3"/>
      </w:pPr>
      <w:r>
        <w:t>Category: Activation Ends Chapter 8 Ownership</w:t>
      </w:r>
    </w:p>
    <w:p>
      <w:r>
        <w:t>8.12.1 Synchronization of activation is not synchronization of continued existence. Once a synchronized activation event occurs, the resulting legal treatment exists under the substantive Chapter that owns it. Chapter 8 does not later deactivate, suspend, or reverse that completed treatment merely because reciprocity deteriorates or later performance becomes disputed. Any lawful temporary limitation or remedy arises only through another Chapter that expressly supplies that authority.</w:t>
      </w:r>
    </w:p>
    <w:p>
      <w:r>
        <w:t>8.12.2 A Chapter 7 synchronized activation that produces a Vesting Event immediately enters the Chapter 7 vesting and ratchet architecture. The resulting Vested Market-Access Right and contraction of the Managed-Access Field do not remain conditionally tethered to Chapter 8. A Chapter 6 synchronized activation similarly enters the controlling tariff-elimination state assigned by Chapter 6. Chapter 8 does not retain a continuing reversionary interest in treatment it validly activated.</w:t>
      </w:r>
    </w:p>
    <w:p>
      <w:r>
        <w:t>8.12.3 Annex E retains the historical synchronization record after activation for provenance, implementation review, and future-stage administration. Historical retention does not preserve authority to reverse a completed activation. Chapter 22 records the legal history and Chapter 24 administers the institutional record without recreating the substantive treatment. A completed synchronized stage remains part of the Compact's durable liberalization architecture.</w:t>
      </w:r>
    </w:p>
    <w:p>
      <w:r>
        <w:t>8.12.4 Chapter 8 therefore operates as a narrow activation bridge for expressly synchronized obligations rather than as a general reciprocity brake. Independent treatment remains independent, synchronized treatment activates only through its express legal conditions, and material non-performance affects only the unmatched future treatment assigned to the synchronized set. Catch-up restores alignment without resetting clocks, while completed rights remain protected by the substantive Chapter and No-Fade architecture. The Chapter closes without creating a general power to suspend, renegotiate, or reverse completed liberalization.</w:t>
      </w:r>
    </w:p>
    <w:p>
      <w:pPr/>
      <w:r>
        <w:t>8.12.5 A completed activation event becomes administratively final after the applicable ordinary verification and correction period established by Annex E and Chapters 17 and 22, subject to proven fraud, deliberate material misrepresentation, or another express reopening ground stated in this Compact. Later discovery of an ordinary clerical, methodological, or evidentiary error does not by itself unwind completed commercial treatment after that period. A required correction operates prospectively to the extent necessary to conform future administration to the controlling law while preserving treatment validly relied upon before the correction. This finality rule does not immunize fraud or prevent recovery expressly authorized by the Chapters governing fraud, customs enforcement, or remedies.</w:t>
      </w:r>
    </w:p>
    <w:p>
      <w:pPr/>
      <w:r>
        <w:t>8.12.6 A Party challenging historical activation bears the burden of identifying the express legal basis for reopening and the treatment actually affected by that basis. A retrospective challenge does not suspend unrelated treatment, reopen an entire synchronized set, or erase vested rights merely because historical evidence later becomes incomplete. Chapter 11 and Chapter 12 govern fraud and origin enforcement, while Chapters 17, 25, and 26 govern verification, cure, and proportionate consequences within their assigned functions. The Compact therefore preserves auditability without converting every completed activation into a permanently revocable commercial expectation.</w:t>
      </w:r>
    </w:p>
    <w:p>
      <w:r>
        <w:t xml:space="preserve">Annex F remains a confirmed controlled completed-state schema; product-specific completed states arise only from legally completed upstream events and verified source records.</w:t>
      </w:r>
    </w:p>
    <w:p>
      <w:pPr>
        <w:pStyle w:val="Heading1"/>
      </w:pPr>
      <w:r>
        <w:t>Chapter 9 - Zero-Line Registry and No-Backsliding</w:t>
      </w:r>
    </w:p>
    <w:p>
      <w:pPr>
        <w:pStyle w:val="Heading2"/>
      </w:pPr>
      <w:r>
        <w:t>Article 9.1 - Scope and Exclusive Function</w:t>
      </w:r>
    </w:p>
    <w:p>
      <w:pPr>
        <w:pStyle w:val="Heading3"/>
      </w:pPr>
      <w:r>
        <w:t>Category: Completed Tariff State and Narrow Chapter Ownership</w:t>
      </w:r>
    </w:p>
    <w:p>
      <w:r>
        <w:t>9.1.1 Chapter 9 governs the durable legal protection and controlled administrative record of completed zero ordinary customs-duty treatment for qualifying originating Covered Agricultural Goods. Zero-Line Status means that the Party-specific preferential treatment identified through the applicable Product Record carries an ordinary customs duty of zero under the controlling Compact provision. The status attaches to the covered treatment rather than to an HS code, trader, shipment, transaction, sale, market share, or commercial outcome. Chapter 9 protects that completed tariff state without becoming a general agricultural trade regime.</w:t>
      </w:r>
    </w:p>
    <w:p>
      <w:r>
        <w:t>9.1.2 Chapter 4 preserves qualifying zero ordinary customs-duty treatment already in force, while Chapter 5 and Chapter 6 create and govern tariff-elimination treatment that later reaches zero. Chapter 9 does not recreate the Immediate Zero-Tariff Lock, elimination schedules, transition trajectories, acceleration rules, synchronization machinery, origin rules, verification procedures, safeguard authority, remedy authority, or amendment authority. Chapter 7 separately governs progressive market-access vesting and displacement of Managed-Access Fields. Chapter 8 separately governs activation where an express synchronized condition applies before the relevant substantive treatment reaches its completed state.</w:t>
      </w:r>
    </w:p>
    <w:p>
      <w:r>
        <w:t>9.1.3 Zero-Line Status applies only to a qualifying originating Covered Agricultural Good within the Party-specific treatment for which the Compact is in force and legally applicable. Chapter 10 and Annex G determine originating status, while Chapters 1 and 3 determine coverage and Product Record identity. Zero-Line Status does not displace lawful sanitary or phytosanitary requirements, origin administration, customs procedures, or other measures governed elsewhere in the Compact. A lawful measure outside ordinary customs duty does not become part of Zero-Line Status merely because it affects the same good.</w:t>
      </w:r>
    </w:p>
    <w:p>
      <w:r>
        <w:t>9.1.4 Chapter 9 distinguishes the completed underlying legal state from temporary applied treatment authorized elsewhere in the Compact. A temporary overlay does not erase the permanent zero ordinary customs-duty state beneath it. No provision of this Chapter independently authorizes a temporary restriction, safeguard, retaliatory measure, or departure from zero treatment. The Chapter therefore records and protects a narrow completed result while routing other legal questions to their assigned Chapters.</w:t>
      </w:r>
    </w:p>
    <w:p>
      <w:pPr>
        <w:pStyle w:val="Heading2"/>
      </w:pPr>
      <w:r>
        <w:t>Article 9.2 - Automatic Acquisition of Zero-Line Status</w:t>
      </w:r>
    </w:p>
    <w:p>
      <w:pPr>
        <w:pStyle w:val="Heading3"/>
      </w:pPr>
      <w:r>
        <w:t>Category: Legal Effect Without Administrative Gate</w:t>
      </w:r>
    </w:p>
    <w:p>
      <w:r>
        <w:t>9.2.1 Zero-Line Status arises automatically at the legally determinate instant when the controlling Compact rule establishes completed zero ordinary customs-duty treatment for the identified qualifying originating treatment. For treatment already protected by the Chapter 4 Immediate Zero-Tariff Lock, the Zero-Line Event occurs when Chapter 9 becomes legally applicable to that locked treatment; for later tariff elimination, the event occurs when the controlling substantive tariff obligation reaches zero. The legal state exists by operation of the controlling Compact rule and does not await an administrative act. Annex F records the event after or alongside its legal occurrence.</w:t>
      </w:r>
    </w:p>
    <w:p>
      <w:r>
        <w:t>9.2.2 Registry entry, ALVS confirmation, publication, committee action, ministerial declaration, customs-system update, schedule maintenance, or comparable administrative completion does not constitute a condition precedent to Zero-Line Status. Delay in any such activity does not postpone the Zero-Line Event. A dispute about implementation or recording likewise does not postpone an objectively determinate Zero-Line Event. The administrative system conforms to the completed legal state rather than holding that state in suspense.</w:t>
      </w:r>
    </w:p>
    <w:p>
      <w:r>
        <w:t>9.2.3 A domestic administrative or legislative implementation lag does not alter the international obligation or completed legal treatment established under the Compact. Domestic implementation proceeds according to each Party's legal system and the obligations applicable under this Compact. Chapter 9 does not prescribe the constitutional doctrine through which a Party gives domestic legal effect to the Compact. No internal administrative lag supplies treaty authority to treat the underlying ordinary customs duty as legally uncompleted.</w:t>
      </w:r>
    </w:p>
    <w:p>
      <w:r>
        <w:t>9.2.4 The controlling legal sequence is the applicable operative condition, the legally effective completed zero ordinary customs-duty treatment, Zero-Line Status, and the administrative recording of that status. For Chapter 4 treatment already at zero, applicability of Chapter 9 to the locked treatment supplies the completion event rather than a fictional later tariff reduction. Verification follows or accompanies the legal sequence without becoming its trigger, and publication supplies transparency without becoming its trigger. This sequence governs interpretation of Annex F and every Chapter 9 administrative process.</w:t>
      </w:r>
    </w:p>
    <w:p>
      <w:pPr>
        <w:pStyle w:val="Heading2"/>
      </w:pPr>
      <w:r>
        <w:t>Article 9.3 - Annex F Zero-Line Registry Protocol</w:t>
      </w:r>
    </w:p>
    <w:p>
      <w:pPr>
        <w:pStyle w:val="Heading3"/>
      </w:pPr>
      <w:r>
        <w:t>Category: Authoritative Administrative Record Without Constitutive Effect</w:t>
      </w:r>
    </w:p>
    <w:p>
      <w:r>
        <w:t>9.3.1 Annex F constitutes the authoritative controlled administrative record of Zero-Line Status subject to the controlling legal hierarchy established by the Compact. Governments use the Registry to administer, trace, verify, publish, and audit completed zero treatment. Annex F does not create, condition, suspend, or extinguish Zero-Line Status. An omitted, delayed, or erroneous Registry entry therefore does not override an objectively determinate completed legal state.</w:t>
      </w:r>
    </w:p>
    <w:p>
      <w:r>
        <w:t>9.3.2 Each Annex F entry identifies the Party, Product Record ID, tariff nomenclature mapping, originating-treatment scope, route to zero, controlling substantive source, Zero-Line Event, legal effective instant, administrative recording date, and relevant source and provenance references. The entry cross-references Annex B or Annex C as applicable, Annex D where a separate Full-Vesting State is relevant, Annex G for origin linkage, and the Chapter 17 verification record. Annex F also records any Chapter 19 temporary overlay, correction history, version history, and responsible recording authority. These linkages integrate administration without merging the legal functions of the referenced Chapters or Annexes.</w:t>
      </w:r>
    </w:p>
    <w:p>
      <w:r>
        <w:t>9.3.3 The controlling hierarchy for a conflict involving Annex F is the operative Compact rule, the controlling Product Record and schedule record, the completed legal event, and the Annex F administrative record. A lower-order administrative record receives correction to conform to the higher-order legal state. No Registry error changes the law merely because the Registry is authoritative for administration. Where the underlying legal state is objectively determinate, administration follows that state while the Registry correction proceeds.</w:t>
      </w:r>
    </w:p>
    <w:p>
      <w:r>
        <w:t>9.3.4 Annex F operates as an append-only controlled history in which superseded entries remain available for audit and provenance. Correction creates a new controlled version or correction record rather than deleting the legal and administrative history. Chapter 3 supplies Product Record, provenance, concordance, and correction disciplines, while Chapter 22 supplies publication and version-control disciplines. The Registry preserves both current administration and the traceable path by which the current record was established.</w:t>
      </w:r>
    </w:p>
    <w:p>
      <w:pPr/>
      <w:r>
        <w:t>9.3.5 The responsible authority records an objectively determinate Zero-Line Event in Annex F as soon as practicable and no later than 14 calendar days after the event or after the authority receives the information reasonably necessary to identify the affected Product Record. Expiration of that period does not postpone, condition, or suspend Zero-Line Status. The legal treatment remains deemed effective by operation of the controlling Compact provision from its proper legal effective instant, and any late Registry entry records that pre-existing state. Chapter 17 and Chapter 22 track unexplained recurring recording delay as an implementation-performance issue rather than converting delay into a tariff gate.</w:t>
      </w:r>
    </w:p>
    <w:p>
      <w:pPr/>
      <w:r>
        <w:t>9.3.6 A customs database, local processing system, form, tariff schedule display, or other administrative interface conforms to objectively determinate Zero-Line Status and does not override it through stale programming or missing data. Where the legal state is clear but a system has not yet been updated, the responsible authority applies or corrects the zero ordinary customs-duty treatment through the least burdensome lawful administrative method available and preserves any refund or cure entitlement assigned elsewhere in the Compact. ALVS records and verifies implementation but does not obtain authority to directly control or override a Party's domestic information system. This rule secures legal effectiveness without creating a supranational technical administrator.</w:t>
      </w:r>
    </w:p>
    <w:p>
      <w:pPr>
        <w:pStyle w:val="Heading2"/>
      </w:pPr>
      <w:r>
        <w:t>Article 9.4 - Zero-Line Ratchet</w:t>
      </w:r>
    </w:p>
    <w:p>
      <w:pPr>
        <w:pStyle w:val="Heading3"/>
      </w:pPr>
      <w:r>
        <w:t>Category: No Restoration of Completed Ordinary Customs Duty</w:t>
      </w:r>
    </w:p>
    <w:p>
      <w:r>
        <w:t>9.4.1 Once Zero-Line Status arises, a positive ordinary customs duty does not arise or return through ordinary administration, implementation delay, schedule maintenance, classification correction, institutional reorganization, or agency reallocation. A customs-system defect does not create or recreate a positive duty. A stale domestic schedule does not create or recreate a positive duty. Administrative form follows the completed substantive result.</w:t>
      </w:r>
    </w:p>
    <w:p>
      <w:r>
        <w:t>9.4.2 Political disagreement, later negotiation, consultation, review, verification disagreement, implementation dispute, or an unrelated dispute does not impose or restore a positive ordinary customs duty on treatment at Zero-Line Status. The existence of a proposed amendment does not reopen the completed state before that amendment becomes legally operative under the Compact. Changed domestic policy preference does not itself constitute authority to impose or restore a positive ordinary customs duty. Chapter 26 supplies remedies for established violations without creating a general self-help power to impose or resurrect positive ordinary customs duties.</w:t>
      </w:r>
    </w:p>
    <w:p>
      <w:r>
        <w:t>9.4.3 Passage of time, institutional succession, committee inactivity, administrative silence, or expiration of an internal implementation document does not extinguish Zero-Line Status. The No-Fade architecture protects the completed treatment according to the Compact's controlling provisions. A later technical exercise records or administers the status without making continued zero treatment contingent on periodic renewal. Completed zero treatment therefore remains completed unless a legally operative provision expressly changes the underlying treaty obligation through the formal architecture assigned elsewhere.</w:t>
      </w:r>
    </w:p>
    <w:p>
      <w:r>
        <w:t>9.4.4 A Party does not evade the Zero-Line Ratchet by changing the label, accounting location, collecting agency, payment channel, or administrative form of the same ordinary customs-duty burden. Article 9.5 governs direct tariff-equivalent repackaging. Chapter 16 governs broader regulatory or administrative substitution outside that narrow direct exaction rule. This allocation prevents both tariff resurrection and uncontrolled expansion of Chapter 9 into unrelated regulation.</w:t>
      </w:r>
    </w:p>
    <w:p>
      <w:pPr>
        <w:pStyle w:val="Heading2"/>
      </w:pPr>
      <w:r>
        <w:t>Article 9.5 - Direct Tariff-Equivalent Repackaging</w:t>
      </w:r>
    </w:p>
    <w:p>
      <w:pPr>
        <w:pStyle w:val="Heading3"/>
      </w:pPr>
      <w:r>
        <w:t>Category: No Tariff Resurrection by Renaming</w:t>
      </w:r>
    </w:p>
    <w:p>
      <w:r>
        <w:t>9.5.1 A Party does not restore the economic equivalent of an ordinary customs duty protected at zero through a renamed border charge, surcharge, assessment, fee, levy, or comparable exaction directed at the same qualifying originating treatment. Substance governs over label where the exaction functions as replacement border protection for the ordinary customs duty held at zero by the Compact. Collection through a different agency or legal instrument does not avoid this rule. The rule protects the completed zero tariff result rather than regulating every charge associated with importation.</w:t>
      </w:r>
    </w:p>
    <w:p>
      <w:r>
        <w:t>9.5.2 A charge does not become prohibited under Article 9.5 solely because it applies at or near the border. A bona fide customs user charge, domestic tax, inspection charge, service charge, or comparable measure remains governed by its substantive Compact rules and applicable legal criteria. Article 9.5 applies where the measure operates in substance as imposition or restoration of an ordinary customs-duty burden that Zero-Line Status holds at zero. Chapter 16 addresses broader substitution through licensing, allocation, inspection, paperwork, delay, regulatory design, or comparable non-tariff techniques.</w:t>
      </w:r>
    </w:p>
    <w:p>
      <w:r>
        <w:t>9.5.3 Assessment of direct tariff-equivalent repackaging examines the legal incidence, economic function, calculation basis, covered goods, origin-specific application, collection trigger, and relationship to the ordinary customs-duty treatment protected at zero. No single label or accounting treatment determines the result. A measure that genuinely charges for a lawful service does not become an ordinary customs duty merely because its amount is expressed numerically. A measure designed or operated to create or recreate equivalent border protection receives treatment according to its substantive function under the Compact.</w:t>
      </w:r>
    </w:p>
    <w:p>
      <w:r>
        <w:t>9.5.4 Article 9.5 creates no independent authority to invalidate domestic taxation, user-fee systems, inspection regimes, or regulatory programs outside its narrow tariff-equivalent perimeter. Disputes concerning broader discriminatory or substitution effects proceed through the Chapter that owns the relevant substantive discipline. Chapter 18, Chapter 25, and Chapter 26 supply review, cure, and remedy functions where applicable. The anti-repackaging rule closes the direct renaming loophole without becoming a general fiscal or regulatory code.</w:t>
      </w:r>
    </w:p>
    <w:p>
      <w:pPr>
        <w:pStyle w:val="Heading2"/>
      </w:pPr>
      <w:r>
        <w:t>Article 9.6 - Relationship to Chapter 7 Full-Vesting State</w:t>
      </w:r>
    </w:p>
    <w:p>
      <w:pPr>
        <w:pStyle w:val="Heading3"/>
      </w:pPr>
      <w:r>
        <w:t>Category: Separate and Independent Completion Axes</w:t>
      </w:r>
    </w:p>
    <w:p>
      <w:r>
        <w:t>9.6.1 Zero-Line Status and Full-Vesting State are separate and independent completion states. Zero-Line Status concerns completed zero ordinary customs-duty treatment under the tariff architecture. Full-Vesting State concerns completed displacement of the Managed-Access Field under Chapter 7. Completion of either state does not establish completion of the other.</w:t>
      </w:r>
    </w:p>
    <w:p>
      <w:r>
        <w:t>9.6.2 A qualifying originating treatment with Zero-Line Status retains any residual Managed-Access Field that lawfully remains under Chapter 7. A treatment at Full-Vesting State retains any separate ordinary tariff issue that lawfully remains under Chapter 5 or Chapter 6. Neither condition creates a contradiction because the tariff axis and managed-access axis govern different legal objects. The applicable substantive Chapter continues to govern its own unfinished axis.</w:t>
      </w:r>
    </w:p>
    <w:p>
      <w:r>
        <w:t>9.6.3 Annex D and Annex F cross-reference one another where the same Product Record carries both managed-access and ordinary tariff history. The cross-reference supports integrated administration and avoids false certification of complete liberalization. Annex F does not substitute for the Full-Vesting Record, and Annex D does not substitute for the Zero-Line Registry. Neither administrative record acquires authority over the other's legal subject by implication.</w:t>
      </w:r>
    </w:p>
    <w:p>
      <w:r>
        <w:t>9.6.4 Where both Zero-Line Status and Full-Vesting State exist for the same qualifying originating treatment, each status retains its independent legal basis and record. Chapter 9 does not create a separate composite status merely because both axes have completed. Chapter 7 continues to protect the vested managed-access result, while Chapter 9 protects the completed ordinary customs-duty result. A later dispute affecting one axis does not automatically reopen the other.</w:t>
      </w:r>
    </w:p>
    <w:p>
      <w:pPr>
        <w:pStyle w:val="Heading2"/>
      </w:pPr>
      <w:r>
        <w:t>Article 9.7 - Classification and Nomenclature Continuity</w:t>
      </w:r>
    </w:p>
    <w:p>
      <w:pPr>
        <w:pStyle w:val="Heading3"/>
      </w:pPr>
      <w:r>
        <w:t>Category: Preserve Coverage Without Contraction or Expansion</w:t>
      </w:r>
    </w:p>
    <w:p>
      <w:r>
        <w:t>9.7.1 Zero-Line Status follows the substantive Party-specific treatment identified through the Product Record across an HS revision, tariff-line renumbering, concordance change, or domestic schedule reorganization. An administrative nomenclature change does not erase the completed zero state. Chapter 3 supplies the controlled concordance and Product Record continuity needed to map the treatment into the successor nomenclature. The successor mapping preserves the underlying legal entitlement rather than creating a new positive tariff starting point.</w:t>
      </w:r>
    </w:p>
    <w:p>
      <w:r>
        <w:t>9.7.2 Where a tariff line splits into multiple successor lines, Zero-Line Status follows each successor only to the extent that the successor line represents product scope already covered by the completed treatment. Previously uncovered goods do not acquire Zero-Line Status merely because a successor classification also contains covered goods. The concordance identifies the covered scope at the level necessary to preserve the substantive treatment. Classification migration therefore does not expand the legal entitlement beyond its pre-existing perimeter.</w:t>
      </w:r>
    </w:p>
    <w:p>
      <w:r>
        <w:t>9.7.3 Where multiple tariff lines merge into a successor line, the merger does not contract Zero-Line Status for previously covered product scope or expand it to previously uncovered product scope. The Product Record and concordance preserve the treatment distinctions needed for administration within the merged nomenclature. A Party does not use the merger to impose or restore a positive ordinary customs duty on covered scope. A trader does not obtain zero treatment for uncovered scope solely from the merged numerical classification.</w:t>
      </w:r>
    </w:p>
    <w:p>
      <w:r>
        <w:t>9.7.4 A classification dispute receives technical review and correction through the Chapters assigned to nomenclature, verification, review, and cure. Pending correction does not authorize administration according to a stale classification where the covered treatment and Zero-Line Event are objectively determinate. Correction preserves substantive coverage without contraction or expansion. The resulting Annex F version records the successor mapping and its legal continuity.</w:t>
      </w:r>
    </w:p>
    <w:p>
      <w:pPr>
        <w:pStyle w:val="Heading2"/>
      </w:pPr>
      <w:r>
        <w:t>Article 9.8 - Corrections and Registry Integrity</w:t>
      </w:r>
    </w:p>
    <w:p>
      <w:pPr>
        <w:pStyle w:val="Heading3"/>
      </w:pPr>
      <w:r>
        <w:t>Category: Correct the Record, Not the Right</w:t>
      </w:r>
    </w:p>
    <w:p>
      <w:r>
        <w:t>9.8.1 A typo, stale code, incorrect date, broken linkage, transcription error, or comparable Annex F defect receives correction without altering the underlying legal state. The correction fixes the record rather than recreating the right. A clerical procedure does not become tariff-restoration authority. The correction also does not expand the preference beyond the pre-existing legal entitlement.</w:t>
      </w:r>
    </w:p>
    <w:p>
      <w:r>
        <w:t>9.8.2 Each correction record identifies the error, affected Product Record ID, responsible authority, legal or technical basis, reason for correction, effective record version, and effect on administration. The superseded entry remains preserved for audit. Version control distinguishes the date of administrative correction from the Zero-Line Event and legal effective instant. No corrected date silently rewrites the historical moment at which the substantive legal state arose.</w:t>
      </w:r>
    </w:p>
    <w:p>
      <w:r>
        <w:t>9.8.3 Where the underlying legal state is objectively determinate, a pending correction does not authorize administration according to a stale Annex F entry that imposes a higher ordinary customs duty. The responsible authority administers the objectively controlling treatment while correcting the record. Where the legal state itself is genuinely disputed, the Chapters assigned to review, cure, and remedies govern resolution without creating self-help tariff resurrection. A recordkeeping defect therefore neither defeats a completed right nor manufactures an unearned one.</w:t>
      </w:r>
    </w:p>
    <w:p>
      <w:r>
        <w:t>9.8.4 Correction of one Registry entry creates no precedent for a different Product Record, coverage boundary, origin determination, or tariff treatment. Historical treatment applied under an earlier administrative version remains traceable in the controlled record. Correction history supports audit, refund, cure, and implementation review where another Chapter assigns those consequences. Annex F remains a faithful administrative memory rather than a mechanism for retroactive policy change.</w:t>
      </w:r>
    </w:p>
    <w:p>
      <w:pPr>
        <w:pStyle w:val="Heading2"/>
      </w:pPr>
      <w:r>
        <w:t>Article 9.9 - Verification and Publication</w:t>
      </w:r>
    </w:p>
    <w:p>
      <w:pPr>
        <w:pStyle w:val="Heading3"/>
      </w:pPr>
      <w:r>
        <w:t>Category: Confirmation and Transparency Without Condition Precedent</w:t>
      </w:r>
    </w:p>
    <w:p>
      <w:r>
        <w:t>9.9.1 Chapter 17 verifies implementation of Zero-Line Status and the accuracy of relevant Annex F records. Verification confirms whether the objectively controlling zero treatment was administered and recorded correctly. ALVS does not create or condition Zero-Line Status. Verification delay therefore does not postpone a Zero-Line Event or authorize continuation of a positive ordinary customs duty after the event.</w:t>
      </w:r>
    </w:p>
    <w:p>
      <w:r>
        <w:t>9.9.2 Chapter 22 governs publication, controlled data maintenance, transparency, and version history for Annex F. Publication records the completed state for administration and public understanding. Publication does not create or condition Zero-Line Status. Publication delay or technical failure does not change the legally controlling treatment.</w:t>
      </w:r>
    </w:p>
    <w:p>
      <w:r>
        <w:t>9.9.3 A verification or publication discrepancy receives correction through the applicable Chapter 3, Chapter 17, and Chapter 22 processes. The correction record distinguishes substantive legal error from administrative-record error. An administrative-record error is corrected to the law without reopening the completed legal state. A genuine substantive dispute proceeds through the assigned review and dispute architecture without creating an implied suspension.</w:t>
      </w:r>
    </w:p>
    <w:p>
      <w:r>
        <w:t>9.9.4 Confidential or protected information receives treatment under the Compact's applicable information rules without preventing publication of the legal status necessary for administration. A confidentiality classification does not conceal the existence of a legally operative Zero-Line Status from authorities responsible for applying it. Public and protected record layers remain consistent as to the controlling legal treatment. Data governance therefore supports implementation without becoming a gate to legal effect.</w:t>
      </w:r>
    </w:p>
    <w:p>
      <w:pPr>
        <w:pStyle w:val="Heading2"/>
      </w:pPr>
      <w:r>
        <w:t>Article 9.10 - Temporary Measures and Exceptional Treatment</w:t>
      </w:r>
    </w:p>
    <w:p>
      <w:pPr>
        <w:pStyle w:val="Heading3"/>
      </w:pPr>
      <w:r>
        <w:t>Category: Temporary Overlay Without Destruction of the Permanent State</w:t>
      </w:r>
    </w:p>
    <w:p>
      <w:r>
        <w:t>9.10.1 A temporary measure lawfully applied under Chapter 19 overlays the underlying Zero-Line Status without extinguishing, reversing, or deleting that status. The temporary applied treatment remains legally distinct from the permanent zero ordinary customs-duty state. Annex F records the existence and legal basis of the overlay without replacing the Zero-Line Event. Chapter 19 alone supplies the authority, conditions, duration, and cessation rules for the temporary measure.</w:t>
      </w:r>
    </w:p>
    <w:p>
      <w:r>
        <w:t>9.10.2 Cessation of the temporary measure returns administration to the zero ordinary customs-duty treatment legally controlling at that time. No new Zero-Line Event is required merely because the overlay ended. The temporary period does not reset the tariff-elimination trajectory or create a new positive baseline. Any different post-cessation result requires independent authority under the Compact.</w:t>
      </w:r>
    </w:p>
    <w:p>
      <w:r>
        <w:t>9.10.3 Chapter 9 does not create safeguard authority, emergency authority, shortage authority, national-security authority, or other temporary-measure authority. Reference to an overlay records its relationship to Zero-Line Status rather than validating the overlay independently. Compliance with the substantive conditions governing the temporary measure remains determined by the Chapter that creates it. A defective temporary measure does not gain legality from its appearance in Annex F.</w:t>
      </w:r>
    </w:p>
    <w:p>
      <w:r>
        <w:t>9.10.4 A temporary overlay does not become permanent through administrative inertia, repeated Registry notation, institutional delay, or failure to remove a stale implementation marker. The underlying Zero-Line Status remains the durable state protected by this Chapter. Chapters 17, 22, 25, and 26 address verification, record correction, cure, and remedy as applicable. This separation prevents temporary applied treatment from silently replacing the permanent completed state.</w:t>
      </w:r>
    </w:p>
    <w:p>
      <w:pPr>
        <w:pStyle w:val="Heading2"/>
      </w:pPr>
      <w:r>
        <w:t xml:space="preserve">Article 9.11 - Disputes, Cure, and Remedies</w:t>
      </w:r>
    </w:p>
    <w:p>
      <w:pPr>
        <w:pStyle w:val="Heading3"/>
      </w:pPr>
      <w:r>
        <w:t>Category: No Self-Help Tariff Resurrection</w:t>
      </w:r>
    </w:p>
    <w:p>
      <w:r>
        <w:t>9.11.1 A dispute concerning origin, implementation, classification, nomenclature, Annex F accuracy, verification, or another Party's conduct does not itself authorize restoration of an ordinary customs duty at Zero-Line Status. The legally controlling treatment continues unless another operative Compact provision expressly authorizes a different applied treatment. A Party does not use an unrelated dispute to reopen a completed tariff result. This rule preserves the no-backsliding function while leaving substantive dispute mechanisms intact.</w:t>
      </w:r>
    </w:p>
    <w:p>
      <w:r>
        <w:t>9.11.2 Chapter 18 handles independent technical or scientific review within its assigned competence. Pending technical review does not create tariff authority where the underlying Zero-Line Status is objectively determinate. A review finding receives implementation through the Chapter that owns the substantive consequence. Chapter 9 does not recreate technical-review procedures or enlarge their jurisdiction.</w:t>
      </w:r>
    </w:p>
    <w:p>
      <w:r>
        <w:t>9.11.3 Chapter 25 governs consultation, cure, refunds, restoration, and implementation correction where its conditions apply. Cure conforms administration to the controlling legal state rather than renegotiating that state. Restoration returns affected treatment to the position legally required by the Compact. Chapter 9 supplies the protected zero-line baseline without duplicating Chapter 25 procedure.</w:t>
      </w:r>
    </w:p>
    <w:p>
      <w:r>
        <w:t>9.11.4 Chapter 26 governs remedies for unresolved violations within its assigned authority. A remedy remains narrow, proportional, and tied to the established violation according to that Chapter. Chapter 9 creates no independent retaliation, cross-sector leverage, tariff snapback, or whole-Compact suspension. Completed Zero-Line Status remains protected except to the extent another operative provision expressly authorizes a legally distinct temporary consequence.</w:t>
      </w:r>
    </w:p>
    <w:p>
      <w:pPr>
        <w:pStyle w:val="Heading2"/>
      </w:pPr>
      <w:r>
        <w:t xml:space="preserve">Article 9.12 - Review, Amendment, and Durable Zero-Line State</w:t>
      </w:r>
    </w:p>
    <w:p>
      <w:pPr>
        <w:pStyle w:val="Heading3"/>
      </w:pPr>
      <w:r>
        <w:t>Category: No Backdoor Reopening and Final Chapter Boundary</w:t>
      </w:r>
    </w:p>
    <w:p>
      <w:r>
        <w:t>9.12.1 Periodic review does not reopen completed Zero-Line Status merely because the treatment appears on a review agenda. Review examines implementation, operation, data quality, or prospective policy questions within the authority assigned by the Compact. Continued zero treatment does not depend on affirmative renewal at a review meeting. Silence, non-agreement, or incomplete review leaves the controlling completed state in force.</w:t>
      </w:r>
    </w:p>
    <w:p>
      <w:r>
        <w:t>9.12.2 A technical amendment, nomenclature update, concordance revision, Registry correction, or administrative modernization does not become authority to impose or restore a positive ordinary customs duty on treatment at Zero-Line Status. Technical action preserves or improves administration within the existing substantive entitlement. A substantive future change follows the formal amendment or other legal machinery assigned by Chapter 29 and the final provisions of the Compact. Chapter 9 does not manufacture an amendment power through record maintenance.</w:t>
      </w:r>
    </w:p>
    <w:p>
      <w:r>
        <w:t>9.12.3 Withdrawal, survival, and treatment of accrued or completed rights after withdrawal remain governed by Chapter 30. Chapter 9 does not predetermine those final-provision questions beyond identifying the completed legal state existing before the relevant Chapter 30 consequence. Annex F preserves the historical record required to administer any survival rule that Chapter 30 ultimately establishes. This allocation prevents the Registry from becoming an independent survival clause.</w:t>
      </w:r>
    </w:p>
    <w:p>
      <w:r>
        <w:t>9.12.4 Zero-Line Status therefore functions as the durable completed ordinary customs-duty state established or preserved at zero by the Compact's substantive tariff machinery. The Zero-Line Registry records that state, the ratchet protects it from ordinary backsliding, and the anti-repackaging rule prevents direct imposition or resurrection by renaming. Classification, correction, verification, temporary overlays, disputes, review, and institutional change operate around the completed state without silently creating or recreating a positive ordinary customs duty. Chapter 9 closes the zero-tariff story while leaving origin, managed access, safeguards, remedies, amendment, and withdrawal to the Chapters that own them.</w:t>
      </w:r>
    </w:p>
    <w:p>
      <w:pPr>
        <w:pStyle w:val="Heading1"/>
      </w:pPr>
      <w:r>
        <w:t>Chapter 10 - Rules of Origin</w:t>
      </w:r>
    </w:p>
    <w:p>
      <w:pPr>
        <w:pStyle w:val="Normal"/>
      </w:pPr>
      <w:r>
        <w:t xml:space="preserve">Product-level RVC thresholds, de minimis values, Sensitive Input Register entries, tariff-shift and transformation rules, and marine or vessel conditions remain subject to authenticated product-specific adoption rather than unsupported insertion.</w:t>
      </w:r>
    </w:p>
    <w:p>
      <w:pPr>
        <w:pStyle w:val="Heading2"/>
      </w:pPr>
      <w:r>
        <w:t xml:space="preserve">Article 10.1 - Scope and Function of Origin</w:t>
      </w:r>
    </w:p>
    <w:p>
      <w:pPr>
        <w:pStyle w:val="Heading3"/>
      </w:pPr>
      <w:r>
        <w:t>Category: Preferential Eligibility and Chapter Ownership</w:t>
      </w:r>
    </w:p>
    <w:p>
      <w:pPr>
        <w:pStyle w:val="Normal"/>
      </w:pPr>
      <w:r>
        <w:t>10.1.1 Chapter 10 determines whether a Covered Agricultural Good qualifies as originating for preferential treatment under this Compact. Origin is a substantive eligibility condition attached to the good and not to the trader, shipment, transaction, invoice currency, corporate ownership, or commercial outcome. Chapter 3 and Annex A determine coverage, while Chapter 10 determines origin within that covered universe. A good receives originating treatment only where the applicable substantive origin rule is satisfied.</w:t>
      </w:r>
    </w:p>
    <w:p>
      <w:pPr>
        <w:pStyle w:val="Normal"/>
      </w:pPr>
      <w:r>
        <w:t>10.1.2 Chapter 10 does not determine tariff rates, tariff-elimination timing, Managed-Access Fields, SPS compliance, safeguard eligibility, customs valuation, commercial usability, remedies, or dispute outcomes. Chapters owning those subjects retain their respective legal functions. Satisfaction of an origin rule does not excuse compliance with another independently applicable Compact obligation. Failure of another obligation does not by itself alter the substantive origin status of the good.</w:t>
      </w:r>
    </w:p>
    <w:p>
      <w:pPr>
        <w:pStyle w:val="Normal"/>
      </w:pPr>
      <w:r>
        <w:t>10.1.3 Chapter 10 preserves the Compact as an agricultural free-trade area rather than a customs union. Each Party retains its independent external tariff and external commercial policy subject to obligations elsewhere in the Compact. Preferential treatment therefore depends on genuine qualifying North American origin rather than entry through the Party applying the lowest external tariff. Origin administration applies objective rules and proportionate evidence requirements and does not operate as a disguised means of withdrawing or delaying market access.</w:t>
      </w:r>
    </w:p>
    <w:p>
      <w:pPr>
        <w:pStyle w:val="Normal"/>
      </w:pPr>
      <w:r>
        <w:t>10.1.4 Origin status follows the substantive rule applicable to the good at the legally relevant time. Administrative records, certifications, verification activity, or customs-system entries evidence or administer that status without creating it. An administrative defect does not convert a substantively originating good into a non-originating good, although preferential treatment remains unavailable where the claimant fails to substantiate entitlement through the applicable procedure. This distinction between substantive status, evidentiary sufficiency, and administration governs interpretation of Chapter 10.</w:t>
      </w:r>
    </w:p>
    <w:p>
      <w:pPr>
        <w:pStyle w:val="Heading2"/>
      </w:pPr>
      <w:r>
        <w:t xml:space="preserve">Article 10.2 - Originating Goods</w:t>
      </w:r>
    </w:p>
    <w:p>
      <w:pPr>
        <w:pStyle w:val="Heading3"/>
      </w:pPr>
      <w:r>
        <w:t>Category: Three Exhaustive Origin Pathways</w:t>
      </w:r>
    </w:p>
    <w:p>
      <w:pPr>
        <w:pStyle w:val="Normal"/>
      </w:pPr>
      <w:r>
        <w:t>10.2.1 A Covered Agricultural Good qualifies as originating where it satisfies at least one of the three pathways established by this Article. The first pathway covers a good wholly obtained or produced in the territory of one or more Parties under Article 10.3. The second pathway covers a good produced in one or more Parties exclusively from originating materials under Article 10.4. The third pathway covers a good produced in one or more Parties using non-originating materials while satisfying the applicable Annex G rule under Article 10.5.</w:t>
      </w:r>
    </w:p>
    <w:p>
      <w:pPr>
        <w:pStyle w:val="Normal"/>
      </w:pPr>
      <w:r>
        <w:t>10.2.2 The three pathways are exhaustive unless another operative provision of the Compact expressly establishes a different origin pathway for an identified treatment. Satisfaction of more than one pathway does not alter the legal consequence of originating status. A claimant identifies a pathway supported by the substantive facts and available evidence. Failure to satisfy any available pathway leaves the good non-originating for the claimed preferential treatment.</w:t>
      </w:r>
    </w:p>
    <w:p>
      <w:pPr>
        <w:pStyle w:val="Normal"/>
      </w:pPr>
      <w:r>
        <w:t>10.2.3 A non-originating good does not receive NAAFTC preferential treatment solely because it is covered by Annex A. Coverage and origin remain separate legal questions. The importing Party applies the external tariff and other lawful treatment otherwise applicable to a good that does not qualify as originating. Chapter 10 does not convert external treatment into a penalty or finding of misconduct.</w:t>
      </w:r>
    </w:p>
    <w:p>
      <w:pPr>
        <w:pStyle w:val="Normal"/>
      </w:pPr>
      <w:r>
        <w:t>10.2.4 Originating status does not depend on the nationality of the importer, exporter, producer, investor, or owner of the production facility. Originating status does not depend on headquarters location, invoice currency, transport mode, or ordinary commercial structure. Shipment routing remains subject to the preservation-of-origin rules in Article 10.11. These neutral factors do not substitute for the substantive production facts required by the applicable pathway.</w:t>
      </w:r>
    </w:p>
    <w:p>
      <w:pPr>
        <w:pStyle w:val="Heading2"/>
      </w:pPr>
      <w:r>
        <w:t xml:space="preserve">Article 10.3 - Wholly Obtained or Produced Agricultural Goods</w:t>
      </w:r>
    </w:p>
    <w:p>
      <w:pPr>
        <w:pStyle w:val="Heading3"/>
      </w:pPr>
      <w:r>
        <w:t>Category: Primary Agricultural Origin</w:t>
      </w:r>
    </w:p>
    <w:p>
      <w:pPr>
        <w:pStyle w:val="Normal"/>
      </w:pPr>
      <w:r>
        <w:t>10.3.1 A good is wholly obtained or produced where its origin-determinative primary production occurs entirely in the territory of one or more Parties and it falls within a category recognized by this Article. Covered categories include plants and plant products harvested, picked, or gathered in a Party and live animals born and raised in one or more Parties. Covered categories also include products obtained from qualifying live animals and products obtained through qualifying hunting, trapping, fishing, or aquaculture in a Party. Annex G identifies any product-specific clarification required for a primary agricultural category.</w:t>
      </w:r>
    </w:p>
    <w:p>
      <w:pPr>
        <w:pStyle w:val="Normal"/>
      </w:pPr>
      <w:r>
        <w:t>10.3.2 Marine products qualify under the wholly obtained pathway where the applicable production facts satisfy the vessel, flag, registration, territorial, or other requirements expressly identified in Annex G or another controlling Compact rule. Products produced aboard a qualifying factory vessel from qualifying marine materials retain the treatment assigned by the applicable rule. The mere nationality of vessel ownership does not replace an expressly applicable vessel or production condition. Chapter 10 does not enlarge maritime rights or jurisdiction beyond the Compact's lawful scope.</w:t>
      </w:r>
    </w:p>
    <w:p>
      <w:pPr>
        <w:pStyle w:val="Normal"/>
      </w:pPr>
      <w:r>
        <w:t>10.3.3 Use of non-originating fuel, energy, machinery, tools, equipment, buildings, protective equipment, processing aids, or other neutral elements does not by itself defeat wholly obtained status. The nationality of the producer or owner of the land does not determine wholly obtained status. Ordinary harvesting, cleaning, grading, cooling, preservation, storage, or transport needed to place a primary product into commerce does not by itself defeat the pathway. Processing that exceeds the pathway's permitted scope routes the good to Article 10.4 or Article 10.5 as appropriate.</w:t>
      </w:r>
    </w:p>
    <w:p>
      <w:pPr>
        <w:pStyle w:val="Normal"/>
      </w:pPr>
      <w:r>
        <w:t>10.3.4 A wholly obtained material retains its originating character when transferred from one Party to another for production recognized by the applicable Chapter 10 pathway or Annex G rule. Mere storage, transport, preservation, or other permitted handling in another Party does not extinguish that character. Subsequent production is evaluated under the pathway applicable to the resulting good. This rule supports integrated North American agricultural supply chains without treating every later processed good as wholly obtained.</w:t>
      </w:r>
    </w:p>
    <w:p>
      <w:pPr>
        <w:pStyle w:val="Heading2"/>
      </w:pPr>
      <w:r>
        <w:t xml:space="preserve">Article 10.4 - Production Exclusively from Originating Materials</w:t>
      </w:r>
    </w:p>
    <w:p>
      <w:pPr>
        <w:pStyle w:val="Heading3"/>
      </w:pPr>
      <w:r>
        <w:t>Category: Originating-Material Production Pathway</w:t>
      </w:r>
    </w:p>
    <w:p>
      <w:pPr>
        <w:pStyle w:val="Normal"/>
      </w:pPr>
      <w:r>
        <w:t>10.4.1 A good produced in the territory of one or more Parties exclusively from originating materials qualifies as originating under this Article. An originating material includes a material qualifying under any applicable Chapter 10 pathway before its use in production of the resulting good. Regional accumulation under Article 10.6 applies when qualifying materials or relevant production span more than one Party. The resulting good does not separately satisfy an Annex G non-originating-material test unless Annex G expressly makes that test applicable for another stated purpose.</w:t>
      </w:r>
    </w:p>
    <w:p>
      <w:pPr>
        <w:pStyle w:val="Normal"/>
      </w:pPr>
      <w:r>
        <w:t>10.4.2 Mere transport, storage, relabeling, repackaging, sorting, simple assembly, mere dilution with water or another substance that does not materially alter the good, or another minimal operation on a non-originating material in a Party does not transform that material into an originating material. For purposes of this Chapter, a minimal operation is an operation that, considered alone or together with other listed minimal operations, does not constitute production sufficient to satisfy the applicable substantive origin rule. Annex G identifies product-specific operations that are treated as minimal or as qualifying production where agricultural production reality requires greater precision. Administrative relabeling, a change of owner, dilution without material transformation, or another minimal operation therefore does not create originating character.</w:t>
      </w:r>
    </w:p>
    <w:p>
      <w:pPr>
        <w:pStyle w:val="Normal"/>
      </w:pPr>
      <w:r>
        <w:t>10.4.3 A producer is entitled to rely reasonably on supplier information or declarations supporting the originating status of a material. Reasonableness reflects the nature and materiality of the input, the commercial relationship, known inconsistencies, identified product risk, prior corrections, and information reasonably available to the relying person. Information later shown to be materially false receives treatment under Articles 10.13 through 10.15 and the Chapters owning verification, cure, and remedies. Good-faith reliance does not convert a substantively non-originating material into an originating material or excuse disregard of facts making the supplier information objectively unreliable.</w:t>
      </w:r>
    </w:p>
    <w:p>
      <w:pPr>
        <w:pStyle w:val="Normal"/>
      </w:pPr>
      <w:r>
        <w:t>10.4.4 Inventory management under Article 10.8, accumulation under Article 10.6, neutral-element treatment under Article 10.10, and other applicable Chapter 10 rules operate together with this pathway. Each rule affects only the legal question assigned to it. A supporting rule does not manufacture originating status where its substantive conditions are absent. The claimant retains responsibility for establishing entitlement to the preference claimed.</w:t>
      </w:r>
    </w:p>
    <w:p>
      <w:pPr>
        <w:pStyle w:val="Heading2"/>
      </w:pPr>
      <w:r>
        <w:t xml:space="preserve">Article 10.5 - Production Using Non-Originating Materials and Annex G</w:t>
      </w:r>
    </w:p>
    <w:p>
      <w:pPr>
        <w:pStyle w:val="Heading3"/>
      </w:pPr>
      <w:r>
        <w:t>Category: Product-Specific Transformation and Rule Logic</w:t>
      </w:r>
    </w:p>
    <w:p>
      <w:pPr>
        <w:pStyle w:val="Normal"/>
      </w:pPr>
      <w:r>
        <w:t>10.5.1 A good produced in one or more Parties using at least one non-originating material qualifies as originating only where it satisfies the controlling product-specific rule in Annex G. Annex G anchors each rule to a Product Record ID and objective product scope, with tariff classification serving the customs and concordance functions assigned by Chapter 3. A clerical mismatch among identifiers does not silently change the applicable substantive rule. Genuine identity or classification conflicts route to Chapter 3 correction while the controlling legal product scope remains determinative.</w:t>
      </w:r>
    </w:p>
    <w:p>
      <w:pPr>
        <w:pStyle w:val="Normal"/>
      </w:pPr>
      <w:r>
        <w:t>10.5.2 Annex G uses six available rule types across the Chapter 10 origin architecture: wholly obtained, specific process, change in tariff classification, regional value content, maximum non-originating content, and expressly structured hybrid rules. For a good using non-originating materials under Article 10.5, Annex G selects from the applicable transformation-based rule types and does not treat wholly obtained status as a substitute for the pathway in Article 10.3. Annex G selects the least administratively burdensome rule that reliably demonstrates genuine North American production and protects against material third-country leakage for the product family. A single generic substantial-transformation test does not govern all Covered Agricultural Goods.</w:t>
      </w:r>
    </w:p>
    <w:p>
      <w:pPr>
        <w:pStyle w:val="Normal"/>
      </w:pPr>
      <w:r>
        <w:t>10.5.3 Regional value content applies only where the controlling Annex G entry expressly assigns an RVC threshold and an authorized calculation method, or expressly offers a complete RVC route as one alternative among identified origin routes. Annex G silence creates neither an RVC obligation nor a claimant choice among calculation methods, and an authority does not fill that silence through administrative practice, verification preference, or evidentiary demand. Where Annex G offers alternative origin tests, satisfaction of one complete alternative establishes the product-specific requirement without calculation of another alternative. This rule prevents drafting silence, method shopping, and administrative preference from creating an origin test that the controlled schedule does not state.</w:t>
      </w:r>
    </w:p>
    <w:p>
      <w:pPr>
        <w:pStyle w:val="Normal"/>
      </w:pPr>
      <w:r>
        <w:t>10.5.4 Annex G follows Product Record identity through HS revisions, concordances, splits, mergers, and nomenclature changes under Chapter 3. A successor classification inherits the predecessor rule only to the extent it represents the same substantive product scope. A split preserves the applicable rule for each corresponding successor scope, while a merger does not erase distinctions among predecessor scopes. Formal substantive changes to product-specific origin rules proceed through the amendment architecture assigned elsewhere in the Compact.</w:t>
      </w:r>
    </w:p>
    <w:p>
      <w:pPr>
        <w:pStyle w:val="Normal"/>
      </w:pPr>
      <w:r>
        <w:t>10.5.5 Where Annex G expressly assigns a regional value content test, the entry identifies the controlling threshold and the transaction value method, the net cost method, or an expressly structured choice between those methods. Under the transaction value method, RVC equals the transaction value of the good minus the value of non-originating materials, divided by the transaction value of the good, multiplied by 100. Under the net cost method, RVC equals the net cost of the good minus the value of non-originating materials, divided by the net cost of the good, multiplied by 100. Where Annex G authorizes more than one method, it states whether the methods operate as alternative routes or under specified circumstances, and no customs authority introduces a different threshold, denominator, method, or selection rule through administrative practice.</w:t>
      </w:r>
    </w:p>
    <w:p>
      <w:pPr>
        <w:pStyle w:val="Normal"/>
      </w:pPr>
      <w:r>
        <w:t>10.5.6 For an imported non-originating material, the material value used in an RVC calculation is its transaction value determined under the applicable customs valuation rules, adjusted only as Annex G or Chapter 12 expressly provides. For a non-originating material acquired within a Party, the value follows the predetermined valuation hierarchy established by the governing valuation procedure for the relevant transaction, beginning with the price paid or payable where reliable and proceeding to another customs-equivalent or commercially recognized basis only where the preceding basis is unavailable, unreliable, or requires adjustment under that procedure. Related-party, artificial-value, and non-arm's-length transactions receive the objective adjustments or alternative valuation treatment assigned by that hierarchy, and a claimant or authority does not switch valuation bases after the commercial result is known merely to increase or reduce preferential entitlement. Documented freight, insurance, packing, duties, taxes, brokerage, waste, spoilage, reusable scrap, or by-product adjustments receive treatment only where the controlling valuation rule expressly recognizes the adjustment and the supporting amount is reasonably substantiated.</w:t>
      </w:r>
    </w:p>
    <w:p>
      <w:pPr>
        <w:pStyle w:val="Normal"/>
      </w:pPr>
      <w:r>
        <w:t>10.5.7 A self-produced intermediate material used in production receives the treatment assigned by Annex G for the applicable RVC calculation, including any permitted roll-up of value after that intermediate material independently satisfies its origin rule. No material, value, quantity, processing contribution, transformation, originating attribution, or other origin credit receives duplicative credit through roll-up, accumulation, de minimis, inventory management, intermediate-material treatment, or any combination of those mechanisms. Where an intermediate material does not independently qualify as originating, qualifying regional production performed on that material remains creditable only to the extent recognized by the final good's applicable rule and Article 10.6. Annex G identifies product-specific restrictions or calculation detail where greater precision is required, but omission from Annex G does not displace the Chapter-wide prohibition on double attribution.</w:t>
      </w:r>
    </w:p>
    <w:p>
      <w:pPr>
        <w:pStyle w:val="Heading2"/>
      </w:pPr>
      <w:r>
        <w:t xml:space="preserve">Article 10.6 - Regional Accumulation</w:t>
      </w:r>
    </w:p>
    <w:p>
      <w:pPr>
        <w:pStyle w:val="Heading3"/>
      </w:pPr>
      <w:r>
        <w:t>Category: North American Production Integration</w:t>
      </w:r>
    </w:p>
    <w:p>
      <w:pPr>
        <w:pStyle w:val="Normal"/>
      </w:pPr>
      <w:r>
        <w:t>10.6.1 Qualifying originating materials and relevant qualifying production occurring in any Party receive originating treatment for purposes of determining origin of a resulting good under this Chapter. Accumulation applies across Canada, the United States, and Mexico without requiring the material and final good to originate in the same Party. Production performed in a Party on a non-originating material contributes toward satisfaction of the final good's Annex G rule where that rule measures or recognizes the relevant production, even when the intermediate material does not independently acquire originating status. The applicable origin rule continues to determine whether the accumulated material or production is legally relevant to the resulting good.</w:t>
      </w:r>
    </w:p>
    <w:p>
      <w:pPr>
        <w:pStyle w:val="Normal"/>
      </w:pPr>
      <w:r>
        <w:t>10.6.2 Accumulation requires a traceable nexus between the accumulated material or production and the production chain of the good or of an originating material used in that good. The nexus is established through a relevant material, processing, quantity, or value contribution that reconciles to the applicable production, inventory, or commercial records and is recognized by the controlling Annex G rule. Unrelated production elsewhere in North America, production assigned from an unrelated batch or inventory pool, and mere transport, storage, relabeling, repackaging, or other minimal handling do not create accumulable production. This rule prevents ghost accumulation while preserving genuine integrated supply chains.</w:t>
      </w:r>
    </w:p>
    <w:p>
      <w:pPr>
        <w:pStyle w:val="Normal"/>
      </w:pPr>
      <w:r>
        <w:t>10.6.3 An originating material retains its originating character when it moves among Parties for qualifying production, subject to the preservation rules applicable to any non-Party transit. Production occurring in multiple Parties is assessed as North American production to the extent recognized by the applicable Annex G rule. Accumulation does not convert a non-originating material into an originating material absent satisfaction of an applicable substantive rule. The origin of the final good therefore reflects qualifying continental production rather than corporate or transactional form.</w:t>
      </w:r>
    </w:p>
    <w:p>
      <w:pPr>
        <w:pStyle w:val="Normal"/>
      </w:pPr>
      <w:r>
        <w:t>10.6.4 Annex G identifies any product-specific limitation, calculation treatment, or evidence requirement necessary to administer accumulation for a particular product family. Accumulation, de minimis, inventory management, and intermediate-material treatment remain independently available only to the extent each mechanism's own conditions are satisfied and the combined claim remains traceable to the actual production chain. An accounting allocation does not create production that did not occur, de minimis does not recycle content already credited through another mechanism, and accumulation does not transfer contribution from an unrelated good, batch, facility record, or inventory pool. Chapter 10 therefore permits combined origin mechanisms without permitting their combination to manufacture unsupported originating status.</w:t>
      </w:r>
    </w:p>
    <w:p>
      <w:pPr>
        <w:pStyle w:val="Heading2"/>
      </w:pPr>
      <w:r>
        <w:t xml:space="preserve">Article 10.7 - De Minimis Non-Originating Materials</w:t>
      </w:r>
    </w:p>
    <w:p>
      <w:pPr>
        <w:pStyle w:val="Heading3"/>
      </w:pPr>
      <w:r>
        <w:t>Category: Incidental Inputs and Sensitive-Input Firewall</w:t>
      </w:r>
    </w:p>
    <w:p>
      <w:pPr>
        <w:pStyle w:val="Normal"/>
      </w:pPr>
      <w:r>
        <w:t>10.7.1 A controlled de minimis rule prevents incidental non-originating materials from defeating otherwise genuine North American origin where the applicable substantive conditions are satisfied. Annex G contains the controlling general de minimis threshold and measurement method applicable to product records that do not state a different treatment. Chapter 10 does not prescribe an unsupported universal numerical threshold. Product-specific evidence and policy analysis therefore precede population of the controlling quantitative value.</w:t>
      </w:r>
    </w:p>
    <w:p>
      <w:pPr>
        <w:pStyle w:val="Normal"/>
      </w:pPr>
      <w:r>
        <w:t>10.7.2 Annex G identifies the measurement basis, threshold, calculation denominator, excluded materials, and any special conditions applicable to de minimis treatment. A product-specific entry is entitled to narrow, replace, or prohibit the general Annex G treatment where the identified production reality or leakage risk supports that result. An express sensitive-input exclusion prevails over the general de minimis rule, including where the affected input enters through a mixed-origin feed, seed, additive, ingredient, blend, or other production input. De minimis does not override a specific tracing or production condition that Annex G identifies as non-waivable.</w:t>
      </w:r>
    </w:p>
    <w:p>
      <w:pPr>
        <w:pStyle w:val="Normal"/>
      </w:pPr>
      <w:r>
        <w:t>10.7.3 Annex G maintains a controlled Sensitive Input Register as part of Annex G rather than as a separate legal instrument. The Register identifies non-originating inputs for which de minimis is prohibited, narrowed, differently measured, or subject to specific tracing. Entry in the Register requires express controlled designation and source or policy justification recorded through the applicable Annex G fields. A risk label or administrative flag outside that controlled designation does not change substantive origin law.</w:t>
      </w:r>
    </w:p>
    <w:p>
      <w:pPr>
        <w:pStyle w:val="Normal"/>
      </w:pPr>
      <w:r>
        <w:t>10.7.4 De minimis treatment applies to the identified good and production calculation rather than transferring across unrelated products or artificially defined production runs. A production run, lot, batch, or comparable accounting unit follows the producer's bona fide ordinary documented commercial practice, a consistently applied accounting methodology, and any applicable Annex G reconciliation period, and is not expanded, fragmented, reset, or recharacterized principally to increase preferential entitlement. A post hoc alteration that materially reallocates non-originating content or de minimis treatment may be rejected where it departs materially from those objective practices even if a subjective principal purpose cannot be established. Repeated reliance on de minimis does not itself create a violation, permanent exemption, or precedent, while materially similar anomalies remain available for cumulative risk analysis under Articles 10.14 and 10.15.</w:t>
      </w:r>
    </w:p>
    <w:p>
      <w:pPr>
        <w:pStyle w:val="Heading2"/>
      </w:pPr>
      <w:r>
        <w:t xml:space="preserve">Article 10.8 - Fungible Goods and Materials</w:t>
      </w:r>
    </w:p>
    <w:p>
      <w:pPr>
        <w:pStyle w:val="Heading3"/>
      </w:pPr>
      <w:r>
        <w:t>Category: Inventory Management and Traceability</w:t>
      </w:r>
    </w:p>
    <w:p>
      <w:pPr>
        <w:pStyle w:val="Normal"/>
      </w:pPr>
      <w:r>
        <w:t>10.8.1 Originating and non-originating fungible goods or materials are distinguished through physical segregation, specific identification, or a reliable inventory-management method recognized under the accounting or customs framework lawfully applicable to the records and inventory operation being used to substantiate the claim. The applicable framework follows the location and ordinary commercial administration of the relevant inventory records rather than a jurisdiction selected principally to obtain a more favorable origin result. An inventory method preserves a defensible relationship between recorded quantities and the originating or non-originating quantities actually available in the relevant inventory pool, while Annex G or Chapter 12 identifies any product-specific consistency period, reconciliation rule, or restriction. An authority does not require physical segregation where an authorized inventory method reliably establishes the relevant originating quantity.</w:t>
      </w:r>
    </w:p>
    <w:p>
      <w:pPr>
        <w:pStyle w:val="Normal"/>
      </w:pPr>
      <w:r>
        <w:t>10.8.2 An inventory method allocates originating and non-originating quantities according to documented inventory facts and does not create more originating quantity than the records support. The method preserves traceability among opening inventory, receipts, production or handling, losses, transfers, dispositions, and closing inventory at a level reasonably sufficient to substantiate the origin claim. Recorded originating quantity remains subject to physical plausibility against independently verifiable facts such as storage capacity, purchases, production throughput, withdrawals, ordinary yield or loss, and other relevant commodity characteristics. Physical commingling does not by itself destroy originating status, but accounting treatment does not convert an unsupported or physically implausible quantity into originating quantity.</w:t>
      </w:r>
    </w:p>
    <w:p>
      <w:pPr>
        <w:pStyle w:val="Normal"/>
      </w:pPr>
      <w:r>
        <w:t>10.8.3 A change in inventory method follows a documented and non-manipulative transition that prevents double counting, retroactive origin creation, selective reclassification of completed transactions, or opportunistic switching between accounting methods. The operator applies the selected method consistently for the applicable reconciliation period and preserves opening and closing balances sufficient to reproduce the transition. Ordinary accounting corrections remain permissible where they preserve the underlying factual record and do not shift originating quantity into transactions already completed under another method. Where manipulation is established, the challenged allocation method is disregarded only to the extent affected, and originating quantity independently substantiated through reliable records and physical facts remains determinable under the otherwise applicable rules.</w:t>
      </w:r>
    </w:p>
    <w:p>
      <w:pPr>
        <w:pStyle w:val="Normal"/>
      </w:pPr>
      <w:r>
        <w:t>10.8.4 Record requirements for fungible goods remain proportionate to the origin determination and the commercial characteristics of the inventory system, while Annex G identifies any product-specific reconciliation period or enhanced control justified by material leakage risk. A material unexplained discrepancy or repeated implausible pattern may trigger risk-based individual verification under Chapter 12, while Chapter 17 may examine system-level patterns within its assigned verification function and Chapter 11 receives a referral only where the independent circumvention threshold assigned to that Chapter is reasonably implicated. Electronic inventory systems receive treatment equivalent to reliable paper systems, and ordinary discrepancies receive proportionate cure rather than automatic denial where the supported originating quantity remains determinable. No referral, pattern review, or enhanced verification under this paragraph transfers individual origin-determination authority away from Chapter 12 or creates a presumption against unrelated shipments.</w:t>
      </w:r>
    </w:p>
    <w:p>
      <w:pPr>
        <w:pStyle w:val="Heading2"/>
      </w:pPr>
      <w:r>
        <w:t xml:space="preserve">Article 10.9 - Sets, Mixtures, Composite Goods, and Packaging</w:t>
      </w:r>
    </w:p>
    <w:p>
      <w:pPr>
        <w:pStyle w:val="Heading3"/>
      </w:pPr>
      <w:r>
        <w:t>Category: Complex Goods Without Artificial Origin</w:t>
      </w:r>
    </w:p>
    <w:p>
      <w:pPr>
        <w:pStyle w:val="Normal"/>
      </w:pPr>
      <w:r>
        <w:t>10.9.1 A set, mixture, or composite good receives origin treatment under the product-specific rule applicable to the good as classified and objectively described. Annex G identifies any component-level requirement, non-originating-content ceiling, or special calculation necessary for that product family. A component does not automatically require separate originating status where the controlling rule evaluates the good as a whole. Conversely, classification as a set or mixture does not conceal an express component-specific requirement.</w:t>
      </w:r>
    </w:p>
    <w:p>
      <w:pPr>
        <w:pStyle w:val="Normal"/>
      </w:pPr>
      <w:r>
        <w:t>10.9.2 Retail packaging and containers presented with the good are disregarded for a tariff-shift test where the applicable classification rules treat them with the good, unless Annex G expressly provides otherwise. Their value enters an RVC or non-originating-content calculation where the controlling Annex G method expressly requires that treatment. Shipping and transport containers are disregarded as origin-determinative materials unless an applicable rule expressly assigns them a substantive role. Packaging treatment therefore follows the test being applied rather than a universal fiction.</w:t>
      </w:r>
    </w:p>
    <w:p>
      <w:pPr>
        <w:pStyle w:val="Normal"/>
      </w:pPr>
      <w:r>
        <w:t>10.9.3 Mixtures and composite goods containing sensitive inputs remain subject to any applicable Sensitive Input Register designation. Mixed-origin feed, seed, additives, ingredients, processing materials, and comparable inputs receive the treatment assigned by the controlling Annex G rule rather than an assumed all-originating or all-non-originating character. Blending or combining a sensitive non-originating material with originating material does not erase an express Annex G restriction, while a qualifying transformation or quantitative rule governs where Annex G deliberately assigns that treatment. The objective is genuine production qualification rather than ingredient nationality for its own sake.</w:t>
      </w:r>
    </w:p>
    <w:p>
      <w:pPr>
        <w:pStyle w:val="Normal"/>
      </w:pPr>
      <w:r>
        <w:t>10.9.4 Ordinary presentation, labeling, branding, or packaging choices do not independently create or destroy origin. A package alteration that forms part of substantive production is evaluated under the applicable product-specific rule. Administrative evidence identifies packaging facts only to the extent relevant to the controlling test. This Article prevents both artificial origin creation and unnecessary packaging bureaucracy.</w:t>
      </w:r>
    </w:p>
    <w:p>
      <w:pPr>
        <w:pStyle w:val="Heading2"/>
      </w:pPr>
      <w:r>
        <w:t xml:space="preserve">Article 10.10 - Neutral Elements and Indirect Materials</w:t>
      </w:r>
    </w:p>
    <w:p>
      <w:pPr>
        <w:pStyle w:val="Heading3"/>
      </w:pPr>
      <w:r>
        <w:t>Category: Non-Substantive Production Inputs</w:t>
      </w:r>
    </w:p>
    <w:p>
      <w:pPr>
        <w:pStyle w:val="Normal"/>
      </w:pPr>
      <w:r>
        <w:t>10.10.1 A neutral element or indirect material used in production without becoming an origin-determinative material in the final good is disregarded in determining origin unless Annex G expressly provides otherwise. Neutral elements include fuel, energy, machinery, tools, dies, molds, equipment, buildings, protective equipment, maintenance items, testing equipment, and comparable production infrastructure. Processing aids, catalysts, solvents, lubricants, water, steam, refrigeration, and comparable inputs receive the same treatment where they function as indirect materials. The origin of such an item therefore does not contaminate genuine North American production.</w:t>
      </w:r>
    </w:p>
    <w:p>
      <w:pPr>
        <w:pStyle w:val="Normal"/>
      </w:pPr>
      <w:r>
        <w:t>10.10.2 An item incorporated into the final good as a substantive material is not treated as neutral merely because it is described commercially as a catalyst, solvent, processing aid, indirect material, or other production input. Objective function, intentional incorporation, material presence beyond technically unavoidable residue, and any function performed in the finished good determine treatment under the applicable rule rather than the label selected by the claimant. Annex G controls where a product-specific rule requires tracing or valuation of an otherwise indirect input. This boundary prevents terminology or relabeling from converting a substantive material into a neutral element.</w:t>
      </w:r>
    </w:p>
    <w:p>
      <w:pPr>
        <w:pStyle w:val="Normal"/>
      </w:pPr>
      <w:r>
        <w:t>10.10.3 Ownership, nationality, or origin of production machinery and facilities does not determine the origin of goods produced with them. Software, information technology, logistics equipment, and quality-control systems receive neutral treatment where they are not themselves origin-determinative materials incorporated into the good. Use of foreign technology therefore does not by itself defeat agricultural origin. The substantive production facts remain controlling.</w:t>
      </w:r>
    </w:p>
    <w:p>
      <w:pPr>
        <w:pStyle w:val="Normal"/>
      </w:pPr>
      <w:r>
        <w:t>10.10.4 Evidence concerning neutral elements is required only to the extent reasonably necessary to resolve a disputed or product-specific origin question. Routine claims do not require cataloguing the nationality of every tool, machine, glove, building, or utility used in production. Annex G identifies exceptional tracing where genuine origin risk justifies it. This rule preserves enforcement capacity without turning indirect inputs into an administrative inventory of the entire factory.</w:t>
      </w:r>
    </w:p>
    <w:p>
      <w:pPr>
        <w:pStyle w:val="Heading2"/>
      </w:pPr>
      <w:r>
        <w:t xml:space="preserve">Article 10.11 - Transit, Transshipment, and Preservation of Origin</w:t>
      </w:r>
    </w:p>
    <w:p>
      <w:pPr>
        <w:pStyle w:val="Heading3"/>
      </w:pPr>
      <w:r>
        <w:t>Category: Third-Country Logistics Without Origin Laundering</w:t>
      </w:r>
    </w:p>
    <w:p>
      <w:pPr>
        <w:pStyle w:val="Normal"/>
      </w:pPr>
      <w:r>
        <w:t>10.11.1 Transit or transshipment through a non-Party does not by itself cause an originating good to lose originating status. This paragraph governs the permissibility of non-Party logistics operations, including storage, consolidation, deconsolidation, splitting, relabeling, repackaging, inspection, and preservation, where they remain legitimate logistics, compliance, or preservation operations rather than disqualifying production. The good remains identifiable as the originating good or corresponding portion of the originating consignment. Article 10.11.2 governs the identity, quantity, continuity, and evidentiary showing associated with those operations.</w:t>
      </w:r>
    </w:p>
    <w:p>
      <w:pPr>
        <w:pStyle w:val="Normal"/>
      </w:pPr>
      <w:r>
        <w:t>10.11.2 This paragraph governs the identity, quantity, continuity, and evidentiary consequences of non-Party handling permitted by Article 10.11.1. The claimant maintains evidence reasonably sufficient to reconcile the identity, description, quantity, and continuity of the originating goods before and after the non-Party handling where those facts are material to the claim. Splitting or consolidation does not authorize substitution of non-originating goods for originating goods or allocation of originating quantity beyond the quantity supported by the evidence. Chapter 12 governs the customs procedures and forms of evidence used to establish that continuity.</w:t>
      </w:r>
    </w:p>
    <w:p>
      <w:pPr>
        <w:pStyle w:val="Normal"/>
      </w:pPr>
      <w:r>
        <w:t>10.11.3 Customs control, carrier records, warehouse records, commercial documents, traceability records, or comparable reliable evidence support preservation of origin according to the circumstances. No single foreign-government certificate is universally required. The claimant supplies sufficient evidence to connect the exported originating good with the imported good where continuity is reasonably disputed. Evidence requirements remain proportionate to the route, product, risk, and nature of the intervening handling.</w:t>
      </w:r>
    </w:p>
    <w:p>
      <w:pPr>
        <w:pStyle w:val="Normal"/>
      </w:pPr>
      <w:r>
        <w:t>10.11.4 Transit through a non-Party does not convert non-originating goods into originating goods. Operations in a non-Party do not contribute North American production for accumulation under Chapter 10. Deliberate routing or handling structured to disguise origin routes to Chapter 11 where its independent elements are supported. Ordinary third-country logistics remain distinct from circumvention and retain only the origin-preservation treatment established by this Article.</w:t>
      </w:r>
    </w:p>
    <w:p>
      <w:pPr>
        <w:pStyle w:val="Heading2"/>
      </w:pPr>
      <w:r>
        <w:t xml:space="preserve">Article 10.12 - Certification and Preferential Claims</w:t>
      </w:r>
    </w:p>
    <w:p>
      <w:pPr>
        <w:pStyle w:val="Heading3"/>
      </w:pPr>
      <w:r>
        <w:t>Category: Minimum-Data Evidence Without a Permission Slip</w:t>
      </w:r>
    </w:p>
    <w:p>
      <w:pPr>
        <w:pStyle w:val="Normal"/>
      </w:pPr>
      <w:r>
        <w:t>10.12.1 A claim for preferential treatment is supported by an origin certification completed by the importer, exporter, producer, or another person expressly authorized by Chapter 12, except where Chapter 12 expressly waives certification or establishes a simplified claim procedure. The certification is not required to follow a prescribed form unless a later Compact provision establishes a standardized data interface. Electronic certification receives the same legal treatment as paper certification where authenticity and integrity are preserved. Certification evidences origin and does not create originating status.</w:t>
      </w:r>
    </w:p>
    <w:p>
      <w:pPr>
        <w:pStyle w:val="Normal"/>
      </w:pPr>
      <w:r>
        <w:t>10.12.2 The certification identifies the certifying person, the good through a Product Record ID or sufficient tariff and product description, the origin criterion claimed, the relevant production or claim period, and a statement that the good qualifies as originating. A signature or reliable electronic equivalent authenticates the certification. Additional information is requested only where objectively and reasonably necessary for administration or risk-based verification of the specific claim, and discretionary demands do not substitute for the evidence standards established by this Chapter. Routine certification does not require a complete production autobiography.</w:t>
      </w:r>
    </w:p>
    <w:p>
      <w:pPr>
        <w:pStyle w:val="Normal"/>
      </w:pPr>
      <w:r>
        <w:t>10.12.3 A certifier is entitled to rely reasonably on supplier declarations, producer information, accounting records, or other reliable evidence appropriate to the claimed criterion. Reasonable reliance does not require independent audit of every supplier absent information creating a material reason for further inquiry. The certifier retains the factual basis reasonably supporting the certification. Substantive origin remains governed by the actual facts where supporting information later proves materially inaccurate.</w:t>
      </w:r>
    </w:p>
    <w:p>
      <w:pPr>
        <w:pStyle w:val="Normal"/>
      </w:pPr>
      <w:r>
        <w:t>10.12.4 Confidential formulas, cost records, supplier information, production methods, or other protected business information are supplied directly to the competent authority where verification reasonably requires them. An importer or exporter does not lose access to the preference merely because confidential producer evidence is not commercially disclosed to that intermediary, but the authority provides a non-confidential explanation sufficient to identify any material deficiency, permit a meaningful response where possible, and preserve applicable review rights. Authorities protect confidential information under the applicable Compact and domestic-law safeguards. This channel separates proof to government from unnecessary commercial disclosure without leaving the claimant unable to understand or contest an adverse origin issue.</w:t>
      </w:r>
    </w:p>
    <w:p>
      <w:pPr>
        <w:pStyle w:val="Heading2"/>
      </w:pPr>
      <w:r>
        <w:t xml:space="preserve">Article 10.13 - Records, Verification, and Origin Determinations</w:t>
      </w:r>
    </w:p>
    <w:p>
      <w:pPr>
        <w:pStyle w:val="Heading3"/>
      </w:pPr>
      <w:r>
        <w:t>Category: Proof, Risk Calibration, and Burden Allocation</w:t>
      </w:r>
    </w:p>
    <w:p>
      <w:pPr>
        <w:pStyle w:val="Normal"/>
      </w:pPr>
      <w:r>
        <w:t>10.13.1 Records supporting an origin claim remain sufficiently complete, accessible, and traceable to demonstrate satisfaction of the applicable substantive rule. Where the claimant establishes entitlement through a simpler available pathway, an authority does not require calculation, documentation, or verification under a more complex alternative pathway unless a specific legal requirement or objective grounds raise a material question whether the simpler pathway establishes entitlement or indicate that additional information is materially relevant to the claim. Records are maintained electronically or in another reliable form preserving integrity and timely retrieval, and the applicable retention period follows Chapter 12 and each Party's lawful implementing requirements. Chapter 10 does not prescribe duplicative record systems where existing reliable records establish the required facts.</w:t>
      </w:r>
    </w:p>
    <w:p>
      <w:pPr>
        <w:pStyle w:val="Normal"/>
      </w:pPr>
      <w:r>
        <w:t>10.13.2 Verification of an individual origin claim is targeted, risk-calibrated, neutral in administration, and proportionate to the origin question presented. A verification request identifies the specific origin issue under examination and initially seeks information reasonably relevant to that issue, while a materially broader request states the additional factual or legal basis requiring broader inquiry. Documentary review, supplier-focused inquiry, trader-focused inquiry, product-focused inquiry, route-focused inquiry, or on-site activity proceeds through the customs authority and safeguards assigned by Chapter 12. Administrative delay in verification does not itself change substantive origin facts, authorize delay as a substitute for an adverse determination, or transfer individual-origin authority to Chapter 17.</w:t>
      </w:r>
    </w:p>
    <w:p>
      <w:pPr>
        <w:pStyle w:val="Normal"/>
      </w:pPr>
      <w:r>
        <w:t>10.13.3 The claimant bears responsibility for establishing entitlement to the preferential treatment claimed. The certifier bears responsibility for maintaining a reasonable factual basis for the certification, and a record-holder supplies relevant records properly required and within that person's possession or control. The competent authority states the factual and legal basis for an adverse origin determination. The authority bears the burden of establishing any separate allegation of fraud, deliberate evasion, circumvention, material misrepresentation, or other penalty-triggering misconduct.</w:t>
      </w:r>
    </w:p>
    <w:p>
      <w:pPr>
        <w:pStyle w:val="Normal"/>
      </w:pPr>
      <w:r>
        <w:t>10.13.4 An adverse origin determination is reasoned, claim-specific, and sufficiently detailed to identify the good, factual basis, legal basis, and route for correction or review. A clerical defect receives the correction treatment in Article 10.14 where its conditions are satisfied. A substantive failure receives the origin consequence assigned by Article 10.15 without automatic escalation into misconduct. Review, appeal, verification procedure, confidentiality, and institutional safeguards remain governed by the Chapters that own them.</w:t>
      </w:r>
    </w:p>
    <w:p>
      <w:pPr>
        <w:pStyle w:val="Heading2"/>
      </w:pPr>
      <w:r>
        <w:t xml:space="preserve">Article 10.14 - Corrections, Errors, and Good-Faith Claims</w:t>
      </w:r>
    </w:p>
    <w:p>
      <w:pPr>
        <w:pStyle w:val="Heading3"/>
      </w:pPr>
      <w:r>
        <w:t>Category: Cure Without Preference Destruction</w:t>
      </w:r>
    </w:p>
    <w:p>
      <w:pPr>
        <w:pStyle w:val="Normal"/>
      </w:pPr>
      <w:r>
        <w:t>10.14.1 A clerical or immaterial documentary error does not automatically invalidate an origin claim where the substantive origin facts support the claim. The affected person receives a reasonable opportunity to correct the defect through the applicable customs or verification procedure. Correction does not constitute an admission of fraud, circumvention, negligence, recklessness, or other misconduct. The corrected record preserves the original substantive origin result where the governing facts establish entitlement.</w:t>
      </w:r>
    </w:p>
    <w:p>
      <w:pPr>
        <w:pStyle w:val="Normal"/>
      </w:pPr>
      <w:r>
        <w:t>10.14.2 A defect is material where it prevents reliable determination of the applicable origin rule, conceals a substantive failure, or materially impairs a lawful verification inquiry. Repeated materially similar discrepancies, corrections, or claim failures are considered cumulatively in assessing verification risk and whether objective grounds exist for broader inquiry or referral, but repetition alone does not establish misconduct. A minor discrepancy that does not reasonably alter origin status, preferential treatment, or a material verification outcome receives correction rather than punitive treatment, subject to the procedures owned by Chapters 12 and 25. Chapter 10 does not manufacture punitive consequences from ordinary clerical imperfection or require authorities to disregard a genuine evidentiary pattern.</w:t>
      </w:r>
    </w:p>
    <w:p>
      <w:pPr>
        <w:pStyle w:val="Normal"/>
      </w:pPr>
      <w:r>
        <w:t>10.14.3 Where a supplier declaration or supporting record is corrected, downstream certifications are updated to the extent the correction materially affects them. A correction that reveals substantive non-originating status does not preserve preference merely because the original certification was made in good faith. Good faith remains relevant to penalties, cure, and any misconduct analysis under the Chapters owning those questions. Substantive entitlement and culpability therefore remain separate inquiries.</w:t>
      </w:r>
    </w:p>
    <w:p>
      <w:pPr>
        <w:pStyle w:val="Normal"/>
      </w:pPr>
      <w:r>
        <w:t>10.14.4 Correction procedures preserve a traceable history sufficient to distinguish the original claim, the corrected information, the reason for correction, and the resulting legal treatment. A correction does not erase evidence relevant to a legitimate verification or Chapter 11 inquiry. Administrative version control does not itself change origin. Chapter 22 governs broader transparency and controlled-record publication where applicable.</w:t>
      </w:r>
    </w:p>
    <w:p>
      <w:pPr>
        <w:pStyle w:val="Heading2"/>
      </w:pPr>
      <w:r>
        <w:t xml:space="preserve">Article 10.15 - Denial of Preferential Treatment and Chapter 11 Handoff</w:t>
      </w:r>
    </w:p>
    <w:p>
      <w:pPr>
        <w:pStyle w:val="Heading3"/>
      </w:pPr>
      <w:r>
        <w:t>Category: Origin Failure Versus Circumvention</w:t>
      </w:r>
    </w:p>
    <w:p>
      <w:pPr>
        <w:pStyle w:val="Normal"/>
      </w:pPr>
      <w:r>
        <w:t>10.15.1 An unresolved evidentiary deficiency supports denial of preferential treatment for the affected claim where the claimant does not establish entitlement under the applicable procedure. A substantive failure of the applicable origin rule results in non-originating treatment for the affected good or claim. Neither result automatically establishes fraud, circumvention, a penalty, retaliation, cross-sector consequence, or whole-Compact consequence. The importing Party applies the lawful treatment otherwise applicable to the non-originating good.</w:t>
      </w:r>
    </w:p>
    <w:p>
      <w:pPr>
        <w:pStyle w:val="Normal"/>
      </w:pPr>
      <w:r>
        <w:t>10.15.2 Chapter 10 asks whether the good originates under the applicable substantive rule. Chapter 11 asks whether conduct manipulates trade, routing, transformation, documentation, or supply chains to circumvent the Compact. A failure to originate is not circumvention, a documentation error is not fraud, a preference denial is not a penalty, and a correction is not an admission. Chapter 11 does not create a parallel or alternative origin test.</w:t>
      </w:r>
    </w:p>
    <w:p>
      <w:pPr>
        <w:pStyle w:val="Normal"/>
      </w:pPr>
      <w:r>
        <w:t>10.15.3 Credible evidence of deliberate manipulation, evasion, material deception, structured circumvention, or a relevant pattern of conduct supports referral for consideration under Chapter 11. A relevant pattern is assessed across materially connected claims, product families, facilities, traders, suppliers, or other entities where the evidence supports that connection, and claim-specific denial does not erase such evidence from later risk or misconduct analysis. The referring authority states the factual basis for the referral and distinguishes the evidence supporting examination from any ultimate allegation requiring proof under Chapter 11. Referral is not a determination, and Chapter 11 establishes its own elements through its own procedures.</w:t>
      </w:r>
    </w:p>
    <w:p>
      <w:pPr>
        <w:pStyle w:val="Normal"/>
      </w:pPr>
      <w:r>
        <w:t>10.15.4 Evidence used in an origin determination is available for a Chapter 11 inquiry where lawfully obtained and procedurally usable, but the origin determination does not itself prove circumvention. Chapter 11 uses Chapter 10's substantive origin result where relevant without recreating, expanding, or contracting the origin rule. Chapter 25 governs applicable cure, refund, and restoration procedures, and Chapter 26 governs remedies and disputes. This handoff preserves enforcement against evasion without converting ordinary eligibility failures into misconduct cases.</w:t>
      </w:r>
    </w:p>
    <w:p>
      <w:pPr>
        <w:pStyle w:val="Heading2"/>
      </w:pPr>
      <w:r>
        <w:t xml:space="preserve">Article 10.16 - Administration, Review, and Chapter Boundaries</w:t>
      </w:r>
    </w:p>
    <w:p>
      <w:pPr>
        <w:pStyle w:val="Heading3"/>
      </w:pPr>
      <w:r>
        <w:t>Category: Inherit Without Recreating</w:t>
      </w:r>
    </w:p>
    <w:p>
      <w:pPr>
        <w:pStyle w:val="Normal"/>
      </w:pPr>
      <w:r>
        <w:t>10.16.1 Chapter 12 owns customs administration, individual origin verification, origin-related advance rulings, and border-facilitation procedures relevant to origin claims. Chapter 17 owns system-level verification of liberalization and implementation where expressly applicable, and Chapter 18 owns independent technical or scientific review where applicable. Chapter 22 owns broader transparency and shared-registry functions, while Chapter 25 owns consultation, cure, refund, and restoration machinery. Chapter 26 owns remedies and dispute settlement.</w:t>
      </w:r>
    </w:p>
    <w:p>
      <w:pPr>
        <w:pStyle w:val="Normal"/>
      </w:pPr>
      <w:r>
        <w:t>10.16.2 Chapter 10 does not recreate the procedures, institutions, panels, committees, appeals, consultations, remedies, or enforcement machinery assigned to those Chapters. Origin-specific rules in Chapter 10 state only what is necessary to determine eligibility and preserve the integrity of that determination. Procedural implementation inherits the safeguards and authorities of the owning Chapter. This allocation prevents origin administration from becoming a second customs code inside the Compact.</w:t>
      </w:r>
    </w:p>
    <w:p>
      <w:pPr>
        <w:pStyle w:val="Normal"/>
      </w:pPr>
      <w:r>
        <w:t>10.16.3 Annex G forms the controlled product-specific origin-rule matrix for Chapter 10. Chapter 10 establishes the operative legal architecture, while product-by-product population, quantitative thresholds, Sensitive Input Register designations, and product-specific marine or vessel conditions proceed as a separate evidence-based drafting task before the relevant rules become implementation-ready. Objectively supported risk metadata or a Chapter 11 referral flag informs risk-based selection, scope, or intensity of Chapter 12 verification but does not alter substantive origin status, shift the claimant's underlying burden merely by existing, or create a presumption of circumvention. Formal changes to substantive Annex G rules proceed through Chapter 29 or another controlling amendment mechanism.</w:t>
      </w:r>
    </w:p>
    <w:p>
      <w:pPr>
        <w:pStyle w:val="Normal"/>
      </w:pPr>
      <w:r>
        <w:t>10.16.4 Periodic review does not suspend an origin rule, erase originating status established by the substantive facts for a completed claim, or create a new origin pathway by administrative silence. Technical nomenclature and concordance maintenance preserve substantive product scope under Chapter 3. Withdrawal and survival questions remain governed by Chapter 30. Chapter 10 therefore establishes the eligibility gate while leaving administration, verification, remedies, amendment, and final provisions to the Chapters that own them.</w:t>
      </w:r>
    </w:p>
    <w:p>
      <w:pPr>
        <w:pStyle w:val="Heading1"/>
      </w:pPr>
      <w:r>
        <w:t>Chapter 11 - Anti-Circumvention, Transshipment, and Fraud</w:t>
      </w:r>
    </w:p>
    <w:p>
      <w:pPr>
        <w:pStyle w:val="Heading2"/>
      </w:pPr>
      <w:r>
        <w:t>Article 11.1 - Purpose, Scope, and Institutional Boundary</w:t>
      </w:r>
    </w:p>
    <w:p>
      <w:pPr/>
      <w:r>
        <w:t>11.1.1 This Chapter protects the integrity of NAAFTC preferential treatment by detecting and remedying Circumvention, Transshipment Circumvention, and related deceptive conduct without creating a new substantive rule of origin. Chapter 10 and Annex G remain the exclusive sources of substantive agricultural origin requirements, and Chapter 12 remains the ordinary channel for transaction-level origin verification. An origin failure, evidentiary deficiency, classification correction, or good-faith accounting error does not become Circumvention unless the independent test in Article 11.3 is satisfied. This Chapter is interpreted to protect genuine North American production while preserving commercially usable treatment for legitimate trade.</w:t>
      </w:r>
    </w:p>
    <w:p>
      <w:pPr/>
      <w:r>
        <w:t>11.1.2 This Chapter applies to a formal claim for a benefit under this Compact, completed conduct materially directed toward obtaining that benefit, and conduct using other trade as a vehicle to obtain that benefit improperly. A pre-entry inquiry, advance request, planning exercise, application, or other preparatory communication does not by itself trigger Chapter 11, although knowingly false material submitted in such a process remains subject to applicable Fraud or domestic-law provisions. A Chapter 11 inquiry identifies evasive conduct and its proper consequence but does not replace the Chapter 12 determination of whether an individual good satisfies Chapter 10. The authority invoking this Chapter identifies the substantive NAAFTC eligibility condition allegedly defeated before imposing any Chapter 11 consequence.</w:t>
      </w:r>
    </w:p>
    <w:p>
      <w:pPr/>
      <w:r>
        <w:t>11.1.3 This Chapter does not create a safeguard, anti-dumping measure, countervailing measure, emergency restriction, or other trade remedy. Increased import competition, commercial inconvenience, political pressure, or dissatisfaction with a negotiated liberalization result does not expand the authority granted by this Chapter. Chapter 19 governs safeguards and emergency measures within its assigned scope, and Chapters 25 and 26 govern cure and remedies within theirs. An authority does not use Chapter 11 to obtain indirectly a restriction that another Chapter does not permit directly.</w:t>
      </w:r>
    </w:p>
    <w:p>
      <w:pPr/>
      <w:r>
        <w:t>11.1.4 Domestic criminal, civil, customs, and administrative laws concerning fraud, forgery, false declarations, obstruction, and comparable misconduct continue to operate to the extent consistent with this Compact. A Chapter 11 finding does not itself establish the elements of a domestic criminal offense or displace the procedural protections applicable under domestic law. Administrative consequences under this Chapter remain distinct from domestic penalties imposed for Fraud. Evidence may be shared between competent proceedings only where lawfully obtained and lawfully disclosed.</w:t>
      </w:r>
    </w:p>
    <w:p>
      <w:pPr/>
      <w:r>
        <w:t>11.1.5 This Chapter creates no private right of action, direct cause of action, or independent entitlement to damages against a Party. Traders receive the procedural rights, cure opportunities, review rights, and treatment protections expressly established by this Compact and applicable domestic law. Institutional functions remain with bodies already established under Chapters 12, 17, 22, 24, 25, and 26 rather than a new Chapter 11 institution. Administration of this Chapter therefore uses existing architecture and avoids duplicative bureaucracy.</w:t>
      </w:r>
    </w:p>
    <w:p>
      <w:pPr>
        <w:pStyle w:val="Heading2"/>
      </w:pPr>
      <w:r>
        <w:t>Article 11.2 - Defined Concepts and Interpretive Safeguards</w:t>
      </w:r>
    </w:p>
    <w:p>
      <w:pPr/>
      <w:r>
        <w:t>11.2.1 Circumvention means conduct or an arrangement that satisfies every cumulative element of Article 11.3 and materially obtains, preserves, enlarges, or attempts to obtain NAAFTC treatment by defeating or artificially satisfying a specified substantive eligibility condition of this Compact. Circumvention requires more than an unsuccessful claim, procedural defect, documentation deficiency, commercial novelty, or an authority's suspicion. The conduct may occur through one transaction or a connected series of transactions where the required causal connection is established. This definition does not incorporate Commercial Substance or Artificial Arrangement as independent elements and does not add a substantive origin requirement to Chapter 10 or Annex G.</w:t>
      </w:r>
    </w:p>
    <w:p>
      <w:pPr/>
      <w:r>
        <w:t>11.2.2 Commercial Substance means a genuine economic or commercial function supported by objective facts beyond acquisition of an improper NAAFTC benefit, and it operates only as evidence relevant to Article 11.3 rather than as a separate eligibility condition. An Artificial Arrangement means a transaction, structure, or series whose asserted legal, documentary, economic, or physical characterization materially misstates the activity actually relied upon to satisfy a specified NAAFTC condition, and the label alone does not establish Circumvention. A legitimate arrangement does not lose Commercial Substance merely because it is tax-efficient, logistically efficient, related-party, novel, small-scale, automated, restructured, cost-reducing, diversified, or deliberately organized to use a lawful preference. The authority evaluates actual facts without imposing historical industry practice, a preferred business model, or an unwritten weighting formula.</w:t>
      </w:r>
    </w:p>
    <w:p>
      <w:pPr/>
      <w:r>
        <w:t>11.2.3 Transshipment Circumvention means routing, substitution, concealment, or handling that satisfies Article 11.3 by obscuring or defeating a condition governing origin or preferential treatment. Mere transit through a Party or non-Party, including operations permitted by Article 10.11, is not Transshipment Circumvention. Enhanced Verification means a temporary, targeted, risk-based Chapter 12 inquiry supported by objective indicators and limited to the matter that justified referral. Enhanced Verification does not become a permanent gate, separate origin test, or presumption of wrongdoing.</w:t>
      </w:r>
    </w:p>
    <w:p>
      <w:pPr/>
      <w:r>
        <w:t>11.2.4 Fraud for purposes of this Chapter means a knowing material falsification, concealment, misrepresentation, or deceptive act concerning a fact relevant to NAAFTC treatment. Fraud is distinct from Circumvention because Circumvention may be established through objective evasive design without proving a knowing false statement. A Pattern of Conduct means related transactions, suppliers, facilities, routes, accounting methods, or other facts that collectively satisfy the evidentiary requirements of Article 11.10. Neither term creates a presumption from one discrepancy, one unusual transaction, or one association.</w:t>
      </w:r>
    </w:p>
    <w:p>
      <w:pPr/>
      <w:r>
        <w:t>11.2.5 Safe Harbor means the protection established by Article 11.15 for a trader that acted in good faith and satisfied the applicable reliance and correction requirements. Restoration means automatic return to ordinary NAAFTC treatment after verified cure or completion of the proportionate consequence assigned under this Chapter. These concepts preserve correction and rehabilitation rather than permanent exclusion. A Safe Harbor or Restoration rule does not shield proven Fraud or prevent a lawful consequence for conduct outside the protected scope.</w:t>
      </w:r>
    </w:p>
    <w:p>
      <w:pPr>
        <w:pStyle w:val="Heading2"/>
      </w:pPr>
      <w:r>
        <w:t>Article 11.3 - Four-Element Circumvention Test</w:t>
      </w:r>
    </w:p>
    <w:p>
      <w:pPr/>
      <w:r>
        <w:t>11.3.1 A finding of Circumvention requires proof of four cumulative elements: a formal NAAFTC benefit claimed or completed conduct materially directed toward obtaining that benefit, failure or artificial satisfaction of a specified substantive eligibility condition, an Objective Evasive Element, and a causal connection between the evasive conduct and the improper benefit. A minor procedural defect, documentation deficiency, administrative omission, or ordinary evidentiary failure does not satisfy the second element unless deliberately used to conceal or accomplish failure of the specified substantive condition. Failure to establish any one element defeats the Chapter 11 finding without prejudging an ordinary Chapter 10 or Chapter 12 determination. The authority identifies each element separately in its written determination and states the evidence supporting it.</w:t>
      </w:r>
    </w:p>
    <w:p>
      <w:pPr/>
      <w:r>
        <w:t>11.3.2 Objective Evasive Element means objectively verifiable conduct materially adapted to avoid, obscure, misstate, or artificially satisfy a specified substantive NAAFTC eligibility condition. Commercial novelty, innovation, automation, restructuring, supply-chain diversification, cost reduction, tax planning, preference planning, or departure from historical industry practice does not create an adverse inference without additional evidence connecting the conduct to defeat of that specified condition. Evidence of commercial practice may inform the inquiry only where the authority identifies the relevant comparison, explains its factual basis, and accounts for material differences in role, scale, technology, geography, product, and business model. No single factor, unexplained deviation, or asserted industry norm creates a presumption of Circumvention.</w:t>
      </w:r>
    </w:p>
    <w:p>
      <w:pPr/>
      <w:r>
        <w:t>11.3.3 The causal-connection element requires evidence that the challenged conduct materially enabled or concealed the improper satisfaction of the specified substantive condition and thereby produced or was materially directed toward producing the claimed preferential benefit. Mere preparation, temporal association, commercial planning, or an unsuccessful inquiry does not satisfy the causal requirement. Where several acts contribute to the result, the authority identifies the acts that materially contributed and does not attribute unrelated conduct by association. The consequence remains limited to the conduct and treatment supported by that causal showing.</w:t>
      </w:r>
    </w:p>
    <w:p>
      <w:pPr/>
      <w:r>
        <w:t>11.3.4 The affected trader receives a meaningful opportunity to rebut the proposed finding by showing Commercial Substance, an independent business rationale, reliable contrary evidence, good-faith reliance, or absence of a required element. An adverse inference from non-production is permitted only for specifically identified information reasonably within the trader's possession or control after lawful request, adequate time, notice of the possible inference, and consideration of privilege, confidentiality, impossibility, and disproportionate burden. No adverse inference arises from silence alone, refusal to waive privilege, inability to obtain third-party information outside the trader's control, or exercise of a protected procedural right. An inference never relieves the authority of its burden under Article 11.12.1.</w:t>
      </w:r>
    </w:p>
    <w:p>
      <w:pPr/>
      <w:r>
        <w:t>11.3.5 A Circumvention finding is specific to the transactions, products, entities, facilities, routes, accounting methods, or other defined scope supported by the evidence. It does not automatically establish Fraud, invalidate every origin claim of the affected trader, or contaminate other participants in the supply chain. A broader scope requires independent evidence satisfying this Article for that broader scope, including any Pattern of Conduct relied upon. Review and appeal follow Article 11.12 and the applicable domestic or Compact procedure.</w:t>
      </w:r>
    </w:p>
    <w:p>
      <w:pPr>
        <w:pStyle w:val="Heading2"/>
      </w:pPr>
      <w:r>
        <w:t>Article 11.4 - Commercial Substance and Artificial Arrangements</w:t>
      </w:r>
    </w:p>
    <w:p>
      <w:pPr/>
      <w:r>
        <w:t>11.4.1 The Commercial Substance inquiry examines whether the challenged arrangement performs a genuine economic or commercial function and whether its documentary form corresponds reasonably to actual activity. Relevant factors may include business rationale, capital investment, assumption of commercial risk, personnel, production capacity, physical handling, payment flows, ownership, contractual responsibility, and the relationship between records and movement of goods. No single factor is necessary or sufficient, and the weight of each factor depends on the commercial context. The inquiry does not create a minimum factory size, employee count, investment amount, or preferred organizational structure.</w:t>
      </w:r>
    </w:p>
    <w:p>
      <w:pPr/>
      <w:r>
        <w:t>11.4.2 Legitimate tolling, contract manufacturing, co-packing, shared warehousing, third-party logistics, centralized purchasing, financing, hedging, and related-party arrangements are not Circumvention merely because they reduce cost or facilitate NAAFTC treatment. An authority challenging such an arrangement establishes the Article 11.3 elements rather than treating the business model as inherently suspect. A documented independent business purpose is relevant evidence of Commercial Substance but does not create an irrebuttable safe harbor where contrary objective evidence establishes evasion. The authority evaluates substance across the actual period and transactions at issue.</w:t>
      </w:r>
    </w:p>
    <w:p>
      <w:pPr/>
      <w:r>
        <w:t>11.4.3 A change in ownership, invoicing location, contractual counterparty, payment route, warehouse, carrier, or distribution channel does not by itself constitute Circumvention. A change may contribute to an Objective Evasive Element where it materially disconnects documentary form from physical or economic reality and causes the improper benefit. Ordinary restructuring, succession, seasonal sourcing, emergency logistics, and supply diversification remain lawful where the applicable NAAFTC conditions continue to be satisfied. The authority records why the challenged change matters to the specific condition allegedly defeated.</w:t>
      </w:r>
    </w:p>
    <w:p>
      <w:pPr/>
      <w:r>
        <w:t>11.4.4 Related-party transactions may receive targeted scrutiny where objective risk indicators justify review, but affiliation does not create a presumption of Artificial Arrangement or improper valuation. The inquiry uses the valuation rules, related-party controls, and evidentiary safeguards assigned by Chapters 10 and 12. A Party does not convert ordinary transfer-pricing, tax, or corporate-organization questions into Chapter 11 violations unless Article 11.3 is independently satisfied. Information demands remain proportionate to the identified risk and do not become general corporate discovery.</w:t>
      </w:r>
    </w:p>
    <w:p>
      <w:pPr/>
      <w:r>
        <w:t>11.4.5 The Commercial Substance test does not authorize an authority to impose a stricter transformation, value-content, sourcing, processing, or ownership requirement than Chapter 10 and Annex G establish. An arrangement that actually satisfies the controlling substantive origin rule is not Circumvention merely because another production structure would contain more North American value. Chapter 11 addresses evasion of the negotiated rule rather than dissatisfaction with the rule itself. Any substantive change to an origin requirement follows the amendment architecture of this Compact.</w:t>
      </w:r>
    </w:p>
    <w:p>
      <w:pPr>
        <w:pStyle w:val="Heading2"/>
      </w:pPr>
      <w:r>
        <w:t>Article 11.5 - Transshipment and Routing Circumvention</w:t>
      </w:r>
    </w:p>
    <w:p>
      <w:pPr/>
      <w:r>
        <w:t>11.5.1 Transit through a non-Party or another Party does not impair originating status where Article 10.11 is satisfied, and lawful routing does not become Circumvention merely because a shorter or more direct route existed. Storage, consolidation, deconsolidation, splitting, relabeling, repackaging, inspection, preservation, and other operations permitted by Article 10.11 remain permissible within its conditions. Chapter 11 applies where routing or handling satisfies Article 11.3 by concealing origin, substituting goods, falsifying continuity, or defeating another express condition. The authority therefore proves the evasive connection rather than inferring it from geography alone.</w:t>
      </w:r>
    </w:p>
    <w:p>
      <w:pPr/>
      <w:r>
        <w:t>11.5.2 Substitution of non-originating goods for goods represented as originating during transit is relevant evidence of an Objective Evasive Element where the substitution is connected to a preferential claim. The evidentiary weight of substitution depends on the circumstances, records, control of the goods, explanation offered, and connection to the specified substantive condition. Ordinary loss replacement, emergency logistics, carrier error, or another documented event does not create a presumption of Circumvention merely because physical goods changed during transit. The authority retains the burden of establishing every Article 11.3 element.</w:t>
      </w:r>
    </w:p>
    <w:p>
      <w:pPr/>
      <w:r>
        <w:t>11.5.3 A specific route, facility, carrier, warehouse, or transshipment pattern may be referred for Enhanced Verification where objective indicators establish a material risk of Transshipment Circumvention. The referral identifies the risk, affected scope, information reasonably required, and review period. It does not suspend preference for unrelated goods or traders and does not create a permanent route blacklist. Article 11.11 governs duration, review, and return to ordinary treatment.</w:t>
      </w:r>
    </w:p>
    <w:p>
      <w:pPr/>
      <w:r>
        <w:t>11.5.4 Routing a non-originating good through a Party does not make the good originating, create accumulation, or contribute originating value except to the extent Chapter 10 expressly permits qualifying production or inputs. A Party does not treat mere entry, storage, invoicing, or export from its territory as a substitute for the applicable Annex G rule. Repeated routing designed to create a false appearance of regional production may support a Pattern of Conduct under Article 11.10. Legitimate regional distribution hubs remain protected where their records and physical operations correspond to the treatment claimed.</w:t>
      </w:r>
    </w:p>
    <w:p>
      <w:pPr/>
      <w:r>
        <w:t>11.5.5 A Transshipment Circumvention finding identifies the affected good, route or handling event, defeated condition, evidence of continuity failure or substitution, and causal connection to the benefit. The finding does not automatically contaminate every shipment using the same port, carrier, warehouse, or intermediary. Where the evidence identifies a broader coordinated scheme, the authority may define that broader scope only through Article 11.10 and the procedural safeguards of Article 11.12. Consequences and restoration follow Articles 11.14 and 11.15.</w:t>
      </w:r>
    </w:p>
    <w:p>
      <w:pPr>
        <w:pStyle w:val="Heading2"/>
      </w:pPr>
      <w:r>
        <w:t>Article 11.6 - Transformation and Minimal-Processing Manipulation</w:t>
      </w:r>
    </w:p>
    <w:p>
      <w:pPr/>
      <w:r>
        <w:t>11.6.1 Chapter 10.4.2 and Annex G control whether processing is sufficient for origin, and this Article creates no separate transformation threshold. Mixing, sorting, dilution, repackaging, relabeling, simple assembly, preservation, or another limited operation becomes relevant to Chapter 11 only where the Article 11.3 test is satisfied. A transformation that satisfies the applicable Annex G rule is not Circumvention merely because the operation is economically modest or technologically simple. An authority does not rewrite the negotiated product-specific rule through a Commercial Substance inquiry.</w:t>
      </w:r>
    </w:p>
    <w:p>
      <w:pPr/>
      <w:r>
        <w:t>11.6.2 A transformation arrangement may support a Chapter 11 finding where the production or commercial activity asserted as satisfying an Annex G rule did not materially occur, was materially misdescribed, or was staged only in documentary form. Legitimate tolling, co-packing, contract manufacturing, shared facilities, automated production, low-labor processing, and other genuine arrangements are not treated as paper-only operations merely because their physical footprint is limited. The authority identifies the actual operation, the Annex G condition relied upon, and the objective evidence showing the asserted qualifying activity was absent or materially misrepresented. This Article does not impose a minimum processing intensity beyond Chapter 10 and Annex G.</w:t>
      </w:r>
    </w:p>
    <w:p>
      <w:pPr/>
      <w:r>
        <w:t>11.6.3 Related producers may divide operations among facilities for legitimate commercial reasons, and aggregation is not automatic. Repeated minimal operations across related entities may support a Pattern of Conduct only where objective evidence shows coordinated use of the structure to defeat a specific condition. Each facility and operation receives treatment consistent with its actual role in production. The authority does not aggregate unrelated enterprises merely because they share ownership, customers, advisers, or logistics providers.</w:t>
      </w:r>
    </w:p>
    <w:p>
      <w:pPr/>
      <w:r>
        <w:t>11.6.4 Processing in a non-Party contributes to origin only to the extent Chapter 10 expressly permits, and otherwise remains non-originating for the applicable calculation or rule. Routing a good through a non-Party for lawful processing is not Circumvention merely because that processing does not count toward origin. Chapter 11 applies where the processing, routing, or documentation is used to conceal the non-originating character of the relevant operation and Article 11.3 is satisfied. Article 10.11 continues to govern preservation of originating status during permitted transit operations.</w:t>
      </w:r>
    </w:p>
    <w:p>
      <w:pPr/>
      <w:r>
        <w:t>11.6.5 A good-faith classification disagreement, later-corrected classification, or technically reasonable interpretation does not constitute circumvention merely because the final classification differs. Classification or input manipulation requires satisfaction of the Article 11.3 Circumvention Test and, where Fraud is alleged, the separate Fraud test in Article 11.16.1. Correction of an ordinary classification error proceeds under the applicable Chapter 3, Chapter 10, and Chapter 12 procedures without punitive inference. Technical or scientific evidence is used where relevant to establish the character, function, composition, or treatment of the good or input.</w:t>
      </w:r>
    </w:p>
    <w:p>
      <w:pPr>
        <w:pStyle w:val="Heading2"/>
      </w:pPr>
      <w:r>
        <w:t>Article 11.7 - Classification, Ingredient, and Input Manipulation</w:t>
      </w:r>
    </w:p>
    <w:p>
      <w:pPr/>
      <w:r>
        <w:t>11.7.1 Classification manipulation means use of a materially false or artificially structured classification claim that satisfies Article 11.3 by obtaining a more favorable origin or eligibility rule. A good-faith classification disagreement, including one later corrected by the competent authority, is not Circumvention without an independent Objective Evasive Element. Ordinary classification disputes follow Chapters 3 and 12 and the applicable domestic review procedure. Chapter 11 addresses the evasive conduct rather than becoming an alternative classification tribunal.</w:t>
      </w:r>
    </w:p>
    <w:p>
      <w:pPr/>
      <w:r>
        <w:t>11.7.2 Ingredient splitting, micro-ingredient dilution, re-description of an input, or processing-aid characterization supports Circumvention only where the conduct has a material connection to defeating or artificially satisfying a specified Chapter 10 or Annex G condition. Ordinary formulation changes, lawful blending, low-percentage ingredients, product development, or use of a legitimate processing aid does not create an adverse inference merely because preferential treatment improves. The authority applies Article 10.10 and the controlling Annex G rule before determining whether the challenged treatment concerns a substantive input or a neutral element. Technical or scientific evidence is used where necessary to establish composition, function, quantity, or material effect.</w:t>
      </w:r>
    </w:p>
    <w:p>
      <w:pPr/>
      <w:r>
        <w:t>11.7.3 A non-originating input does not become a neutral element, processing aid, indirect material, or excluded input merely because a trader assigns that label to it. Article 10.10 and Annex G control the substantive classification of those inputs, including any Sensitive Input designation. Chapter 11 applies where objective evidence establishes that the characterization was structured or used to defeat the controlling treatment. Legitimate processing aids and neutral elements remain protected from recharacterization based solely on enforcement convenience.</w:t>
      </w:r>
    </w:p>
    <w:p>
      <w:pPr/>
      <w:r>
        <w:t>11.7.4 Ingredient and input findings may rely on commercial records, formulas, bills of material, production records, laboratory evidence, physical inspection, supplier information, and other reliable evidence proportionate to the issue. Scientific or technical evidence is required where the finding depends materially on composition, function, transformation, or another technical characteristic not reasonably established from ordinary records. The affected trader receives enough non-confidential information to understand and answer the technical case. Confidential formulas and proprietary information remain protected under Article 11.12 and Chapter 22.</w:t>
      </w:r>
    </w:p>
    <w:p>
      <w:pPr/>
      <w:r>
        <w:t>11.7.5 A classification, ingredient, or input finding remains limited to the goods and transactions supported by the evidence unless Article 11.10 establishes a broader Pattern of Conduct. One erroneous ingredient declaration does not automatically invalidate every product made at the facility or every claim involving the supplier. The authority identifies any affected Product Record ID, Annex G rule, and relevant period with reasonable precision. Correction, consequence, and restoration follow the culpability and proportionality architecture of Articles 11.14 and 11.15.</w:t>
      </w:r>
    </w:p>
    <w:p>
      <w:pPr>
        <w:pStyle w:val="Heading2"/>
      </w:pPr>
      <w:r>
        <w:t>Article 11.8 - Fungible Inventory and Accounting Circumvention</w:t>
      </w:r>
    </w:p>
    <w:p>
      <w:pPr/>
      <w:r>
        <w:t>11.8.1 Article 10.8 controls the substantive treatment of fungible goods, inventory methods, physical plausibility, reconciliation, and supported originating quantity. Inventory Circumvention occurs only where use or manipulation of an accounting method, production run, inventory transfer, or reconciliation process satisfies Article 11.3. An unsupported quantity remains subject to Chapter 10 treatment even where Circumvention is not established. Chapter 11 therefore addresses evasive manipulation rather than converting every inventory discrepancy into misconduct.</w:t>
      </w:r>
    </w:p>
    <w:p>
      <w:pPr/>
      <w:r>
        <w:t>11.8.2 Inventory Circumvention includes a materially inconsistent accounting-method change, production-run fragmentation, inventory transfer, or allocation practice that overstates originating quantity or artificially satisfies a Chapter 10 or Annex G condition. A lawful accounting change is not Circumvention merely because it improves preferential eligibility where it follows a documented business or accounting rationale, preserves opening and closing balances, and complies with Article 10.8. The authority evaluates consistency, material effect, reconciliation records, physical plausibility, and whether the change reallocates non-originating content into completed or preferential transactions contrary to the governing method. Terms such as opportunistic, unusual, or favorable do not substitute for the Article 11.3 elements.</w:t>
      </w:r>
    </w:p>
    <w:p>
      <w:pPr/>
      <w:r>
        <w:t>11.8.3 Timing of an inventory-method change is relevant only where an applicable Annex G reconciliation period or other objective record establishes a meaningful temporal relationship between the change and the challenged preferential allocation. No undefined period such as shortly before or after creates suspicion, a presumption, or an independent violation. A change outside a specified reconciliation period may still be considered with other evidence where its material causal connection is independently demonstrated under Article 11.3. The authority states the temporal basis relied upon and does not infer Circumvention from timing alone.</w:t>
      </w:r>
    </w:p>
    <w:p>
      <w:pPr/>
      <w:r>
        <w:t>11.8.4 Repeated physically implausible or materially unreconciled inventory patterns may support a targeted Chapter 12 Enhanced Verification referral. The referral identifies the affected product, facility, pool, accounting method, and period rather than extending automatically to the sector or enterprise as a whole. Chapter 17 may analyze system-level patterns within its assigned verification function without determining individual origin. Chapter 11 receives any resulting evidence subject to the procedural and confidentiality protections of Article 11.12.</w:t>
      </w:r>
    </w:p>
    <w:p>
      <w:pPr/>
      <w:r>
        <w:t>11.8.5 A single inventory discrepancy, ordinary shrinkage variance, clerical correction, or good-faith reconciliation error is not Circumvention unless the Article 11.3 elements are independently established. Repetition may become relevant where the frequency, timing, direction, and commercial effect support an Objective Evasive Element. The authority distinguishes random error from systematically favorable error and records the basis for that distinction. Consequences remain proportionate to the quantity, period, entity, and conduct actually established.</w:t>
      </w:r>
    </w:p>
    <w:p>
      <w:pPr>
        <w:pStyle w:val="Heading2"/>
      </w:pPr>
      <w:r>
        <w:t>Article 11.9 - Supplier, Affiliate, and Documentation Networks</w:t>
      </w:r>
    </w:p>
    <w:p>
      <w:pPr/>
      <w:r>
        <w:t>11.9.1 Supplier Network Circumvention may include use of shell suppliers, circular invoicing, declaration laundering, artificial related-party chains, fictitious intermediaries, or other network structures that satisfy Article 11.3. The authority examines whether documentation corresponds to physical goods, commercial responsibility, payment flows, production capability, and actual supplier relationships. Shared addresses, personnel, ownership, advisers, or service providers are risk indicators rather than proof by themselves. Legitimate group purchasing, centralized invoicing, cooperatives, brokers, and affiliated supply chains remain permissible.</w:t>
      </w:r>
    </w:p>
    <w:p>
      <w:pPr/>
      <w:r>
        <w:t>11.9.2 A supplier's inaccurate declaration does not automatically make an importer, processor, exporter, or downstream customer a participant in Circumvention. The authority distinguishes good-faith reliance, negligent failure, knowing participation, objective Circumvention, and Fraud according to Articles 11.14, 11.15, and 11.16.1. A downstream trader receives the Safe Harbor in Article 11.15 where its reliance was reasonable and it lacked actual or reasonably apparent warning signs requiring further inquiry. The Safe Harbor does not convert unsupported origin into originating status but governs culpability and consequence.</w:t>
      </w:r>
    </w:p>
    <w:p>
      <w:pPr/>
      <w:r>
        <w:t>11.9.3 Documentation-network analysis may consider consistency among supplier declarations, invoices, purchase orders, payment records, transport records, production capacity, inventory records, addresses, personnel, and physical flows. Circular or duplicate documents receive scrutiny where they materially support the claimed NAAFTC benefit. Missing records caused by bankruptcy, closure, disaster, ordinary retention expiry, or another legitimate event do not alone establish Circumvention. Chapter 12 determines the evidentiary consequence for an individual origin claim where Chapter 11 misconduct is not established.</w:t>
      </w:r>
    </w:p>
    <w:p>
      <w:pPr/>
      <w:r>
        <w:t>11.9.4 A supplier-network finding does not extend to an additional trader, supplier, affiliate, facility, route, product, transaction class, or period unless the authority separately demonstrates an evidentiary nexus connecting that additional scope to the proven evasive mechanism. Shared ownership, warehouse, carrier, broker, supplier, service provider, nationality, route, address, or commercial association does not by itself establish that nexus. The authority identifies the connecting facts and explains why they materially support inclusion of each additional scope. Unconnected participants retain ordinary treatment and are not required to disprove another entity's misconduct.</w:t>
      </w:r>
    </w:p>
    <w:p>
      <w:pPr/>
      <w:r>
        <w:t>11.9.5 Where objective evidence identifies elevated risk associated with a specific supplier, facility, declaration stream, or transaction class, the authority may refer that defined scope for temporary Enhanced Verification under Article 11.11. The referral does not create sector-wide preclearance or require unrelated traders to prove a negative. The authority provides a non-confidential explanation sufficient for affected traders to understand the scope and basis of the referral. Ordinary treatment resumes when the referral expires or the identified risk is resolved.</w:t>
      </w:r>
    </w:p>
    <w:p>
      <w:pPr>
        <w:pStyle w:val="Heading2"/>
      </w:pPr>
      <w:r>
        <w:t>Article 11.10 - Pattern and Coordinated Conduct</w:t>
      </w:r>
    </w:p>
    <w:p>
      <w:pPr/>
      <w:r>
        <w:t>11.10.1 A Pattern of Conduct requires related evidence whose frequency, timing, concentration, recurrence, commercial effect, or other objective relationship materially supports the same alleged evasive mechanism. Where statistical or sampled evidence materially supports the finding, the authority identifies the relevant population, sampling basis, methodology, material assumptions, known limitations, and the reason the result is probative in the circumstances. Statistical significance is used where appropriate to the method but is not required for documentary, physical, transactional, or other non-statistical pattern evidence. Pattern analysis does not replace proof of the Article 11.3 elements for the scope ultimately subjected to a Chapter 11 consequence.</w:t>
      </w:r>
    </w:p>
    <w:p>
      <w:pPr/>
      <w:r>
        <w:t>11.10.2 Individual transactions within an alleged pattern retain their ordinary legal treatment unless they are specifically implicated or the broader evidence reliably establishes their inclusion. A pattern finding does not retroactively invalidate completed transactions merely because they share a supplier, facility, route, or accounting method with affected transactions. Fraud, deliberate concealment, or another express reopening ground may support transaction-specific retrospective action under the applicable law. The finality and reopening rules assigned elsewhere in this Compact remain controlling within their respective scope.</w:t>
      </w:r>
    </w:p>
    <w:p>
      <w:pPr/>
      <w:r>
        <w:t>11.10.3 Coordinated conduct among related or unrelated entities may be considered where reliable evidence shows a common plan, shared mechanism, reciprocal arrangement, or deliberately complementary acts directed at defeating the same NAAFTC condition. Parallel commercial behavior, use of common service providers, or response to the same market incentive does not by itself establish coordination. The authority distinguishes genuine coordination from lawful competition and industry practice. Each entity receives an opportunity to rebut the evidence attributed to it.</w:t>
      </w:r>
    </w:p>
    <w:p>
      <w:pPr/>
      <w:r>
        <w:t>11.10.4 A supported Pattern of Conduct may justify prospective Enhanced Verification only for the affected scope and only for the period authorized by Article 11.11.3 or another express Chapter 12 rule. Pattern-based treatment terminates automatically when its authorized period expires or when verified correction and a defined clean-compliance period established in the referral record demonstrate that the pattern no longer persists, whichever occurs first. Continued or renewed treatment requires materially current evidence and a new reasoned determination rather than reliance on historical status alone. Pattern consequences remain subject to periodic proportionality review and the Restoration rules of Article 11.15.</w:t>
      </w:r>
    </w:p>
    <w:p>
      <w:pPr/>
      <w:r>
        <w:t>11.10.5 Overperformance, excess compliance, or unrelated good conduct does not erase established Circumvention in another transaction, but neither does misconduct in one area create a presumption in another. The authority evaluates each legally relevant scope on its own evidence while considering a proven pattern only to the extent logically connected. Pattern evidence does not automatically establish Fraud. Restoration follows Article 11.15 when the affected conduct ceases and the applicable cure is verified.</w:t>
      </w:r>
    </w:p>
    <w:p>
      <w:pPr>
        <w:pStyle w:val="Heading2"/>
      </w:pPr>
      <w:r>
        <w:t>Article 11.11 - Risk Indicators and Enhanced Verification Referral</w:t>
      </w:r>
    </w:p>
    <w:p>
      <w:pPr/>
      <w:r>
        <w:t>11.11.1 Chapter 11 identifies risk indicators and referral grounds but does not conduct the transaction-level origin verification assigned to Chapter 12. Objective indicators may include unusual routing, unexplained price deviations, implausible inventory patterns, sudden unexplained production changes, repeated favorable corrections, supplier structures lacking apparent commercial function, or other facts materially connected to an identified origin risk. Each indicator is non-dispositive and creates no presumption of Circumvention, Fraud, or non-origin. Risk models are periodically tested for effectiveness, discrimination, false positives, and unnecessary administrative burden.</w:t>
      </w:r>
    </w:p>
    <w:p>
      <w:pPr/>
      <w:r>
        <w:t>11.11.2 A Chapter 11 referral to Chapter 12 does not itself suspend preferential treatment, impose preclearance, or authorize documentation beyond Chapters 10 and 12. Enhanced Verification remains commercially usable and uses the least burdensome lawful means reasonably capable of resolving the identified risk, including electronic records and sampling where appropriate. Delay, document requests, inspection intensity, or routing requirements are not used to accomplish in practice a suspension that this Compact does not authorize directly. Any separate suspension or security measure requires its own legal basis, written reasons, scope, and duration.</w:t>
      </w:r>
    </w:p>
    <w:p>
      <w:pPr/>
      <w:r>
        <w:t>11.11.3 Enhanced Verification begins when the trader receives written notice of the targeted inquiry and ordinarily concludes within 90 calendar days. The responsible Chapter 12 authority may grant one reasoned extension not exceeding 60 additional calendar days where unresolved material evidence reasonably requires additional time, and the notice identifies the remaining issue and expected completion date. At expiration of the applicable period, ordinary treatment resumes automatically unless Chapter 12 has issued a determination or another independently authorized measure lawfully applies. A substantially identical referral is not renewed or reissued to evade these limits absent materially new evidence stated in writing.</w:t>
      </w:r>
    </w:p>
    <w:p>
      <w:pPr/>
      <w:r>
        <w:t>11.11.4 A referral does not authorize documentation requirements beyond Chapters 10 and 12 except where an existing provision permits targeted information reasonably necessary to resolve the identified risk. Authorities use existing records and data channels where reasonably sufficient and avoid duplicative submissions. Risk information may be shared among the Parties through ALVS or another agreed channel subject to Chapter 17, Chapter 22, confidentiality, data minimization, and domestic law. Shared risk information remains subject to correction where materially inaccurate or outdated.</w:t>
      </w:r>
    </w:p>
    <w:p>
      <w:pPr/>
      <w:r>
        <w:t>11.11.5 Risk systems maintain auditable records sufficient to evaluate effectiveness, false positives, administrative burden, disparate effects, and consistency across Parties, products, routes, business models, and trader sizes. An affected trader receives the material non-privileged criteria and reasoning necessary to understand and contest an individual referral, while model weights, thresholds, security rules, confidential intelligence, and detection logic may remain protected where disclosure would materially impair enforcement. Periodic aggregate review tests whether proxy variables or model operation create unjustified country, commodity, route, ownership, or small-trader disparities inconsistent with Article 11.13. Where review identifies material over-referral, systematic false positives, or discriminatory operation, the responsible authority corrects the affected model or practice and discontinues unsupported referrals.</w:t>
      </w:r>
    </w:p>
    <w:p>
      <w:pPr>
        <w:pStyle w:val="Heading2"/>
      </w:pPr>
      <w:r>
        <w:t>Article 11.12 - Evidence, Procedure, Confidentiality, and Review</w:t>
      </w:r>
    </w:p>
    <w:p>
      <w:pPr/>
      <w:r>
        <w:t>11.12.1 The authority alleging Circumvention bears the burden of establishing every Article 11.3 element on objective evidence sufficient to show that each element is more likely than not, unless a higher evidentiary standard is required by applicable domestic law for the particular consequence. Suspicion, anonymous allegation, risk score, refusal to waive privilege, or one unexplained anomaly does not satisfy that burden by itself. Fraud remains subject to Article 11.16.1 and any higher standard required by the domestic proceeding in which a fraud penalty is sought. The written determination identifies the applicable standard and explains how the evidence satisfies it.</w:t>
      </w:r>
    </w:p>
    <w:p>
      <w:pPr/>
      <w:r>
        <w:t>11.12.2 Before a final adverse Chapter 11 determination, the affected trader receives timely notice of the alleged conduct, the specified substantive condition, the proposed scope, the material non-privileged adverse evidence or an adequate non-confidential account of it, and a meaningful opportunity to respond with evidence and argument. Where credibility, disputed technical evidence, or another material factual issue cannot reasonably be resolved on the written record, the trader receives access to an oral conference or hearing consistent with the competent authority's lawful procedure. Nothing in this Article requires disclosure of privileged material, protected intelligence, confidential information of another person, or investigative methods where an adequate non-confidential account permits meaningful rebuttal. The authority considers material rebuttal evidence and addresses it in the final reasons.</w:t>
      </w:r>
    </w:p>
    <w:p>
      <w:pPr/>
      <w:r>
        <w:t>11.12.3 A final determination is written, reasoned, dated, and identifies the NAAFTC benefit, defeated condition, Objective Evasive Element, causal connection, affected scope, evidentiary basis, culpability classification, consequence, cure path, and review route. Confidential information may be summarized, redacted, or protected where necessary, but confidentiality does not erase the obligation to provide a meaningful non-confidential explanation. The determination distinguishes Circumvention from Fraud and from an ordinary origin or documentation failure. A template may standardize decisions but does not replace individualized reasons.</w:t>
      </w:r>
    </w:p>
    <w:p>
      <w:pPr/>
      <w:r>
        <w:t>11.12.4 Confidential business information, personal data, proprietary formulas, supplier information, and enforcement-sensitive material receive the protections required by Chapter 22 and applicable domestic law. Information may be disclosed to competent authorities where lawfully necessary for administration or enforcement and subject to appropriate safeguards. A Party does not use confidentiality to conceal the legal basis of a restriction or prevent meaningful review by an affected trader. Data collection and retention remain proportionate to the defined investigation and applicable record-keeping rules.</w:t>
      </w:r>
    </w:p>
    <w:p>
      <w:pPr/>
      <w:r>
        <w:t>11.12.5 A final adverse Chapter 11 determination is subject to meaningful review by an administrative or judicial body that is institutionally distinct from the officials who made the initial determination, using the review route provided by domestic law or another procedure established by this Compact. Each Party maintains at least one such review route capable of examining legal error, material evidentiary deficiency, procedural unfairness, and disproportionality within the scope permitted by its legal system. Review does not require creation of a new NAAFTC tribunal, private right of action, or treaty damages remedy. The reviewing body receives a record sufficient to evaluate the challenged determination and may grant the corrective relief available under the governing procedure.</w:t>
      </w:r>
    </w:p>
    <w:p>
      <w:pPr>
        <w:pStyle w:val="Heading2"/>
      </w:pPr>
      <w:r>
        <w:t>Article 11.13 - Anti-Protectionist Safeguards and No Guilt by Association</w:t>
      </w:r>
    </w:p>
    <w:p>
      <w:pPr/>
      <w:r>
        <w:t>11.13.1 Increased import volume, lower prices, increased market share, rapid utilization of newly vested access, rapid use of Zero-Line Status, or commercial success under this Compact does not by itself constitute evidence of Circumvention. An authority does not infer an Objective Evasive Element merely because liberalization produces substantial competitive effects. Commercial outcomes may provide neutral context only where independent conduct evidence already connects the matter to a specific NAAFTC condition. Chapter 19 rather than Chapter 11 addresses circumstances properly falling within safeguard authority.</w:t>
      </w:r>
    </w:p>
    <w:p>
      <w:pPr/>
      <w:r>
        <w:t>11.13.2 No commodity, country, region, business model, ownership structure, route, or class of trader is presumed circumvention-prone solely by category. Product-specific traceability requirements may appear in Annex G where objectively justified and proportionate, including for sensitive commodities, without creating a presumption of misconduct. Such requirements remain origin-administration tools rather than new substantive origin rules. Enforcement decisions continue to require transaction, entity, facility, route, or pattern evidence under this Chapter.</w:t>
      </w:r>
    </w:p>
    <w:p>
      <w:pPr/>
      <w:r>
        <w:t>11.13.3 Misconduct by one supplier, producer, importer, exporter, broker, carrier, warehouse, or affiliate does not presumptively contaminate another person or transaction. An authority seeking to extend a finding establishes an evidentiary connection between the proven conduct and the additional goods, entities, or transactions. Shared commercial infrastructure, common ownership, or use of the same supplier may justify inquiry but not automatic adverse treatment. Each affected person retains the rebuttal and review rights established by Article 11.12.</w:t>
      </w:r>
    </w:p>
    <w:p>
      <w:pPr/>
      <w:r>
        <w:t>11.13.4 A Party does not use Chapter 11 to impose a country-wide, sector-wide, commodity-wide, or indefinite preference suspension unless another express provision of this Compact independently authorizes that remedy and its conditions are satisfied. Chapter 11 consequences are transaction-specific, product-specific, supplier-specific, facility-specific, route-specific, or entity-specific according to the evidence. A proven coordinated pattern may justify a broader defined scope only to the extent Article 11.10 supports it. Unrelated vested access, Zero-Line Status, and completed liberalization milestones remain undisturbed.</w:t>
      </w:r>
    </w:p>
    <w:p>
      <w:pPr/>
      <w:r>
        <w:t>11.13.5 Administration of this Chapter follows necessity, proportionality, non-discrimination, commercial usability, and least-burdensome verification principles consistent with the integrity objective. An authority does not convert a temporary investigation into a routine licensing condition or standing barrier for legitimate trade. Chapter 11 is interpreted narrowly where competing interpretations would either preserve its integrity function or transform it into an unstated trade remedy. This safeguard does not narrow an express anti-fraud power assigned elsewhere by this Compact or domestic law.</w:t>
      </w:r>
    </w:p>
    <w:p>
      <w:pPr>
        <w:pStyle w:val="Heading2"/>
      </w:pPr>
      <w:r>
        <w:t>Article 11.14 - Culpability Ladder, Proportionate Consequences, and Cothrom Cure</w:t>
      </w:r>
    </w:p>
    <w:p>
      <w:pPr/>
      <w:r>
        <w:t>11.14.1 Consequences distinguish good-faith error, negligent failure, Circumvention, knowing participation, and Fraud according to separately established elements. Negligent failure means a material failure to exercise the objectively reasonable care required for the trader's role without an Objective Evasive Element, while knowing participation requires actual knowledge of the proven Circumvention and material voluntary participation in it. Circumvention requires Article 11.3, and Fraud requires Article 11.16.1, so proof of a lower category does not establish a higher category by implication. The authority states the evidentiary basis for the assigned level and applies only the consequences legally available for that level.</w:t>
      </w:r>
    </w:p>
    <w:p>
      <w:pPr/>
      <w:r>
        <w:t>11.14.2 A consequence is proportionate to the nature, duration, frequency, commercial effect, culpability, quantity, benefit obtained, cooperation, corrective action, and risk of recurrence established by the record. The authority begins with the narrowest measure reasonably capable of correcting the proven integrity failure and protecting against recurrence. Broader treatment requires evidence showing why the narrower response is insufficient. Compact-wide reversal, unrelated cross-sector retaliation, and permanent exclusion are not Chapter 11 consequences.</w:t>
      </w:r>
    </w:p>
    <w:p>
      <w:pPr/>
      <w:r>
        <w:t>11.14.3 Available administrative responses may include correction, repayment or denial of an affected preference lawfully due for the specifically implicated transactions, a cure plan, targeted prospective Enhanced Verification, temporary suspension for an affected product or supplier, and another proportionate measure expressly authorized by this Compact or domestic law. Repayment or denial without Fraud is limited to preference that the governing origin determination shows was not legally available and is administered with any payment plan, interest rule, hardship procedure, or review protection supplied by applicable law. Administrative consequences are not criminal penalties and do not reopen unrelated vested access, Zero-Line Status, completed liberalization milestones, or treatment validly completed outside the affected scope. Chapters 25 and 26 govern any cure or remedy function expressly assigned to them.</w:t>
      </w:r>
    </w:p>
    <w:p>
      <w:pPr/>
      <w:r>
        <w:t>11.14.4 Repeat, systemic, or deliberate Circumvention supports escalation only where objective evidence establishes recurrence, coordination, knowing continuation after notice, or another materially aggravating feature within a defined affected scope. One violation does not create repeat-offender status, and an escalated measure states a maximum duration, measurable de-escalation conditions, and the evidence required for any renewal. Verified corrective performance and a defined clean-compliance period trigger step-down to narrower treatment and ultimately Restoration without requiring a new political decision. Escalation does not extend to unrelated entities, products, facilities, routes, methods, or periods without the separate evidentiary nexus required by Article 11.9.4.</w:t>
      </w:r>
    </w:p>
    <w:p>
      <w:pPr/>
      <w:r>
        <w:t>11.14.5 A Cothrom Cure under this Chapter applies the defined proportional and reversible compliance process while preserving the core obligation and adjusting only the benefit or administrative treatment necessary to respond to the proven failure. The cure path states the corrective action, verification method, measurable completion condition, responsible authority, applicable handoff to Chapters 12, 17, 25, or 26, and Restoration trigger. A Party does not condition Restoration on unrelated concessions, renegotiation, political approval, or acceptance of a new substantive origin rule. Successful cure returns the affected treatment automatically under Article 11.15.</w:t>
      </w:r>
    </w:p>
    <w:p>
      <w:pPr>
        <w:pStyle w:val="Heading2"/>
      </w:pPr>
      <w:r>
        <w:t>Article 11.15 - Safe Harbor, Restoration, and Finality</w:t>
      </w:r>
    </w:p>
    <w:p>
      <w:pPr/>
      <w:r>
        <w:t>11.15.1 A good-faith trader receives the Safe Harbor where it reasonably relied on supplier or intermediary information, complied with the record and inquiry duties applicable to its role, lacked actual knowledge of the Circumvention, and lacked objectively apparent warning signs that would cause a reasonable operator in the same position to make further inquiry. Reasonable diligence accounts for the trader's role, practical access to information, transaction value, established commercial relationship, commodity and route risk supported by objective evidence, prior notices, and the nature of the warning sign actually available to that trader. The Safe Harbor protects the trader from punitive Chapter 11 treatment for another person's misconduct but does not transform a substantively non-originating good into an Originating Agricultural Good. Any duty correction or origin consequence required by Chapters 10 and 12 remains governed by those Chapters.</w:t>
      </w:r>
    </w:p>
    <w:p>
      <w:pPr/>
      <w:r>
        <w:t>11.15.2 A trader is not required to conduct forensic auditing, inspect inaccessible upstream facilities, reconstruct information unavailable in ordinary commerce, or investigate a supplier without an objective reason merely to preserve good-faith status. A trader cannot rely blindly on information it knew was false, materially contradictory information in its possession, or a warning sign that would cause a reasonable participant in the same role to inquire further. The authority identifies the warning sign, explains why it was objectively apparent at the relevant time, and states what proportionate inquiry was reasonably available to the trader before concluding that reliance was unreasonable. Hindsight, later-discovered facts, or an authority's superior access to enforcement information does not retroactively enlarge the trader's diligence duty.</w:t>
      </w:r>
    </w:p>
    <w:p>
      <w:pPr/>
      <w:r>
        <w:t>11.15.3 Restoration occurs automatically when the responsible authority verifies completion of the stated cure or when the defined consequence expires without a reasoned lawful extension. Restoration does not require renegotiation, ministerial discretion, a new market-access concession, or political approval. The authority records Restoration promptly in the applicable administrative record or registry and corrects any continuing system flag inconsistent with the restored status. Delay in recording does not postpone the legal effect of Restoration where the controlling conditions have been satisfied.</w:t>
      </w:r>
    </w:p>
    <w:p>
      <w:pPr/>
      <w:r>
        <w:t>11.15.4 A completed Chapter 11 matter becomes administratively final after expiration of the applicable review and correction period and may be reopened only for proven Fraud, deliberate material misrepresentation, or another reopening ground expressly identified by this Compact or by applicable implementing law in force and identifiable when finality attached. A longer record-retention obligation preserves evidence and auditability but does not by itself keep the matter legally open or extend the period for ordinary reopening. Later discovery of an ordinary clerical, methodological, evidentiary, or pattern-related issue does not by itself reopen unrelated completed transactions or vested rights. Any authorized reopening remains limited to the goods, transactions, entities, and periods supported by the expressly applicable reopening ground.</w:t>
      </w:r>
    </w:p>
    <w:p>
      <w:pPr/>
      <w:r>
        <w:t>11.15.5 Restoration removes enhanced treatment, suspension, or other temporary Chapter 11 status to the extent cured but does not erase the historical audit record necessary for lawful oversight. Historical conduct influences later risk scoring or recurrence analysis only while materially relevant, with weight reduced as verified clean compliance accumulates and with no permanent blacklist, irrebuttable flag, or automatic adverse presumption. The responsible authority periodically removes or neutralizes obsolete enhanced-risk status that no longer has a current evidentiary basis, subject to lawful record-retention requirements. A later independent incident is evaluated on its own evidence, and the No-Fade principle and completed liberalization remain protected from collateral reopening.</w:t>
      </w:r>
    </w:p>
    <w:p>
      <w:pPr>
        <w:pStyle w:val="Heading2"/>
      </w:pPr>
      <w:r>
        <w:t>Article 11.16 - Fraud, Cooperation, Records, and Relationship to Other Chapters</w:t>
      </w:r>
    </w:p>
    <w:p>
      <w:pPr/>
      <w:r>
        <w:t>11.16.1 A Fraud finding requires proof of a knowing material falsification, concealment, misrepresentation, or deceptive act concerning a fact relevant to NAAFTC treatment. Negligence, mistake, inability to obtain a record, an unsuccessful origin claim, or Circumvention established without knowing deception does not by itself satisfy that standard. Domestic authorities determine fines, penalties, criminal referral, and other fraud sanctions under applicable domestic law consistent with this Compact. Chapter 11 administrative consequences remain analytically separate from those domestic penalties.</w:t>
      </w:r>
    </w:p>
    <w:p>
      <w:pPr/>
      <w:r>
        <w:t>11.16.2 The Parties cooperate in detecting and investigating Circumvention and Fraud through existing customs, verification, ALVS, and institutional channels, including lawful requests for assistance and information sharing. Cooperation respects confidentiality, data protection, privilege, due process, and each Party's domestic legal limits. A Party is not required to disclose information contrary to its law or to compromise protected enforcement methods. Refusal or inability to provide assistance does not itself establish Circumvention by the trader concerned.</w:t>
      </w:r>
    </w:p>
    <w:p>
      <w:pPr/>
      <w:r>
        <w:t>11.16.3 Chapter 11 investigation records, findings, referrals, cures, consequences, reviews, and restorations are retained in a controlled and auditable manner for the period required by applicable law and this Compact. Record requirements use information already maintained in ordinary commerce where reasonably sufficient and do not create duplicative NAAFTC-only archives without demonstrated need. Access is limited according to function, confidentiality, and data-minimization rules. Aggregate oversight may be used to assess effectiveness, consistency, administrative burden, and discriminatory effects without exposing protected business information.</w:t>
      </w:r>
    </w:p>
    <w:p>
      <w:pPr/>
      <w:r>
        <w:t>11.16.4 This Chapter operates within the allocation of functions established throughout this Compact, and every other Chapter continues to govern matters assigned to its own scope unless an express provision states otherwise. Chapter 10 supplies substantive origin rules, Chapter 11 establishes the Circumvention and Fraud-integrity tests, Chapter 12 conducts individual verification within its applicable clocks and burden rules, Chapter 17 performs system-level verification without deciding individual origin, Chapter 25 administers cure and Restoration assigned to it, and Chapter 26 supplies remedies assigned to it. Where the same facts engage more than one Chapter, the authority uses the function-specific rule and deadline of the Chapter governing that function, avoids duplicative requests, shares lawfully reusable evidence, and does not use one proceeding to evade a procedural protection or time limit in another. A conflict is resolved by preserving the more specific allocation of function and the trader protection expressly attached to that function rather than by creating concurrent unrestricted authority.</w:t>
      </w:r>
    </w:p>
    <w:p>
      <w:pPr/>
      <w:r>
        <w:t>11.16.5 This Chapter does not create a customs union, common external tariff, common external commercial policy, new institutional body, new withdrawal ground, or new amendment procedure. It does not alter the Parties' rights and obligations under other international agreements except to the extent this Compact expressly governs their relationship under Chapter 27. Periodic review under the existing institutional architecture evaluates whether Chapter 11 remains effective, proportionate, administrable, and commercially usable. Review recommendations do not change an operative obligation unless adopted through the legal procedure required by this Compact.</w:t>
      </w:r>
    </w:p>
    <w:p>
      <w:pPr>
        <w:pStyle w:val="Heading1"/>
      </w:pPr>
      <w:r>
        <w:t>Chapter 12 - Customs Administration, Origin Verification, and Border Facilitation</w:t>
      </w:r>
    </w:p>
    <w:p>
      <w:pPr>
        <w:pStyle w:val="Heading2"/>
      </w:pPr>
      <w:r>
        <w:t>Article 12.1 - Purpose, Scope, Primacy, and Administrative Principles</w:t>
      </w:r>
    </w:p>
    <w:p>
      <w:r>
        <w:t>12.1.1 [SCOPE AND PURPOSE] Each Party administers this Chapter to verify individual agricultural origin claims accurately, predictably, proportionately, and with commercially usable border procedures. This Chapter applies where Chapter 10, Annex G, or another express provision of this Compact assigns an individual origin-verification or associated customs-administration function to Chapter 12. No authority may rely on the general purposes of this Chapter as an independent basis to investigate sanitary or phytosanitary compliance, customs valuation, domestic support, criminal conduct, or another matter assigned elsewhere. Administration preserves lawful preference while resolving genuine uncertainty with the least disruption reasonably compatible with reliable verification.</w:t>
      </w:r>
    </w:p>
    <w:p>
      <w:r>
        <w:t>12.1.2 [SUBSTANTIVE PRIMACY AND EVIDENTIARY CEILING] Chapter 10 and Annex G are the exclusive sources of substantive origin requirements for goods verified under this Chapter, except where another provision expressly states a substantive rule. A Party may not create, enlarge, or alter an origin requirement through forms, guidance, training material, evidence demands, software fields, risk models, audit practice, administrative precedent, or informal instruction. Evidence requested under this Chapter tests an identifiable controlling requirement and may not impose an evidentiary burden greater than reasonably necessary to establish or test that substantive requirement. A trader may challenge an information demand, methodology, or determination that effectively requires satisfaction of a stricter or different origin rule, and the challenged substituted requirement has no adverse effect while rapid burden review under Article 12.6.5 remains pending.</w:t>
      </w:r>
    </w:p>
    <w:p>
      <w:r>
        <w:t>12.1.3 [NO ADMINISTRATIVE SUBSTITUTION] A customs or other competent authority may not use verification procedure as a substitute for amendment of Chapter 10 or Annex G. An authority choosing among evidentiary methods uses a method capable of testing the negotiated rule rather than a method that presupposes physical segregation, supplier disclosure, tracing intensity, accounting treatment, or production practice not required by that rule. A reviewing authority sets aside every materially affected portion of a determination once the record shows that an unauthorized substituted requirement influenced the analysis, and uncertainty created by the authority about the extent of that influence is resolved against preserving the tainted portion. Correction of that defect permits only a new lawful verification based on the actual substantive rule, the existing common record, and the original matter-level clocks unless materially new evidence independently justifies a new matter.</w:t>
      </w:r>
    </w:p>
    <w:p>
      <w:r>
        <w:t>12.1.4 [GOVERNING ADMINISTRATIVE DUTIES] Each Party applies proportionality, non-discrimination, technology neutrality, administrative simplicity, evidence reuse, confidentiality protection, and least-burdensome administration as operative duties throughout Chapter 12. Verification intensity corresponds to the identified issue and objectively supported risk rather than to political sensitivity, commodity identity, nationality, ownership, trader size, route, or trade volume alone. Paper and electronic evidence receive equivalent legal treatment where authenticity, integrity, accessibility, and auditability are reasonably preserved. A material failure to apply these duties may be raised in burden review, final determination review, Cothrom Cure, or another review route provided by this Compact or domestic law.</w:t>
      </w:r>
    </w:p>
    <w:p>
      <w:r>
        <w:t>12.1.5 [GOOD-FAITH TRADER PROTECTION] Authorities distinguish good-faith error, reasonable uncertainty, evidentiary insufficiency, substantive non-origin, Circumvention, and Fraud according to the function and evidentiary threshold assigned to each category. A clerical mistake, incomplete record, novel business practice, lawful tax or preference planning, or disagreement over an unsettled technical issue may not by itself establish evasive conduct or culpability. Good-faith status does not convert a non-originating good into an originating good, but it informs procedure, cure, proportionality, and any consequence for which culpability is legally relevant. Referral to Chapter 11 requires the independent basis specified in Article 12.2 and may not arise merely because an ordinary verification remains unresolved.</w:t>
      </w:r>
    </w:p>
    <w:p>
      <w:pPr>
        <w:pStyle w:val="Heading2"/>
      </w:pPr>
      <w:r>
        <w:t>Article 12.2 - Verification Authority, Lead Authority, and Institutional Boundaries</w:t>
      </w:r>
    </w:p>
    <w:p>
      <w:r>
        <w:t>12.2.1 [NATIONAL CONTACT POINT] Each Party maintains a national Chapter 12 verification contact point capable of identifying the authority responsible for an individual verification and receiving escalation communications from another Party or an affected trader. The contact point may use an existing customs or trade-administration office and need not constitute a new institution. Contact information and ordinary communication channels are publicly available and kept reasonably current. Failure of an internal agency to route a matter correctly may not reduce a trader's response period or extend a government deadline.</w:t>
      </w:r>
    </w:p>
    <w:p>
      <w:r>
        <w:t>12.2.2 [LEAD AUTHORITY AND SINGLE-MATTER CONTINUITY] Each individual verification has one designated lead authority responsible for the verification record, requests, coordination, determination, and official position of the Party for that matter. Agriculture, border, laboratory, intelligence, tax, or other competent bodies may provide lawful assistance, but functionally related inquiries concerning the same claim, transaction set, factual predicate, or origin issue remain one matter for clock, burden, evidence-reuse, and anti-duplication purposes. Where another body does not provide requested government input in time, the lead authority proceeds on the best available record, identifies the missing government input, and does not transfer the resulting delay or evidentiary gap to the trader. Completion, closure, referral, agency reassignment, or relabeling of one component does not authorize sequential verification of the same matter unless materially new evidence establishes a genuinely distinct issue.</w:t>
      </w:r>
    </w:p>
    <w:p>
      <w:r>
        <w:t>12.2.3 [VERIFICATION AND ENFORCEMENT SEPARATION] Chapter 12 verification is a fact-finding and customs-administration function distinct from Circumvention investigation, Fraud investigation, criminal enforcement, and penalty assessment. Verification personnel may communicate relevant evidence to another competent authority only through a lawful handoff that identifies the receiving function and preserves applicable confidentiality and procedural protections. A Party separates the officials making an initial Chapter 12 origin determination from officials deciding a separate enforcement consequence arising from the same facts, or, where personnel separation is genuinely impracticable, establishes and records equivalent functional-independence safeguards subject to review. No separation or functional-independence requirement prevents urgent lawful action necessary to preserve evidence or protect health, safety, or border security.</w:t>
      </w:r>
    </w:p>
    <w:p>
      <w:r>
        <w:t>12.2.4 [CHAPTER 11 HANDOFF AND ANTI-LAUNDERING] A Chapter 12 matter may be referred to Chapter 11 only through a written referral identifying facts that independently satisfy the applicable Chapter 11 threshold and that are more than an unresolved origin question, a routine discrepancy, or evidence generated solely by the referral process itself. The referral identifies the transferred scope, the procedural track that continues, the evidentiary provenance of each material fact, and the information lawfully reusable under the receiving function, and information unavailable under the receiving function may not be laundered into it through another chapter or agency. Opening, declining, closing, or reopening a Chapter 11 referral does not restart a Chapter 12 clock, revive an expired temporary measure, preserve elevated treatment beyond its authorized period, or permit repeated referral on substantially the same predicate without materially new evidence. Where parallel proceedings remain necessary, the authorities use one coordinated record, apply the procedural protection governing each receiving use, and prevent the slower track from extending a restriction that lacks an independent lawful basis.</w:t>
      </w:r>
    </w:p>
    <w:p>
      <w:r>
        <w:t>12.2.5 [SYSTEM AND CURE BOUNDARIES] Chapter 12 owns individual origin verification and the associated customs procedure unless the Compact expressly assigns a narrower function elsewhere. Chapter 17 may examine system-level performance, patterns, interoperability, and institutional compliance but may not convert a systemic observation into an individual adverse origin determination without the Chapter 12 process. Chapter 25 may administer broader cure and Restoration functions expressly assigned to it but may not bypass Chapter 12 notice, evidence, clock, scope, or review protections for an individual claim. Chapter 26 and other dispute or remedy provisions operate only within the functions assigned to them and do not enlarge the substantive origin test.</w:t>
      </w:r>
    </w:p>
    <w:p>
      <w:pPr>
        <w:pStyle w:val="Heading2"/>
      </w:pPr>
      <w:r>
        <w:t>Article 12.3 - Ordinary Verification Pathway and Border-Facilitation Baseline</w:t>
      </w:r>
    </w:p>
    <w:p>
      <w:r>
        <w:t>12.3.1 [DOCUMENTARY DEFAULT AND ACTUAL BUSINESS RECORDS] Ordinary verification begins with documentary review using records the trader actually maintains for its own commercial, accounting, production, logistics, or regulatory purposes and information already lawfully available to the authority. The authority may not require a site visit, physical segregation, forensic accounting, supplier-wide audit, newly created record, or enhanced production record unless the ordinary record leaves a specifically identified material issue unresolved and the additional method satisfies Article 12.6. A trader may submit equivalent reliable evidence where a requested record does not exist in its actual business system and the substantive rule does not require that particular record. Documentary-first treatment does not prevent immediate lawful action where a separately established and contemporaneously recorded emergency or Fraud basis requires it.</w:t>
      </w:r>
    </w:p>
    <w:p>
      <w:r>
        <w:t>12.3.2 [PRE-ARRIVAL PROCESSING] Each Party permits pre-arrival submission and processing of origin-related information for covered agricultural goods to the extent compatible with its existing customs systems and law. Pre-arrival processing is designed to identify correctable deficiencies before physical arrival where practicable and may not create an additional certification layer. Information accepted before arrival is reused after arrival unless a material change, discrepancy, or lawful verification need requires supplementation. Failure of an electronic pre-arrival channel activates the fallback procedures in Article 12.8 rather than automatically delaying preference.</w:t>
      </w:r>
    </w:p>
    <w:p>
      <w:r>
        <w:t>12.3.3 [RELEASE AND POST-CLEARANCE VERIFICATION] A Party separates the decision whether goods may be released from the decision whether a preference claim requires further post-clearance verification whenever its law permits those functions to be separated. Continued verification after release preserves the authority's ability to correct a substantive origin error under applicable law without using physical detention as a routine evidentiary tool. Security or guarantee may be required only where Article 12.10 or another applicable rule provides an objective and proportionate basis. Release may not be treated as a final origin determination unless the applicable law or an express provision of this Compact gives it that effect.</w:t>
      </w:r>
    </w:p>
    <w:p>
      <w:r>
        <w:t>12.3.4 [TRUSTED TRADER AND CORRIDOR FACILITATION] Existing trusted-trader, authorized-operator, major-corridor, and expedited-border programs may be used to reduce repetitive verification and processing where their criteria are lawful and relevant. Participation in such a program may not be a condition for receiving NAAFTC preference, and non-participation may not create an adverse inference. Major trade corridors maintain escalation contacts capable of addressing recurring release or verification failures affecting perishable agricultural commerce. Corridor escalation resolves operational friction and does not decide substantive origin outside the procedures of this Chapter.</w:t>
      </w:r>
    </w:p>
    <w:p>
      <w:r>
        <w:t>12.3.5 [UPGRADE FROM ORDINARY PATHWAY] An authority may move an ordinary verification to targeted or enhanced treatment only after recording the unresolved issue, the evidence supporting increased scrutiny, and why ordinary documentary methods are insufficient. The trader receives notice of the upgraded tier and any materially expanded information request unless a lawful delayed-notice exception applies. The upgrade may not retroactively validate burdensome requests or delays that were unauthorized when imposed. A later reduction in risk triggers de-escalation under Article 12.4 without requiring the trader to submit a separate application.</w:t>
      </w:r>
    </w:p>
    <w:p>
      <w:pPr>
        <w:pStyle w:val="Heading2"/>
      </w:pPr>
      <w:r>
        <w:t>Article 12.4 - Risk-Based Selection, Verification Tiers, and De-Escalation</w:t>
      </w:r>
    </w:p>
    <w:p>
      <w:r>
        <w:t>12.4.1 [THREE VERIFICATION TIERS] Each Party administers ordinary, targeted, and enhanced verification as distinct procedural tiers. Ordinary verification addresses routine documentary confirmation, targeted verification addresses a defined material discrepancy or elevated objective risk, and enhanced verification addresses a sustained or complex risk requiring additional measures within the limits of this Chapter. The label assigned by an authority does not control if the actual burdens imposed correspond to a higher tier. A trader may seek review where an authority functionally applies a higher tier without satisfying the conditions for escalation.</w:t>
      </w:r>
    </w:p>
    <w:p>
      <w:r>
        <w:t>12.4.2 [RISK INDICATORS] Risk indicators may guide selection and prioritization but may not constitute proof that a good is non-originating, that a trader acted culpably, or that Circumvention occurred. Nationality, commodity identity, route, ownership, company size, market share, or trade volume may contribute to a multi-factor model only where objectively relevant and may not operate as a standalone adverse indicator. Authorities distinguish correlation from transaction-specific evidence when explaining a selection or determination. A risk score alone cannot support denial of preference.</w:t>
      </w:r>
    </w:p>
    <w:p>
      <w:r>
        <w:t>12.4.3 [CONTEMPORANEOUS RISK BASIS AND INDEPENDENT APPROVAL] Before targeted or enhanced verification begins, the authority records the specific unresolved issue, material risk indicators, evidentiary connection, proposed scope, expected burden, and reason a lower tier is insufficient. Enhanced verification requires contemporaneous approval by a supervisor who did not formulate or pre-approve the proposed escalation and who independently records approval or denial against the Article 12.4 criteria. A justification created, supplemented, or reconstructed after escalation does not cure the absence of a sufficient contemporaneous basis, except to record genuinely new evidence arising later. The trader receives a non-confidential account sufficient to understand the operative basis unless a narrowly documented delayed-disclosure rule lawfully applies.</w:t>
      </w:r>
    </w:p>
    <w:p>
      <w:r>
        <w:t>12.4.4 [MODEL GOVERNANCE] A Party using automated or statistical risk models periodically assesses effectiveness, false-positive rates, over-referral, burden, and unjustified disparate effects. Aggregate criteria and performance information are published where doing so does not compromise enforcement or protected information. A model showing persistent unsupported referrals or discriminatory operation is corrected, recalibrated, or discontinued for the affected use. Model output remains subordinate to the evidentiary and procedural requirements governing the individual verification.</w:t>
      </w:r>
    </w:p>
    <w:p>
      <w:r>
        <w:t>12.4.5 [DE-ESCALATION, CLEAN COMPLIANCE, AND EXPIRY] Elevated verification status terminates automatically when its stated basis is resolved, its authorized period expires, or the applicable decision clock expires without an independently lawful continuing measure. A clean-compliance period uses measurable criteria fixed when imposed, ordinarily does not exceed ninety calendar days, and may be extended once only on materially new evidence showing a continuing risk that the original criteria cannot reasonably address. New selection, scope expansion, referral, or minor discrepancy arising near the end of the period does not restart or extend elevated status unless it independently satisfies the applicable escalation test and is not substantially the same predicate. Clean compliance, correction, or verified cure produces prompt de-escalation, and historical elevated status does not operate as a permanent or self-renewing risk factor.</w:t>
      </w:r>
    </w:p>
    <w:p>
      <w:pPr>
        <w:pStyle w:val="Heading2"/>
      </w:pPr>
      <w:r>
        <w:t>Article 12.5 - Notice of Verification and Defective-Notice Safeguards</w:t>
      </w:r>
    </w:p>
    <w:p>
      <w:r>
        <w:t>12.5.1 [MANDATORY NOTICE CONTENT] A verification notice identifies the responsible authority, legal basis, covered goods or claims, transactions or period, controlling Chapter 10 or Annex G requirement, information requested, response deadline, potential administrative consequences, and available review or burden-objection route. The notice is written in a form reasonably capable of being retained and reproduced. A general statement that origin is being verified does not satisfy this Article where the authority has identified a more specific issue. The authority may supplement the notice as new material facts arise, subject to Article 12.5.4.</w:t>
      </w:r>
    </w:p>
    <w:p>
      <w:r>
        <w:t>12.5.2 [SERVICE AND ACKNOWLEDGEMENT] Notice is transmitted through the trader's registered customs channel, agreed electronic address, or another legally effective method that provides a reliable service record. The authority acknowledges a trader response or substantial submission within two business days where an automated receipt is not already generated. A technical failure in government transmission may not be attributed to the trader. Where service is materially uncertain, the response period begins when effective receipt can reasonably be established.</w:t>
      </w:r>
    </w:p>
    <w:p>
      <w:r>
        <w:t>12.5.3 [DELAYED NOTICE AND EMERGENCY EXPIRY] Notice may be delayed only to the extent a specific court order, active evidence-preservation necessity, or genuine emergency makes contemporaneous notice materially likely to defeat the protected purpose. The authority records the legal basis, facts, scope, approving senior official, start time, expected duration, and reason less restrictive notice is inadequate before or, where genuinely impossible, within two business days after the urgent action. Delayed-notice authority expires after ten calendar days unless the authority revalidates continuing necessity in writing on materially current facts, and it ends immediately when the protected necessity ends. A dormant investigation, generalized enforcement concern, staffing problem, or administrative convenience does not sustain delayed notice, and the trader receives the withheld notice and a meaningful response period as soon as the exception ends.</w:t>
      </w:r>
    </w:p>
    <w:p>
      <w:r>
        <w:t>12.5.4 [SCOPE EXPANSION AND ANTI-RECURSION] Scope expands only when materially new evidence identifies a genuinely distinct issue that could not reasonably have been included in the original notice. Supplemental notice identifies the new facts, exact additional goods, period, supplier, facility, or issue, and explains why the expansion is necessary rather than a continuation or reframing of the existing matter. No more than two scope expansions occur in one verification absent Fraud or materially new evidence of comparable seriousness, and expansion never restarts the matter-level outer clock or permits previously expired treatment to continue. Evidence from the original scope is reused only after the receiving use independently satisfies relevance, proportionality, confidentiality, and evidentiary-provenance requirements.</w:t>
      </w:r>
    </w:p>
    <w:p>
      <w:r>
        <w:t>12.5.5 [DEFECTIVE NOTICE] A notice that materially omits the legal basis, affected scope, controlling substantive requirement, requested information, or response deadline is defective to the extent of the omission. The trader's response clock for the affected issue is suspended until a corrected notice is effectively served. An adverse determination may not rely materially on an issue for which the trader lacked meaningful notice and opportunity to respond. Minor typographical defects that cause no practical prejudice may be corrected without restarting unaffected portions of the proceeding.</w:t>
      </w:r>
    </w:p>
    <w:p>
      <w:pPr>
        <w:pStyle w:val="Heading2"/>
      </w:pPr>
      <w:r>
        <w:t>Article 12.6 - Information Requests and the Administrative Burden Test</w:t>
      </w:r>
    </w:p>
    <w:p>
      <w:r>
        <w:t>12.6.1 [NARROW ISSUE AND REASONABLE NECESSITY] Every information request states the issue at the narrowest level reasonably capable of resolving the identified origin question and identifies the controlling substantive provision being tested. Requested information is limited to what is materially connected to that issue, and a broader period, population, supplier set, or data field requires specific facts explaining why the narrower record cannot reliably resolve it. An authority may not broaden the issue merely to justify broader evidence, create a new request cycle, or accumulate unrelated risk indicators. The trader may propose an equivalent narrower method, and rejection identifies the concrete reliability deficit rather than relying on a generalized preference for more information.</w:t>
      </w:r>
    </w:p>
    <w:p>
      <w:r>
        <w:t>12.6.2 [SINGLE REQUEST, SUPPLEMENTALS, AND ANTI-FRAGMENTATION] The authority consolidates reasonably foreseeable information needs into one request per materially related issue and may not fragment, rename, or sequence issues to multiply requests, deadlines, or burden. A supplemental request is permitted only where materially new facts arise or the trader's response creates a genuinely new question that a reasonably precise original request could not have anticipated. Each supplemental request identifies the new predicate, receives supervisory confirmation that it is not substantially duplicative, and remains inside the original matter-level outer clock. Repeated or reformatted requests for information already supplied or available to government do not create an adverse inference, extend a deadline, or shift the cost of administrative duplication to the trader.</w:t>
      </w:r>
    </w:p>
    <w:p>
      <w:r>
        <w:t>12.6.3 [ADMINISTRATIVE BURDEN AND AGGREGATE EFFECT TEST] The authority evaluates necessity, time, cost, duplication, confidentiality, technical difficulty, third-party control, business disruption, overlapping deadlines, security, detention, concurrent proceedings, and equivalent evidence before selecting a verification method. Compliance of each individual request or measure does not establish compliance of their combined or sequential application, and functionally related actions are assessed as one administrative course for proportionality and anti-evasion purposes. Where two methods provide materially comparable reliability, the authority uses the less burdensome method and records both the material alternative considered and the concrete reliability reason for rejecting it if the more burdensome method is chosen. A trader may challenge cumulative burden even when no single component independently violates this Chapter, and the reviewing official modifies, sequences, narrows, or stays the least necessary component needed to restore proportionality.</w:t>
      </w:r>
    </w:p>
    <w:p>
      <w:r>
        <w:t>12.6.4 [GOVERNMENT DATA REUSE] Before requesting information, the lead authority reasonably determines whether the same reliable information is already available within its customs systems, another participating domestic agency, an authorized inter-Party exchange, or ALVS. Information already held is reused where lawful, current, and sufficiently reliable rather than demanded again solely for administrative convenience. The trader may identify a prior submission, verification, or government record believed to contain the requested information. If reuse is refused, the authority explains the material reliability, legal-access, currency, or scope reason for requiring resubmission.</w:t>
      </w:r>
    </w:p>
    <w:p>
      <w:r>
        <w:t>12.6.5 [RAPID BURDEN REVIEW] A trader may object promptly to an information request, verification method, or aggregate administrative course as materially unnecessary, duplicative, inaccessible, or disproportionately burdensome. An official who did not issue, formulate, materially approve, direct, or participate in designing the challenged action decides the objection within fifteen calendar days, within seventy-two hours for a perishable-goods objection, or before the affected response deadline, whichever occurs first. The challenged portion of the response period and any adverse consequence dependent on that portion remain suspended while a timely burden objection is pending, while unrelated severable obligations continue on their existing clocks. Failure to decide within the applicable review clock resolves the challenged burden issue temporarily in favor of the less burdensome lawful method, subject to later reasoned review that does not retroactively penalize reliance on that temporary treatment.</w:t>
      </w:r>
    </w:p>
    <w:p>
      <w:pPr>
        <w:pStyle w:val="Heading2"/>
      </w:pPr>
      <w:r>
        <w:t>Article 12.7 - Supplier Information, Confidentiality, Privilege, and Evidence Firewall</w:t>
      </w:r>
    </w:p>
    <w:p>
      <w:r>
        <w:t>12.7.1 [DIRECT SUPPLIER SUBMISSION] A supplier, processor, producer, laboratory, or other upstream holder of relevant confidential information may submit that information directly to the competent authority. The importer, exporter, or claimant may not be required to possess confidential formulas, proprietary costing, protected sourcing terms, or production records that are ordinarily controlled by another entity unless the substantive rule expressly requires possession. Direct submission is linked to the verification through a secure reference or equivalent identifier. The authority confirms receipt without disclosing protected contents to an unauthorized person.</w:t>
      </w:r>
    </w:p>
    <w:p>
      <w:r>
        <w:t>12.7.2 [NON-CONFIDENTIAL ACCOUNT] Where confidential or protected information materially supports an adverse issue, the affected trader receives a non-confidential account sufficient to understand the substance of the issue and make a meaningful response. The account need not reveal formulas, trade secrets, protected supplier identities where identity itself is not necessary to the defense, privileged material, intelligence sources, or investigative methods. If supplier identity is itself material to the origin question, the authority protects it to the maximum extent compatible with meaningful review and applicable law. Over-redaction that prevents meaningful rebuttal may not support an adverse determination without an alternative protected-review procedure.</w:t>
      </w:r>
    </w:p>
    <w:p>
      <w:r>
        <w:t>12.7.3 [ALTERNATIVE EVIDENCE AND THIRD-PARTY CONTROL] Where evidence is outside the trader's reasonable possession or control, the trader may identify the holder, explain the access limitation, and offer alternative evidence materially capable of testing the controlling substantive requirement. Reliability is assessed against that substantive requirement, provenance, consistency, verifiability, and the least-burdensome principle rather than against an unwritten preference for a particular document. Supplier refusal, insolvency, legal restriction, or delayed cooperation does not by itself support an adverse inference against the trader, particularly where government action or a confidentiality breach materially contributed to the non-cooperation. An adverse inference requires a specific finding that the trader controlled or could reasonably obtain the missing evidence, received a fair opportunity to produce or replace it, and failed without good cause.</w:t>
      </w:r>
    </w:p>
    <w:p>
      <w:r>
        <w:t>12.7.4 [CONFIDENTIALITY AND REVIEW] Information obtained under Chapter 12 receives the confidentiality classification, data protection, privilege, retention, and access safeguards applicable under Chapter 22 and domestic law. Review bodies may use protected procedures, sealed records, confidentiality undertakings, summaries, or other lawful devices that permit meaningful review without unnecessary disclosure. An authority discloses protected information only to persons and institutions lawfully entitled to receive it for the assigned function. A confidentiality breach is corrected promptly and is considered in determining whether continued use of the compromised information would materially prejudice fairness.</w:t>
      </w:r>
    </w:p>
    <w:p>
      <w:r>
        <w:t>12.7.5 [EVIDENCE-USE FIREWALL AND PROVENANCE] Information obtained for Chapter 12 is used in another investigative, enforcement, systemic, or criminal function only where the receiving function independently authorizes that category of information and its method of acquisition. Labeling an exchange as assistance, consultation, shared intelligence, referral, coordination, or another form does not avoid the receiving function's confidentiality, notice, privilege, use, or compulsory-process limits. Before transfer or functional reuse, the responsible authority records the independent legal basis, source, acquisition method, receiving purpose, approving supervisor, and any notice restriction, and notice is provided unless a specifically protected investigation would be materially prejudiced. Evidence that the receiving function could not lawfully obtain directly does not become usable merely because another authority or chapter obtained it first.</w:t>
      </w:r>
    </w:p>
    <w:p>
      <w:pPr>
        <w:pStyle w:val="Heading2"/>
      </w:pPr>
      <w:r>
        <w:t>Article 12.8 - Electronic Records, Single Submission, Reuse, Batch Verification, and Fallback</w:t>
      </w:r>
    </w:p>
    <w:p>
      <w:r>
        <w:t>12.8.1 [TECHNOLOGY NEUTRALITY] Each Party accepts electronic records, electronic signatures, electronic certificates, and reliable machine-readable data on terms no less favorable than functionally equivalent paper records. A Party may require reasonable authenticity, integrity, accessibility, retention, and auditability safeguards but may not prescribe a technology that unnecessarily excludes an equivalent method. Paper or alternative-format submission remains available where electronic access is unavailable, impracticable, or legally inappropriate. Technology choice may not alter the substantive origin standard.</w:t>
      </w:r>
    </w:p>
    <w:p>
      <w:r>
        <w:t>12.8.2 [SINGLE SUBMISSION AND REUSE] A trader may use a single submission to support recurring identical goods, stable production arrangements, or repeated claims where the material origin facts remain unchanged and the authority can reliably identify the covered transactions. Information previously verified is reused until a defined refresh trigger occurs, including material process change, supplier change, expiry of an applicable validity period, or objective evidence that the information is no longer reliable. The trader corrects known material changes without being required to recreate unchanged evidence. Reuse does not prevent risk-based verification of a new material issue.</w:t>
      </w:r>
    </w:p>
    <w:p>
      <w:r>
        <w:t>12.8.3 [BATCH VERIFICATION] Batch verification may be used for repetitive shipments sharing a materially common product, producer, origin pathway, accounting method, or evidentiary record. Sampling within a batch uses a documented method reasonably capable of representing the population and preserves transaction-level exceptions where the evidence supports them. An error in one sampled shipment or data field may not invalidate an entire batch unless the authority establishes a material basis for extending the finding. Correctable batch-wide data defects receive a correction opportunity before batch-wide adverse treatment.</w:t>
      </w:r>
    </w:p>
    <w:p>
      <w:r>
        <w:t>12.8.4 [AUDIT TRAIL AND AUTOMATED DECISIONS] Systems used for Chapter 12 preserve an auditable record of submissions, corrections, requests, material automated flags, determinations, and implementation actions. A decision materially produced by automated or algorithmic processing is expressible in human-readable reasons identifying the controlling rule and material factual basis. A trader may not be required to reverse engineer a proprietary government model to understand an adverse determination. Human review is available where an automated output materially affects preference, release, verification tier, or another reviewable interest.</w:t>
      </w:r>
    </w:p>
    <w:p>
      <w:r>
        <w:t>12.8.5 [OUTAGE AND PAPER FALLBACK] A government system outage, interoperability failure, cyber incident, or unavailable NAAFTC data channel activate an equivalent alternative submission and processing method. Existing customs channels, secure email, paper documentation, or another auditable method may be used according to domestic law until normal service resumes. A trader that timely uses the announced fallback may not lose preference or suffer an adverse inference solely because the preferred electronic channel was unavailable. The authority reconciles fallback submissions into the ordinary record after service restoration without requiring unnecessary duplicate filing.</w:t>
      </w:r>
    </w:p>
    <w:p>
      <w:pPr>
        <w:pStyle w:val="Heading2"/>
      </w:pPr>
      <w:r>
        <w:t>Article 12.9 - Verification Clocks, Administrative Silence, Perishable Goods, and Release</w:t>
      </w:r>
    </w:p>
    <w:p>
      <w:r>
        <w:t>12.9.1 [ACKNOWLEDGEMENT AND RESPONSE PERIOD] The authority acknowledges receipt of a substantial verification submission within two business days where an automated receipt is not already provided. Unless a different period is justified by the complexity or urgency of the request, an ordinary information request provides at least fifteen calendar days for response. A trader may obtain a reasonable extension for good cause, including practical difficulty obtaining third-party information, without an adverse inference from the request itself. Perishable-goods requests use shorter, issue-specific periods only where rapid resolution is necessary and realistically achievable.</w:t>
      </w:r>
    </w:p>
    <w:p>
      <w:r>
        <w:t>12.9.2 [GOVERNMENT DECISION CLOCK AND COMPLETENESS FIREWALL] An ordinary verification reaches a reasoned determination within thirty calendar days after the record becomes materially complete for the identified issue, and a targeted verification reaches one within sixty calendar days after that point. The record is deemed materially complete when the trader supplies the information identified in the operative request unless, within five business days, the authority identifies a deficiency that is outcome-relevant, specifically described, and incapable of resolution from information already supplied or lawfully available, and trivial formatting or administrative defects do not prevent completeness. Enhanced verification does not exceed ninety calendar days from written notice plus one reasoned extension of no more than sixty additional calendar days, and the extension identifies the unresolved issue, work remaining, expected completion date, and independent supervisory approval. Supplemental requests, tier changes, scope changes, referrals, transaction slicing, relabeling, or assertions of incompleteness do not restart the matter-level outer clock unless materially new evidence establishes a genuinely distinct matter under Article 12.2.2.</w:t>
      </w:r>
    </w:p>
    <w:p>
      <w:r>
        <w:t>12.9.3 [STOP-CLOCK RECORD AND REVIEW] A clock pauses only for a period in which a trader-caused failure actually prevents identified verification work and only to the extent the prevented work cannot reasonably proceed through other available evidence or tasks. Internal coordination, staffing shortage, laboratory queue, system failure, inter-agency disagreement, delayed government analysis, or government-requested duplication does not create trader-attributed pause time. The authority gives the trader a contemporaneous written stop-clock record identifying the start, reason, affected task, expected end, and actual end, and any disputed allocation receives rapid review under Article 12.6.5. Unrecorded, late-recorded, or inadequately supported pause time does not extend a government clock.</w:t>
      </w:r>
    </w:p>
    <w:p>
      <w:r>
        <w:t>12.9.4 [ADMINISTRATIVE SILENCE] Expiration of a government decision or enhanced-verification clock does not transform a substantively non-originating good into an originating good. Expiration does prevent unfinished verification alone from maintaining a temporary adverse administrative treatment, special hold, elevated tier, or suspension of preference beyond the authorized period. Ordinary treatment or Restoration therefore resumes automatically, subject to later lawful correction based on Fraud, deliberate material misrepresentation, or independently proven substantive non-origin under applicable finality and reopening rules. Recurring government delay is recorded in the commercial-usability metrics required by Article 12.15.</w:t>
      </w:r>
    </w:p>
    <w:p>
      <w:r>
        <w:t>12.9.5 [PERISHABLE GOODS PATHWAY] Each Party maintains an urgent verification and release pathway for agricultural goods whose commercial value or fitness materially deteriorates with delay. The authority releases the goods, issues a reasoned disposition, or identifies a specific lawful obstacle within seventy-two hours after receiving the information reasonably necessary for that decision, unless an exceptional circumstance outside ordinary administrative control makes that action genuinely impossible and the authority records the circumstance, interim treatment, responsible official, and earliest achievable resolution time. Post-clearance verification, security, sampling, or another proportionate method is preferred over avoidable physical detention when it can protect the same legitimate interest. Failure to meet the seventy-two-hour requirement triggers corridor escalation and recording for systemic review without itself proving a substantive origin entitlement.</w:t>
      </w:r>
    </w:p>
    <w:p>
      <w:pPr>
        <w:pStyle w:val="Heading2"/>
      </w:pPr>
      <w:r>
        <w:t>Article 12.10 - Site Visits, Sampling, Physical Verification, and Costs</w:t>
      </w:r>
    </w:p>
    <w:p>
      <w:r>
        <w:t>12.10.1 [SITE VISIT THRESHOLD] A site visit is used only where documentary or less intrusive verification cannot reasonably resolve a material issue, or where an independently lawful risk basis justifies physical verification. The notice identifies the legal authority, site, purpose, proposed scope, records or processes to be examined, expected timing, and responsible officials. Chapter 12 creates no independent compulsory-entry or warrantless-search power, and consent or otherwise applicable domestic authority governs compulsory access. Refusal of a voluntary visit may not by itself establish non-origin where the relevant fact can be reliably established by another lawful method.</w:t>
      </w:r>
    </w:p>
    <w:p>
      <w:r>
        <w:t>12.10.2 [SCOPE AND CONDUCT OF VISIT] Officials conducting a visit remain within the notified scope unless newly discovered material facts reasonably require expansion and supplemental authority is documented. The visit minimizes unnecessary interruption of production, exposure of unrelated confidential information, and collection of records unrelated to the verification issue. The trader may identify safety, confidentiality, operational, or sequencing constraints that can be accommodated without impairing the verification. A written visit record identifies material observations, samples, records obtained, and any unresolved issue.</w:t>
      </w:r>
    </w:p>
    <w:p>
      <w:r>
        <w:t>12.10.3 [SAMPLING, OBSERVATION, AND INFERENCE] Sampling uses an objective method appropriate to the factual question, and statistical inference to a broader population uses a statistically defensible design and disclosed inference method. The trader receives the sampling plan, may reasonably observe physical selection where lawful and safe, and receives a record identifying the population, selection method, samples, chain of custody, tests, and material interpretive assumptions. Selective sampling may not be designed predominantly around known adverse lots and then generalized beyond those lots without a separately justified representative basis. A sample-specific error affects unsampled goods only to the extent the authority demonstrates a material evidentiary basis for the extension and gives the trader an opportunity to rebut that inference.</w:t>
      </w:r>
    </w:p>
    <w:p>
      <w:r>
        <w:t>12.10.4 [SECURITY AND GUARANTEE] Security, guarantee, conditional release, or comparable temporary protection may be required only where domestic law authorizes it and objective evidence shows a material risk that cannot reasonably be managed through a less burdensome method. The amount and duration is proportionate to the reasonably estimated exposure and may not operate as a punitive deposit. Security is released promptly when the relevant risk is resolved, the verification clock expires, or the claim is sustained. A trader may challenge excessive security through the rapid burden-review mechanism where available.</w:t>
      </w:r>
    </w:p>
    <w:p>
      <w:r>
        <w:t>12.10.5 [COST ALLOCATION] Ordinary governmental costs of verification, including official travel, routine sampling, and normal laboratory administration, is borne by the authority unless applicable law expressly provides otherwise. A trader may be charged a defined incremental cost only where law permits and the cost arises materially from trader fault, a requested optional service, or frivolous conduct established on the record. Fees reflects actual administrative cost and may not be structured to deter preference claims, review, or legitimate use of a lawful inventory method. Cost allocation is reviewable as part of proportionality and administrative burden.</w:t>
      </w:r>
    </w:p>
    <w:p>
      <w:pPr>
        <w:pStyle w:val="Heading2"/>
      </w:pPr>
      <w:r>
        <w:t>Article 12.11 - Fungible Goods, Inventory Methods, and Physical Plausibility Verification</w:t>
      </w:r>
    </w:p>
    <w:p>
      <w:r>
        <w:t>12.11.1 [CHAPTER 10.8 CONTROL] Chapter 10.8 governs whether and how a trader may use an authorized inventory management method for fungible goods. Chapter 12 may verify application of that method but may not require physical segregation, lot tracing, or another accounting convention where Chapter 10.8 permits an alternative. The authority identifies the specific inventory rule being tested before requesting reconciliation evidence. An adverse determination based on an unauthorized segregation requirement is subject to the No Administrative Substitution Rule.</w:t>
      </w:r>
    </w:p>
    <w:p>
      <w:r>
        <w:t>12.11.2 [RECONCILIATION RECORD] Verification of a fungible inventory method may examine opening inventory, purchases or receipts, production inputs, throughput, withdrawals, transfers, closing inventory, yield, loss, and the applicable Annex G reconciliation period. The authority tests whether quantities reconcile over the authorized period using the trader's consistently applied lawful method. Immaterial timing differences or ordinary accounting corrections are distinguished from a material allocation failure. Where the record does not reconcile, the trader receives an opportunity to explain and correct a demonstrable clerical or timing error before broader conclusions are drawn.</w:t>
      </w:r>
    </w:p>
    <w:p>
      <w:r>
        <w:t>12.11.3 [PHYSICAL PLAUSIBILITY AS CORROBORATIVE EVIDENCE] Physical-plausibility review compares claimed inventory outcomes only with independently verifiable facts such as documented storage capacity, purchases, throughput, withdrawals, ordinary yield or loss ranges, spoilage, rework, and known operational disruptions. Plausibility is corroborative evidence and never an independent substantive origin requirement, substitute for the Chapter 10 inventory method, or basis for demanding physical segregation that the substantive rule does not require. An apparent anomaly supports additional inquiry only when the authority identifies the objective comparison, material deviation, and causal relevance to the claimed allocation. Documented seasonality, equipment failure, weather, spoilage, rework, or other bona fide operational cause is evaluated before an adverse inference or tier escalation occurs.</w:t>
      </w:r>
    </w:p>
    <w:p>
      <w:r>
        <w:t>12.11.4 [METHOD CHANGES] A change in an authorized inventory method is evaluated under Chapter 10, Annex G, the applicable accounting rules, and any required opening-to-closing reconciliation. The authority may examine whether the change materially reallocates non-originating content, lacks a bona fide accounting or business rationale, or prevents reliable reconciliation. Favorable tax, financing, operational, or preference effects do not by themselves establish manipulation. If only part of an allocation is unreliable, the authority preserves independently substantiated originating quantities to the extent they remain determinable.</w:t>
      </w:r>
    </w:p>
    <w:p>
      <w:r>
        <w:t>12.11.5 [ENHANCED FUNGIBLE VERIFICATION] Annex G may identify objective triggers for enhanced fungible verification where recurring discrepancies, unexplained capacity conflicts, material method changes, or other defined evidence warrants closer review. A trigger authorizes the procedural tier specified by this Chapter and does not create a presumption of non-origin or Circumvention. Enhanced fungible verification remains subject to the clocks, burden test, scope limits, confidentiality protections, and de-escalation requirements of Chapter 12. Referral to Chapter 11 requires the separate evidentiary basis required by Article 12.2.4.</w:t>
      </w:r>
    </w:p>
    <w:p>
      <w:pPr>
        <w:pStyle w:val="Heading2"/>
      </w:pPr>
      <w:r>
        <w:t>Article 12.12 - Annex G and Product-Specific Agricultural Verification</w:t>
      </w:r>
    </w:p>
    <w:p>
      <w:r>
        <w:t>12.12.1 [ANNEX G FIELDS AND ALTERNATIVE PATHWAYS] Each Annex G verification field identifies the precise Chapter 10 or other express substantive requirement it tests and states whether the field is mandatory substantive data, a preferred evidentiary format, or an administrative convenience. A field that is not itself expressly required by the controlling substantive rule has at least one alternative evidence pathway capable of establishing the same fact without loss of preference merely for non-use of the field. Annex G maintenance may not retroactively increase the evidentiary burden, alter a verification already opened, or convert an administrative field into a substantive condition without the amendment authority required for the underlying rule. A field or trigger that operates in practice as a stricter origin condition is treated as Administrative Substitution under Article 12.1.3 regardless of its label.</w:t>
      </w:r>
    </w:p>
    <w:p>
      <w:r>
        <w:t>12.12.2 [SENSITIVE COMMODITY NEUTRALITY] Dairy, sugar, poultry, eggs, grains, horticultural goods, or another sensitive agricultural category may not receive adverse treatment merely because the commodity is politically sensitive, supply-managed, quota-administered, high-value, or historically disputed. Commodity identity may inform a technical evidence field only where the substantive rule genuinely differs for that good. Risk selection still requires the safeguards of Article 12.4. A Party may not use product-specific verification to recreate a tariff, quota, licensing barrier, or market-access restriction prohibited elsewhere in the Compact.</w:t>
      </w:r>
    </w:p>
    <w:p>
      <w:r>
        <w:t>12.12.3 [TECHNICAL AND SCIENTIFIC EVIDENCE] Where origin turns on composition, transformation, quantity, species, production process, or another technical fact, the authority may use reliable laboratory, production, accounting, or scientific evidence reasonably suited to that question. The authority discloses the material non-confidential methodology and known limitations sufficient for meaningful response. Conflicting reliable technical evidence is evaluated on quality, relevance, reproducibility, and fit to the substantive rule rather than on which Party generated it. A technical disagreement may not be relabeled as Circumvention without the independent Chapter 11 threshold.</w:t>
      </w:r>
    </w:p>
    <w:p>
      <w:r>
        <w:t>12.12.4 [CLASSIFICATION CONTINUITY] Where a verification issue arises from tariff nomenclature, product description, or classification continuity, Chapter 3 and Annex A govern coverage and nomenclature reconciliation while Chapter 12 verifies the facts needed for the assigned classification function. A classification correction may not automatically invalidate origin evidence that remains materially applicable to the correctly classified good. Authorities avoid requiring duplicate product records where a lawful concordance or Product Record ID can preserve continuity. Deliberate misclassification intended to obtain an improper benefit remains subject to the appropriate Chapter 11 process.</w:t>
      </w:r>
    </w:p>
    <w:p>
      <w:r>
        <w:t>12.12.5 [NO STRICTER EVIDENCE BY PRACTICE] A Party may not require supplier-level cost disclosure, segregation, tracing, production intensity, or certification frequency for a product unless the controlling substantive rule or Annex G reasonably requires that information. Repetition of an administrative demand does not convert it into a lawful substantive requirement. A trader may rely on Article 12.6 to propose equivalent less-burdensome evidence capable of proving the same material fact. A determination based materially on an unwritten stricter threshold is corrected on review.</w:t>
      </w:r>
    </w:p>
    <w:p>
      <w:pPr>
        <w:pStyle w:val="Heading2"/>
      </w:pPr>
      <w:r>
        <w:t>Article 12.13 - Deficiency Classification, Correction, and Opportunity to Cure</w:t>
      </w:r>
    </w:p>
    <w:p>
      <w:r>
        <w:t>12.13.1 [DEFICIENCY CATEGORIES] The authority classifies a material verification problem as a clerical or formatting error, missing information, evidentiary insufficiency, substantive origin failure, or evidence potentially supporting Circumvention or Fraud. The classification corresponds to the actual problem and may be revised if new evidence materially changes its nature. A lower category may not be treated as a higher category merely to obtain stronger investigative powers or consequences. The trader is informed of a material reclassification and receives the procedural protections attached to the new category.</w:t>
      </w:r>
    </w:p>
    <w:p>
      <w:r>
        <w:t>12.13.2 [CLERICAL AND FORMATTING ERROR] A clerical, transcription, formatting, coding, or other non-substantive error that does not materially alter the underlying origin facts receives a reasonable opportunity for correction. Digital correction is accepted where it preserves an auditable record of the original entry and the correction. Repeated clerical errors may justify administrative assistance, targeted quality review, or a proportionate systems check but do not by themselves establish substantive non-origin. Preference may not be denied solely because a corrected non-substantive field was initially inaccurate.</w:t>
      </w:r>
    </w:p>
    <w:p>
      <w:r>
        <w:t>12.13.3 [MISSING INFORMATION] Where required information is missing, the authority identifies the missing fact, explains why it is material, and permits supplementation within a reasonable period. The trader may satisfy the request with equivalent reliable evidence unless the controlling rule requires a specific record or fact. Failure to provide information outside the trader's reasonable possession or control is evaluated under Article 12.7 rather than automatically treated as non-cooperation. An adverse determination identifies why the remaining record is insufficient to establish the claimed treatment.</w:t>
      </w:r>
    </w:p>
    <w:p>
      <w:r>
        <w:t>12.13.4 [EVIDENTIARY INSUFFICIENCY AND SUBSTANTIVE FAILURE] Evidentiary insufficiency exists where the available record does not reliably establish a required fact, while substantive origin failure exists where the established facts do not satisfy the controlling Chapter 10 or Annex G requirement. The authority distinguishes the two in its notice and determination because their cure pathways and consequences may differ. Additional reliable evidence may cure evidentiary insufficiency where the governing rule permits, but evidence cannot cure a substantive fact that did not occur. Correction of future production may support Restoration prospectively without rewriting the historical facts of an affected transaction.</w:t>
      </w:r>
    </w:p>
    <w:p>
      <w:r>
        <w:t>12.13.5 [MISCONDUCT REFERRAL] Evidence suggesting Circumvention or Fraud is handled through the written referral required by Article 12.2.4 rather than through an implied Chapter 12 misconduct finding. The Chapter 12 record may continue to determine substantive origin to the extent that function remains necessary and procedurally fair. No adverse inference of Circumvention arises merely because the trader exercises a Chapter 12 review right, burden objection, confidentiality protection, or lawful refusal to provide inaccessible information. Consequences for misconduct arise only under the chapter and legal standard assigned to that misconduct.</w:t>
      </w:r>
    </w:p>
    <w:p>
      <w:pPr>
        <w:pStyle w:val="Heading2"/>
      </w:pPr>
      <w:r>
        <w:t>Article 12.14 - Cothrom Verification, Cure, and Automatic Restoration</w:t>
      </w:r>
    </w:p>
    <w:p>
      <w:r>
        <w:t>12.14.1 [COTHROM CURE INITIATION AND CONTROLLABLE CONDITIONS] Cothrom Cure begins with a written record identifying the verified deficiency, corrective action, verification method, measurable completion condition, responsible authority, temporary treatment, and Restoration trigger. Every completion condition is objectively measurable, proportionate to the verified deficiency, and within the trader's reasonable control or satisfiable through an expressly stated alternative when third-party conduct is necessary. A condition may not require unrelated concessions, impossible supplier action, discretionary political approval, or performance exceeding the substantive obligation being cured. The trader may challenge an unmeasurable, uncontrollable, or disproportionate condition through rapid burden review without losing otherwise available cure rights.</w:t>
      </w:r>
    </w:p>
    <w:p>
      <w:r>
        <w:t>12.14.2 [PROPORTIONAL TEMPORARY ADJUSTMENT] A temporary adjustment during cure may be imposed only where independently authorized and reasonably necessary to address the verified failure or protect against a defined recurrence risk. The adjustment is limited by goods, transactions, entities, period, value, quantity, or administrative treatment to the narrowest scope supported by the record. Unrelated shipments, sectors, vested access, completed liberalization, and unaffected rights remain undisturbed. The authority states the condition that ends the adjustment at the time the adjustment is imposed.</w:t>
      </w:r>
    </w:p>
    <w:p>
      <w:r>
        <w:t>12.14.3 [NO POLITICAL LINKAGE] Cothrom Cure may not be conditioned on an unrelated tariff concession, procurement commitment, diplomatic undertaking, market-access concession, withdrawal of a lawful dispute, or political agreement outside the verified deficiency. A Party may not delay Restoration to obtain bargaining leverage on another issue. Compliance is measured against the corrective condition stated in the cure record and the substantive obligation that gave rise to it. A purported additional condition without an express legal basis is ineffective for Chapter 12 Restoration.</w:t>
      </w:r>
    </w:p>
    <w:p>
      <w:r>
        <w:t>12.14.4 [VERIFICATION OF CURE COMPLETION] The responsible authority evaluates claimed completion within five business days after receiving the evidence identified in the cure record, or within seventy-two hours where continued treatment materially affects perishable goods. If the authority identifies a specific outcome-relevant deficiency in the completion evidence within that period, it states the missing fact and the least burdensome means reasonably capable of resolving it. Government outage, staffing shortage, inter-agency delay, or internal disagreement does not postpone legal completion where the objective condition is otherwise established. Failure to issue a timely completion decision causes the condition to be treated as verified for Restoration purposes unless Fraud or a specifically identified substantive failure independently prevents Restoration.</w:t>
      </w:r>
    </w:p>
    <w:p>
      <w:r>
        <w:t>12.14.5 [AUTOMATIC RESTORATION] Verified completion of the stated cure condition produces legal Restoration automatically without renegotiation, political approval, discretionary reauthorization, or an unrelated concession. The responsible authority records and operationally implements the restored treatment within five business days after verification. Failure to complete the administrative recording within five business days does not postpone the legal effect of Restoration and is corrected retroactively where necessary. A later reopening requires a ground independently permitted by the finality rules and may not erase accrued Restoration merely because records continue to be retained.</w:t>
      </w:r>
    </w:p>
    <w:p>
      <w:pPr>
        <w:pStyle w:val="Heading2"/>
      </w:pPr>
      <w:r>
        <w:t>Article 12.15 - Determinations, Reasons, Scope, and Commercial Usability</w:t>
      </w:r>
    </w:p>
    <w:p>
      <w:r>
        <w:t>12.15.1 [REASONED DETERMINATION] A final Chapter 12 determination is written and identifies the controlling substantive rule, material evidence, methodology, applicable burden, factual findings, affected goods or transactions, relevant period, administrative consequence, cure opportunity, review route, and any Restoration condition. The reasons address material contrary evidence and explain why the record satisfies or fails to satisfy the controlling rule. Confidential material may be protected through a non-confidential account or protected-review procedure under Article 12.7. A conclusory statement that origin was not proven is insufficient where the authority relied on identifiable disputed facts.</w:t>
      </w:r>
    </w:p>
    <w:p>
      <w:r>
        <w:t>12.15.2 [SCOPE LIMITATION] An adverse finding extends only to the goods, transactions, entities, facilities, suppliers, routes, batches, or periods for which the record establishes a material evidentiary nexus. Shared ownership, supplier, broker, warehouse, route, commodity, or accounting system alone does not automatically extend the finding to other trade. Any broader scope is separately reasoned and supported. Independently substantiated originating transactions remain unaffected even where another part of the investigated population fails.</w:t>
      </w:r>
    </w:p>
    <w:p>
      <w:r>
        <w:t>12.15.3 [TREATMENT PENDING REVIEW] Filing a timely review may not automatically suspend the legal effect of every determination, but the authority preserves ordinary treatment where objective risk does not justify continued adverse administration. Where continued withholding, security, or enhanced treatment is maintained during review, the authority gives written reasons and reassesses proportionality as the record changes. Perishable goods and recurring shipments receive particular consideration because delay may make later relief commercially meaningless. Successful review triggers correction and Restoration under Article 12.16.</w:t>
      </w:r>
    </w:p>
    <w:p>
      <w:r>
        <w:t>12.15.4 [COMMERCIAL-USABILITY AND PATTERN METRICS] Each Party collects aggregate metrics sufficient to assess commercially usable administration, including release times, verification duration, information-request volume, repeat submissions, corrections, burden objections, tier distribution, security use, remands, referrals, perishable outcomes, and material disparities. Metrics are disaggregated where lawful and analytically meaningful, and an authority may not avoid disaggregation by manipulating categories, sample boundaries, or data retention when available data can support a reliable comparison. Persistent friction, unexplained disparity, repeated missed clocks, or recurring cumulative burden triggers institutional review, while aggregate evidence alone does not establish individual non-compliance and transaction evidence alone does not defeat a properly supported systemic pattern. Institutional review identifies corrective action, responsible authority, completion measure, and follow-up date when a systemic defect is found, without converting aggregate concern into an individual adverse origin determination.</w:t>
      </w:r>
    </w:p>
    <w:p>
      <w:r>
        <w:t>12.15.5 [PUBLIC ADMINISTRATIVE GUIDANCE] Each Party publishes reasonably accessible guidance describing ordinary Chapter 12 procedures, contact points, standard forms, major deadlines, review routes, fallback channels, and trader assistance. Guidance may include examples and simplified forms for small and medium-sized enterprises but clearly distinguishes explanatory material from binding substantive origin requirements. Material changes to routine administration are communicated before application where practicable. Unpublished internal practice may not impose a stricter substantive obligation than the Compact.</w:t>
      </w:r>
    </w:p>
    <w:p>
      <w:pPr>
        <w:pStyle w:val="Heading2"/>
      </w:pPr>
      <w:r>
        <w:t>Article 12.16 - Review, Appeal, Finality, Refunds, and Restoration</w:t>
      </w:r>
    </w:p>
    <w:p>
      <w:r>
        <w:t>12.16.1 [INSTITUTIONALLY DISTINCT REVIEW] Each Party maintains at least one administrative or judicial review route institutionally distinct from the officials who made the initial adverse Chapter 12 determination. The reviewer is capable under the Party's legal system of examining legal error, evidentiary sufficiency, material procedural defect, scope, proportionality, administrative burden, and failure to apply Restoration. Review need not create a new NAAFTC tribunal or private damages action. Existing domestic review bodies may satisfy this Article where they possess the necessary independence and corrective authority.</w:t>
      </w:r>
    </w:p>
    <w:p>
      <w:r>
        <w:t>12.16.2 [MEANINGFUL RECORD, PARTICIPATION, AND REMAND LIMIT] The affected trader has access to the material non-confidential verification record and a meaningful opportunity to identify error, submit responsive evidence, challenge methodology, and contest cumulative administrative effect. Protected information may be handled through lawful confidentiality procedures that preserve meaningful review and do not impose materially slower treatment merely because confidentiality protection is invoked. The reviewer may order one narrowly defined remand for an identified fact-finding gap, with a fixed completion period not exceeding thirty calendar days, and a second remand requires materially new evidence or an exceptional reason recorded by the reviewer. Remand does not restart the original verification clock, revive expired treatment, or permit the original authority to rebuild a record that it had a fair opportunity to establish before the adverse determination.</w:t>
      </w:r>
    </w:p>
    <w:p>
      <w:r>
        <w:t>12.16.3 [CORRECTION, REFUND, AND INTEREST] Where review reverses or materially narrows an adverse determination, the authority corrects the customs treatment and restores affected preference promptly. Duties, security, or equivalent amounts collected because of the erroneous portion are refunded according to applicable law, together with interest where that law provides interest. Administrative implementation may not be delayed for an unrelated policy decision or concession. This Article does not create a separate treaty damages remedy beyond correction, Restoration, refund, interest, or other relief otherwise available.</w:t>
      </w:r>
    </w:p>
    <w:p>
      <w:r>
        <w:t>12.16.4 [FINALITY AND REOPENING] A completed Chapter 12 determination becomes administratively final after the ordinary review and correction periods established by this Chapter or applicable law. Reopening occurs only on proven Fraud, proven deliberate material misrepresentation that was outcome-determinative and could not reasonably have been addressed before finality, or another reopening ground expressly defined by the Compact or implementing law when finality attached. A mere allegation, investigative opening, record-retention duty, later policy change, administrative error, or recharacterization of known facts does not reopen a final matter, and government clerical error is corrected to place the trader as nearly as practicable in the position that correct administration would have produced. Reopening remains limited to the transaction, issue, period, and ground that independently justify it and does not disturb unrelated accrued rights, completed liberalization, or verified Restoration.</w:t>
      </w:r>
    </w:p>
    <w:p>
      <w:r>
        <w:t>12.16.5 [RESTORATION AFTER REVIEW OR CORRECTION] Successful cure, correction of a material administrative defect, expiry of an unauthorized temporary measure, or reversal on review triggers Restoration to the extent required by the controlling rule. Restoration occurs automatically where the relevant completion condition is objectively satisfied and may not depend on discretionary political approval. The authority updates its systems, releases unnecessary security, corrects affected records, and communicates the restored status promptly. A recurring failure to implement Restoration is recorded for systemic review under Article 12.15.4.</w:t>
      </w:r>
    </w:p>
    <w:p>
      <w:pPr>
        <w:pStyle w:val="Heading2"/>
      </w:pPr>
      <w:r>
        <w:t>Article 12.17 - Cooperation, Mutual Assistance, ALVS Interface, and Continuity</w:t>
      </w:r>
    </w:p>
    <w:p>
      <w:r>
        <w:t>12.17.1 [LAWFUL COOPERATION] The Parties may share verified information, request administrative assistance, coordinate technical expertise, and reuse records for Chapter 12 where permitted by this Compact and applicable law. Cooperation reduces duplicate requests and inconsistent findings rather than creating additional evidentiary layers. The lead authority remains responsible for the individual determination even when another Party supplies evidence or expertise. Shared information receives the confidentiality, privilege, data-protection, and use restrictions applicable to the receiving function.</w:t>
      </w:r>
    </w:p>
    <w:p>
      <w:r>
        <w:t>12.17.2 [ALVS SUPPORT ROLE AND DATA PROVENANCE] ALVS may record, transmit, reconcile, timestamp, and support verification information and may generate non-binding alerts or consistency checks within its assigned architecture. An ALVS alert, duplicate reflection of the same source fact, or conflict generated by government data entry does not become independent corroboration merely because it appears in multiple systems, models, or Party records. Where ALVS data conflicts materially with the primary record, the authority resolves the discrepancy within the applicable Chapter 12 clock and traces the provenance of the conflicting data before imposing adverse treatment or elevating risk. ALVS does not directly control a national customs system, make a binding individual origin determination, suspend preference, override a lawful domestic decision, or convert one underlying fact into multiple risk indicators through administrative echo.</w:t>
      </w:r>
    </w:p>
    <w:p>
      <w:r>
        <w:t>12.17.3 [COMMON DATA AND INTEROPERABILITY] The Parties cooperate to maintain or develop common or interoperable data fields for recurring Chapter 12 functions where doing so materially reduces duplication and remains compatible with Chapter 22 and domestic systems. Machine-readable formats may be encouraged but may not displace technology neutrality or the fallback rights in Article 12.8. A Party prefers mapping, translation, or reuse of an existing reliable field over creation of a duplicative NAAFTC-only field. Interoperability work preserves Product Record ID and other continuity mechanisms assigned elsewhere in the Compact.</w:t>
      </w:r>
    </w:p>
    <w:p>
      <w:r>
        <w:t>12.17.4 [CONTINUITY AND OUTAGES] Each Party maintains continuity procedures for major customs-system outages, cross-border data failures, cyber incidents, natural disasters, and other disruptions materially affecting Chapter 12 administration. Procedures identify fallback submission channels, responsible contacts, treatment of deadlines, and methods for preserving release and preference where substantive requirements can still be established. Government-caused outage time may not be attributed to the trader for stop-clock purposes. After recovery, authorities reconcile temporary records without requiring unnecessary duplicate submissions.</w:t>
      </w:r>
    </w:p>
    <w:p>
      <w:r>
        <w:t>12.17.5 [TRAINING AND STAKEHOLDER FEEDBACK] Each Party provides periodic training to relevant officials on the boundaries among Chapters 10, 11, 12, and 16, the No Administrative Substitution Rule, confidentiality, least-burdensome administration, Cothrom Cure, and Restoration. The Parties maintain a channel for traders, suppliers, customs brokers, producers, and small and medium-sized enterprises to identify recurring administrative friction without requiring an individual dispute. Aggregate feedback may inform forms, guidance, training, risk-model correction, and systemic review. Participation in consultation may not affect an individual trader's risk status or verification treatment.</w:t>
      </w:r>
    </w:p>
    <w:p>
      <w:pPr>
        <w:pStyle w:val="Heading2"/>
      </w:pPr>
      <w:r>
        <w:t>Article 12.18 - Cross-Chapter Handoffs, Conflict Rules, and Anti-Bypass Safeguards</w:t>
      </w:r>
    </w:p>
    <w:p>
      <w:r>
        <w:t>12.18.1 [FUNCTIONAL ALLOCATION] Chapter 10 defines substantive origin, Chapter 11 governs Circumvention and Fraud-integrity findings, Chapter 12 verifies individual origin claims and administers associated customs procedure, Chapter 17 reviews system-level performance, Chapter 25 administers broader cure and Restoration functions assigned to it, and Annex G supplies product-specific technical requirements. Chapter 3 and Annex A govern coverage, classification continuity, and nomenclature reconciliation to the extent assigned there. Chapter 26 and other remedy or dispute provisions operate only within the authority expressly assigned to them. No chapter gains additional jurisdiction merely because the same facts are relevant to more than one function.</w:t>
      </w:r>
    </w:p>
    <w:p>
      <w:r>
        <w:t>12.18.2 [FUNCTION CONTROLS PROCEDURE AND INFORMAL ACTIVITY] Where the same facts engage multiple chapters, the function actually exercised determines the controlling rule, authority, clock, burden, notice obligation, confidentiality treatment, and review protection regardless of label or organizational form. Formal proceedings, informal coordination, interviews, data gathering, assistance requests, risk-model use, and other administrative activity that materially contributes to an individual outcome are identified by function in the common record when initiated or first used. Recharacterizing, dividing, sequencing, or leaving activity formally unopened may not obtain a longer clock, lower burden, broader information power, weaker review right, or evidentiary access unavailable to the function actually exercised. If a function genuinely changes, the receiving function uses the formal handoff rule, preserves accrued protections and the matter-level clock, and identifies the materially new basis for the change.</w:t>
      </w:r>
    </w:p>
    <w:p>
      <w:r>
        <w:t>12.18.3 [COMMON RECORD, PROVENANCE, AND NO DUPLICATION] Authorities handling related proceedings maintain one coordinated evidentiary record with source provenance, receiving use, confidentiality status, and material corrections traceable across agencies and chapters. A person is not required to provide the same underlying facts repeatedly merely because another authority requests a reformatted, reaggregated, relabeled, or marginally modified presentation unless the different format is materially necessary for the receiving function. Each authority remains responsible for determining whether shared evidence satisfies its own standard and may not treat administrative repetition of one source fact as independent corroboration. Evidence collected for one purpose is usable for another only within the acquisition, confidentiality, use, notice, burden, and procedural limits that would govern that evidence in the receiving purpose.</w:t>
      </w:r>
    </w:p>
    <w:p>
      <w:r>
        <w:t>12.18.4 [ANTI-BYPASS AND AGGREGATE-EFFECT RULE] A Chapter 11 referral, Chapter 17 system review, Chapter 25 cure process, ALVS record, domestic-law process, inter-agency activity, or other mechanism may not evade a Chapter 12 deadline, evidentiary burden, notice requirement, burden test, scope limitation, review right, or automatic Restoration rule by relabeling, sequencing, fragmentation, or parallel use. Compliance of individual measures does not establish compliance of their combined course, and a reviewer examines substance, timing, common factual predicates, cumulative burden, commercial effect, overlapping deadlines, security, detention, referrals, and repeated administrative demands. An authority may not obtain indirectly, informally, through another chapter, or through domestic-law routing a document, compulsory act, adverse inference, or procedural advantage that the receiving NAAFTC function prohibits directly, while independently lawful domestic action for a genuinely different function remains governed by that function's safeguards. Where the combined course exceeds what reliable verification requires, the authority or reviewer narrows, sequences, stays, or terminates the least necessary component and preserves treatment already restored or protections already accrued.</w:t>
      </w:r>
    </w:p>
    <w:p>
      <w:r>
        <w:t>12.18.5 [CONFLICT, TEMPORAL STABILITY, AND PRESERVATION] Where procedural provisions overlap, the more specific allocation of function and the protection expressly attached to that function control unless the Compact clearly states otherwise. An ambiguity, later guidance, Annex G maintenance action, classification adjustment, software change, or administrative practice may not create a new substantive origin requirement, retroactively increase an evidentiary burden, extend an expired temporary restriction, or eliminate a trader protection without express legal authority. Independently accrued rights, completed liberalization, final determinations, Product Record ID continuity, and verified Restoration remain preserved despite nomenclature or classification changes where the underlying good and controlling substantive facts remain materially the same, except to the extent a lawful reopening rule specifically applies. Recurring interface problems are resolved through the Compact's institutional maintenance procedures rather than unilateral administrative expansion, and a later procedural change applies prospectively unless the Compact expressly provides otherwise.</w:t>
      </w:r>
    </w:p>
    <w:p>
      <w:pPr>
        <w:pStyle w:val="Heading1"/>
      </w:pPr>
      <w:r>
        <w:t>Chapter 13 - Advance Rulings and Binding Origin Guidance</w:t>
      </w:r>
    </w:p>
    <w:p>
      <w:pPr/>
      <w:r>
        <w:t xml:space="preserve">This Chapter establishes the prospective origin-ruling architecture that follows Chapters 10 through 12 and preserves the separate functions of later regulatory, verification, cure, and dispute chapters.</w:t>
      </w:r>
    </w:p>
    <w:p>
      <w:pPr>
        <w:pStyle w:val="Heading2"/>
      </w:pPr>
      <w:r>
        <w:t>Article 13.1 - Purpose, Scope, and Legal Character</w:t>
      </w:r>
    </w:p>
    <w:p>
      <w:pPr/>
      <w:r>
        <w:t>13.1.1 [PURPOSE AND PROSPECTIVE CERTAINTY] This Chapter establishes a prospective advance-ruling system that gives traders and public authorities reliable guidance on the application of Chapter 10 and Annex G before covered commercial activity occurs. The system promotes legal certainty, consistent administration, investment planning, and commercially usable origin compliance. An advance ruling determines the application of existing origin law to stated facts or reasonable stated assumptions and does not create a new substantive origin condition. The ruling process does not function as enforcement, punishment, investigation, or a substitute for Chapter 12 verification.</w:t>
      </w:r>
    </w:p>
    <w:p>
      <w:pPr/>
      <w:r>
        <w:t>13.1.2 [COVERED ORIGIN QUESTIONS] An eligible applicant may request a ruling on tariff shift, regional value content, maximum non-originating content, accumulation, de minimis, inventory method, fungible goods, sets, mixtures, composite goods, packaging, neutral elements, indirect materials, or another origin question expressly governed by Chapter 10 or Annex G. A request may address whether an operation constitutes a minimal operation under Article 10.4.2. Classification or valuation inputs fall within this Chapter only to the extent necessary to resolve an origin question assigned to Chapter 10 or Annex G. The ruling identifies the controlling origin provision and does not enlarge the legal scope of that provision.</w:t>
      </w:r>
    </w:p>
    <w:p>
      <w:pPr/>
      <w:r>
        <w:t>13.1.3 [EXCLUDED SUBJECTS] This Chapter does not determine sanitary or phytosanitary admissibility, safeguard eligibility, tariff rates, tariff elimination timing, tariff-rate quota administration, managed access, domestic support, or another market-access question assigned elsewhere in this Compact. An authority does not use an origin ruling to decide a matter whose controlling legal standard belongs to another Chapter. Where an application contains both covered and excluded questions, the ruling authority separates the covered origin question and identifies the competent route for the excluded matter where reasonably available. Separation does not suspend the Chapter 13 clock for the covered question unless the excluded matter supplies a fact indispensable to the origin determination.</w:t>
      </w:r>
    </w:p>
    <w:p>
      <w:pPr/>
      <w:r>
        <w:t>13.1.4 [ENFORCEMENT EXCLUSION] An advance-ruling proceeding does not determine Circumvention, Fraud, criminal liability, civil penalty liability, or another enforcement consequence. Evidence independently supporting a Chapter 11 referral receives the handoff treatment in Article 13.14 and does not convert the ruling proceeding into an investigation. Refusal to issue a ruling on an enforcement matter does not create an adverse inference concerning the applicant or the proposed transaction. Chapter 11 and applicable domestic law retain their assigned enforcement functions.</w:t>
      </w:r>
    </w:p>
    <w:p>
      <w:pPr/>
      <w:r>
        <w:t>13.1.5 [BINDING RULING AND ADVISORY GUIDANCE] A binding advance ruling is a written determination issued under this Chapter and carries the legal effect specified in Articles 13.9 through 13.11. Non-binding advisory guidance, pre-application consultation, explanatory examples, and informal opinions assist compliance but do not create the reliance protection of a binding ruling unless the authority expressly converts them into one. An authority clearly identifies whether a communication is binding or non-binding when it could reasonably be understood as deciding an origin question. Informal guidance does not amend Chapter 10, Annex G, or a binding ruling.</w:t>
      </w:r>
    </w:p>
    <w:p>
      <w:pPr>
        <w:pStyle w:val="Heading2"/>
      </w:pPr>
      <w:r>
        <w:t>Article 13.2 - Eligible Applicants, Standing, and Competent Authority</w:t>
      </w:r>
    </w:p>
    <w:p>
      <w:pPr/>
      <w:r>
        <w:t>13.2.1 [ELIGIBLE APPLICANTS] An importer, exporter, producer, supplier with a direct commercial interest, or authorized representative may request an advance ruling concerning a covered origin question. An applicant need not be established, incorporated, resident, or a national in the territory of the issuing Party merely to obtain access to the ruling process. The authority may require information reasonably necessary to establish the applicant's connection to the proposed or recurring transaction. Standing rules operate neutrally among the Parties and do not favor domestic applicants.</w:t>
      </w:r>
    </w:p>
    <w:p>
      <w:pPr/>
      <w:r>
        <w:t>13.2.2 [AUTHORIZED REPRESENTATION] An applicant may act through a customs broker, lawyer, trade professional, industry representative, or other person lawfully authorized under the issuing Party's rules. The authority may request reasonable evidence of authorization where necessary to protect confidential information or confirm instructions. Representation does not alter the applicant's substantive rights, clocks, or evidentiary opportunities under this Chapter. A Party does not require professional representation as a condition for filing a ruling request.</w:t>
      </w:r>
    </w:p>
    <w:p>
      <w:pPr/>
      <w:r>
        <w:t>13.2.3 [DESIGNATED RULING AUTHORITY] Each Party designates one national authority responsible for receiving and coordinating Chapter 13 applications. The designated authority may obtain technical input from customs, agriculture, valuation, classification, laboratory, or other competent officials while remaining accountable for the ruling and applicable clock. Internal allocation of expertise does not require the applicant to restart or duplicate the application, and a consulted agency does not independently initiate a parallel applicant-information channel concerning the same ruling matter unless the designated authority coordinates that contact or the applicant agrees. The Party publishes the authority's contact point, submission channels, ordinary service information, and review route.</w:t>
      </w:r>
    </w:p>
    <w:p>
      <w:pPr/>
      <w:r>
        <w:t>13.2.4 [SINGLE WINDOW] Each Party maintains a single-window intake and case-management process for Chapter 13 applications even where several domestic agencies possess relevant expertise. A filing accepted through the designated channel constitutes filing with the issuing Party for purposes of the applicable Chapter 13 clock. Internal transfer, reassignment, consultation, routing, or technical assistance does not reset that clock or divide one ruling matter into separate procedural tracks. The designated authority remains the applicant's ordinary procedural interface and informs the applicant of the responsible case contact once the application enters substantive review.</w:t>
      </w:r>
    </w:p>
    <w:p>
      <w:pPr/>
      <w:r>
        <w:t>13.2.5 [OFFICIAL LANGUAGES AND ACCESS] A Party accepts applications in the official language or languages required by its domestic legal order and publishes any additional language options it voluntarily supports. Where translation is reasonably necessary for technical material, the authority identifies the material and the acceptable translation standard without imposing unnecessary certification expense. Language administration does not discriminate among applicants from different Parties. The authority provides accessible instructions sufficient for a small or medium-sized enterprise to identify the filing route and minimum information required.</w:t>
      </w:r>
    </w:p>
    <w:p>
      <w:pPr>
        <w:pStyle w:val="Heading2"/>
      </w:pPr>
      <w:r>
        <w:t>Article 13.3 - Submission Channels, Forms, Accessibility, and Fees</w:t>
      </w:r>
    </w:p>
    <w:p>
      <w:pPr/>
      <w:r>
        <w:t>13.3.1 [ELECTRONIC DEFAULT, FALLBACK, AND OUTAGE CONTINUITY] Electronic submission is the ordinary filing method where the applicant can reasonably access the designated system. Each Party maintains a paper, email, assisted-filing, or comparable fallback channel, and a government-caused system outage preserves the applicant's original filing time, running clocks, and deemed-completeness position when timely use of the ordinary channel is materially impaired. Use of an authorized fallback does not reduce legal effect, create a slower substantive standard, require refiling after restoration of the system, or attribute government outage time to the applicant. The authority records any material outage affecting a pending application and uses the fallback process necessary to continue the matter without prejudice.</w:t>
      </w:r>
    </w:p>
    <w:p>
      <w:pPr/>
      <w:r>
        <w:t>13.3.2 [MODEL APPLICATION] Each Party publishes a model application form identifying the minimum data required by Article 13.4. The form separates mandatory information from optional explanatory material and does not convert administrative convenience fields into substantive origin requirements. An applicant may use another format that supplies the required information in an intelligible manner. Failure to use the model form is not by itself a ground for rejection.</w:t>
      </w:r>
    </w:p>
    <w:p>
      <w:pPr/>
      <w:r>
        <w:t>13.3.3 [SME SIMPLIFIED PATH] Each Party provides a simplified application pathway or assisted filing process for small and medium-sized enterprises. The simplified path preserves the same substantive origin standard and binding effect as the ordinary process. Assistance may include plain-language prompts, examples, pre-filing checks, or identification of commonly relevant Annex G fields. Simplification does not authorize the authority to decide the application on a lower evidentiary standard.</w:t>
      </w:r>
    </w:p>
    <w:p>
      <w:pPr/>
      <w:r>
        <w:t>13.3.4 [PRE-APPLICATION CONSULTATION] An applicant may request a non-binding pre-application consultation concerning scope, required information, appropriate grouping of products, or another procedural question. The consultation does not start the ruling clock unless a complete application is filed. Information supplied during consultation receives the confidentiality protections of this Chapter. Participation or non-participation in consultation does not affect risk status, verification treatment, or entitlement to a ruling.</w:t>
      </w:r>
    </w:p>
    <w:p>
      <w:pPr/>
      <w:r>
        <w:t>13.3.5 [FEES] A Party does not impose a fee for filing or ordinary processing of a Chapter 13 application. Where domestic law requires a charge for a specific extraordinary service requested or accepted by the applicant, the charge reflects reasonable administrative cost and does not deter legitimate use, discriminate among Parties, or operate as a revenue measure. The authority discloses the optional or extraordinary service, charge, and basis before the applicant incurs it. Inability or refusal to purchase an extraordinary service does not prejudice consideration of an otherwise complete application or permit domestic fee rules to defeat the no-fee rule for ordinary Chapter 13 administration.</w:t>
      </w:r>
    </w:p>
    <w:p>
      <w:pPr>
        <w:pStyle w:val="Heading2"/>
      </w:pPr>
      <w:r>
        <w:t>Article 13.4 - Application Requirements, Completeness, and Deficiency Cure</w:t>
      </w:r>
    </w:p>
    <w:p>
      <w:pPr/>
      <w:r>
        <w:t>13.4.1 [MINIMUM APPLICATION DATA] A complete application identifies the applicant, the good or product family, the material facts or stated assumptions, the origin provision requiring interpretation, and the treatment the applicant considers correct. The application supplies records reasonably available and material to the identified origin question. The authority does not require proof of facts irrelevant to the requested ruling or already reliably held by the issuing Party and reusable for the assigned function. Annex G controls any product-specific substantive data requirement.</w:t>
      </w:r>
    </w:p>
    <w:p>
      <w:pPr/>
      <w:r>
        <w:t>13.4.2 [TEN-DAY COMPLETENESS CLOCK] The ruling authority assesses filing completeness within ten business days after receipt. An application becomes complete at the end of that period unless the authority identifies a specific material deficiency in writing. A deficiency notice explains the missing fact or record, why it is material to the requested ruling, and what information or equivalent reliable evidence can cure it. A generic request for more information does not prevent deemed completeness.</w:t>
      </w:r>
    </w:p>
    <w:p>
      <w:pPr/>
      <w:r>
        <w:t>13.4.3 [DEFICIENCY CURE] An applicant receives a reasonable opportunity to cure a material deficiency identified within the completeness period. The applicant may use equivalent reliable evidence unless the controlling substantive rule requires a particular fact or method. The authority confirms cure or identifies any remaining material deficiency promptly after receiving the response. Repeated deficiency notices may not fragment one reasonably foreseeable information need into successive requests.</w:t>
      </w:r>
    </w:p>
    <w:p>
      <w:pPr/>
      <w:r>
        <w:t>13.4.4 [ANTI-FRAGMENTATION] The designated authority consolidates reasonably foreseeable information needs concerning the same good, factual set, and ruling question into a single coordinated request across functionally related participating agencies. A supplemental request after completeness requires a materially new fact, a genuinely new question created by the applicant's response, or another reason that could not reasonably have been identified during the completeness review, and related supplemental requests are assessed cumulatively rather than agency by agency. A supplemental request does not restart the ruling clock and remains limited to the new matter. Renaming, internal transfer, reassignment, consultation, or sequential agency contact does not create a new application or separate information entitlement for clock or burden purposes.</w:t>
      </w:r>
    </w:p>
    <w:p>
      <w:pPr/>
      <w:r>
        <w:t>13.4.5 [IRRELEVANT OR EXCESSIVE MATERIAL] The authority does not condition completeness on information whose burden is materially disproportionate to its likely value in resolving the identified origin question. An applicant may object in writing to a request as irrelevant, duplicative, inaccessible, or unnecessarily burdensome and may propose narrower or equivalent evidence. An official not responsible for making the challenged request resolves the objection within five business days or before the applicant's response deadline, whichever occurs first, and gives a short written reason for narrowing, replacing, sequencing, or upholding the request. The objection suspends only the challenged portion of the request and does not suspend unrelated work on the application.</w:t>
      </w:r>
    </w:p>
    <w:p>
      <w:pPr>
        <w:pStyle w:val="Heading2"/>
      </w:pPr>
      <w:r>
        <w:t>Article 13.5 - Product Families, Shared Supply Chains, and Consolidated Rulings</w:t>
      </w:r>
    </w:p>
    <w:p>
      <w:pPr/>
      <w:r>
        <w:t>13.5.1 [PRODUCT-FAMILY RULINGS] An applicant may request one ruling covering a product family where the goods share the material origin facts and controlling rule necessary to the requested determination. The ruling identifies the factual characteristics that define the covered family and any variants excluded from it. Minor commercial variations that do not alter a material origin fact do not require a separate application. The authority may divide a proposed family only where a material factual or legal difference requires separate treatment.</w:t>
      </w:r>
    </w:p>
    <w:p>
      <w:pPr/>
      <w:r>
        <w:t>13.5.2 [CONSOLIDATED APPLICATIONS] Related applicants may submit a consolidated application concerning a shared supply chain, common production process, or materially identical origin issue. The authority coordinates the proceeding so that common evidence is submitted once to the extent confidentiality and domestic law permit. Each participating applicant remains responsible for facts uniquely within that applicant's control. Consolidation does not cause confidential information of one participant to become available to another without lawful authorization.</w:t>
      </w:r>
    </w:p>
    <w:p>
      <w:pPr/>
      <w:r>
        <w:t>13.5.3 [MULTI-PARTY SUPPLY CHAINS] Producers or other eligible applicants located in more than one Party may jointly request a ruling from one Party concerning treatment by that issuing Party. The application may describe production steps occurring across the territories of several Parties and may identify corresponding applications filed elsewhere. Joint participation does not make the issuing Party's ruling legally binding on another Party. Article 13.13 supplies the coordination process where materially identical applications risk divergent outcomes.</w:t>
      </w:r>
    </w:p>
    <w:p>
      <w:pPr/>
      <w:r>
        <w:t>13.5.4 [REPEAT APPLICATIONS] An authority may decline a repeat application from the same applicant concerning materially identical facts and the same legal question where a binding ruling remains in force. The authority gives written reasons identifying the prior ruling and the absence of a material new fact or legal change. A new production method, sourcing pattern, material assumption, controlling rule, or other outcome-relevant change permits a new application. The repeat-application rule does not prevent review, modification, or revocation procedures expressly provided by this Chapter.</w:t>
      </w:r>
    </w:p>
    <w:p>
      <w:pPr/>
      <w:r>
        <w:t>13.5.5 [REPRESENTATIVE EVIDENCE] An application concerning recurring production may rely on representative records, sampling, production-run data, inventory records, or another method permitted by Chapter 10 and Annex G. The ruling states the representativeness assumptions necessary for continued reliance. A Party does not require transaction-by-transaction evidence where the controlling origin rule permits a production-period, inventory, or other representative method. Chapter 12 independently verifies later transactions using the substantive method lawfully established for those transactions.</w:t>
      </w:r>
    </w:p>
    <w:p>
      <w:pPr>
        <w:pStyle w:val="Heading2"/>
      </w:pPr>
      <w:r>
        <w:t>Article 13.6 - Ruling Clocks, Tolling, Urgency, and Interim Treatment</w:t>
      </w:r>
    </w:p>
    <w:p>
      <w:pPr/>
      <w:r>
        <w:t>13.6.1 [ORDINARY CLOCK] The authority issues an ordinary advance ruling within sixty calendar days after the application becomes complete. The period includes internal consultation, technical review, and coordination within the issuing Party. Government routing, staffing changes, workload, or ordinary inter-agency delay does not restart or suspend the clock. The final ruling or a reviewable refusal is communicated to the applicant within the same period.</w:t>
      </w:r>
    </w:p>
    <w:p>
      <w:pPr/>
      <w:r>
        <w:t>13.6.2 [COMPLEX-CASE CLOCK] A genuinely complex application may use a maximum ninety-calendar-day ruling period where the authority records the complexity before expiration of the ordinary period. Complexity requires a specific feature such as novel technical evidence, several materially distinct production stages, or a legal issue not reasonably resolvable within the ordinary period and does not arise merely from staffing limits, internal disagreement, inter-agency routing, workload, or government failure to coordinate. The notice identifies the feature requiring additional time and the remaining work. Designating a case complex does not alter the substantive burden, reset an elapsed period, or permit an additional extension.</w:t>
      </w:r>
    </w:p>
    <w:p>
      <w:pPr/>
      <w:r>
        <w:t>13.6.3 [LIMITED TOLLING] The ruling clock pauses only for a period of applicant-caused delay that materially prevents the authority from deciding the identified question. The authority gives written notice stating the missing applicant action, the date tolling begins, and the condition that ends the pause. Tolling ends when the applicant performs the identified action or supplies an accepted equivalent. Government consultation, internal disagreement, supplemental analysis, or information already available to the authority does not constitute applicant-caused delay.</w:t>
      </w:r>
    </w:p>
    <w:p>
      <w:pPr/>
      <w:r>
        <w:t>13.6.4 [MISSED CLOCK AND REVIEW] Failure to issue a ruling within the applicable outer clock gives the applicant access to expedited review of the delay. The reviewer may direct issuance, require a reasoned disposition within a short fixed period, or provide another corrective measure available under domestic law that preserves the commercial usefulness of the process. Missing the clock does not by itself establish that the applicant's proposed origin treatment is correct. The authority may not cure an expired clock by withdrawing and reopening the same application under a new case number.</w:t>
      </w:r>
    </w:p>
    <w:p>
      <w:pPr/>
      <w:r>
        <w:t>13.6.5 [PERISHABLE, SEASONAL, AND INTERIM PATH] Each Party maintains an expedited pathway where delay would materially impair a perishable shipment, seasonal production decision, planting or harvest cycle, or another time-sensitive agricultural transaction. Within three business days after a supported urgency request, the authority accepts the expedited pathway or gives a reasoned refusal and, if accepted, states an accelerated decision schedule tied to the demonstrated commercial window. Where the record is sufficiently developed but a narrow issue remains unresolved, the authority may issue an interim ruling that clearly states its assumptions, duration, limits, and relationship to the final ruling. An interim ruling provides reliance protection only within its stated terms and does not suspend the applicable outer clock or become an indefinite substitute for the final ruling.</w:t>
      </w:r>
    </w:p>
    <w:p>
      <w:pPr>
        <w:pStyle w:val="Heading2"/>
      </w:pPr>
      <w:r>
        <w:t>Article 13.7 - Evidence, Stated Assumptions, and Material Change</w:t>
      </w:r>
    </w:p>
    <w:p>
      <w:pPr/>
      <w:r>
        <w:t>13.7.1 [REASONABLE STATED ASSUMPTIONS] An applicant may request a ruling before production or shipment by identifying reasonable stated assumptions concerning sourcing, processing, value, quantity, inventory treatment, or another material origin fact. The authority evaluates the legal consequence of those assumptions rather than requiring the future event to have already occurred. The ruling states each assumption material to its conclusion. An assumption may not contradict a known fact or conceal a material uncertainty that the applicant can reasonably identify.</w:t>
      </w:r>
    </w:p>
    <w:p>
      <w:pPr/>
      <w:r>
        <w:t>13.7.2 [MATERIAL MATCH] A ruling binds covered transactions where the material facts correspond to the facts or assumptions stated in the ruling. A minor deviation does not defeat reliance where it does not alter the application of the controlling origin rule. The authority identifies the material mismatch before denying reliance on that ground and explains its effect on the ruling analysis. Differences unrelated to the legal conclusion do not convert a compliant transaction into an unruled transaction.</w:t>
      </w:r>
    </w:p>
    <w:p>
      <w:pPr/>
      <w:r>
        <w:t>13.7.3 [DUTY TO NOTIFY MATERIAL CHANGE] The applicant notifies the issuing authority when it becomes aware of a material change in facts that could alter the ruling conclusion for future transactions. The notice describes the changed fact and, where reasonably known, the date from which the change applies, and notification alone does not suspend or revoke the ruling. The authority determines whether the change materially affects the conclusion and uses Article 13.11 for any prospective modification or revocation, while failure to notify affects reliance only to the extent the undisclosed change is material and attributable to the person claiming protection. An immaterial change does not create a reporting breach or authorize revocation.</w:t>
      </w:r>
    </w:p>
    <w:p>
      <w:pPr/>
      <w:r>
        <w:t>13.7.4 [EVIDENCE STANDARD] The authority evaluates reliable evidence appropriate to the origin question and does not require a more burdensome evidentiary pathway where a simpler lawful pathway establishes the relevant fact. Records may include commercial, production, accounting, supplier, technical, digital, inventory, or other evidence permitted by Chapter 10 and Annex G. The ruling process does not create a stricter proof standard than the substantive origin rule. Evidentiary uncertainty is explained in the ruling rather than converted into an unstated substantive requirement.</w:t>
      </w:r>
    </w:p>
    <w:p>
      <w:pPr/>
      <w:r>
        <w:t>13.7.5 [GOVERNMENT-HELD INFORMATION] The authority reuses reliable information already lawfully held by the issuing Party where reuse is permitted and materially reduces duplication. The applicant may identify a prior filing, ruling, registration, or government record believed to contain relevant information. The authority requests resubmission only where the prior record cannot reasonably be retrieved, is materially outdated, or lacks information necessary for the present question. Government failure to locate its own reusable record does not justify an adverse inference against the applicant.</w:t>
      </w:r>
    </w:p>
    <w:p>
      <w:pPr>
        <w:pStyle w:val="Heading2"/>
      </w:pPr>
      <w:r>
        <w:t>Article 13.8 - Supplier Information, Confidentiality, Privilege, and Use Restrictions</w:t>
      </w:r>
    </w:p>
    <w:p>
      <w:pPr/>
      <w:r>
        <w:t>13.8.1 [DIRECT SUPPLIER SUBMISSION] A supplier may submit confidential information directly to the ruling authority where disclosure to the applicant would reveal protected commercial information. The authority confirms receipt and identifies whether the submission is sufficient for the origin question without disclosing protected content. The applicant receives a non-confidential description sufficient to understand the issue and respond meaningfully where a response is necessary. Supplier confidentiality does not permit the authority to rely on a secret legal standard.</w:t>
      </w:r>
    </w:p>
    <w:p>
      <w:pPr/>
      <w:r>
        <w:t>13.8.2 [CONFIDENTIAL BUSINESS INFORMATION] Information obtained under this Chapter receives the confidentiality, data-protection, privilege, retention, and access safeguards applicable under Chapter 22 and domestic law. The authority limits access to persons lawfully requiring the information for the assigned ruling function. Publication under Article 13.12 removes or generalizes protected information while preserving useful legal reasoning where possible. A confidentiality breach receives prompt corrective treatment and does not expand lawful use of the compromised information.</w:t>
      </w:r>
    </w:p>
    <w:p>
      <w:pPr/>
      <w:r>
        <w:t>13.8.3 [NON-CONFIDENTIAL SUMMARY] Where confidential evidence materially affects the ruling, the authority provides a non-confidential summary or other protected procedure sufficient to explain the nature and legal significance of that evidence. The summary need not reveal trade secrets, proprietary formulas, personal data, or information whose disclosure is prohibited by law. The applicant receives a meaningful opportunity to correct a material misunderstanding without obtaining protected supplier information. A conclusory statement that confidential evidence controls the result is insufficient.</w:t>
      </w:r>
    </w:p>
    <w:p>
      <w:pPr/>
      <w:r>
        <w:t>13.8.4 [PRIVILEGE AND LEGALLY PROTECTED MATERIAL] This Chapter does not require waiver of legal privilege or disclosure of material protected from compulsory production under the issuing Party's law. An applicant identifies the basis of a claimed protection with enough information to permit the authority to assess the claim without revealing the protected substance. The authority considers lawful alternative evidence where the protected material concerns a fact that can reliably be established another way. Exercise of a valid protection does not by itself support an adverse inference.</w:t>
      </w:r>
    </w:p>
    <w:p>
      <w:pPr/>
      <w:r>
        <w:t>13.8.5 [INFORMATION FIREWALL AND PROVENANCE] Information collected for a Chapter 13 ruling is used for that ruling and related administration unless another NAAFTC function lawfully receives it under an independent legal basis. Any lawful transfer preserves source, date, original purpose, material limitations, chain of use, and confidentiality status, and transfer to Chapter 11 additionally requires an independent evidentiary predicate and a written record identifying the receiving function and permitted use. Chapter 12 may consider a binding ruling and lawfully reusable supporting information but conducts any later verification under its own notice, burden, scope, clock, provenance, and confidentiality rules. A transfer, duplication, summary, database entry, or inter-agency relay does not create a procedural or evidentiary advantage that the receiving function could not lawfully obtain directly.</w:t>
      </w:r>
    </w:p>
    <w:p>
      <w:pPr>
        <w:pStyle w:val="Heading2"/>
      </w:pPr>
      <w:r>
        <w:t>Article 13.9 - Ruling Content, Effective Date, Duration, and Binding Effect</w:t>
      </w:r>
    </w:p>
    <w:p>
      <w:pPr/>
      <w:r>
        <w:t>13.9.1 [REQUIRED CONTENT] A binding ruling is written and identifies the applicant, covered good or product family, material facts or assumptions, controlling Chapter 10 or Annex G provision, methodology, conclusion, reasons, effective date, duration if limited, and review route. The reasons address material contrary evidence and explain any outcome-relevant classification or valuation input used solely for origin. Confidential information may be described through a protected annex or non-confidential account. A ruling that omits a material legal basis is subject to correction or review.</w:t>
      </w:r>
    </w:p>
    <w:p>
      <w:pPr/>
      <w:r>
        <w:t>13.9.2 [EFFECTIVE DATE] The ruling states the date on which reliance protection begins and any transaction class to which it applies. Unless the ruling lawfully provides otherwise, prospective effect begins no later than the date of issuance for transactions occurring thereafter. At the applicant's request, the authority may apply a favorable ruling to an earlier eligible transaction where domestic law permits and no final contrary determination prevents that treatment. Retroactive favorable effect does not create retroactive liability for another trader or Party.</w:t>
      </w:r>
    </w:p>
    <w:p>
      <w:pPr/>
      <w:r>
        <w:t>13.9.3 [DURATION AND NO AUTOMATIC EXPIRY] A ruling remains effective while its material facts, stated assumptions, controlling origin law, and expressly stated conditions remain materially unchanged. The authority does not impose automatic expiry, repeated review, or recurring information demands merely to force reapplication or re-prove unchanged facts already established on the ruling record. A Party may conduct periodic administrative review to confirm continuing factual and legal correspondence without suspending the ruling during ordinary review and requests only information reasonably necessary to identify a material change. Any modification or revocation resulting from review follows Article 13.11 rather than operating through repeated review itself.</w:t>
      </w:r>
    </w:p>
    <w:p>
      <w:pPr/>
      <w:r>
        <w:t>13.9.4 [BINDING NATIONAL EFFECT] A valid ruling binds the issuing Party for covered transactions within its stated scope. The ruling applies consistently across customs offices, ports, regions, and competent agencies of the issuing Party that administer the covered origin question. An internal disagreement or personnel change does not authorize a local office to disregard the ruling. Another Party is not legally bound by the ruling except through an express agreement or its own corresponding determination.</w:t>
      </w:r>
    </w:p>
    <w:p>
      <w:pPr/>
      <w:r>
        <w:t>13.9.5 [RELATIONSHIP TO VERIFICATION] A binding ruling establishes the issuing Party's legal treatment of the covered origin question where later transaction facts materially match the ruling record. Chapter 12 may verify whether a transaction actually matches those facts and whether other applicable origin requirements are satisfied. Verification does not reopen the legal interpretation resolved by the ruling merely because a different official prefers another interpretation. A materially different fact, valid legal change, or Article 13.11 modification supplies the route for changing future treatment.</w:t>
      </w:r>
    </w:p>
    <w:p>
      <w:pPr>
        <w:pStyle w:val="Heading2"/>
      </w:pPr>
      <w:r>
        <w:t>Article 13.10 - Good-Faith Reliance and Investment Protection</w:t>
      </w:r>
    </w:p>
    <w:p>
      <w:pPr/>
      <w:r>
        <w:t>13.10.1 [GOOD-FAITH RELIANCE] A person acting in good faith within the material facts and scope of a valid ruling may rely on that ruling for covered transactions. The issuing Party does not impose retroactive adverse origin treatment merely because an official later adopts a different interpretation of unchanged law. Reliance protection includes ordinary customs administration, audit, and Chapter 12 verification to the extent the verified facts match the ruling. Fraud or materially false facts attributable to the person claiming protection receive the treatment in Article 13.11.</w:t>
      </w:r>
    </w:p>
    <w:p>
      <w:pPr/>
      <w:r>
        <w:t>13.10.2 [NO RETROACTIVE PENALTY FOR VALID RELIANCE] A Party does not impose a penalty, punitive interest, or misconduct inference solely because a person followed a valid ruling later modified or revoked prospectively. Amounts legally due because the transaction facts materially differed from the ruling remain governed by the applicable origin and customs rules. The distinction between protected reliance and factual nonconformity is stated in any adverse determination. Chapter 11 remains available where its independent elements are proven.</w:t>
      </w:r>
    </w:p>
    <w:p>
      <w:pPr/>
      <w:r>
        <w:t>13.10.3 [PERSONNEL AND INFORMAL-GUIDANCE STABILITY] A change in personnel, management, internal policy preference, unpublished practice, training material, or informal guidance does not diminish a valid ruling. An authority resolves internal disagreement through the modification process rather than through inconsistent transaction-level administration. Later non-binding guidance does not override a binding ruling. Published guidance identifies any prospective change affecting future ruling practice without retroactively altering accrued reliance.</w:t>
      </w:r>
    </w:p>
    <w:p>
      <w:pPr/>
      <w:r>
        <w:t>13.10.4 [INVESTMENT RELIANCE] When modifying or revoking a ruling, the authority considers documented investments, contracts, sourcing commitments, production changes, inventory positions, and other substantial commercial commitments reasonably made in reliance on the ruling. Reliance investment does not prevent a valid treaty amendment or correction of Fraud. It informs the reasonable transition period and prospective effective date where the authority possesses discretion under Article 13.11. The protection does not create a separate damages entitlement unless domestic law independently provides one.</w:t>
      </w:r>
    </w:p>
    <w:p>
      <w:pPr/>
      <w:r>
        <w:t>13.10.5 [CONTINUITY UNTIL VALID CHANGE] A ruling remains operative until its stated end, a material factual departure, a valid legal change, or a modification or revocation effective under Article 13.11. Opening a review does not by itself suspend the ruling, and any narrowly tailored interim restriction requires a recorded factual basis showing that immediate continuation creates a specific serious legal or integrity problem. The issuing authority gives written notice, limits the restriction to the minimum necessary scope, and obtains institutionally distinct review within ten business days, after which the restriction expires unless the reviewer confirms its continued necessity for a stated period while Article 13.11 is completed. Interim protection remains reviewable, does not become an indefinite substitute for modification or revocation, and does not authorize retroactive adverse treatment beyond Article 13.11.</w:t>
      </w:r>
    </w:p>
    <w:p>
      <w:pPr>
        <w:pStyle w:val="Heading2"/>
      </w:pPr>
      <w:r>
        <w:t>Article 13.11 - Modification, Revocation, Legal Change, and Transition</w:t>
      </w:r>
    </w:p>
    <w:p>
      <w:pPr/>
      <w:r>
        <w:t>13.11.1 [PROSPECTIVE DEFAULT] Modification or revocation of a binding ruling operates prospectively by default. The authority gives written notice identifying the changed interpretation, fact, or law and explaining why the existing ruling can no longer govern future transactions. The notice states the effective date and available review route. A government error not attributable to the applicant does not by itself justify retroactive adverse treatment.</w:t>
      </w:r>
    </w:p>
    <w:p>
      <w:pPr/>
      <w:r>
        <w:t>13.11.2 [RETROACTIVE REVOCATION LIMIT] Retroactive revocation occurs only where Fraud, a knowing material false statement, or a material omission attributable to the applicant caused the ruling to issue on a materially false record. The authority identifies the affected period and the causal connection between the misconduct and the ruling. Retroactive effect remains limited to transactions materially affected by that defect. Ordinary mistake, reasonable disagreement, later reinterpretation, or government processing error does not satisfy this standard.</w:t>
      </w:r>
    </w:p>
    <w:p>
      <w:pPr/>
      <w:r>
        <w:t>13.11.3 [ADJUSTMENT PERIOD] A prospective modification or revocation provides a reasonable adjustment period where immediate change would materially disrupt good-faith commercial reliance and no urgent legal necessity requires immediate effect. The authority considers production cycles, perishability, contracts, sourcing changes, inventory, seasonal timing, and documented reliance investment and states the actual transition period and its effective dates in the modification or revocation notice. The transition period does not preserve treatment beyond what an amended treaty text expressly permits. The authority records reasons where it shortens or declines a requested adjustment period or selects a period materially shorter than the applicant's demonstrated commercial adjustment need.</w:t>
      </w:r>
    </w:p>
    <w:p>
      <w:pPr/>
      <w:r>
        <w:t>13.11.4 [CHANGE IN CHAPTER 10 OR ANNEX G] A valid amendment to Chapter 10 or Annex G governs future transactions according to its own effective date and transition rules. A pre-existing ruling does not override amended substantive law. The issuing Party applies the change prospectively to the maximum extent permitted by the amendment and preserves accrued treatment for completed transactions where the Compact allows. The authority promptly identifies affected rulings and issues a conforming prospective notice rather than treating the legal change as applicant misconduct.</w:t>
      </w:r>
    </w:p>
    <w:p>
      <w:pPr/>
      <w:r>
        <w:t>13.11.5 [PERIODIC REVIEW WITHOUT AUTOMATIC REVOCATION] A Party may periodically review outstanding rulings for continuing factual and legal accuracy. Review focuses on material change and does not require routine re-proving of unchanged facts already established on the ruling record. A ruling remains effective during review unless an express provision of this Article authorizes otherwise. Administrative review frequency does not become a disguised expiry period.</w:t>
      </w:r>
    </w:p>
    <w:p>
      <w:pPr>
        <w:pStyle w:val="Heading2"/>
      </w:pPr>
      <w:r>
        <w:t>Article 13.12 - Publication, Searchability, Consistency, and Non-Precedential Effect</w:t>
      </w:r>
    </w:p>
    <w:p>
      <w:pPr/>
      <w:r>
        <w:t>13.12.1 [ANONYMIZED PUBLICATION] Each Party publishes an anonymized ruling or useful ruling summary ordinarily within thirty calendar days after issuance, subject to confidentiality and domestic-law restrictions. Publication identifies the controlling origin rule, material non-confidential facts, reasoning, conclusion, and any later modification or revocation. The published version removes information that would reveal protected business data or personal information, and a lawful confidentiality review may delay publication only for the time reasonably necessary to complete that protection. Failure or delay in publication does not deprive the applicant of the binding effect of its ruling.</w:t>
      </w:r>
    </w:p>
    <w:p>
      <w:pPr/>
      <w:r>
        <w:t>13.12.2 [SEARCHABLE DATABASE] Each Party maintains a reasonably accessible electronic database of published Chapter 13 rulings and summaries. The database supports practical searching by product or HS reference where available, origin-rule type, issue, date, status, and other useful non-confidential fields. Historical versions remain traceable when a ruling is modified or revoked. Temporary system failure does not affect the legal status of an underlying ruling.</w:t>
      </w:r>
    </w:p>
    <w:p>
      <w:pPr/>
      <w:r>
        <w:t>13.12.3 [CONSISTENT TREATMENT] The issuing authority treats materially similar facts and the same controlling origin rule consistently or gives a reasoned explanation for a different outcome. A reasoned distinction identifies the material factual or legal feature that changes the analysis. Internal divergence among offices or officials is escalated to the designated ruling authority rather than imposed on applicants through inconsistent local treatment. Consistency does not freeze an error where Article 13.11 permits prospective correction.</w:t>
      </w:r>
    </w:p>
    <w:p>
      <w:pPr/>
      <w:r>
        <w:t>13.12.4 [DENIAL, MODIFICATION, AND REVOCATION TRANSPARENCY] Published administrative information includes useful non-confidential reasons for material categories of refusal, modification, and revocation. The authority may aggregate recurring procedural reasons where individual publication would reveal protected information or add little interpretive value. Publication does not disclose enforcement-sensitive facts whose release is prohibited by law. Transparency supports predictable administration without creating an evidentiary presumption against future applicants.</w:t>
      </w:r>
    </w:p>
    <w:p>
      <w:pPr/>
      <w:r>
        <w:t>13.12.5 [NO AUTOMATIC TREATY PRECEDENT] A domestic advance ruling does not amend this Compact, Annex G, or another Party's law merely because it is published. Another applicant may cite a published ruling as persuasive evidence of administrative interpretation and consistency. The issuing authority remains bound to apply the controlling treaty text and materially relevant facts. A pattern of inconsistent rulings may support institutional review but does not itself create a new substantive origin rule.</w:t>
      </w:r>
    </w:p>
    <w:p>
      <w:pPr>
        <w:pStyle w:val="Heading2"/>
      </w:pPr>
      <w:r>
        <w:t>Article 13.13 - Review, Appeal, and Cross-Party Coordination</w:t>
      </w:r>
    </w:p>
    <w:p>
      <w:pPr/>
      <w:r>
        <w:t>13.13.1 [REVIEWABLE ACTIONS] An applicant may seek review of a refusal to issue, adverse ruling, material modification, revocation, unreasonable delay, or denial of reliance protection. Review is available through an administrative or judicial route institutionally distinct from the official who made the challenged decision. The reviewer can examine legal interpretation, material factual findings, procedural compliance, and the application of reliance protection. Existing domestic review institutions may satisfy this Article where they possess the necessary independence and corrective authority.</w:t>
      </w:r>
    </w:p>
    <w:p>
      <w:pPr/>
      <w:r>
        <w:t>13.13.2 [REVIEW COMPLETENESS, CLOCK, AND RELIEF] The reviewer identifies any specific material deficiency in the review record within five business days after receiving the review request, after which the record is deemed complete unless materially new evidence creates a genuinely new deficiency that could not reasonably have been identified earlier. Administrative review ordinarily concludes within forty-five calendar days after actual or deemed completeness, and supplemental material does not restart that outer clock. The reviewer may affirm, modify, reverse, direct issuance, restore reliance protection, correct the effective date, or provide another lawful remedy necessary to correct the identified error, and any remand is limited to a material fact-finding gap that the reviewer cannot reasonably resolve on the existing record. Remand does not restart the original ruling or review clock or permit repetitive rebuilding of the same administrative record.</w:t>
      </w:r>
    </w:p>
    <w:p>
      <w:pPr/>
      <w:r>
        <w:t>13.13.3 [JUDICIAL REVIEW] A Party preserves judicial review to the extent required by its domestic legal system. Chapter 13 does not require creation of a new court, private damages action, or supranational tribunal. Exhaustion rules remain governed by domestic law subject to any express Compact requirement concerning access or timing. Judicial review does not transform a domestic ruling into a ruling binding another Party.</w:t>
      </w:r>
    </w:p>
    <w:p>
      <w:pPr/>
      <w:r>
        <w:t>13.13.4 [DIVERGENCE EARLY WARNING] A Party may notify the other Parties when a proposed or issued ruling concerning materially identical production appears likely to conflict with another Party's ruling on the same Chapter 10 or Annex G question. The notice protects confidential information and identifies the legal issue and non-confidential factual basis sufficient for technical consultation. Consultation begins promptly where contradictory treatment would materially disrupt a shared North American supply chain, but disagreement or consultation does not suspend, diminish, modify, or revoke an otherwise valid ruling of the issuing Party. Notice does not suspend the issuing Party's ruling clock unless the applicant requests a short coordinated pause.</w:t>
      </w:r>
    </w:p>
    <w:p>
      <w:pPr/>
      <w:r>
        <w:t>13.13.5 [TECHNICAL RECONCILIATION AND ALVS RECORD] The Parties maintain a technical coordination channel for materially divergent origin rulings and seek a common interpretation where the treaty text and material facts are the same. Reconciliation does not make one Party's ruling binding on another, does not authorize the technical channel to amend Chapter 10 or Annex G, and does not change an issued ruling except through the issuing Party's Article 13.11 process. ALVS may record ruling status, divergence, reconciliation, and non-confidential implementation data as system-level information without determining individual origin. An unresolved divergence may be referred to the institutional or dispute process assigned elsewhere in this Compact without suspending or diminishing accrued or continuing reliance under a valid domestic ruling.</w:t>
      </w:r>
    </w:p>
    <w:p>
      <w:pPr>
        <w:pStyle w:val="Heading2"/>
      </w:pPr>
      <w:r>
        <w:t>Article 13.14 - Anti-Abuse, Cross-Chapter Interfaces, Transition, and Implementation</w:t>
      </w:r>
    </w:p>
    <w:p>
      <w:pPr/>
      <w:r>
        <w:t>13.14.1 [NO VERIFICATION LAUNDERING] An authority does not use a Chapter 13 application to conduct an unofficial Chapter 12 verification of existing transactions. Requests remain directed to the prospective ruling question and the material facts or assumptions necessary to answer it. Where an existing transaction independently requires verification, Chapter 12 supplies the notice, evidence, scope, clock, burden, confidentiality, review, and Restoration protections for that function. The authority does not obtain through Chapter 13 a procedural advantage that Chapter 12 prohibits directly.</w:t>
      </w:r>
    </w:p>
    <w:p>
      <w:pPr/>
      <w:r>
        <w:t>13.14.2 [CHAPTER 11 HANDOFF] Information from a ruling proceeding enters Chapter 11 only where an independent evidentiary predicate reasonably supports the referral standard assigned to that Chapter. The referral is written, identifies the predicate, and distinguishes the prospective ruling question from the suspected misconduct question. Filing an unusual, unfavorable, unsuccessful, or technically complex ruling request does not itself support Circumvention or Fraud. Chapter 11 consequences arise only after its independent elements and procedures are satisfied.</w:t>
      </w:r>
    </w:p>
    <w:p>
      <w:pPr/>
      <w:r>
        <w:t>13.14.3 [FALSE STATEMENTS AND FRIVOLOUS APPLICATIONS] A knowingly material false statement or material omission may support revocation, loss of reliance protection, referral, or another consequence expressly authorized by this Compact or domestic law. A Party may reject a frivolous application that lacks a genuine covered question, but the rejection identifies the reason and remains reviewable under Article 13.13. Complexity, novelty, commercial sensitivity, repeated lawful use, or an applicant's disagreement with prior non-binding guidance does not make an application frivolous. Anti-abuse administration remains proportionate and does not deter legitimate requests.</w:t>
      </w:r>
    </w:p>
    <w:p>
      <w:pPr/>
      <w:r>
        <w:t>13.14.4 [FUNCTIONAL ALLOCATION AND REMEDIES] Chapter 13 interprets and applies Chapter 10 and Annex G prospectively and does not create substantive origin rules or modify Annex G. Chapter 12 remains responsible for individual verification, Chapter 11 remains responsible for Circumvention and Fraud integrity, Chapter 17 records system-level implementation patterns through ALVS, Chapter 25 administers broader cure and Restoration functions assigned to it, and Chapter 26 governs remedies and dispute settlement. Transaction-specific correction or refund resulting directly from reversal of an individual verification determination remains governed by Chapter 12 and applicable law unless another provision expressly assigns a narrower function elsewhere. A Chapter 13 ruling does not enlarge the jurisdiction of another Chapter merely because the same facts later become relevant to that Chapter.</w:t>
      </w:r>
    </w:p>
    <w:p>
      <w:pPr/>
      <w:r>
        <w:t>13.14.5 [TRANSITION, GUIDANCE, TRAINING, AND METRICS] Each Party establishes the forms, contact points, internal routing, training, publication system, and implementation guidance necessary to operate this Chapter from its applicable commencement date. Existing domestic advance rulings concerning a covered NAAFTC origin question remain usable to the extent they are consistent with this Compact, and the issuing Party identifies any transition needed to convert or replace them. The Parties collect non-confidential metrics on processing time, completeness notices, review, divergence, modification, revocation, and applicant use, including small and medium-sized enterprise access where lawful and practical. Periodic review uses those metrics to improve administration without creating automatic expiry, new substantive origin conditions, or a basis for adverse treatment of an individual applicant.</w:t>
      </w:r>
    </w:p>
    <w:p>
      <w:pPr>
        <w:pStyle w:val="Heading1"/>
      </w:pPr>
      <w:r>
        <w:t>Chapter 14 - Sanitary and Phytosanitary Measures</w:t>
      </w:r>
    </w:p>
    <w:p>
      <w:pPr/>
      <w:r>
        <w:t xml:space="preserve">This Chapter establishes the health-protection, risk, emergency, regionalization, laboratory, perishable, transparency, biotechnology, consultation, and cross-chapter SPS architecture while preserving the distinct recognition and certification machinery of Chapter 15.</w:t>
      </w:r>
    </w:p>
    <w:p>
      <w:pPr>
        <w:pStyle w:val="Heading2"/>
      </w:pPr>
      <w:r>
        <w:t>Article 14.1 - Purpose, Scope, and Regulatory Sovereignty</w:t>
      </w:r>
    </w:p>
    <w:p>
      <w:pPr/>
      <w:r>
        <w:t>14.1.1 [HEALTH-PROTECTION FIRST PRINCIPLE] This Chapter protects human, animal, and plant life or health while supporting safe and predictable trade in Covered Agricultural Goods. Legitimate health protection is not subordinate to tariff elimination, market-access expansion, commercial convenience, or another liberalization objective of this Compact. Each Party retains the right to establish and maintain the level of sanitary and phytosanitary protection it considers appropriate within the disciplines of this Chapter. No provision creates an entitlement to import a good merely because another Party considers that good safe.</w:t>
      </w:r>
    </w:p>
    <w:p>
      <w:pPr/>
      <w:r>
        <w:t>14.1.2 [NO REQUIRED LOWERING OR HARMONIZATION] A Party does not lower, weaken, waive, or harmonize a sanitary or phytosanitary standard merely as a condition of receiving or preserving market access under this Compact. Different regulatory approaches remain permissible where they reflect the Party's chosen level of protection and comply with the applicable evidentiary, transparency, and non-discrimination disciplines. Regulatory cooperation may facilitate compatible outcomes without requiring identical laws, institutions, methods, or risk tolerances. A Party's exercise of regulatory sovereignty does not excuse disguised restriction, arbitrary discrimination, or administration inconsistent with this Chapter.</w:t>
      </w:r>
    </w:p>
    <w:p>
      <w:pPr/>
      <w:r>
        <w:t>14.1.3 [COVERED MEASURES] This Chapter applies to sanitary and phytosanitary measures that may directly or indirectly affect trade in Covered Agricultural Goods, including relevant measures concerning processed, composite, packaged, live, fresh, frozen, stored, or otherwise covered agricultural goods. Functional purpose and effect determine whether a measure falls within this Chapter rather than its domestic title or administrative location. A measure serving several functions is allocated among Chapters according to the legal function actually exercised, with coordination where functions genuinely overlap. Chapter 14 does not convert origin, tariff, quota, customs, or general commercial regulation into an SPS measure merely because agriculture is affected.</w:t>
      </w:r>
    </w:p>
    <w:p>
      <w:pPr/>
      <w:r>
        <w:t>14.1.4 [DOMESTIC POWERS PRESERVED] Each Party preserves lawful inspection, quarantine, seizure, detention, destruction, treatment, recall, certification, surveillance, disease-control, pest-control, and other SPS enforcement powers necessary to achieve its chosen level of protection. Immediate action remains available where delay would materially increase a credible health risk. Exercise of those powers remains subject to the scope, evidence, procedural, and restoration disciplines applicable under this Chapter. Domestic authority does not create a route to evade an express Compact discipline governing the same SPS function.</w:t>
      </w:r>
    </w:p>
    <w:p>
      <w:pPr/>
      <w:r>
        <w:t>14.1.5 [TERRITORIAL AND CROSS-CHAPTER LIMITS] A Party applies its SPS requirements to goods, persons, facilities, systems, or activities within the jurisdictional connection recognized by its law and this Compact and does not impose another Party's domestic regulatory code extraterritorially absent express agreement. Chapter 15 governs equivalence, recognition, inspection, and certification machinery where that Chapter assigns the relevant function. Chapters 17, 18, 19, 25, and 26 respectively govern system-level verification, independent technical review, transition and emergency safeguards outside the specific SPS emergency function, broader cure and Restoration, and remedies or dispute settlement within their assigned authority. Conflict is resolved by the more specifically assigned function without lowering the health-protection floor of this Chapter.</w:t>
      </w:r>
    </w:p>
    <w:p>
      <w:pPr>
        <w:pStyle w:val="Heading2"/>
      </w:pPr>
      <w:r>
        <w:t>Article 14.2 - Definitions and Interpretive Rules</w:t>
      </w:r>
    </w:p>
    <w:p>
      <w:pPr/>
      <w:r>
        <w:t>14.2.1 [SPS MEASURE] For this Chapter, an SPS measure is a law, regulation, requirement, procedure, control, condition, or administrative practice whose genuine function is protection of human, animal, or plant life or health from a sanitary or phytosanitary risk. The term includes relevant food-safety, contaminant, toxin, disease, pest, residue, quarantine, inspection, testing, treatment, certification, and related controls. A tariff, quota, origin rule, licensing restriction, or commercial condition does not become an SPS measure merely because an authority labels it sanitary or phytosanitary. Where function is disputed, the measure's stated purpose, design, evidence, administration, and practical operation are considered together.</w:t>
      </w:r>
    </w:p>
    <w:p>
      <w:pPr/>
      <w:r>
        <w:t>14.2.2 [APPROPRIATE LEVEL OF PROTECTION] Appropriate Level of Protection or ALOP means the level of protection a Party determines appropriate for protecting human, animal, or plant life or health from an identified SPS risk. An ALOP may be expressed qualitatively, quantitatively, categorically, or through another administratively usable formulation consistent with the Party's legal system. This Compact does not require a Party to convert its ALOP into a fixed numerical threshold where its regulatory system does not reasonably use one. Review under this Compact examines compliance with treaty disciplines and does not substitute another decision-maker's preferred ALOP.</w:t>
      </w:r>
    </w:p>
    <w:p>
      <w:pPr/>
      <w:r>
        <w:t>14.2.3 [RISK ASSESSMENT AND SCIENTIFIC UNCERTAINTY] Risk assessment means an evaluation appropriate to the circumstances that considers the likelihood, nature, severity, pathway, exposure, consequence, or other material characteristics of an SPS risk using qualitative, quantitative, or combined methods. Scientific uncertainty means a material limitation in available knowledge or evidence that prevents confident resolution of an outcome-relevant risk question despite reasonable inquiry. Uncertainty does not mean the mere existence of scientific disagreement or the absence of absolute certainty. A Party identifies the material uncertainty relied upon when that uncertainty supports provisional or precautionary action.</w:t>
      </w:r>
    </w:p>
    <w:p>
      <w:pPr/>
      <w:r>
        <w:t>14.2.4 [EMERGENCY SPS SITUATION] Emergency SPS Situation means an outbreak, contamination event, invasive pest, novel hazard, rapid change in known hazard conditions, credible detection of a serious unsafe condition, or comparable event requiring action before ordinary SPS procedures can reasonably be completed. The trigger is supported by facts reasonably available at the time and is not established solely by political concern, commercial pressure, or unsupported speculation. An emergency may concern a shipment, facility, region, production system, commodity, pathway, or broader area according to the risk evidence. Emergency status does not eliminate continuing review after immediate protective action occurs.</w:t>
      </w:r>
    </w:p>
    <w:p>
      <w:pPr/>
      <w:r>
        <w:t>14.2.5 [REGIONALIZATION AND RELATED TERMS] Regionalization means adaptation of SPS treatment to the sanitary or phytosanitary conditions of a defined geographic area, zone, compartment, production system, or other scientifically supportable risk unit rather than automatically treating an entire Party as uniform. A pest-free area or disease-free area is an area in which the relevant pest or disease is not present under conditions supported by appropriate surveillance or control evidence. A zone or compartment is a defined risk-management unit established through geographic, epidemiological, biosecurity, production, or comparable characteristics appropriate to the hazard. Chapter 15 supplies additional recognition procedures where formal recognition of such status falls within its assigned machinery.</w:t>
      </w:r>
    </w:p>
    <w:p>
      <w:pPr>
        <w:pStyle w:val="Heading2"/>
      </w:pPr>
      <w:r>
        <w:t>Article 14.3 - Core SPS Disciplines</w:t>
      </w:r>
    </w:p>
    <w:p>
      <w:pPr/>
      <w:r>
        <w:t>14.3.1 [LEGITIMATE SPS PURPOSE] Each SPS measure maintains a genuine purpose of protecting human, animal, or plant life or health from an identified or reasonably identifiable risk. The measure's design and administration correspond to that purpose rather than using health regulation as a pretext for economic protection. An authority records the risk or protective objective with sufficient specificity to permit administration and review. A measure may address several legitimate SPS risks where each material component remains supportable.</w:t>
      </w:r>
    </w:p>
    <w:p>
      <w:pPr/>
      <w:r>
        <w:t>14.3.2 [EVIDENTIARY FOUNDATION] An SPS measure rests on scientific, technical, surveillance, epidemiological, field, inspection, laboratory, historical, or other evidence appropriate to the risk and circumstances. The evidentiary foundation may evolve as new information becomes available and need not establish impossible certainty. The authority distinguishes established facts, reasonable inferences, assumptions, and material uncertainties when those distinctions affect the measure's scope. Unsupported political preference does not substitute for the required evidentiary foundation.</w:t>
      </w:r>
    </w:p>
    <w:p>
      <w:pPr/>
      <w:r>
        <w:t>14.3.3 [PROPORTIONAL RELATIONSHIP] The nature, geographic reach, product reach, duration, inspection intensity, and other burdens of an SPS measure maintain a reasonable relationship to the identified risk and the Party's chosen ALOP. A broader measure requires a correspondingly broader factual or risk basis. Where a narrower measure achieves the same ALOP with comparable reliability and is reasonably available, the authority considers that alternative before maintaining materially broader trade restriction. Proportionality review does not require acceptance of an alternative that materially lowers the Party's chosen ALOP.</w:t>
      </w:r>
    </w:p>
    <w:p>
      <w:pPr/>
      <w:r>
        <w:t>14.3.4 [NON-DISCRIMINATION] A Party does not arbitrarily or unjustifiably discriminate between Parties, territories, producers, facilities, or goods where relevant SPS risk conditions are comparable. This discipline applies to formal rules and to de facto administration, including inspection frequency, laboratory access, approval processing, documentation, release practice, and enforcement intensity. Different treatment remains permissible where objective risk conditions, compliance history, surveillance quality, production conditions, or another material SPS factor differs. The authority can identify the material risk-based distinction supporting materially different treatment.</w:t>
      </w:r>
    </w:p>
    <w:p>
      <w:pPr/>
      <w:r>
        <w:t>14.3.5 [NO DISGUISED RESTRICTION] A Party does not design, maintain, or administer an SPS measure as a disguised restriction on trade. Function-over-label analysis applies where an SPS form appears to perform an origin, quota, tariff, licensing, retaliation, or commercial-protection function assigned elsewhere in this Compact. A finding of disguised restriction requires evidence concerning purpose, design, administration, effect, or other objective circumstances and is not inferred merely because a legitimate SPS measure restricts trade. Routing a disguised measure to the correct Chapter does not impair genuine SPS authority over an independently existing health risk.</w:t>
      </w:r>
    </w:p>
    <w:p>
      <w:pPr>
        <w:pStyle w:val="Heading2"/>
      </w:pPr>
      <w:r>
        <w:t>Article 14.4 - International Standards and Higher Protection</w:t>
      </w:r>
    </w:p>
    <w:p>
      <w:pPr/>
      <w:r>
        <w:t>14.4.1 [RELEVANT INTERNATIONAL STANDARDS] A Party uses relevant international standards, guidelines, and recommendations as a reference point where they appropriately address the SPS risk and regulatory function at issue. Relevant bodies include the Codex Alimentarius Commission, the World Organisation for Animal Health, the International Plant Protection Convention, and their recognized successor bodies. Use of an international standard does not require mechanical adoption where local conditions, new evidence, the Party's ALOP, or another scientifically supportable reason warrants a different measure. The authority identifies the relevant standard where it materially informs the measure.</w:t>
      </w:r>
    </w:p>
    <w:p>
      <w:pPr/>
      <w:r>
        <w:t>14.4.2 [MEASURES ABOVE INTERNATIONAL BASELINES] A Party may establish or maintain protection above an applicable international baseline where the higher protection reflects its chosen ALOP and possesses an appropriate scientific or evidentiary justification. The Party explains the material reason for the higher requirement when it significantly affects trade between the Parties. A difference from an international standard does not by itself establish inconsistency with this Compact. The explanation need not disclose protected information or compromise an active emergency response.</w:t>
      </w:r>
    </w:p>
    <w:p>
      <w:pPr/>
      <w:r>
        <w:t>14.4.3 [NEW OR INCOMPLETE INTERNATIONAL STANDARDS] Absence of an international standard does not prevent a Party from regulating an SPS risk. An outdated, incomplete, or materially inapplicable standard does not bind a Party to protection it reasonably determines inadequate. The Party considers relevant emerging science, recognized technical work, and comparable regulatory experience where useful. International-standard uncertainty does not convert domestic regulatory judgment into unrestricted discretion.</w:t>
      </w:r>
    </w:p>
    <w:p>
      <w:pPr/>
      <w:r>
        <w:t>14.4.4 [SUCCESSOR-BODY CONTINUITY] A technical or institutional change in the name, structure, or mandate of an international standards body does not automatically break references under this Chapter where a recognized successor performs substantially the same function. The Parties record successor-body treatment through the technical amendment process in Chapter 29 where clarification is useful. Such recording does not alter a Party's ALOP or create a new substantive SPS obligation. Disagreement over successor status may receive technical consultation under Article 14.16.</w:t>
      </w:r>
    </w:p>
    <w:p>
      <w:pPr/>
      <w:r>
        <w:t>14.4.5 [NO PRIVATE INCORPORATION BY DEFAULT] A private standard, industry code, retailer protocol, or certification scheme does not become a mandatory SPS condition under this Compact merely because a regulator references or encourages it. Where domestic law lawfully incorporates a private standard into a government requirement, the resulting governmental condition is administered as an SPS measure and remains subject to this Chapter. Voluntary commercial requirements remain outside Chapter 14 unless government action effectively makes them compulsory for SPS market access. This rule does not prevent legitimate private quality or procurement standards that are not governmental SPS conditions.</w:t>
      </w:r>
    </w:p>
    <w:p>
      <w:pPr>
        <w:pStyle w:val="Heading2"/>
      </w:pPr>
      <w:r>
        <w:t>Article 14.5 - Risk Assessment and Evidence</w:t>
      </w:r>
    </w:p>
    <w:p>
      <w:pPr/>
      <w:r>
        <w:t>14.5.1 [FIT-FOR-PURPOSE ASSESSMENT] A risk assessment is proportionate to the nature and seriousness of the risk and may use qualitative, quantitative, or combined analysis. The assessment considers pathways, exposure, prevalence, severity, uncertainty, control measures, or other factors materially relevant to the hazard. A Party does not reject reliable qualitative evidence merely because a numerical estimate is unavailable. The analytical method is sufficiently documented to explain how the evidence supports the resulting measure.</w:t>
      </w:r>
    </w:p>
    <w:p>
      <w:pPr/>
      <w:r>
        <w:t>14.5.2 [EVIDENCE SOURCES] Relevant evidence may include surveillance, epidemiology, field observations, inspection findings, laboratory results, outbreak data, production information, environmental conditions, peer-reviewed science, competent-authority information, recognized international work, and other reliable technical material. The authority assesses reliability, relevance, recency, and material limitations rather than applying a rigid hierarchy that excludes useful evidence. Evidence from another Party receives consideration on its technical merits and is not discounted solely because of national origin. Confidential or sensitive evidence receives the protections assigned by this Compact and domestic law.</w:t>
      </w:r>
    </w:p>
    <w:p>
      <w:pPr/>
      <w:r>
        <w:t>14.5.3 [CONTRARY EVIDENCE] An authority considers material contrary evidence reasonably presented during development, review, or challenge of an SPS measure. The authority need not accept the contrary evidence but explains an outcome-relevant rejection or distinction where the measure materially affects trade. Scientific disagreement does not automatically invalidate a measure where the chosen position remains reasonably supportable. Selective omission of known contrary evidence cannot be used to manufacture the appearance of scientific consensus.</w:t>
      </w:r>
    </w:p>
    <w:p>
      <w:pPr/>
      <w:r>
        <w:t>14.5.4 [CHANGING EVIDENCE] A Party may revise an SPS measure as credible new evidence materially changes the understanding of risk, exposure, consequence, control effectiveness, or another relevant factor. Revision may strengthen, narrow, regionalize, suspend, or remove the measure according to the updated risk. The authority records the material evidentiary change supporting a significant revision. New evidence does not retroactively make a prior good-faith emergency decision unlawful merely because later information changes the risk picture.</w:t>
      </w:r>
    </w:p>
    <w:p>
      <w:pPr/>
      <w:r>
        <w:t>14.5.5 [POLITICAL NON-SUBSTITUTION] Political direction may establish lawful policy priorities and the Party's chosen ALOP but does not substitute for an outcome-relevant scientific or evidentiary finding required by this Chapter. An authority does not fabricate, suppress, or materially misstate technical findings to obtain a predetermined trade outcome. Technical disagreement within government may be resolved through lawful decision-making while preserving the record of material evidence. Review examines whether the required evidentiary basis exists rather than the political popularity of the measure.</w:t>
      </w:r>
    </w:p>
    <w:p>
      <w:pPr>
        <w:pStyle w:val="Heading2"/>
      </w:pPr>
      <w:r>
        <w:t>Article 14.6 - Scientific Uncertainty and Provisional Precaution</w:t>
      </w:r>
    </w:p>
    <w:p>
      <w:pPr/>
      <w:r>
        <w:t>14.6.1 [PRECAUTIONARY AUTHORITY] A Party may adopt a provisional SPS measure where credible risk exists and relevant evidence is insufficient to complete the ordinary assessment before protective action is reasonably needed. Lack of full scientific certainty does not prevent such action. The provisional measure identifies the suspected risk, material uncertainty, and protective objective to the extent reasonably possible at the time. Precaution does not require proof that harm has already occurred.</w:t>
      </w:r>
    </w:p>
    <w:p>
      <w:pPr/>
      <w:r>
        <w:t>14.6.2 [ACTIVE EVIDENCE GATHERING] A Party maintaining a provisional measure actively seeks information reasonably capable of reducing the material uncertainty supporting that measure. Evidence gathering may include surveillance, sampling, technical consultation, laboratory work, field investigation, data requests, or other proportionate methods. The authority records material efforts and significant obstacles affecting the inquiry. A Party does not preserve provisional status indefinitely by declining reasonable opportunities to obtain relevant evidence.</w:t>
      </w:r>
    </w:p>
    <w:p>
      <w:pPr/>
      <w:r>
        <w:t>14.6.3 [PERIODIC REASSESSMENT] The authority reassesses a provisional SPS measure at intervals appropriate to the hazard, information cycle, and commercial consequences. Each reassessment considers whether the evidence supports continuation, modification, regionalization, replacement, or withdrawal. A materially trade-restrictive provisional measure receives a documented reassessment at least every ninety calendar days unless a shorter period is required elsewhere in this Chapter. Reassessment does not require withdrawal while credible unresolved risk continues to justify the measure.</w:t>
      </w:r>
    </w:p>
    <w:p>
      <w:pPr/>
      <w:r>
        <w:t>14.6.4 [SCOPE DURING UNCERTAINTY] A provisional measure remains no broader in product, geographic, facility, pathway, or temporal scope than reasonably necessary to achieve the chosen ALOP under the uncertainty then known. The authority considers whether sampling, certification, treatment, regionalization, conditional release, or another reasonably available control can safely narrow the restriction. The Party need not adopt an alternative that materially reduces protection or cannot be implemented reliably. Material narrowing occurs when evidence reliably supports it.</w:t>
      </w:r>
    </w:p>
    <w:p>
      <w:pPr/>
      <w:r>
        <w:t>14.6.5 [EXIT FROM PROVISIONAL STATUS] When sufficient evidence becomes available, the Party converts the provisional measure into an ordinary SPS measure supported under Articles 14.3 through 14.5, modifies it to correspond to the verified risk, or withdraws it. The authority records the basis for that transition. Continued uncertainty may support continued precaution only where Article 14.6 remains satisfied. A provisional label does not shield a permanent measure from the ordinary disciplines of this Chapter.</w:t>
      </w:r>
    </w:p>
    <w:p>
      <w:pPr>
        <w:pStyle w:val="Heading2"/>
      </w:pPr>
      <w:r>
        <w:t>Article 14.7 - Emergency SPS Measures</w:t>
      </w:r>
    </w:p>
    <w:p>
      <w:pPr/>
      <w:r>
        <w:t>14.7.1 [IMMEDIATE PROTECTIVE ACTION] A Party may take immediate SPS action during an Emergency SPS Situation without completing ordinary notice, consultation, assessment, or comment procedures first. The action may include detention, suspension, quarantine, treatment, testing, recall, destruction, import restriction, geographic control, or another measure reasonably directed to the emergency risk. The authority acts on facts reasonably available at the time and need not await conclusive proof where delay would materially increase risk. Emergency authority does not excuse measures unrelated to the identified protective purpose.</w:t>
      </w:r>
    </w:p>
    <w:p>
      <w:pPr/>
      <w:r>
        <w:t>14.7.2 [PROMPT NOTICE AND BASIS] The Party notifies affected Parties through the SPS contact points as soon as reasonably practicable and ordinarily within two business days after adopting a materially trade-affecting emergency measure. The notice identifies the hazard or event, affected goods or areas, protective action, available factual basis, legal authority, and known duration or review point to the extent the emergency permits. Information unavailable at initial notice is supplemented when reasonably obtainable, and inability to provide a complete initial record does not delay necessary protective action. Confidential, security-sensitive, or investigation-sensitive information may be protected while a usable non-confidential explanation is provided where possible.</w:t>
      </w:r>
    </w:p>
    <w:p>
      <w:pPr/>
      <w:r>
        <w:t>14.7.3 [EMERGENCY SCOPE] An emergency measure is limited to the product, facility, pathway, region, zone, compartment, system, or other risk unit reasonably implicated by the evidence available. Broader temporary action remains permissible where the risk pathway cannot yet be reliably bounded. As evidence clarifies the affected scope, the Party narrows the measure when narrower treatment can achieve the same ALOP with comparable reliability. Commercial inconvenience alone does not require premature narrowing.</w:t>
      </w:r>
    </w:p>
    <w:p>
      <w:pPr/>
      <w:r>
        <w:t>14.7.4 [NINETY-DAY CONTINUATION REVIEW] A materially trade-restrictive emergency SPS measure receives a documented continuation review no later than ninety calendar days after adoption and at least every ninety calendar days thereafter while emergency treatment continues. The review assesses the continuing trigger, current evidence, geographic and product scope, available risk controls, and whether ordinary SPS administration can replace emergency treatment. Continuation under the special procedural treatment applicable to an emergency requires a recorded basis showing that emergency or precautionary treatment remains reasonably necessary. If the required review is not completed by the deadline, the measure loses the procedural exemptions dependent solely on emergency status until review is completed but may continue to the extent independently supported as an ordinary or provisional SPS measure under Articles 14.3 through 14.6, without creating any presumption that the underlying goods are safe.</w:t>
      </w:r>
    </w:p>
    <w:p>
      <w:pPr/>
      <w:r>
        <w:t>14.7.5 [CESSATION, COTHROM, AND RESTORATION] Emergency treatment ends, narrows, or converts to ordinary SPS treatment when the verified trigger no longer supports its existing scope. Immediate protective action is not delayed by Cothrom Cure, but Cothrom principles govern proportional continuation, correctable technical deficiencies, verified correction, and Restoration after the immediate danger is controlled. Restoration follows verified risk correction or disappearance of the trigger rather than political bargaining or unrelated concessions. Ending an emergency does not prevent ordinary monitoring or proportionate controls supported by the remaining risk.</w:t>
      </w:r>
    </w:p>
    <w:p>
      <w:pPr>
        <w:pStyle w:val="Heading2"/>
      </w:pPr>
      <w:r>
        <w:t>Article 14.8 - Regionalization, Zones, and Compartments</w:t>
      </w:r>
    </w:p>
    <w:p>
      <w:pPr/>
      <w:r>
        <w:t>14.8.1 [REGIONALIZATION DUTY] A Party evaluates relevant regional conditions when an SPS risk is geographically, epidemiologically, biologically, or operationally capable of being distinguished within another Party's territory. National treatment is not presumed necessary merely because a disease, pest, or contamination event exists somewhere in the exporting Party. The importing Party may require reliable evidence that the proposed regional unit can maintain the claimed status. The decision corresponds to the most specific scientifically defensible risk unit that can achieve the importing Party's ALOP.</w:t>
      </w:r>
    </w:p>
    <w:p>
      <w:pPr/>
      <w:r>
        <w:t>14.8.2 [PEST-FREE AND DISEASE-FREE AREAS] A Party provides a practical route for recognition of pest-free and disease-free areas supported by appropriate surveillance, control, reporting, and boundary evidence. The exporting Party supplies information reasonably necessary to evaluate the claimed status and facilitates competent-authority cooperation. The importing Party evaluates the claim without requiring proof unrelated to the relevant pest, disease, pathway, or protection outcome. Recognition may include conditions necessary to preserve the status during trade.</w:t>
      </w:r>
    </w:p>
    <w:p>
      <w:pPr/>
      <w:r>
        <w:t>14.8.3 [ZONES AND COMPARTMENTS] A Party recognizes zones and compartments where geographic boundaries, biosecurity, production systems, epidemiological separation, or other scientifically supportable controls create a distinct risk status. A compartment need not correspond to a political boundary where its operational controls reliably define the relevant risk unit. Recognition may be product-specific, pathway-specific, disease-specific, or otherwise tailored to the evidence. Chapter 15 governs formal recognition procedures and certification interfaces to the extent assigned there.</w:t>
      </w:r>
    </w:p>
    <w:p>
      <w:pPr/>
      <w:r>
        <w:t>14.8.4 [FAST-TRACK AND PROVISIONAL RECOGNITION] A regionalization claim arising from a trade-disrupting outbreak or emergency receives priority technical consideration and is routed promptly into the applicable Chapter 15 recognition procedure. Where evidence strongly supports a distinct risk unit but a narrow verification item remains incomplete, the importing Party may grant provisional recognition with conditions that preserve its ALOP. A reasoned refusal identifies the material missing evidence or risk concern rather than merely citing the existence of an outbreak elsewhere in the exporting Party. Provisional recognition does not become permanent without completion of the applicable recognition process and does not duplicate the procedural clocks assigned to Chapter 15.</w:t>
      </w:r>
    </w:p>
    <w:p>
      <w:pPr/>
      <w:r>
        <w:t>14.8.5 [RESTORATION AFTER CONTAINMENT] A Party restores or expands trade treatment as evidence establishes containment, eradication, effective zoning, compartment integrity, or another change that removes the basis for broader restriction. Restoration may proceed in stages corresponding to verified risk reduction. A Party does not maintain a nationwide prohibition solely because a prior national restriction was administratively convenient. Unresolved risk outside the restored area does not by itself prevent safe trade from the recognized area.</w:t>
      </w:r>
    </w:p>
    <w:p>
      <w:pPr>
        <w:pStyle w:val="Heading2"/>
      </w:pPr>
      <w:r>
        <w:t>Article 14.9 - Facility Status and SPS Listing Interface</w:t>
      </w:r>
    </w:p>
    <w:p>
      <w:pPr/>
      <w:r>
        <w:t>14.9.1 [FACILITY-SPECIFIC TREATMENT] Where SPS market access lawfully depends on facility status, adverse treatment corresponds to the facility-specific or systemic evidence supporting that treatment. A deficiency at one establishment does not automatically establish a deficiency at unrelated establishments or in the exporting Party's entire competent-authority system. Broader treatment requires evidence of a broader control failure, common source, shared pathway, or other systemic connection. Chapter 15 supplies facility-approval, listing, recognition, inspection, and certification procedures where assigned.</w:t>
      </w:r>
    </w:p>
    <w:p>
      <w:pPr/>
      <w:r>
        <w:t>14.9.2 [CURABLE FACILITY DEFECTS] A curable technical or administrative facility defect receives a reasonable correction opportunity where immediate suspension is not necessary to achieve the importing Party's ALOP. The authority identifies the defect, required protective outcome, acceptable correction evidence, and applicable timing. Corrective action may proceed while unaffected trade continues where safe administration permits. A correction opportunity does not prevent immediate action against an unsafe shipment or facility condition.</w:t>
      </w:r>
    </w:p>
    <w:p>
      <w:pPr/>
      <w:r>
        <w:t>14.9.3 [SUSPENSION SCOPE] Facility suspension is limited to the goods, process, line, establishment, certification function, or other unit reasonably implicated by the verified deficiency where narrower treatment can protect health. A Party may suspend a broader unit where cross-contamination, common management failure, unreliable controls, or another systemic fact supports that scope. The authority records the basis for materially broader suspension. Suspension does not automatically terminate unrelated recognition rights.</w:t>
      </w:r>
    </w:p>
    <w:p>
      <w:pPr/>
      <w:r>
        <w:t>14.9.4 [RESTORATION OF FACILITY STATUS] Facility status is restored when the required corrective action is verified and the factual basis for suspension no longer supports continued restriction. Verification uses evidence proportionate to the deficiency and does not require unrelated requalification, while Chapter 15 governs any listing or recognition procedure necessary to record the restored status. The authority records Restoration promptly in the applicable listing or certification system and does not restart a completed approval process merely because a suspension occurred. Administrative delay after verified correction does not justify continued trade exclusion.</w:t>
      </w:r>
    </w:p>
    <w:p>
      <w:pPr/>
      <w:r>
        <w:t>14.9.5 [STATUS TRANSPARENCY] Each Party maintains reasonably current public or government-accessible information concerning facility status where publication is lawful and commercially useful. The status identifies approval, suspension, conditional treatment, Restoration, or other material state without disclosing protected information. An affected facility or competent authority receives prompt notice of a material status change and the reason for it. A stale public list does not override a legally effective Restoration decision.</w:t>
      </w:r>
    </w:p>
    <w:p>
      <w:pPr>
        <w:pStyle w:val="Heading2"/>
      </w:pPr>
      <w:r>
        <w:t>Article 14.10 - Import Checks, Sampling, Testing, and Laboratories</w:t>
      </w:r>
    </w:p>
    <w:p>
      <w:pPr/>
      <w:r>
        <w:t>14.10.1 [RISK-BASED IMPORT CHECKS] Import inspection, sampling, testing, and documentary review are risk-based and proportionate to relevant product, pathway, source, compliance-history, surveillance, and hazard information. Routine maximum inspection is not imposed merely because a good is imported. Increased inspection may respond to credible risk indicators or verified non-compliance and is reduced when the factual basis for elevation no longer persists. Inspection intensity is not used as disguised retaliation or market-access rationing.</w:t>
      </w:r>
    </w:p>
    <w:p>
      <w:pPr/>
      <w:r>
        <w:t>14.10.2 [ONE-HUNDRED-PERCENT INSPECTION] One-hundred-percent inspection or testing is reserved for circumstances in which the identified risk, verified failure pattern, emergency, or other objective evidence reasonably supports that intensity. The authority records the basis and reviews continued necessity at intervals appropriate to the risk and commercial burden. A temporary intensive-inspection program does not become permanent merely through administrative inertia. Sampling or other controls replace universal inspection when they can achieve the same ALOP with comparable reliability.</w:t>
      </w:r>
    </w:p>
    <w:p>
      <w:pPr/>
      <w:r>
        <w:t>14.10.3 [LABORATORY COMPETENCE] A Party uses laboratories competent for the method and purpose assigned and provides a route for recognition or acceptance of reliable laboratory evidence from another Party where Chapter 15 permits. Competence may be demonstrated through accreditation, proficiency testing, validated methods, quality systems, government designation, or other reliable evidence appropriate to the test. National location alone does not establish or defeat laboratory competence. The importing Party may conduct proportionate confirmation where a material reliability concern exists.</w:t>
      </w:r>
    </w:p>
    <w:p>
      <w:pPr/>
      <w:r>
        <w:t>14.10.4 [SAMPLING, CHAIN OF CUSTODY, AND METHODS] Official sampling and testing preserve sample identity, chain of custody, method integrity, relevant storage conditions, and other controls necessary for reliable results. The authority identifies the analytical method, material detection or quantification limit, and interpretation rule when those elements determine an adverse SPS outcome. Sampling plans correspond reasonably to the hazard and decision being made. A material break in sample integrity is considered when determining the evidentiary weight of the result.</w:t>
      </w:r>
    </w:p>
    <w:p>
      <w:pPr/>
      <w:r>
        <w:t>14.10.5 [RETESTING AND REFEREE TESTING] Where a material laboratory result is reasonably disputed, the affected person or exporting competent authority may request retesting, split-sample analysis, referee testing, or another scientifically appropriate confirmation where sufficient sample and time remain. The authority may deny confirmation where delay itself creates an unacceptable health risk or the method cannot reliably be repeated and gives reasons for that limitation. Conflicting competent results receive technical evaluation rather than automatic preference based solely on national origin. Final protective action remains available while a serious unresolved risk requires it.</w:t>
      </w:r>
    </w:p>
    <w:p>
      <w:pPr>
        <w:pStyle w:val="Heading2"/>
      </w:pPr>
      <w:r>
        <w:t>Article 14.11 - Release Alternatives, Costs, and Perishable Goods</w:t>
      </w:r>
    </w:p>
    <w:p>
      <w:pPr/>
      <w:r>
        <w:t>14.11.1 [SAFE RELEASE ALTERNATIVES] Where safety can be protected without continued detention, the authority considers conditional release, segregation, treatment, bonded movement, destination control, sampling with post-release hold, security, or another lawful alternative appropriate to the risk. The authority need not release goods where the alternative cannot reliably achieve the chosen ALOP. A refusal of a materially less disruptive safe alternative identifies the material risk or operational reason where practicable. Commercial cost alone does not override a genuine safety requirement.</w:t>
      </w:r>
    </w:p>
    <w:p>
      <w:pPr/>
      <w:r>
        <w:t>14.11.2 [TESTING AND CONTROL COSTS] Testing, storage, treatment, destruction, supervision, or other SPS-related costs are allocated under published domestic rules consistent with this Compact. Charges correspond to the service or control provided and do not operate as disguised tariffs or punitive fees absent independent lawful authority. The affected person receives sufficient information to understand material government-imposed charges. Extraordinary emergency costs may receive separate treatment where domestic law transparently provides it.</w:t>
      </w:r>
    </w:p>
    <w:p>
      <w:pPr/>
      <w:r>
        <w:t>14.11.3 [PERISHABLE URGENCY] An SPS issue affecting perishable or highly time-sensitive goods receives urgent administrative attention proportionate to the remaining commercial and safety window. The responsible authority establishes direct contact with the trader or exporting competent authority as soon as practicable when ordinary correspondence would make effective resolution impracticable and identifies the immediate decision path. Urgency does not lower the ALOP or require unsafe release. It requires officials to choose among safe available procedures with awareness that administrative delay can itself eliminate market access.</w:t>
      </w:r>
    </w:p>
    <w:p>
      <w:pPr/>
      <w:r>
        <w:t>14.11.4 [RAPID REVIEW OF PERISHABLE DELAY] A person or exporting competent authority may request rapid supervisory review where an SPS hold or procedural delay threatens to destroy the commercial usability of perishable goods. The reviewer examines the protective basis, pending information, safe release alternatives, and expected decision time and issues a decision or operative interim direction within twenty-four hours where reasonably practicable and no later than two business days unless a documented safety reason requires additional time. Where a safe narrower course exists, the authority implements it or explains the material reason for rejecting it and states the shortest practicable further review period when additional time is necessary. Rapid review does not establish safety merely because the goods are perishable or prevent continued protective control supported by the risk.</w:t>
      </w:r>
    </w:p>
    <w:p>
      <w:pPr/>
      <w:r>
        <w:t>14.11.5 [NO DELAY AS DE FACTO PROHIBITION] A Party does not use avoidable SPS processing delay as a de facto prohibition on otherwise eligible trade. Repeated delay patterns materially exceeding comparable risk-based administration receive system-level review under Chapter 17. Aggregate delay data does not establish that any particular shipment is safe or that an individual SPS decision is unlawful. Corrective administration focuses on process friction without compromising health protection.</w:t>
      </w:r>
    </w:p>
    <w:p>
      <w:pPr>
        <w:pStyle w:val="Heading2"/>
      </w:pPr>
      <w:r>
        <w:t>Article 14.12 - Certification, Electronic Documentation, and Data Integrity</w:t>
      </w:r>
    </w:p>
    <w:p>
      <w:pPr/>
      <w:r>
        <w:t>14.12.1 [ELECTRONIC SPS CERTIFICATION] Each Party accepts electronic SPS certificates, attestations, or equivalent authenticated records where its systems can reasonably verify authenticity and integrity. Electronic treatment has the same legal effect as an otherwise equivalent paper record under the Party's law. Chapter 15 governs certification recognition and format coordination to the extent assigned there. A Party does not require duplicate paper solely because the certificate originated electronically where authenticity is reliably established.</w:t>
      </w:r>
    </w:p>
    <w:p>
      <w:pPr/>
      <w:r>
        <w:t>14.12.2 [INTEROPERABLE DATA AND REUSE] The Parties promote interoperable SPS data fields, machine-readable exchange, and reuse of reliable information already lawfully held by government. A trader does not repeatedly submit unchanged information solely because different domestic units administer related SPS functions where lawful reuse is reasonably available. Data mapping or translation is preferred to duplicative recollection when systems use different formats. Interoperability does not require adoption of one Party's information technology platform.</w:t>
      </w:r>
    </w:p>
    <w:p>
      <w:pPr/>
      <w:r>
        <w:t>14.12.3 [OUTAGE FALLBACK] Each Party maintains a workable paper, email, manual, or other fallback for material SPS-system outages. A government technology failure does not by itself convert an otherwise administratively curable documentation issue into an import prohibition. The authority preserves filing, certification, inspection, and release continuity to the extent safe verification remains possible. Emergency cybersecurity measures may temporarily restrict electronic exchange while alternative authenticated procedures are used where feasible.</w:t>
      </w:r>
    </w:p>
    <w:p>
      <w:pPr/>
      <w:r>
        <w:t>14.12.4 [CERTIFICATE ERROR CURE] A clerical, formatting, transmission, translation, or other non-substantive certificate error receives a reasonable correction opportunity where the underlying health condition or certification fact can still be reliably established. The authority distinguishes curable documentation error from substantive absence of the required health condition. Correction may occur electronically or through competent-authority confirmation where lawful. A technical error does not become evidence of unsafe goods merely because correction was necessary.</w:t>
      </w:r>
    </w:p>
    <w:p>
      <w:pPr/>
      <w:r>
        <w:t>14.12.5 [NO SHADOW IMPORT CONDITIONS] An unpublished manual, port instruction, internal memorandum, software rule, training document, model output, or informal practice does not create a new mandatory SPS import condition. Operational guidance may implement a published lawful requirement without adding a substantive condition not traceable to that requirement. Where an internal tool materially affects an adverse decision, the authority can identify the lawful SPS rule it applies. Chapter 22 supplies additional transparency and data disciplines within its assigned scope.</w:t>
      </w:r>
    </w:p>
    <w:p>
      <w:pPr>
        <w:pStyle w:val="Heading2"/>
      </w:pPr>
      <w:r>
        <w:t>Article 14.13 - SPS Audits, System Findings, and Corrective Action</w:t>
      </w:r>
    </w:p>
    <w:p>
      <w:pPr/>
      <w:r>
        <w:t>14.13.1 [AUDIT AUTHORITY] A Party may audit an exporting Party's relevant SPS system, competent authority, facility-control program, or other recognized function where the audit is reasonably connected to market-access assurance. The audit identifies its scope, objective, material criteria, and expected timing sufficiently in advance except where an emergency makes ordinary notice impracticable. Audit frequency corresponds to risk, prior findings, system changes, and demonstrated performance. Audit authority does not create unrestricted access to information unrelated to the assigned SPS function.</w:t>
      </w:r>
    </w:p>
    <w:p>
      <w:pPr/>
      <w:r>
        <w:t>14.13.2 [EVIDENCE-BASED FINDINGS] An audit finding identifies the evidence, applicable requirement, affected function, and material significance of the observed deficiency. The audited Party receives a reasonable opportunity to correct factual misunderstanding and provide relevant evidence before a non-emergency systemic conclusion becomes final. Confidential and protected information receives applicable safeguards. An audit report distinguishes isolated, recurring, and systemic findings where that distinction affects consequences.</w:t>
      </w:r>
    </w:p>
    <w:p>
      <w:pPr/>
      <w:r>
        <w:t>14.13.3 [NO FACILITY-TO-NATION LEAP] Failure at one facility does not establish national-system failure without evidence connecting that failure to a broader competent-authority, certification, surveillance, enforcement, or control deficiency. Several related failures may support systemic treatment where the evidence establishes a common material cause or control weakness. The authority identifies that connection rather than relying solely on the number of incidents. National-level restrictions require a national or otherwise comparably broad factual basis.</w:t>
      </w:r>
    </w:p>
    <w:p>
      <w:pPr/>
      <w:r>
        <w:t>14.13.4 [CORRECTIVE ACTION PLAN] For a verified correctable deficiency, the responsible authority may require a corrective action plan proportionate to the risk and function affected. The plan identifies corrective steps, responsible actors, evidence of completion, relevant timing, and any interim protection necessary to maintain the importing Party's ALOP. Technical cooperation may accompany correction where useful and mutually acceptable. Failure to complete a material plan may justify proportionate escalation supported by the continuing risk.</w:t>
      </w:r>
    </w:p>
    <w:p>
      <w:pPr/>
      <w:r>
        <w:t>14.13.5 [LOCALIZED TREATMENT AND COTHROM CURE] Localized or technical failures receive localized or technical treatment where that treatment can achieve the importing Party's ALOP. Cothrom SPS Cure identifies the verified deficiency, proportionate interim consequence, corrective action, completion evidence, and Restoration trigger without suspending immediate action necessary against unsafe goods. Broader restriction requires evidence that narrower treatment cannot reliably control the risk. Verified correction restores affected treatment automatically to the extent the factual basis for restriction has been cured.</w:t>
      </w:r>
    </w:p>
    <w:p>
      <w:pPr>
        <w:pStyle w:val="Heading2"/>
      </w:pPr>
      <w:r>
        <w:t>Article 14.14 - Transparency, Notification, and Regulatory Change</w:t>
      </w:r>
    </w:p>
    <w:p>
      <w:pPr/>
      <w:r>
        <w:t>14.14.1 [ADVANCE PUBLICATION] A Party publishes a materially trade-affecting new or revised SPS requirement in advance where practicable and provides enough information for affected persons and Parties to understand the requirement. Publication identifies the regulated goods or activities, effective date, responsible authority, and legal basis. Where technically appropriate, the Party also provides the principal scientific or risk rationale in accessible form. Emergency measures receive Article 14.7 treatment instead of advance-publication requirements that cannot reasonably be completed first.</w:t>
      </w:r>
    </w:p>
    <w:p>
      <w:pPr/>
      <w:r>
        <w:t>14.14.2 [COMMENT AND TECHNICAL INPUT] For a significant non-emergency SPS change, a Party provides a reasonable opportunity for affected Parties or persons to submit relevant technical comments before final implementation. Prior comment may be shortened or omitted only where an urgent risk, a binding legal requirement for immediate action, or another recorded circumstance makes ordinary prior comment genuinely impracticable, and the Party provides a subsequent opportunity for technical input where the measure continues. The authority considers material technical information received within the applicable period without requiring negotiation of the Party's ALOP with private actors or another Party. A final measure may differ from a proposal where the authority's lawful process and evidence support the change.</w:t>
      </w:r>
    </w:p>
    <w:p>
      <w:pPr/>
      <w:r>
        <w:t>14.14.3 [IMPLEMENTATION PERIOD] A new non-emergency SPS requirement provides a reasonable implementation period where immediate application is not necessary to achieve the Party's ALOP. The authority considers production cycles, certification changes, laboratory capability, perishability, seasonal timing, and supply-chain adaptation where relevant. A shorter period remains permissible where the risk or domestic legal requirement reasonably requires it. The effective date and any transition treatment are published clearly.</w:t>
      </w:r>
    </w:p>
    <w:p>
      <w:pPr/>
      <w:r>
        <w:t>14.14.4 [SPS ENQUIRY POINTS] Each Party maintains an SPS enquiry point capable of receiving and routing questions concerning materially trade-affecting SPS requirements, emergency measures, notifications, and relevant procedures. The enquiry point does not replace the competent regulator or decide individual safety questions outside its authority. Contact information remains publicly available and reasonably current. A Party promptly corrects a known routing failure that materially prevents another Party from reaching the competent SPS authority.</w:t>
      </w:r>
    </w:p>
    <w:p>
      <w:pPr/>
      <w:r>
        <w:t>14.14.5 [SIGNIFICANT CHANGE NOTIFICATION] A Party notifies the other Parties of significant SPS changes likely to materially affect covered agricultural trade through the agreed contact or notification mechanism. The notice is timely enough to support technical understanding except where emergency conditions require immediate implementation. Subsequent information supplements an emergency notice as facts become reasonably available. Notification does not create a veto over a Party's lawful SPS decision.</w:t>
      </w:r>
    </w:p>
    <w:p>
      <w:pPr>
        <w:pStyle w:val="Heading2"/>
      </w:pPr>
      <w:r>
        <w:t>Article 14.15 - Novel Foods, Biotechnology, and Low-Level Presence</w:t>
      </w:r>
    </w:p>
    <w:p>
      <w:pPr/>
      <w:r>
        <w:t>14.15.1 [REGULATORY SOVEREIGNTY FOR NOVEL PRODUCTS] Each Party preserves its substantive authority to assess and decide the safety of biotechnology products, novel foods, novel feeds, and other emerging agricultural products under its domestic law. This Compact does not compel approval, harmonized risk conclusions, or acceptance of another Party's authorization. Chapter 14 disciplines the administration of SPS functions without predetermining the scientific outcome. A Party identifies the applicable review pathway sufficiently for applicants and other Parties to understand the process.</w:t>
      </w:r>
    </w:p>
    <w:p>
      <w:pPr/>
      <w:r>
        <w:t>14.15.2 [APPLICATION COORDINATION] The Parties may coordinate technical information exchange, submission timing, scientific questions, or other procedural aspects of biotechnology and novel-food reviews where doing so reduces unnecessary duplication. Coordination does not merge independent domestic decisions or require disclosure of protected information. An applicant may authorize common use of identical technical material where each Party's law permits. Divergent lawful safety conclusions remain possible.</w:t>
      </w:r>
    </w:p>
    <w:p>
      <w:pPr/>
      <w:r>
        <w:t>14.15.3 [LOW-LEVEL PRESENCE PROCEDURE] Each Party maintains a procedure for addressing low-level presence of a biotechnology-derived or other regulated agricultural material where trace presence is technically unavoidable or incidentally detected and the matter falls within its SPS authority. The procedure considers concentration, exposure, hazard information, authorization status, detectability, sampling uncertainty, and other material risk factors rather than treating every detectable trace as identical. Immediate protective action remains available where the trace presents a credible unacceptable risk under the Party's ALOP. The procedure does not require tolerance of a substance prohibited under domestic law where the prohibition complies with this Chapter.</w:t>
      </w:r>
    </w:p>
    <w:p>
      <w:pPr/>
      <w:r>
        <w:t>14.15.4 [METHOD AND DETECTION TRANSPARENCY] Where low-level presence or another trace finding turns materially on analytical detection, the authority identifies the relevant method, detection or quantification threshold, sampling basis, and interpretation rule to the extent lawful and technically meaningful. Different laboratories may use different validated methods where their results remain fit for the regulatory purpose. A Party does not manipulate detection sensitivity solely to manufacture a trade restriction unrelated to its ALOP. Genuine improvements in detection technology may support prospective regulatory adjustment.</w:t>
      </w:r>
    </w:p>
    <w:p>
      <w:pPr/>
      <w:r>
        <w:t>14.15.5 [TECHNICAL INCIDENT COMMUNICATION] The Parties maintain rapid competent-authority communication for biotechnology, novel-food, and low-level-presence incidents likely to disrupt significant agricultural trade. Communication may address identification, authorization status, risk information, sampling, segregation, disposition, and safe continuity options. Technical communication does not require suspension of necessary protective action. Resolution of recurring systemic friction may be referred to Articles 14.16 and 14.17 or the appropriate downstream Chapter.</w:t>
      </w:r>
    </w:p>
    <w:p>
      <w:pPr>
        <w:pStyle w:val="Heading2"/>
      </w:pPr>
      <w:r>
        <w:t>Article 14.16 - SPS Committee and Technical Consultation</w:t>
      </w:r>
    </w:p>
    <w:p>
      <w:pPr/>
      <w:r>
        <w:t>14.16.1 [SPS COMMITTEE] The Parties maintain an SPS Committee composed of appropriate sanitary, phytosanitary, food-safety, animal-health, plant-health, agricultural, customs, or other technical officials. The Committee supports implementation, technical consultation, regulatory cooperation, emergency communication, regionalization, recurring administrative issues, and coordination with Chapter 15. It does not lower a Party's ALOP or replace a domestic competent authority's individual safety decision. The Committee may establish time-limited technical groups for defined issues.</w:t>
      </w:r>
    </w:p>
    <w:p>
      <w:pPr/>
      <w:r>
        <w:t>14.16.2 [RAPID TECHNICAL CONSULTATION] A Party may request rapid technical consultation concerning an SPS measure that materially disrupts or threatens covered agricultural trade, identifying the measure, affected trade, principal technical concern, and requested clarification or corrective discussion. The receiving Party acknowledges the request within two business days and competent technical officials begin substantive engagement within five business days, with faster engagement where an active emergency, perishable goods, or another demonstrated commercial and safety window requires it. Consultation addresses the assigned technical issue without requiring the regulating Party to suspend a measure necessary to achieve its ALOP. Failure to resolve the issue within consultation does not delay access to Chapter 18, Chapter 25, or Chapter 26 where the receiving Chapter's requirements are otherwise satisfied.</w:t>
      </w:r>
    </w:p>
    <w:p>
      <w:pPr/>
      <w:r>
        <w:t>14.16.3 [INFORMATION EXCHANGE] The Committee facilitates exchange of non-confidential information concerning significant outbreaks, pests, surveillance, regulatory changes, laboratory methods, inspection trends, regionalization, technical guidance, and implementation experience. Information exchange respects confidentiality, privilege, security, and domestic legal restrictions. Shared information does not automatically become evidence for an individual adverse decision outside the function for which lawful use exists. Where information moves to another Compact function, applicable provenance and use restrictions travel with it.</w:t>
      </w:r>
    </w:p>
    <w:p>
      <w:pPr/>
      <w:r>
        <w:t>14.16.4 [COOPERATION WITHOUT FORCED HARMONIZATION] The Parties pursue voluntary regulatory cooperation where it can improve safety, reduce unnecessary duplication, strengthen preparedness, or facilitate safe trade. Cooperation may include joint exercises, method comparison, training, surveillance coordination, digital certification work, technical assistance, or development of compatible procedures. Participation does not require adoption of another Party's substantive health standard. A cooperative output becomes legally binding only through the process required by this Compact and the Parties' domestic law.</w:t>
      </w:r>
    </w:p>
    <w:p>
      <w:pPr/>
      <w:r>
        <w:t>14.16.5 [COMMITTEE RECORD AND ESCALATION] The Committee maintains a concise record of material implementation issues, technical consultations, agreed actions, unresolved questions, and responsible follow-up channels. Failure to resolve a technical issue does not create a presumption for or against the SPS measure. A matter may proceed to Chapter 18 independent technical review, Chapter 25 consultation and cure, or Chapter 26 dispute settlement where the requirements of the receiving Chapter are satisfied. Technical consultation is not used to delay urgent review or preserve an expired emergency justification.</w:t>
      </w:r>
    </w:p>
    <w:p>
      <w:pPr>
        <w:pStyle w:val="Heading2"/>
      </w:pPr>
      <w:r>
        <w:t>Article 14.17 - ALVS Interface, Review, Remedies, and Final Safeguards</w:t>
      </w:r>
    </w:p>
    <w:p>
      <w:pPr/>
      <w:r>
        <w:t>14.17.1 [ALVS SYSTEM-LEVEL ROLE] Chapter 17 ALVS may record system-level information concerning SPS timeliness, notification, inspection intensity, repeated administrative delay, Restoration, and implementation performance. ALVS does not decide whether an individual shipment, facility, product, region, or production system is safe. Aggregate data may identify a pattern requiring institutional review but does not substitute for the evidence necessary for an individual SPS decision. ALVS records preserve source, date, function, and material limitations when information is reused.</w:t>
      </w:r>
    </w:p>
    <w:p>
      <w:pPr/>
      <w:r>
        <w:t>14.17.2 [INDEPENDENT TECHNICAL REVIEW] Chapter 18 may provide independent technical or scientific review where a material SPS disagreement genuinely requires expertise beyond ordinary consultation. The reviewer examines the evidentiary and methodological question assigned and does not substitute a preferred ALOP for that chosen by the regulating Party. Technical review may identify unsupported reasoning, methodological error, omitted material evidence, or a narrower scientifically supportable option without itself becoming the domestic regulator. Emergency authority remains available while review proceeds where the underlying risk reasonably requires it.</w:t>
      </w:r>
    </w:p>
    <w:p>
      <w:pPr/>
      <w:r>
        <w:t>14.17.3 [CURE, RESTORATION, AND REMEDIES] Chapter 25 governs broader consultation, cure, and automatic Restoration functions assigned to it, while Article 14.13 governs SPS-specific corrective action and Cothrom treatment at the technical level. Chapter 26 governs remedies and dispute settlement and applies proportionality within its assigned authority. An SPS dispute does not authorize whole-Compact snapback, automatic cross-sector retaliation, or impairment of completed Zero-Line Status unrelated to the SPS violation. Restoration follows verified compliance and the disappearance or correction of the factual basis supporting the affected SPS restriction.</w:t>
      </w:r>
    </w:p>
    <w:p>
      <w:pPr/>
      <w:r>
        <w:t>14.17.4 [NO LOWERING OF ALOP BY REVIEW] A panel, reviewer, committee, ALVS body, or other Compact institution does not replace a Party's chosen ALOP with its own preferred level of protection. Review may determine whether the Party applied the disciplines governing evidence, discrimination, proportional administration, procedure, scope, and consistency with the chosen ALOP. A finding of inconsistency may require correction of the measure or its administration without prescribing a lower health-protection objective. Nothing prevents the Party from adopting a different compliant measure that achieves its ALOP.</w:t>
      </w:r>
    </w:p>
    <w:p>
      <w:pPr/>
      <w:r>
        <w:t>14.17.5 [NO PRIVATE RIGHT, DIRECT EFFECT, OR IMPLIED DEREGULATION] This Chapter does not create a private right of action or direct effect in domestic law except to the extent a Party expressly provides such effect through its own legal system. It does not require privatization of SPS functions, delegation of sovereign authority, or automatic acceptance of private certification. No omission, interpretive inference, technical amendment, or implementation practice lowers a Party's ALOP by implication. The Parties review this Chapter through Chapter 29 without reopening legitimate substantive health standards merely because administrative modernization is considered.</w:t>
      </w:r>
    </w:p>
    <w:p>
      <w:pPr>
        <w:pStyle w:val="Heading1"/>
      </w:pPr>
      <w:r>
        <w:t>Chapter 15 - Equivalence, Recognition, Inspection, and Certification</w:t>
      </w:r>
    </w:p>
    <w:p>
      <w:pPr/>
      <w:r>
        <w:t xml:space="preserve">This Chapter establishes outcome-based equivalence, recognition, inspection, audit, laboratory, certification, reliance, review, Cothrom Cure, Restoration, and anti-bureaucratic-sabotage machinery while preserving Chapter 14 health-protection authority.</w:t>
      </w:r>
    </w:p>
    <w:p>
      <w:pPr>
        <w:pStyle w:val="Heading2"/>
      </w:pPr>
      <w:r>
        <w:t>Article 15.1 - Purpose, Scope, and Functional Separation</w:t>
      </w:r>
    </w:p>
    <w:p>
      <w:pPr/>
      <w:r>
        <w:t>15.1.1 [IMPLEMENTING MACHINERY] This Chapter supplies the administrative machinery for equivalence, recognition, inspection, audit, laboratory, and certification functions associated with Chapter 14. It does not lower, replace, or independently redefine a Party's Appropriate Level of Protection. A recognition decision is an administrative determination rather than a political concession and receives the procedural protections assigned by this Chapter. Nothing in this Chapter prevents immediate protective action authorized by Chapter 14.</w:t>
      </w:r>
    </w:p>
    <w:p>
      <w:pPr/>
      <w:r>
        <w:t>15.1.2 [DISTINCT FUNCTIONS] Equivalence determines whether a different measure or system achieves the importing Party's required protection outcome. Recognition is the formal acceptance of a defined system, authority, facility, region, laboratory, control, or arrangement for a stated regulatory purpose. Certification is a competent authority's attestation that a defined condition is satisfied, while inspection and verification are assurance functions used to test performance or compliance. An authority does not collapse these distinct functions in a manner that creates circular proof requirements or duplicate authorization.</w:t>
      </w:r>
    </w:p>
    <w:p>
      <w:pPr/>
      <w:r>
        <w:t>15.1.3 [COVERED RECOGNITION OBJECTS] Recognition may concern an entire system, individual measure, product category, production method, facility, group of facilities, region, zone, compartment, laboratory, competent authority, certification arrangement, inspection function, audit function, verification arrangement, accreditation system, quality system, traceability system, or defined component. The scope requested and the scope demonstrated determine the maximum scope of recognition. A Party is not required to recognize a function or object beyond the evidence presented. Partial recognition remains available where only part of the requested scope is demonstrated.</w:t>
      </w:r>
    </w:p>
    <w:p>
      <w:pPr/>
      <w:r>
        <w:t>15.1.4 [NO SUPRANATIONAL CODE] Recognition under this Chapter does not create a customs union, common regulatory code, supranational regulator, or obligation to copy another Party's institutions. Each Party retains its domestic regulatory authorities and lawful inspection, sampling, testing, audit, and enforcement powers. Exercise of those powers within a recognized arrangement remains risk-based and consistent with the recognition actually granted. Recognition does not extinguish the importing Party's ability to respond to new evidence or changed risk.</w:t>
      </w:r>
    </w:p>
    <w:p>
      <w:pPr/>
      <w:r>
        <w:t>15.1.5 [CROSS-CHAPTER ROUTING] Chapter 14 governs substantive SPS disciplines and Chapter 15 governs the recognition machinery assigned here. Chapter 17 records system-level implementation performance without making individual recognition decisions, Chapter 18 handles genuinely scientific or technical review, and Chapters 25 and 26 govern broader cure, Restoration, remedies, and dispute settlement within their assigned functions. Chapter 22 supplies transparency and data disciplines, while Chapters 12 and 13 retain their customs-origin and advance-ruling functions. Function rather than label determines routing where the same facts become relevant to more than one Chapter.</w:t>
      </w:r>
    </w:p>
    <w:p>
      <w:pPr>
        <w:pStyle w:val="Heading2"/>
      </w:pPr>
      <w:r>
        <w:t>Article 15.2 - Outcome-Based Equivalence Standard</w:t>
      </w:r>
    </w:p>
    <w:p>
      <w:pPr/>
      <w:r>
        <w:t>15.2.1 [OUTCOME NOT IDENTICAL TEXT] A measure, control, process, or system is equivalent for the defined purpose when the evidence objectively demonstrates that it achieves the importing Party's required protection outcome despite differences in legal text, procedure, institutional design, technology, or regulatory method. The importing Party does not require replication of its own system as the price of equivalence. A difference is material only to the extent it affects achievement of the relevant protection outcome. The importing Party identifies that outcome with enough specificity to permit a meaningful demonstration.</w:t>
      </w:r>
    </w:p>
    <w:p>
      <w:pPr/>
      <w:r>
        <w:t>15.2.2 [WHOLE-MEASURE ASSESSMENT] An equivalence assessment considers the measure or system as a functioning whole where multiple controls jointly produce the required protection outcome. The authority does not isolate one unfamiliar component and reject the request without considering compensating or complementary controls. Evidence may include scientific material, performance data, inspection history, compliance records, surveillance, traceability, enforcement, emergency response, or other reliable information. The assessment explains how the material evidence relates to the stated protection outcome.</w:t>
      </w:r>
    </w:p>
    <w:p>
      <w:pPr/>
      <w:r>
        <w:t>15.2.3 [DIFFERENT RISK METHODS] Equivalence does not require identical risk tolerance, risk-assessment methodology, inspection frequency, administrative form, or institutional allocation where the demonstrated outcome satisfies the importing Party's ALOP. The importing Party may examine whether methodological differences create a material protection gap. A rejection identifies the specific gap rather than merely identifying the difference. A Party does not infer non-equivalence from regulatory philosophy or national origin alone.</w:t>
      </w:r>
    </w:p>
    <w:p>
      <w:pPr/>
      <w:r>
        <w:t>15.2.4 [COMBINED AND PARTIAL EQUIVALENCE] Equivalence may arise from a combination of measures and may be recognized for a product, process, facility, region, system, function, or narrower component. Conditions may address a demonstrated unresolved portion without defeating the equivalent portion. The importing Party considers reasonably proposed alternative controls that achieve the same protection outcome with comparable reliability. It is not required to accept an alternative that lowers its ALOP.</w:t>
      </w:r>
    </w:p>
    <w:p>
      <w:pPr/>
      <w:r>
        <w:t>15.2.5 [PERSISTENCE] An equivalence determination remains effective for its stated duration and does not expire merely because an ordinary periodic review occurs. Indefinite recognition may remain subject to risk-based oversight, material-change notification, and periodic system review. The exporting Party does not continually re-prove unchanged facts solely to preserve an existing determination. A material change affecting the protection outcome may trigger proportionate reassessment under Article 15.16.</w:t>
      </w:r>
    </w:p>
    <w:p>
      <w:pPr>
        <w:pStyle w:val="Heading2"/>
      </w:pPr>
      <w:r>
        <w:t>Article 15.3 - Eligible Requests, Scope, and Lead Authority</w:t>
      </w:r>
    </w:p>
    <w:p>
      <w:pPr/>
      <w:r>
        <w:t>15.3.1 [ELIGIBLE REQUESTS] A Party may request equivalence or recognition for any defined object or function within Article 15.1.3 that materially affects covered agricultural trade. The request may cover one object, several related objects, or a coherent system where joint treatment improves administrative efficiency. A requesting Party may narrow or amend the requested scope before final decision without restarting completed review steps that remain relevant. Joint requests by two Parties are permitted where the requested arrangement genuinely shares the same technical basis.</w:t>
      </w:r>
    </w:p>
    <w:p>
      <w:pPr/>
      <w:r>
        <w:t>15.3.2 [LEAD AUTHORITY] The importing Party designates a lead authority or lead official for each recognition matter. The lead coordinates relevant domestic agencies, consolidates information needs, communicates procedural status, and preserves single-matter continuity. Internal reassignment does not restart a clock, completeness review, evidence record, or applicant obligation. Other agencies may provide expertise without creating parallel applicant-facing proceedings for the same recognition function.</w:t>
      </w:r>
    </w:p>
    <w:p>
      <w:pPr/>
      <w:r>
        <w:t>15.3.3 [SCOPE IDENTIFIER] Each recognition matter receives a stable identifier and a written scope description identifying the object, function, goods, territory, facilities, authorities, or other boundaries under review. Later internal relabeling does not create a new matter where the substance remains the same. Material expansion requested by the applicant may receive additional review limited to the expanded scope. Administrative renaming does not erase accrued procedural rights or elapsed time.</w:t>
      </w:r>
    </w:p>
    <w:p>
      <w:pPr/>
      <w:r>
        <w:t>15.3.4 [PRE-APPLICATION CONSULTATION] A requesting Party may seek pre-application consultation concerning scope, minimum information, available evidence formats, expected technical questions, and applicable clocks. The importing Party uses the consultation to reduce avoidable incompleteness without pre-judging the merits. Guidance provided in good faith is recorded where materially relied upon. A later change in guidance is handled prospectively where reasonably possible and does not manufacture applicant fault.</w:t>
      </w:r>
    </w:p>
    <w:p>
      <w:pPr/>
      <w:r>
        <w:t>15.3.5 [CONTACT CONTINUITY] Each Party publishes and maintains current contact information for authorities responsible for recognition matters. A recognition inquiry is acknowledged or routed to the responsible office within five business days. Government routing error does not extinguish a filing or require needless refiling where the submission can reasonably be transferred. The responsible authority preserves the original receipt date when the applicant used an officially published channel in good faith.</w:t>
      </w:r>
    </w:p>
    <w:p>
      <w:pPr>
        <w:pStyle w:val="Heading2"/>
      </w:pPr>
      <w:r>
        <w:t>Article 15.4 - Application and Minimum Information</w:t>
      </w:r>
    </w:p>
    <w:p>
      <w:pPr/>
      <w:r>
        <w:t>15.4.1 [MINIMUM APPLICATION] A recognition application identifies the object or system, requested scope, competent authority, relevant protection outcome, principal controls, surveillance or assurance mechanisms, and technical evidence reasonably supporting the request. The applicant provides enough information to permit the importing Party to understand how the arrangement functions. The importing Party publishes minimum data requirements or a model application framework. Absence of a preferred form does not defeat an otherwise complete submission containing the required substance.</w:t>
      </w:r>
    </w:p>
    <w:p>
      <w:pPr/>
      <w:r>
        <w:t>15.4.2 [OWN FORMAT AND ALTERNATIVE EVIDENCE] A requesting Party may submit evidence in its ordinary governmental format with translation or explanatory mapping where reasonably necessary. It is not required to reconstruct the importing Party's institutional structure, forms, or record architecture. Where a requested record does not exist, the applicant may offer alternative reliable evidence serving the same evidentiary purpose. The importing Party evaluates functional reliability rather than rejecting evidence solely because its format differs.</w:t>
      </w:r>
    </w:p>
    <w:p>
      <w:pPr/>
      <w:r>
        <w:t>15.4.3 [GOVERNMENT-HELD INFORMATION] The importing Party reuses reliable and relevant information already lawfully held by its authorities where doing so avoids needless resubmission. An applicant identifies previously submitted material sufficiently for reasonable retrieval when relying on this rule. The authority does not demand identical information again solely because another internal unit possesses it. Lawful confidentiality, retention, or technical-access limits may justify a targeted request for replacement or confirmation.</w:t>
      </w:r>
    </w:p>
    <w:p>
      <w:pPr/>
      <w:r>
        <w:t>15.4.4 [RELATED PRODUCTS AND FACILITIES] A single application may cover related products, facilities, regions, controls, or functions where common evidence supports joint assessment. The authority separates only those portions requiring materially different evidence or decision criteria. Separation does not restart the common record or common clocks for portions already complete. A shared application does not cause one unresolved component to block recognition of independently demonstrated components.</w:t>
      </w:r>
    </w:p>
    <w:p>
      <w:pPr/>
      <w:r>
        <w:t>15.4.5 [NECESSITY OF INFORMATION] An information requirement is reasonably necessary to assess the requested recognition scope or protection outcome. The authority identifies why a material request is needed and does not demand information unrelated to the assigned function. Certified copies, authenticated electronic records, or competent-authority confirmations are accepted where originals are not materially necessary. Burden objections receive the procedure in Article 15.7.</w:t>
      </w:r>
    </w:p>
    <w:p>
      <w:pPr>
        <w:pStyle w:val="Heading2"/>
      </w:pPr>
      <w:r>
        <w:t>Article 15.5 - Completeness Review and Deficiency Cure</w:t>
      </w:r>
    </w:p>
    <w:p>
      <w:pPr/>
      <w:r>
        <w:t>15.5.1 [TEN-DAY REVIEW] The importing Party completes an initial completeness review within ten business days after receiving an application. A deficiency notice identifies each specific material deficiency, explains why it matters, and identifies information or evidence capable of curing it. Generic requests for more information do not preserve incompleteness. If no compliant deficiency notice issues within the period, the application is deemed complete.</w:t>
      </w:r>
    </w:p>
    <w:p>
      <w:pPr/>
      <w:r>
        <w:t>15.5.2 [SINGLE COORDINATED NOTICE] The lead authority coordinates reasonably foreseeable information needs across participating agencies into one completeness notice. Sequential notices do not fragment one known information need into repeated procedural resets. A later request remains permissible for a genuinely new issue revealed by evidence not reasonably identifiable during initial review. Such a request does not retroactively undo deemed or confirmed completeness.</w:t>
      </w:r>
    </w:p>
    <w:p>
      <w:pPr/>
      <w:r>
        <w:t>15.5.3 [CURE] The requesting Party receives a reasonable period to cure identified deficiencies and may use alternative reliable evidence where the requested item is unavailable. The authority confirms cure or identifies the specific remaining deficiency promptly after receiving the response. Corrected information does not require withdrawal and refiling of the application. A technical correction preserves elapsed time except for the period reasonably necessary to assess the new material.</w:t>
      </w:r>
    </w:p>
    <w:p>
      <w:pPr/>
      <w:r>
        <w:t>15.5.4 [BURDEN OBJECTION] A requesting Party may object to an information demand as irrelevant, duplicative, unavailable, or disproportionate. An official institutionally distinct from the original requester decides the objection within five business days or before the response deadline, whichever occurs first. The decision briefly identifies the relevance and burden reasoning and may narrow, replace, or uphold the request. The objection does not permit concealment of information materially necessary to determine the protection outcome.</w:t>
      </w:r>
    </w:p>
    <w:p>
      <w:pPr/>
      <w:r>
        <w:t>15.5.5 [NO INFINITE COMPLETENESS LOOP] Incompleteness is not used as an indefinite holding status after the applicant has addressed the identified deficiencies. Internal transfer, staffing change, agency disagreement, or revised preference does not reopen completeness without a materially new evidentiary reason. The authority maintains a record of completeness decisions and their dates. Repeated completeness failures may be recorded as system-level implementation issues under Chapter 17.</w:t>
      </w:r>
    </w:p>
    <w:p>
      <w:pPr>
        <w:pStyle w:val="Heading2"/>
      </w:pPr>
      <w:r>
        <w:t>Article 15.6 - Decision Clocks, Queue Discipline, and Status</w:t>
      </w:r>
    </w:p>
    <w:p>
      <w:pPr/>
      <w:r>
        <w:t>15.6.1 [ORDINARY AND COMPLEX CLOCKS] A complete ordinary recognition matter receives a final decision within sixty calendar days. A genuinely complex system-level matter may use a ninety-calendar-day clock where the authority records the specific technical complexity requiring additional time. Staffing, workload, internal disagreement, agency routing, or political sensitivity does not establish complexity. The applicable clock begins on actual or deemed completeness.</w:t>
      </w:r>
    </w:p>
    <w:p>
      <w:pPr/>
      <w:r>
        <w:t>15.6.2 [LIMITED EXTENSION] A genuinely complex matter may receive one extension not exceeding thirty calendar days where a new material technical issue cannot reasonably be resolved within the ninety-day period. The authority gives written notice before the existing deadline and identifies the issue, work remaining, and revised decision date. The extension does not restart any earlier period. Ordinary matters do not receive an extension merely for administrative convenience.</w:t>
      </w:r>
    </w:p>
    <w:p>
      <w:pPr/>
      <w:r>
        <w:t>15.6.3 [MISSED CLOCK] If the applicable final-decision clock expires, the requesting Party may demand expedited supervisory review and the importing Party issues the final decision or a reasoned operative interim determination within ten business days after that demand. An interim determination identifies the single unresolved material issue or tightly related set of issues, the work actually remaining, the evidence or verification necessary to complete that work, and a fixed final-decision date no later than twenty additional calendar days, and it does not reopen matters already established on the record absent materially new evidence. A missed clock does not itself establish equivalence or safety where the substantive demonstration remains unresolved. It does establish a procedural failure eligible for escalation under Chapters 17, 25, or 26 as assigned, and no further interim determination resets or extends the fixed final-decision date.</w:t>
      </w:r>
    </w:p>
    <w:p>
      <w:pPr/>
      <w:r>
        <w:t>15.6.4 [PUBLIC QUEUE] Each Party maintains a reasonably current register of pending recognition matters showing the stable matter identifier, general scope, filing status, responsible authority, and material procedural milestone where publication is lawful. The register is updated at least monthly and does not disclose protected information. A requesting Party may obtain a case-specific status update within five business days. Silent queues do not substitute for a recorded procedural status.</w:t>
      </w:r>
    </w:p>
    <w:p>
      <w:pPr/>
      <w:r>
        <w:t>15.6.5 [NO CLOCK RESET BY RELABELING] Withdrawal and reopening by the authority, internal reassignment, change of office, recharacterization, or transfer between agencies does not reset a recognition clock where the same substantive matter continues. A genuinely new requested scope may receive a separate clock limited to that new scope. Time already spent assessing common evidence remains credited. This rule preserves procedural continuity without forcing an authority to decide a materially different application on an obsolete record.</w:t>
      </w:r>
    </w:p>
    <w:p>
      <w:pPr>
        <w:pStyle w:val="Heading2"/>
      </w:pPr>
      <w:r>
        <w:t>Article 15.7 - Technical Engagement, Evidence Requests, and Verification</w:t>
      </w:r>
    </w:p>
    <w:p>
      <w:pPr/>
      <w:r>
        <w:t>15.7.1 [PROPORTIONATE QUESTIONS] Technical questions and evidence requests are relevant, proportionate, and tied to the requested recognition scope or protection outcome. The authority explains the material purpose of a non-obvious request. Multiple domestic agencies coordinate through the lead authority and do not ask duplicative questions directly. A request for clarification does not become a disguised second completeness review.</w:t>
      </w:r>
    </w:p>
    <w:p>
      <w:pPr/>
      <w:r>
        <w:t>15.7.2 [TECHNICAL MEETINGS] Either Party may request a technical meeting to clarify evidence, methods, controls, or unresolved questions. Competent officials participate in good faith and identify the issues requiring resolution. The meeting may narrow the matter, agree on additional evidence, or establish a verification plan without altering the Party's ALOP. Material agreements and unresolved points are recorded in the case file.</w:t>
      </w:r>
    </w:p>
    <w:p>
      <w:pPr/>
      <w:r>
        <w:t>15.7.3 [SITE VERIFICATION] A site visit or verification mission may occur where reasonably necessary to assess a material element that documentary evidence cannot adequately establish. The importing Party coordinates timing, scope, access, and confidentiality with the exporting Party and ordinarily provides advance notice. Emergency circumstances may justify faster verification consistent with Chapter 14. Refusal to conduct a reasonably proposed site visit is explained where the refusal materially affects the recognition decision.</w:t>
      </w:r>
    </w:p>
    <w:p>
      <w:pPr/>
      <w:r>
        <w:t>15.7.4 [FINDINGS AND RESPONSE] The importing Party shares material non-confidential verification findings with the requesting Party before a non-emergency adverse final decision. The requesting Party receives a meaningful opportunity to correct factual error and submit material rebuttal evidence. The authority considers that response and addresses outcome-relevant rebuttal in its reasons. Protected evidence receives a usable non-confidential summary to the extent lawful and practicable.</w:t>
      </w:r>
    </w:p>
    <w:p>
      <w:pPr/>
      <w:r>
        <w:t>15.7.5 [PROVENANCE AND FUNCTION FIREWALL] Information transferred from another Compact function preserves its source, date, original purpose, limitations, confidentiality status, and chain of use. Transfer does not convert one datum into multiple independent risk indicators or erase procedural protections attached to the information. Evidence gathered for customs origin, fraud, or another function is used for recognition only where lawful and materially relevant. A database relay or agency handoff does not create an evidentiary advantage unavailable in the originating function.</w:t>
      </w:r>
    </w:p>
    <w:p>
      <w:pPr>
        <w:pStyle w:val="Heading2"/>
      </w:pPr>
      <w:r>
        <w:t>Article 15.8 - Outcome-Based Assessment and Reasoned Determination</w:t>
      </w:r>
    </w:p>
    <w:p>
      <w:pPr/>
      <w:r>
        <w:t>15.8.1 [ASSESSMENT RECORD] The importing Party evaluates the requested arrangement against the identified protection outcome using the complete evidentiary record. Relevant considerations may include risk assessment, surveillance, inspection history, compliance, control programs, certification, laboratory competence, traceability, emergency response, oversight, enforcement, and institutional stability. No single consideration is mandatory where it is irrelevant to the requested function. The final assessment explains the material reasoning connecting evidence to outcome.</w:t>
      </w:r>
    </w:p>
    <w:p>
      <w:pPr/>
      <w:r>
        <w:t>15.8.2 [NO DIFFERENCE-ONLY REJECTION] A recognition request is not rejected solely because laws, forms, procedures, institutional structures, inspection techniques, terminology, or regulatory philosophy differ. The authority identifies the material protection gap created by a difference when relying on that difference adversely. Cosmetic or microscopic paperwork variation does not establish a protection gap. A lawful data field may be mapped or translated rather than duplicated where equivalence can be reliably established.</w:t>
      </w:r>
    </w:p>
    <w:p>
      <w:pPr/>
      <w:r>
        <w:t>15.8.3 [MATERIAL CONTRARY EVIDENCE] The authority considers material evidence supporting and opposing recognition and does not selectively omit known contrary information. A disagreement in expert judgment does not itself establish non-equivalence where the requesting Party's system remains objectively capable of achieving the required outcome. The final reasons address outcome-relevant contrary evidence. The authority may choose among reasonably supportable technical conclusions without adopting another Party's preferred methodology.</w:t>
      </w:r>
    </w:p>
    <w:p>
      <w:pPr/>
      <w:r>
        <w:t>15.8.4 [FINAL DETERMINATION CONTENT] A final determination identifies the legal basis, factual and evidentiary basis, recognized or refused scope, conditions if any, effective date, duration, material assumptions, review route, and cure path for correctable deficiencies. A refusal identifies the specific protection outcome not demonstrated. A partial approval identifies the portion demonstrated and the portion remaining unresolved. Protected material may be summarized without disclosing information lawfully withheld.</w:t>
      </w:r>
    </w:p>
    <w:p>
      <w:pPr/>
      <w:r>
        <w:t>15.8.5 [EFFECTIVE RECOGNITION] A recognition determination is implemented in actual administration according to its stated scope and does not exist merely on paper. Routine controls duplicating a recognized function require a new risk-based or function-specific justification rather than institutional habit. Recognition-by-name-but-not-in-practice is treated as an implementation failure subject to Chapter 17 monitoring and appropriate review. Nothing prevents targeted verification where new evidence or the terms of recognition justify it.</w:t>
      </w:r>
    </w:p>
    <w:p>
      <w:pPr>
        <w:pStyle w:val="Heading2"/>
      </w:pPr>
      <w:r>
        <w:t>Article 15.9 - Partial, Conditional, and Provisional Recognition</w:t>
      </w:r>
    </w:p>
    <w:p>
      <w:pPr/>
      <w:r>
        <w:t>15.9.1 [GRANULAR RECOGNITION] Recognition may attach to a system, component, product, facility, region, function, control, inspection arrangement, certification arrangement, laboratory arrangement, audit arrangement, or verification arrangement. The authority recognizes independently demonstrated portions even where another portion remains unresolved. Granularity prevents a narrow deficiency from unnecessarily disabling unrelated safe trade. The recognition act states the boundaries in administrable terms.</w:t>
      </w:r>
    </w:p>
    <w:p>
      <w:pPr/>
      <w:r>
        <w:t>15.9.2 [CONDITIONS] A recognition condition addresses a specific unresolved risk, evidentiary gap, or assurance need and is proportionate to that issue. Conditions are objectively measurable where practicable and do not require adoption of the importing Party's institutional design. A condition does not demand an unrelated commercial or political concession. The determination identifies how the condition may be satisfied, reviewed, modified, or removed.</w:t>
      </w:r>
    </w:p>
    <w:p>
      <w:pPr/>
      <w:r>
        <w:t>15.9.3 [PROVISIONAL RECOGNITION] Provisional recognition may be granted where the evidence strongly supports recognition but a narrow verification item remains incomplete. The provisional act states its scope, protective conditions, outstanding item, review date, and fixed final-decision date governed by the applicable Article 15.6 clock. Provisional status is not used as an open-ended substitute for a final decision, and neither renewal nor relabeling restarts the applicable clock absent a materially expanded applicant-requested scope. Completion of the stated item triggers final determination without reopening unrelated settled questions.</w:t>
      </w:r>
    </w:p>
    <w:p>
      <w:pPr/>
      <w:r>
        <w:t>15.9.4 [TIME-LIMITED CONDITIONS] A condition tied to temporary uncertainty, transition, or corrective action receives a defined review point or completion trigger. The authority does not preserve a temporary condition after its factual basis disappears. Continuing conditions remain permissible where the underlying protection need persists and the reasons are recorded. Expiration of an administrative condition does not itself establish safety if a demonstrated substantive risk independently remains.</w:t>
      </w:r>
    </w:p>
    <w:p>
      <w:pPr/>
      <w:r>
        <w:t>15.9.5 [NO COLLATERAL LEVERAGE] Recognition conditions are not used to obtain tariff concessions, procurement advantages, unrelated regulatory changes, or settlement of another trade dispute. A condition remains connected to the protection outcome or recognition function being assessed. Cross-chapter coordination may resolve genuinely overlapping legal functions without converting recognition into bargaining leverage. A condition imposed for an unrelated purpose is reviewable as an abuse of recognition authority.</w:t>
      </w:r>
    </w:p>
    <w:p>
      <w:pPr>
        <w:pStyle w:val="Heading2"/>
      </w:pPr>
      <w:r>
        <w:t>Article 15.10 - Systems Recognition and Competent Authorities</w:t>
      </w:r>
    </w:p>
    <w:p>
      <w:pPr/>
      <w:r>
        <w:t>15.10.1 [SYSTEMS RECOGNITION] A Party may recognize national or subnational food-safety, animal-health, plant-health, inspection, certification, laboratory, audit, or verification systems. The assessment considers the competent authority's legal powers, oversight, performance, controls, corrective capacity, and other factors relevant to the recognized function. Recognition may cover the whole system or a defined component. Subnational recognition remains available where competence is lawfully allocated below the national level.</w:t>
      </w:r>
    </w:p>
    <w:p>
      <w:pPr/>
      <w:r>
        <w:t>15.10.2 [COMPETENT-AUTHORITY RELIANCE] Where a competent-authority system is recognized, the importing Party gives practical effect to that authority's lawful approvals, inspections, or certifications within the recognized scope. It may conduct risk-based spot checks, audits, or targeted verification to confirm continuing performance. Routine facility-by-facility duplication is reduced where system-level assurance reliably supplies the same protection function. Continued duplication requires a recorded risk, performance, or scope reason.</w:t>
      </w:r>
    </w:p>
    <w:p>
      <w:pPr/>
      <w:r>
        <w:t>15.10.3 [SYSTEM AUDITS] A recognized system may receive periodic or risk-triggered audit proportionate to its scope and performance history. Audit criteria and procedures are published or otherwise made available to the exporting competent authority. Findings distinguish isolated, recurring, and systemic deficiencies. An isolated facility failure does not establish system failure without evidence of a broader control defect.</w:t>
      </w:r>
    </w:p>
    <w:p>
      <w:pPr/>
      <w:r>
        <w:t>15.10.4 [PERFORMANCE REVIEW] Periodic review of a recognized system evaluates material changes, performance trends, corrective actions, and continuing achievement of the protection outcome. Review does not require complete reapplication or re-proof of unchanged facts. Existing reliable evidence remains part of the record. A material new concern is examined only to the extent necessary to determine its effect on recognition.</w:t>
      </w:r>
    </w:p>
    <w:p>
      <w:pPr/>
      <w:r>
        <w:t>15.10.5 [PUBLIC CRITERIA AND METRICS] Each Party publishes its principal systems-recognition criteria, procedures, decision clocks, and non-confidential recognition decisions. It also publishes aggregate performance information sufficient to show whether the process is functioning within established timelines. Metrics do not create a substantive presumption for an individual matter. Chapter 17 may use the metrics for system-level implementation review.</w:t>
      </w:r>
    </w:p>
    <w:p>
      <w:pPr>
        <w:pStyle w:val="Heading2"/>
      </w:pPr>
      <w:r>
        <w:t>Article 15.11 - Facility Approval, Listing, Suspension, and Restoration</w:t>
      </w:r>
    </w:p>
    <w:p>
      <w:pPr/>
      <w:r>
        <w:t>15.11.1 [GOVERNMENT-TO-GOVERNMENT LISTING] Where appropriate to the regulatory system, facility listing may rely on approval or nomination by the exporting Party's recognized competent authority. The importing Party publishes the criteria and information necessary for listing. It does not repeat facility inspection already supplied by a recognized system absent a material risk or performance reason. Listing remains subject to the importing Party's lawful protection requirements.</w:t>
      </w:r>
    </w:p>
    <w:p>
      <w:pPr/>
      <w:r>
        <w:t>15.11.2 [FACILITY DECISION CLOCK] A complete facility-listing request receives approval, refusal, or a reasoned request for narrowly necessary verification within thirty calendar days unless a published shorter SPS clock applies. A correctable technical defect receives a reasonable cure opportunity, and additional verification does not restart the facility clock or reopen matters already established except to the extent materially affected by new evidence. The authority identifies the reason for refusal and the evidence necessary to address it. Internal routing does not restart the facility clock.</w:t>
      </w:r>
    </w:p>
    <w:p>
      <w:pPr/>
      <w:r>
        <w:t>15.11.3 [SCOPE OF SUSPENSION] Facility suspension is limited to the affected facility, line, product, process, certification function, or other demonstrated scope where narrower treatment can protect the importing Party's ALOP. Broader suspension requires evidence of a broader common-source, oversight, contamination, or systemic failure. The exporting competent authority receives prompt notice and reasons. Emergency action remains available under Chapter 14 where immediate protection is necessary.</w:t>
      </w:r>
    </w:p>
    <w:p>
      <w:pPr/>
      <w:r>
        <w:t>15.11.4 [EXPEDITED REVIEW] The exporting Party may request expedited review of a facility suspension or refusal. An institutionally distinct official issues a written decision within ten business days, addressing the material evidence, scope, and available cure. Review does not require release of unsafe goods or continuation of an unsafe facility operation. A confirmed correctable deficiency proceeds through the stated cure path.</w:t>
      </w:r>
    </w:p>
    <w:p>
      <w:pPr/>
      <w:r>
        <w:t>15.11.5 [AUTOMATIC RESTORATION] Facility status is restored when the defined corrective condition is objectively satisfied and verification confirms that the suspension basis no longer supports continued restriction. Restoration does not require political approval, unrelated concessions, renegotiation, or a fresh facility application. The importing Party promptly corrects public lists, system flags, and operational instructions necessary to give Restoration practical effect. A demonstrated remaining safety problem may support a new or continuing measure only to its evidenced scope.</w:t>
      </w:r>
    </w:p>
    <w:p>
      <w:pPr>
        <w:pStyle w:val="Heading2"/>
      </w:pPr>
      <w:r>
        <w:t>Article 15.12 - Regionalization Recognition Procedure</w:t>
      </w:r>
    </w:p>
    <w:p>
      <w:pPr/>
      <w:r>
        <w:t>15.12.1 [REGIONALIZATION APPLICATION] A regionalization request identifies the proposed area, zone, compartment, or other risk unit and provides surveillance, control, boundary, movement, biosecurity, epidemiological, or other evidence relevant to the claimed status. The importing Party identifies any additional evidence reasonably necessary for the particular pest, disease, or hazard. Chapter 14 supplies the substantive regionalization disciplines. This Article supplies the recognition procedure without redefining the importing Party's ALOP.</w:t>
      </w:r>
    </w:p>
    <w:p>
      <w:pPr/>
      <w:r>
        <w:t>15.12.2 [ORDINARY CLOCK] A complete ordinary regionalization request receives a reasoned decision within sixty calendar days unless site verification or genuinely complex epidemiological analysis requires the Article 15.6 complex-case clock. The authority records the reason for using the longer clock. Disease elsewhere in the exporting Party does not by itself establish complexity for a scientifically distinct region. Internal coordination does not reset the clock.</w:t>
      </w:r>
    </w:p>
    <w:p>
      <w:pPr/>
      <w:r>
        <w:t>15.12.3 [OUTBREAK FAST TRACK] A regionalization request needed to preserve safe trade during a new outbreak receives fast-track technical treatment. The lead authority identifies the essential evidence promptly, begins technical engagement within five business days, prioritizes any necessary site verification, and completes the matter within the applicable Article 15.12.2 and Article 15.6 decision clock. Where evidence strongly supports a distinct risk unit, provisional recognition may preserve safe trade while a narrow outstanding item is completed. Fast-track treatment does not compel recognition where the importing Party's ALOP is not demonstrated.</w:t>
      </w:r>
    </w:p>
    <w:p>
      <w:pPr/>
      <w:r>
        <w:t>15.12.4 [SITE VERIFICATION AND REFUSAL] Site verification is coordinated with the exporting competent authority and focuses on the risk controls material to the proposed regional unit. A refusal identifies the missing risk evidence, failed control, or other substantive reason rather than merely citing the existence of disease or pests elsewhere. The requesting Party may respond with corrective or additional evidence. A broader national restriction remains supportable only while broader evidence justifies it.</w:t>
      </w:r>
    </w:p>
    <w:p>
      <w:pPr/>
      <w:r>
        <w:t>15.12.5 [RESTORATION AND EXPANSION] Recognition expands or restores as containment, eradication, zoning, compartment integrity, or other evidence demonstrates a larger safe scope. The importing Party does not require re-proof of unaffected elements already established. Staged Restoration may correspond to staged risk reduction. Administrative delay after the objective recognition condition is satisfied is subject to Article 15.17.</w:t>
      </w:r>
    </w:p>
    <w:p>
      <w:pPr>
        <w:pStyle w:val="Heading2"/>
      </w:pPr>
      <w:r>
        <w:t>Article 15.13 - Inspection, Audit, and Verification Recognition</w:t>
      </w:r>
    </w:p>
    <w:p>
      <w:pPr/>
      <w:r>
        <w:t>15.13.1 [RECOGNIZED ASSURANCE FUNCTIONS] A Party may recognize another Party's inspection, audit, or verification function where that function reliably supplies the assurance required for the defined regulatory purpose. Recognition states the scope, applicable criteria, reporting expectations, and any retained importing-Party checks. Different inspection organization does not defeat recognition where the protection outcome is achieved. The importing Party may preserve targeted oversight proportionate to risk.</w:t>
      </w:r>
    </w:p>
    <w:p>
      <w:pPr/>
      <w:r>
        <w:t>15.13.2 [ANTI-DUPLICATION] Where a recognized assurance function already addresses the same regulatory question, the importing Party avoids routine duplicate inspection or audit. A duplicate action requires a material risk indicator, performance concern, legal function not covered by recognition, or other recorded justification. Different agencies do not multiply the same inspection merely by assigning it different internal labels. Necessary emergency or enforcement action remains available.</w:t>
      </w:r>
    </w:p>
    <w:p>
      <w:pPr/>
      <w:r>
        <w:t>15.13.3 [AUDIT PROCEDURE] A targeted audit identifies scope, criteria, expected timing, and material information needs in advance where practicable. The importing Party coordinates the audit with the exporting competent authority and shares material non-confidential findings. The exporting Party may respond before a non-emergency adverse recognition decision becomes final. Audit evidence is used only to the scope reasonably supported by the findings.</w:t>
      </w:r>
    </w:p>
    <w:p>
      <w:pPr/>
      <w:r>
        <w:t>15.13.4 [CORRECTIVE ACTION] A verified audit or inspection deficiency receives a proportionate corrective path where immediate withdrawal is not necessary for safety. The authority identifies the deficiency, corrective outcome, evidence of completion, interim condition, and Restoration trigger. Correction may be localized to the affected function or facility. Verified correction restores the affected recognition without reopening unrelated demonstrated functions.</w:t>
      </w:r>
    </w:p>
    <w:p>
      <w:pPr/>
      <w:r>
        <w:t>15.13.5 [NO AUDIT LEVERAGE] Audit findings do not support unrelated tariff, quota, procurement, origin, or political restrictions merely because the same trader or sector is involved. Broader recognition consequences require evidence of a broader recognition failure. Chapter 16 addresses anti-substitution where regulatory form is used to perform another trade-restrictive function. Chapter 26 governs remedies within its assigned authority.</w:t>
      </w:r>
    </w:p>
    <w:p>
      <w:pPr>
        <w:pStyle w:val="Heading2"/>
      </w:pPr>
      <w:r>
        <w:t>Article 15.14 - Certification and Electronic Certification</w:t>
      </w:r>
    </w:p>
    <w:p>
      <w:pPr/>
      <w:r>
        <w:t>15.14.1 [CERTIFICATION RECOGNITION] A Party recognizes competent certification arrangements where the exporting authority can reliably attest the defined regulatory condition required by the importing Party. Recognition may concern certificate content, issuing authority, authentication method, data exchange, or a broader certification system. The importing Party may specify necessary core data elements without requiring cosmetic replication of its own form. Certification recognition does not itself establish safety where the underlying substantive condition is not met.</w:t>
      </w:r>
    </w:p>
    <w:p>
      <w:pPr/>
      <w:r>
        <w:t>15.14.2 [ELECTRONIC ACCEPTANCE] Recognized electronic certificates, electronic signatures, and authenticated electronic records receive the same administrative effect as equivalent paper records where authenticity and integrity can be verified. The Parties support interoperable data exchange and mapping of equivalent fields. A system outage activates a workable paper, email, manual, or other authenticated fallback. Government technology failure does not by itself invalidate an otherwise verifiable certification.</w:t>
      </w:r>
    </w:p>
    <w:p>
      <w:pPr/>
      <w:r>
        <w:t>15.14.3 [ERROR CURE] A minor clerical, formatting, transmission, translation, or other non-substantive certificate defect receives a reasonable correction opportunity. Replacement certificates, corrected certificates, or competent-authority confirmation are accepted where they reliably cure the defect. The authority distinguishes a documentation defect from absence of the substantive health condition being certified. A microscopic formatting difference does not become a trade prohibition where the required information and authenticity are established.</w:t>
      </w:r>
    </w:p>
    <w:p>
      <w:pPr/>
      <w:r>
        <w:t>15.14.4 [CERTIFICATE REJECTION] A material certificate rejection identifies the missing condition, unreliable attestation, authentication problem, or other substantive basis. The affected Party may request review, and a written decision issues within ten business days where the shipment remains commercially relevant or the issue is recurring, while the ordinary review route under Article 15.17 remains available for a completed shipment or non-recurring issue with continuing legal, refund, compliance, or precedential significance. Review may validate a corrected certificate without requiring the entire recognition arrangement to be reopened. Emergency safety action remains unaffected.</w:t>
      </w:r>
    </w:p>
    <w:p>
      <w:pPr/>
      <w:r>
        <w:t>15.14.5 [PUBLISHED REQUIREMENTS] Each Party publishes current certificate requirements, accepted authentication methods, material data elements, correction procedures, and responsible contact points. An unpublished port instruction or software preference does not add a substantive certificate condition. Operational guidance may implement a published requirement without changing its substance. Chapter 22 governs broader publication and data architecture.</w:t>
      </w:r>
    </w:p>
    <w:p>
      <w:pPr>
        <w:pStyle w:val="Heading2"/>
      </w:pPr>
      <w:r>
        <w:t>Article 15.15 - Laboratory and Test Recognition</w:t>
      </w:r>
    </w:p>
    <w:p>
      <w:pPr/>
      <w:r>
        <w:t>15.15.1 [COMPETENCE STANDARD] Laboratory recognition rests on competence for the assigned method and regulatory purpose rather than nationality. Relevant evidence may include accreditation, proficiency testing, validated methods, quality systems, government designation, performance history, or other reliable competence evidence. No single credential is universally mandatory where another combination reliably establishes competence. The importing Party publishes its principal recognition criteria.</w:t>
      </w:r>
    </w:p>
    <w:p>
      <w:pPr/>
      <w:r>
        <w:t>15.15.2 [METHOD RECOGNITION] Recognition may concern a laboratory, network, analytical method, testing function, or defined combination. Methodological difference does not defeat recognition where performance characteristics are fit for the regulatory purpose. The importing Party may require confirmation where a material reliability concern exists. The concern and confirmation method are recorded.</w:t>
      </w:r>
    </w:p>
    <w:p>
      <w:pPr/>
      <w:r>
        <w:t>15.15.3 [DISPUTED RESULTS] Where recognized laboratories produce materially conflicting results, the authorities use retesting, split samples, referee testing, method comparison, or another scientifically appropriate procedure where feasible. A competent referee result receives appropriate evidentiary weight and is not rejected solely because the laboratory is located in another Party. The authority explains how conflicting results are resolved. Necessary protective control may continue while a serious unresolved risk remains.</w:t>
      </w:r>
    </w:p>
    <w:p>
      <w:pPr/>
      <w:r>
        <w:t>15.15.4 [REFUSAL AND CURE] A laboratory-recognition refusal identifies the competence, method, quality, or evidentiary deficiency preventing recognition. A correctable deficiency receives a defined cure opportunity and may be verified through targeted evidence rather than full reapplication. The requesting Party may seek expedited review, with a written decision within ten business days. Verified correction restores or grants recognition to the demonstrated scope.</w:t>
      </w:r>
    </w:p>
    <w:p>
      <w:pPr/>
      <w:r>
        <w:t>15.15.5 [PUBLIC STATUS] Each Party maintains a reasonably current public or government-accessible list of recognized laboratories or recognized laboratory systems where publication is lawful. Status changes are recorded promptly and include sufficient non-confidential information to identify the affected scope. A stale list does not override a legally effective recognition or Restoration decision. Aggregate processing metrics may be reported through Chapter 17.</w:t>
      </w:r>
    </w:p>
    <w:p>
      <w:pPr>
        <w:pStyle w:val="Heading2"/>
      </w:pPr>
      <w:r>
        <w:t>Article 15.16 - Suspension, Modification, Withdrawal, and Reliance</w:t>
      </w:r>
    </w:p>
    <w:p>
      <w:pPr/>
      <w:r>
        <w:t>15.16.1 [EVIDENCE AND SCOPE] Recognition is suspended, modified, or withdrawn only on a factual and legal basis relevant to the recognized function. The action is limited to the affected scope unless evidence supports a broader consequence. The authority gives reasons and identifies the evidence, effective date, affected objects, and available cure or review route. Political change, administrative convenience, or an unrelated trade dispute does not independently justify adverse recognition action.</w:t>
      </w:r>
    </w:p>
    <w:p>
      <w:pPr/>
      <w:r>
        <w:t>15.16.2 [CORRECTION OPPORTUNITY] A correctable deficiency receives a reasonable correction opportunity where immediate adverse action is not necessary to achieve the importing Party's ALOP. Interim restrictions are limited to the minimum scope reasonably necessary while correction or review proceeds, and an institutionally distinct official reviews a materially burdensome interim restriction within ten business days. The interim restriction expires unless confirmed for a stated period on a recorded basis or independently supported by Chapter 14 emergency authority, and any successive confirmation requires materially updated evidence showing why continued restriction remains necessary rather than repetition of the prior rationale. A confirmation does not restart an expired recognition clock or convert temporary treatment into disguised permanent withdrawal.</w:t>
      </w:r>
    </w:p>
    <w:p>
      <w:pPr/>
      <w:r>
        <w:t>15.16.3 [GOVERNMENT-ERROR FIREWALL] Where the importing authority discovers that its own prior recognition decision rested on a legal, interpretive, or administrative error not caused by material applicant misrepresentation, correction is prospective to the extent health protection reasonably permits. Good-faith reliance before effective correction is not automatically treated as misconduct or retroactive non-compliance. The authority may take immediate prospective protective action where continued reliance would create an unacceptable SPS risk. Fraud, material concealment, or applicant-caused factual error receives treatment according to the applicable law and Compact function.</w:t>
      </w:r>
    </w:p>
    <w:p>
      <w:pPr/>
      <w:r>
        <w:t>15.16.4 [RELIANCE AND TRANSITION] A recognition change considers documented good-faith reliance, goods already shipped or produced, certification already issued, and investment reasonably undertaken in reliance on the recognition where health protection permits. The authority provides a reasonable transition period for non-emergency changes when a transition can preserve the ALOP. Reliance does not create a right to continue an unsafe practice. The final decision explains material transition treatment or the safety reason it cannot be provided.</w:t>
      </w:r>
    </w:p>
    <w:p>
      <w:pPr/>
      <w:r>
        <w:t>15.16.5 [ORDINARY REVIEW DOES NOT SUSPEND] Recognition remains effective during ordinary periodic review unless evidence supports a proportionate interim restriction under this Article or Chapter 14. Review itself is not a disguised reauthorization requirement. The authority does not require the exporting Party to cease recognized trade merely because an administrative review anniversary occurs. Material deterioration may support targeted action according to the evidence.</w:t>
      </w:r>
    </w:p>
    <w:p>
      <w:pPr>
        <w:pStyle w:val="Heading2"/>
      </w:pPr>
      <w:r>
        <w:t>Article 15.17 - Review, Cothrom Cure, and Automatic Restoration</w:t>
      </w:r>
    </w:p>
    <w:p>
      <w:pPr/>
      <w:r>
        <w:t>15.17.1 [REVIEWABLE ACTIONS] Recognition refusal, material delay, suspension, modification, withdrawal, failure to implement recognition, and disputed Restoration are reviewable under this Article. Review is conducted by an official or body institutionally distinct from the original decision-maker to the extent practicable within the Party's system. The reviewer examines legal, factual, procedural, proportionality, consistency, and discrimination issues within the recognition function. Review does not substitute a lower ALOP for that chosen under Chapter 14.</w:t>
      </w:r>
    </w:p>
    <w:p>
      <w:pPr/>
      <w:r>
        <w:t>15.17.2 [FORTY-FIVE-DAY REVIEW] A complete review request receives a reasoned decision within forty-five calendar days unless a shorter period applies to facility, laboratory, certificate, or Restoration review. Supplemental evidence does not reset the clock unless it materially changes the requested relief and the reviewer records the necessary additional period. The reviewer may affirm, modify, reverse, remand, direct recognition where the record compels it, or correct an effective date. Remand does not erase elapsed time or permit endless recycling of the same unresolved issue.</w:t>
      </w:r>
    </w:p>
    <w:p>
      <w:pPr/>
      <w:r>
        <w:t>15.17.3 [COTHROM RECOGNITION CURE] A correctable recognition deficiency enters Cothrom Cure where the receiving function permits correction without compromising immediate safety. The cure identifies the verified deficiency, corrective action, verification method, responsible authority, completion condition, proportionate interim consequence, and Restoration trigger. The cure is no broader or longer than necessary to address the demonstrated failure. It does not reopen unrelated accrued or recognized rights.</w:t>
      </w:r>
    </w:p>
    <w:p>
      <w:pPr/>
      <w:r>
        <w:t>15.17.4 [AUTOMATIC RESTORATION] Recognition restores automatically when the stated corrective condition is objectively satisfied and the required verification confirms correction, with the authority acknowledging completion evidence within five business days and performing or scheduling necessary verification within ten business days. Verification receives expedited treatment where delay materially affects perishable goods or an active commercial interruption, and government-caused verification delay does not postpone Restoration once the record objectively establishes correction unless a documented unresolved safety question materially requires further verification. Restoration does not require political approval, unrelated concessions, renegotiation, or a fresh application. The importing Party updates databases, public lists, operational flags, and instructions promptly so legal Restoration becomes commercially usable.</w:t>
      </w:r>
    </w:p>
    <w:p>
      <w:pPr/>
      <w:r>
        <w:t>15.17.5 [SAFETY FLOOR] Expiration of an administrative clock, interim restriction, review period, or cure period does not by itself establish that a demonstrated SPS risk has disappeared. Where a remaining risk independently supports protective action, the authority identifies and administers that action under Chapter 14 or another properly assigned function. The safety floor does not excuse failure to restore portions whose factual restriction basis has been cured. A new measure requires its own lawful basis and cannot merely relabel an expired restriction.</w:t>
      </w:r>
    </w:p>
    <w:p>
      <w:pPr>
        <w:pStyle w:val="Heading2"/>
      </w:pPr>
      <w:r>
        <w:t>Article 15.18 - Transparency, ALVS, Committee Coordination, and Final Interfaces</w:t>
      </w:r>
    </w:p>
    <w:p>
      <w:pPr/>
      <w:r>
        <w:t>15.18.1 [RECOGNITION REGISTRY] Each Party maintains a searchable recognition registry or equivalent public resource identifying recognized systems, facilities, laboratories, regions, zones, compartments, certification arrangements, material status changes, and responsible contact points where publication is lawful. The registry includes current status, effective date, and defined scope without exposing protected information. Historical status and version control are preserved sufficiently to reconstruct material changes. A stale registry does not override a legally effective decision.</w:t>
      </w:r>
    </w:p>
    <w:p>
      <w:pPr/>
      <w:r>
        <w:t>15.18.2 [PERFORMANCE TRANSPARENCY] Each Party publishes aggregate information on recognition processing times, missed clocks, pending matters, refusals, suspensions, and Restoration performance at reasonable intervals. Metrics are designed to expose silent queues, endless provisional status, recurring duplication, and recognition-by-name-but-not-in-practice. Aggregate performance information does not determine an individual recognition outcome. Chapter 17 may record and analyze these system-level patterns.</w:t>
      </w:r>
    </w:p>
    <w:p>
      <w:pPr/>
      <w:r>
        <w:t>15.18.3 [ALVS LIMITS] ALVS records recognition status, processing performance, implementation patterns, Restoration patterns, and material divergence within the authority assigned by Chapter 17. ALVS does not grant, refuse, suspend, modify, withdraw, or restore recognition in an individual matter. It does not convert aggregate statistics into proof that a particular facility, region, laboratory, or shipment is unsafe. Information retains provenance and function limitations when recorded or reused.</w:t>
      </w:r>
    </w:p>
    <w:p>
      <w:pPr/>
      <w:r>
        <w:t>15.18.4 [COMMITTEE COORDINATION] The Chapter 14 SPS Committee or another designated technical working group may coordinate recognition priorities, model forms, model certificates, data standards, technical assistance, capacity building, early warning, and dispute avoidance. Committee work supports but does not replace the decision clocks and rights in this Chapter. Meeting records identify material work items and responsible follow-up without disclosing protected information. A committee referral does not suspend an individual recognition clock unless this Chapter expressly provides otherwise.</w:t>
      </w:r>
    </w:p>
    <w:p>
      <w:pPr/>
      <w:r>
        <w:t>15.18.5 [FINAL SAFEGUARDS] Chapter 18 handles genuinely scientific disputes, Chapter 25 broader cure and Restoration, Chapter 26 remedies and dispute settlement, Chapter 22 transparency and data, Chapter 17 system-level verification, Chapter 14 substantive SPS disciplines, and Chapter 16 anti-substitution within their assigned functions. Recognition does not create a private right of action or direct effect in domestic law except where a Party expressly provides otherwise. Existing bilateral or multilateral recognition arrangements may continue where consistent with this Compact and may satisfy corresponding functions without needless duplication. No interpretation of this Chapter lowers a Party's ALOP, converts administrative recognition into political bargaining, or permits a recognized function to be nullified through unpublished practice.</w:t>
      </w:r>
    </w:p>
    <w:p>
      <w:pPr>
        <w:pStyle w:val="Heading1"/>
      </w:pPr>
      <w:r>
        <w:t>Chapter 16 - Agricultural Regulatory Friction and Anti-Substitution</w:t>
      </w:r>
    </w:p>
    <w:p>
      <w:pPr/>
      <w:r>
        <w:t xml:space="preserve">This Chapter establishes function-over-form, safe-harbor, non-discrimination, anti-substitution, regulatory-friction, delegated-gatekeeper, evidentiary, Cothrom Cure, Restoration, and ALVS-interface disciplines while preserving legitimate regulatory sovereignty.</w:t>
      </w:r>
    </w:p>
    <w:p>
      <w:pPr>
        <w:pStyle w:val="Heading2"/>
      </w:pPr>
      <w:r>
        <w:t>Article 16.1 - Purpose, Scope, and Regulatory Sovereignty</w:t>
      </w:r>
    </w:p>
    <w:p>
      <w:pPr/>
      <w:r>
        <w:t>16.1.1 [ANTI-SUBSTITUTION PURPOSE] This Chapter prevents laws, administrative practices, fees, approvals, inspections, channel rules, and other regulatory measures from performing the protective function of tariffs, tariff-rate quotas, or market-access restrictions displaced by this Compact. It does not prohibit regulation merely because regulation affects trade, imposes compliance cost, or changes commercial behavior. Each Party retains authority to pursue legitimate domestic policy objectives within the disciplines of this Chapter. The inquiry focuses on function, evidence, discrimination, and administration rather than hostility to regulation itself.</w:t>
      </w:r>
    </w:p>
    <w:p>
      <w:pPr/>
      <w:r>
        <w:t>16.1.2 [RESIDUAL SCOPE] This Chapter governs regulatory-friction and administrative-substitution issues not more specifically assigned to Chapters 4 through 15 or Chapters 17 through 26. A matter does not enter this Chapter merely because a regulatory measure affects agricultural trade. The function-over-form rules in this Chapter identify the proper Compact discipline where several labels or agencies are involved. A more specific Chapter controls its assigned substantive function.</w:t>
      </w:r>
    </w:p>
    <w:p>
      <w:pPr/>
      <w:r>
        <w:t>16.1.3 [LEGITIMATE OBJECTIVES] Legitimate Regulatory Objectives include protection of health, safety, the environment, consumers, animal welfare, market integrity, truthful labeling, lawful marketing, taxation, licensing, conservation, and other bona fide public-policy objectives within a Party's authority. The list is illustrative rather than exhaustive. A Party may adopt new objectives and new regulatory approaches after entry into force. Novelty alone creates no presumption of Administrative Substitution.</w:t>
      </w:r>
    </w:p>
    <w:p>
      <w:pPr/>
      <w:r>
        <w:t>16.1.4 [NO SUPER-REGULATOR] A reviewer under this Chapter does not substitute its preferred regulatory design for a Party's lawful policy choice. The existence of a cheaper, less burdensome, or differently designed alternative does not by itself establish inconsistency. Review may examine whether administration is reasonably related to the stated objective, materially discriminatory, or performing displaced border-protection work. Chapters 14 and 15 remain controlling where the dispute concerns a Party's chosen ALOP or SPS protection outcome.</w:t>
      </w:r>
    </w:p>
    <w:p>
      <w:pPr/>
      <w:r>
        <w:t>16.1.5 [LEVELS OF GOVERNMENT] Each Party applies this Chapter to measures of its central government and, consistent with its constitutional structure and Compact obligations, addresses covered measures administered by provincial, state, territorial, or relevant local authorities. Nothing in this Chapter reallocates domestic constitutional powers. A Party does not evade an applicable Compact obligation merely by assigning the regulated function to another level of government. Remedies respect the legal authority actually available to the responsible Party.</w:t>
      </w:r>
    </w:p>
    <w:p>
      <w:pPr>
        <w:pStyle w:val="Heading2"/>
      </w:pPr>
      <w:r>
        <w:t>Article 16.2 - Definitions and Interpretive Rules</w:t>
      </w:r>
    </w:p>
    <w:p>
      <w:pPr/>
      <w:r>
        <w:t>16.2.1 [REGULATORY MEASURE] Regulatory Measure means a law, regulation, rule, fee, charge, license, permit, registration, approval, inspection, testing requirement, labeling rule, packaging rule, certification requirement, distribution rule, channel restriction, administrative practice, or comparable governmental requirement affecting Covered Agricultural Goods. The term includes a measure administered through a Delegated Gatekeeper where Article 16.14 applies. It does not determine whether the measure is lawful or unlawful. Classification depends on the measure's function and administration.</w:t>
      </w:r>
    </w:p>
    <w:p>
      <w:pPr/>
      <w:r>
        <w:t>16.2.2 [ADMINISTRATIVE SUBSTITUTION] Administrative Substitution means design or administration that, on objective evidence, performs substantially the protective market-access function of a tariff, tariff-rate quota, quantitative restriction, or other border barrier displaced or constrained by this Compact without adequate explanation by a legitimate regulatory function. Increased cost or reduced trade alone does not establish Administrative Substitution. The analysis uses Article 16.3 and the structured test in Article 16.4. A finding identifies the substituted function with reasonable specificity.</w:t>
      </w:r>
    </w:p>
    <w:p>
      <w:pPr/>
      <w:r>
        <w:t>16.2.3 [MATERIAL REGULATORY BURDEN] Material Regulatory Burden means a regulatory cost, delay, denial pattern, processing burden, inspection intensity, documentation demand, channel limitation, commercial-usability loss, or other administrative effect significant enough to impair practical market access. Materiality is assessed in context rather than by a universal monetary threshold. Evidence may include duration, frequency, relative treatment, cumulative burden, perishability, market exclusion, and the scale of affected trade. Trivial inconvenience or ordinary compliance cost does not ordinarily satisfy the definition.</w:t>
      </w:r>
    </w:p>
    <w:p>
      <w:pPr/>
      <w:r>
        <w:t>16.2.4 [COMPARABLE DOMESTIC CIRCUMSTANCES] Comparable Domestic Circumstances are domestic goods, persons, facilities, transactions, or regulatory situations sufficiently similar in product, risk, use, function, compliance history, and other material regulatory characteristics to support meaningful comparison. Exact identity is not required where differences do not explain the challenged treatment. A comparator is not valid where a material regulatory distinction reasonably accounts for different administration. The determination states the material similarities and differences relied upon.</w:t>
      </w:r>
    </w:p>
    <w:p>
      <w:pPr/>
      <w:r>
        <w:t>16.2.5 [DELEGATED GATEKEEPER AND SUBSTITUTION INDICATOR] Delegated Gatekeeper means a state enterprise, marketing board, authorized association, certification body, monopoly intermediary, or other entity exercising governmental or government-delegated regulatory or market-access authority relevant to Covered Agricultural Goods. A Substitution Indicator is objective evidence tending to show that a measure performs displaced border-protection work, including unexplained foreign-only burden, timing linked to liberalization, abnormal fee escalation, persistent channel exclusion, or comparable evidence. Neither status as a Delegated Gatekeeper nor presence of one indicator establishes a violation by itself. Article 16.14 governs attribution and due process for delegated functions.</w:t>
      </w:r>
    </w:p>
    <w:p>
      <w:pPr>
        <w:pStyle w:val="Heading2"/>
      </w:pPr>
      <w:r>
        <w:t>Article 16.3 - Function Over Form and Cross-Chapter Classification</w:t>
      </w:r>
    </w:p>
    <w:p>
      <w:pPr/>
      <w:r>
        <w:t>16.3.1 [FUNCTION CONTROLS] The domestic title, agency location, accounting classification, or chosen label of a measure does not determine the applicable Compact discipline. A fee may function as a regulatory charge or a disguised border charge, and an inspection may function as legitimate risk control or discriminatory market exclusion. Classification follows the legal and practical function established by the evidence. A reviewer avoids double-counting the same conduct under multiple Chapters.</w:t>
      </w:r>
    </w:p>
    <w:p>
      <w:pPr/>
      <w:r>
        <w:t>16.3.2 [SPS ROUTING] A measure genuinely directed to sanitary or phytosanitary risk is assessed under Chapters 14 and 15 to the extent those Chapters govern its substantive protection function. Chapter 16 does not lower a Party's ALOP or replace the SPS evidentiary framework. A measure labeled SPS but functioning materially as an unrelated market-access restriction may be routed to the Chapter governing that actual function. Emergency SPS action remains available according to Chapter 14.</w:t>
      </w:r>
    </w:p>
    <w:p>
      <w:pPr/>
      <w:r>
        <w:t>16.3.3 [ORIGIN TARIFF AND FRAUD ROUTING] Rules of origin and individual origin administration remain assigned to Chapters 10 through 13, while tariff and tariff-rate-quota disciplines remain assigned to Chapters 4 through 9. Fraud, Circumvention, and deliberate evasion remain assigned to Chapter 11. Chapter 16 does not create a parallel origin verification or fraud investigation. Regulatory conduct that independently performs Administrative Substitution may be reviewed here only to that distinct function.</w:t>
      </w:r>
    </w:p>
    <w:p>
      <w:pPr/>
      <w:r>
        <w:t>16.3.4 [OTHER ROUTING] Chapter 19 governs assigned safeguard and emergency measures, Chapter 22 governs broader transparency and data functions, Chapter 25 governs broader cure and Restoration, and Chapter 26 governs remedies and dispute settlement. Chapter 17 monitors system-level implementation patterns without deciding individual Chapter 16 liability. Where two functions genuinely overlap, the reviewing authorities coordinate to preserve evidence provenance and avoid duplicate remedies. Referral to another Chapter does not erase accrued procedural rights.</w:t>
      </w:r>
    </w:p>
    <w:p>
      <w:pPr/>
      <w:r>
        <w:t>16.3.5 [ANTI-RELABELING] A Party does not avoid review by relabeling substantially the same measure, moving it among agencies, changing its accounting treatment, or delegating its administration while preserving its material function. A genuinely different regulatory measure receives its own analysis. Prior findings may inform but do not automatically determine the new measure. Function-over-form prevents evasion without freezing legitimate regulatory evolution.</w:t>
      </w:r>
    </w:p>
    <w:p>
      <w:pPr>
        <w:pStyle w:val="Heading2"/>
      </w:pPr>
      <w:r>
        <w:t>Article 16.4 - Structured Anti-Substitution Test</w:t>
      </w:r>
    </w:p>
    <w:p>
      <w:pPr/>
      <w:r>
        <w:t>16.4.1 [FIVE-PART TEST] A finding of Administrative Substitution considers whether the challenged measure imposes a Material Regulatory Burden on originating agricultural trade, whether that burden is adequately explained by a Legitimate Regulatory Objective and reasonably related administration, whether comparable domestic circumstances receive materially more favorable treatment or another strong Substitution Indicator exists, whether the burden performs substantially the protective function of a displaced border restriction, and whether the finding rests on objective evidence. The elements are assessed together in light of the measure's design and operation. Trade effect alone is insufficient. Objective evidence is required in every case.</w:t>
      </w:r>
    </w:p>
    <w:p>
      <w:pPr/>
      <w:r>
        <w:t>16.4.2 [MATERIAL BURDEN ELEMENT] The complaining Party identifies the challenged burden and demonstrates materiality through evidence appropriate to the measure. Evidence may concern cost, delay, denial rates, processing time, inspection frequency, documentation, channel access, commercial usability, or market exclusion. Ordinary regulatory inconvenience does not become material merely because imported goods encounter it. Cumulative burdens may be assessed together where they arise from a coordinated or functionally unified regulatory process.</w:t>
      </w:r>
    </w:p>
    <w:p>
      <w:pPr/>
      <w:r>
        <w:t>16.4.3 [REGULATORY EXPLANATION ELEMENT] The regulating Party may explain the challenged burden by identifying the Legitimate Regulatory Objective, the regulatory function served, and the reasonable relationship between the administration and that function. The explanation need not prove that the chosen design is the least trade restrictive or least expensive available approach. Material mismatch between the stated objective and actual administration may weaken the explanation. A bona fide and reasonably related non-discriminatory measure receives the safe harbor in Article 16.5.</w:t>
      </w:r>
    </w:p>
    <w:p>
      <w:pPr/>
      <w:r>
        <w:t>16.4.4 [COMPARATOR OR INDICATOR ELEMENT] Materially more favorable treatment of Comparable Domestic Circumstances may support an inference of substitution, but a valid comparator is not required where other strong objective Substitution Indicators exist. The regulating Party may identify material risk, compliance, service, geographic, or operational differences explaining different treatment. Formal equality does not cure de facto discriminatory administration. A reviewer states which comparator or indicators materially support the finding.</w:t>
      </w:r>
    </w:p>
    <w:p>
      <w:pPr/>
      <w:r>
        <w:t>16.4.5 [PROTECTIVE FUNCTION ELEMENT] The evidence demonstrates that the challenged burden performs substantially the market-access protective function of a tariff, tariff-rate quota, quantitative restriction, or comparable displaced barrier before Administrative Substitution is found. Temporal proximity to liberalization may be relevant but is not conclusive. The measure need not reproduce the precise economic incidence of the displaced barrier. A regulatory measure that merely affects trade while performing a reasonably related legitimate function does not satisfy this element.</w:t>
      </w:r>
    </w:p>
    <w:p>
      <w:pPr>
        <w:pStyle w:val="Heading2"/>
      </w:pPr>
      <w:r>
        <w:t>Article 16.5 - Legitimate Regulatory Measure Safe Harbor</w:t>
      </w:r>
    </w:p>
    <w:p>
      <w:pPr/>
      <w:r>
        <w:t>16.5.1 [SAFE HARBOR] A Regulatory Measure is not inconsistent with this Chapter where it pursues a bona fide Legitimate Regulatory Objective through administration substantively and reasonably connected to that objective and does not materially discriminate against originating agricultural trade in comparable circumstances. The safe harbor applies even where compliance imposes cost, delay, testing, labeling, licensing, or other commercial burden, but it does not apply where the Article 16.4 record objectively establishes that the challenged design or administration materially performs the protective function of a displaced border restriction beyond what the legitimate regulatory function reasonably explains. A complainant overcomes the safe harbor only through objective evidence satisfying the applicable Article 16.4 elements rather than by identifying a merely conceivable alternative or adverse trade effect. The safe harbor does not immunize fraud, arbitrary discrimination, or a measure assigned to another Chapter.</w:t>
      </w:r>
    </w:p>
    <w:p>
      <w:pPr/>
      <w:r>
        <w:t>16.5.2 [NO LEAST-RESTRICTIVE REQUIREMENT] A Party is not required to choose the least trade-restrictive regulatory option merely because another approach is available. A reviewer may consider alternatives only as evidence bearing on the claimed regulatory explanation, discrimination, or protective function. A plausible alternative does not itself establish that the chosen measure is unreasonable. Regulatory diversity among the Parties remains permissible.</w:t>
      </w:r>
    </w:p>
    <w:p>
      <w:pPr/>
      <w:r>
        <w:t>16.5.3 [COST AND TRADE EFFECT] Compliance cost, reduced imports, changed sourcing, or adverse trade effect alone does not establish inconsistency with this Chapter. The magnitude and distribution of those effects may contribute to a broader evidentiary record. A measure may have substantial trade effects and remain protected where its administration satisfies the safe harbor. Conversely, a modest burden may be inconsistent where objective evidence clearly establishes discriminatory substitution.</w:t>
      </w:r>
    </w:p>
    <w:p>
      <w:pPr/>
      <w:r>
        <w:t>16.5.4 [SUBNATIONAL SAFE HARBOR] A covered subnational measure may receive the same safe harbor where its objective and administration satisfy this Article. Constitutional allocation of authority does not convert legitimate subnational regulation into Administrative Substitution. A Party nevertheless addresses discriminatory or substitutive administration to the extent required by its Compact obligations and available constitutional means. Review distinguishes inability to command a particular domestic institution from absence of the Party's international obligation.</w:t>
      </w:r>
    </w:p>
    <w:p>
      <w:pPr/>
      <w:r>
        <w:t>16.5.5 [NEW REGULATION PRESERVED] A Party may create, amend, strengthen, replace, or modernize agricultural regulation after entry into force. A New Measure receives no adverse presumption merely because it follows tariff elimination or affects a newly liberalized product. Timing may become relevant only together with other objective evidence of protective substitution. This Chapter does not freeze the regulatory state existing on the Baseline Date.</w:t>
      </w:r>
    </w:p>
    <w:p>
      <w:pPr>
        <w:pStyle w:val="Heading2"/>
      </w:pPr>
      <w:r>
        <w:t>Article 16.6 - Non-Discrimination and Comparable Administration</w:t>
      </w:r>
    </w:p>
    <w:p>
      <w:pPr/>
      <w:r>
        <w:t>16.6.1 [MATERIALLY EQUAL ADMINISTRATION] Originating agricultural goods receive materially equal regulatory administration to Comparable Domestic Circumstances unless an objective regulatory distinction reasonably explains different treatment. Equality concerns practical administration as well as formal legal text. Different treatment may be justified by risk, compliance history, service provided, facility status, or another material regulatory factor. Nationality or import status alone does not justify a materially heavier burden.</w:t>
      </w:r>
    </w:p>
    <w:p>
      <w:pPr/>
      <w:r>
        <w:t>16.6.2 [DE FACTO DISCRIMINATION] A facially neutral measure may be inconsistent where its design or administration systematically imposes materially worse treatment on originating imported goods without adequate regulatory explanation. Statistical patterns may support review but do not automatically prove discrimination in an individual case. The analysis considers comparator quality, sample reliability, relevant risk differences, and administrative context. A Party may rebut an apparent pattern with objective evidence explaining the difference.</w:t>
      </w:r>
    </w:p>
    <w:p>
      <w:pPr/>
      <w:r>
        <w:t>16.6.3 [INSPECTION NATIONALITY] Inspection frequency, sampling intensity, documentation burden, or approval scrutiny is not increased solely because a covered good originates in another Party. Objective risk or compliance-history evidence may support increased scrutiny. Increased scrutiny is periodically reviewed and de-escalated when its factual basis no longer supports the higher level. Chapter 14 controls where the scrutiny is substantively SPS.</w:t>
      </w:r>
    </w:p>
    <w:p>
      <w:pPr/>
      <w:r>
        <w:t>16.6.4 [FOREIGN-ONLY REQUIREMENTS] A foreign-only documentation, registration, intermediary, or procedural requirement has an objective regulatory basis connected to a material difference in the imported transaction or regulatory function. The authority identifies that basis where the burden is materially greater than domestic administration. A requirement reasonably necessary to perform border-specific administration is not discriminatory merely because domestic transactions do not encounter a border. The requirement remains proportionate to its legitimate function.</w:t>
      </w:r>
    </w:p>
    <w:p>
      <w:pPr/>
      <w:r>
        <w:t>16.6.5 [COMPARATOR DISCIPLINE] A complainant relying on domestic comparison identifies the comparator and material circumstances supporting comparability. The regulating Party may identify material distinctions that explain different treatment. Review does not manufacture a comparator by ignoring relevant product, risk, use, compliance, geographic, or service differences. Absence of a valid comparator does not preclude other objective evidence under Article 16.4.</w:t>
      </w:r>
    </w:p>
    <w:p>
      <w:pPr>
        <w:pStyle w:val="Heading2"/>
      </w:pPr>
      <w:r>
        <w:t>Article 16.7 - Fees, Charges, Cost Recovery, and Revenue Measures</w:t>
      </w:r>
    </w:p>
    <w:p>
      <w:pPr/>
      <w:r>
        <w:t>16.7.1 [NO DISGUISED BORDER CHARGE] A fee or charge associated with agricultural import administration does not perform the protective function of a displaced tariff or equivalent border charge. Its amount, basis, payer class, timing, and use of revenue may be considered in the Article 16.4 analysis. A charge is not unlawful merely because it exceeds the marginal cost of processing one transaction. The inquiry considers whether the structure reasonably corresponds to a legitimate regulatory, administrative, or service function.</w:t>
      </w:r>
    </w:p>
    <w:p>
      <w:pPr/>
      <w:r>
        <w:t>16.7.2 [REASONABLE CORRESPONDENCE] Regulatory fees and cost-recovery charges maintain a reasonable relationship to the services, programs, oversight, infrastructure, or regulatory costs they lawfully support. A Party may use pooled or averaged cost allocation where administratively reasonable and non-discriminatory. Cross-subsidization of unrelated programs through a charge targeted at originating agricultural imports is a strong Substitution Indicator. Ordinary public-finance choices remain outside this Chapter unless the charge materially performs displaced border-protection work.</w:t>
      </w:r>
    </w:p>
    <w:p>
      <w:pPr/>
      <w:r>
        <w:t>16.7.3 [PUBLIC FEE BASIS] Each Party publishes material agricultural regulatory fee schedules, payer categories, calculation bases, and responsible authorities where practicable. A trader can identify the applicable charge before ordinary entry or application where the amount is reasonably knowable. Unpublished discretionary surcharges do not create enforceable import conditions. Confidential or security-sensitive costing information may be summarized without exposing protected details.</w:t>
      </w:r>
    </w:p>
    <w:p>
      <w:pPr/>
      <w:r>
        <w:t>16.7.4 [TARIFF-OFFSET TIMING] A material fee increase closely timed to tariff or TRQ liberalization may constitute a Substitution Indicator where its amount, design, or administration is not adequately explained by changed regulatory costs or services. Timing alone does not establish inconsistency. The regulating Party may demonstrate inflation, expanded service, changed risk, infrastructure investment, or another legitimate basis. The analysis remains evidence-based rather than motive-based.</w:t>
      </w:r>
    </w:p>
    <w:p>
      <w:pPr/>
      <w:r>
        <w:t>16.7.5 [FEE REVIEW AND CORRECTION] A Party periodically reviews material regulatory fees affecting covered agricultural trade and corrects demonstrably disproportionate or discriminatory administration. A person or Party may seek review of a charge alleged to function as Administrative Substitution. Correctable fee defects receive proportionate prospective correction and appropriate Restoration under Articles 16.17 and Chapter 25. A fee dispute does not suspend unrelated legitimate regulatory services.</w:t>
      </w:r>
    </w:p>
    <w:p>
      <w:pPr>
        <w:pStyle w:val="Heading2"/>
      </w:pPr>
      <w:r>
        <w:t>Article 16.8 - Licenses, Permits, Registrations, and Approvals</w:t>
      </w:r>
    </w:p>
    <w:p>
      <w:pPr/>
      <w:r>
        <w:t>16.8.1 [PUBLISHED CRITERIA] Criteria, minimum information, material conditions, fees, and responsible authorities for agricultural licenses, permits, registrations, and approvals are published or otherwise readily available. Unpublished preferences do not become substantive eligibility requirements. The authority may request information reasonably necessary to decide the application. Applicants are not required to guess undisclosed approval standards.</w:t>
      </w:r>
    </w:p>
    <w:p>
      <w:pPr/>
      <w:r>
        <w:t>16.8.2 [COMPLETENESS AND DECISION CLOCKS] An authority identifies material incompleteness within ten business days after receipt or the application is deemed complete for procedural purposes. A complete ordinary application receives a decision within thirty calendar days unless a published specialized clock reasonably applies. Genuine technical complexity may justify one reasoned extension not exceeding thirty calendar days, and the extension identifies the unresolved technical issue, work remaining, and fixed decision date. Staffing, internal routing, agency disagreement, relabeling, or transfer among officials does not reset or extend the clock.</w:t>
      </w:r>
    </w:p>
    <w:p>
      <w:pPr/>
      <w:r>
        <w:t>16.8.3 [DENIAL AND CURE] A denial identifies the legal basis, material facts, missing condition, and available review route. A correctable defect receives a reasonable cure opportunity where the regulatory objective can be protected during correction. Correction does not require a fresh application or restart completed review steps that remain relevant. A denial is not used to enforce an unpublished criterion.</w:t>
      </w:r>
    </w:p>
    <w:p>
      <w:pPr/>
      <w:r>
        <w:t>16.8.4 [RENEWAL CONTINUITY] A materially unchanged license, permit, registration, or approval is not subjected to complete reauthorization solely because an ordinary renewal date occurs. The authority may confirm continued eligibility, collect updated information, or examine material changes. Timely renewal filing preserves existing authorization during ordinary review where lawful and where continued operation does not create an unacceptable regulatory risk. A new substantive concern receives a recorded basis and proportionate treatment.</w:t>
      </w:r>
    </w:p>
    <w:p>
      <w:pPr/>
      <w:r>
        <w:t>16.8.5 [FALLBACK, QUEUE, AND MISSED-CLOCK DISCIPLINE] Electronic filing is available where the authority ordinarily uses electronic administration, with a reasonable fallback during government system failure, and a government-caused outage preserves filing time and running procedural clocks to the extent practicable. Frozen queues, silent holds, arbitrary nationality caps, and indefinite administrative non-decision do not substitute for a lawful approval criterion, while capacity limits remain permissible where objectively tied to genuine regulatory capacity and administered without disguised discrimination. If the applicable final-decision clock expires, expedited supervisory review produces a final decision or a reasoned operative interim determination within ten business days, and any interim determination identifies the single unresolved material issue or tightly related set of issues, work remaining, necessary evidence, and a fixed final-decision date no later than twenty additional calendar days without reopening settled matters absent materially new evidence. Expiration of the clock does not itself grant a license or establish substantive eligibility, and no further interim determination resets or extends the fixed final-decision date.</w:t>
      </w:r>
    </w:p>
    <w:p>
      <w:pPr>
        <w:pStyle w:val="Heading2"/>
      </w:pPr>
      <w:r>
        <w:t>Article 16.9 - Labeling, Packaging, Composition, and Marketing Rules</w:t>
      </w:r>
    </w:p>
    <w:p>
      <w:pPr/>
      <w:r>
        <w:t>16.9.1 [LEGITIMATE INFORMATION RULES] A Party may maintain labeling, packaging, composition, grading, marketing, and consumer-information requirements serving Legitimate Regulatory Objectives. Such requirements are objective and published with sufficient clarity for reasonable compliance. Different national approaches remain permissible. Chapter 16 does not create a general right to use the exporting Party's preferred label or composition standard.</w:t>
      </w:r>
    </w:p>
    <w:p>
      <w:pPr/>
      <w:r>
        <w:t>16.9.2 [CURABLE LABEL DEFECTS] A minor or curable labeling or packaging defect does not require destruction, re-export, or permanent exclusion where correction by relabeling, supplemental label, sticker, repackaging, or another lawful method can achieve the regulatory objective. The authority may require correction before sale or release. Cure does not apply where the defect reflects a substantive safety, fraud, or composition problem that cannot be corrected by documentation or packaging. The response corresponds to the actual defect.</w:t>
      </w:r>
    </w:p>
    <w:p>
      <w:pPr/>
      <w:r>
        <w:t>16.9.3 [TRANSITION FOR NEW RULES] A significant non-emergency labeling, packaging, or composition change receives a reasonable implementation period where practicable. The authority considers ordinary production, packaging, inventory, and distribution cycles without surrendering the regulatory objective. Emergency or legally compelled immediate action may use a shorter period with recorded reasons. Retroactive non-compliance is not imposed on conduct completed before the new requirement became applicable.</w:t>
      </w:r>
    </w:p>
    <w:p>
      <w:pPr/>
      <w:r>
        <w:t>16.9.4 [NO MICROSCOPIC BARRIER] A formatting, placement, terminology, unit, or other minor difference does not function as an import prohibition where the required consumer or regulatory information is reliably supplied and a lawful correction is reasonably available. The authority may insist on substantive mandatory information and legibility. Repeated or intentional non-compliance may justify stronger administration. Microscopic paperwork or presentation differences are assessed according to their actual regulatory significance.</w:t>
      </w:r>
    </w:p>
    <w:p>
      <w:pPr/>
      <w:r>
        <w:t>16.9.5 [MARKETING AND COMPOSITION ANTI-SUBSTITUTION] Marketing, composition, identity, or grading rules do not create an administrative quota, nationality preference, or other disguised substitute for displaced market-access restrictions. A bona fide product standard remains protected under Article 16.5. The complaining Party demonstrates the substituted protective function rather than relying solely on commercial inconvenience. Supply-management measures receive the specific treatment in Article 16.13.</w:t>
      </w:r>
    </w:p>
    <w:p>
      <w:pPr>
        <w:pStyle w:val="Heading2"/>
      </w:pPr>
      <w:r>
        <w:t>Article 16.10 - Distribution, Warehousing, Retail, and Channel Access</w:t>
      </w:r>
    </w:p>
    <w:p>
      <w:pPr/>
      <w:r>
        <w:t>16.10.1 [CHANNEL NON-DISCRIMINATION] Originating agricultural goods receive access to legally available distribution, warehousing, wholesale, retail, and comparable regulatory channels on materially non-discriminatory terms in Comparable Domestic Circumstances. A Party may regulate channels for legitimate licensing, consumer, safety, taxation, or market-integrity purposes. Different channel treatment requires an objective regulatory explanation. Formal availability is insufficient where administration makes the recognized channel commercially unusable without adequate reason.</w:t>
      </w:r>
    </w:p>
    <w:p>
      <w:pPr/>
      <w:r>
        <w:t>16.10.2 [DESIGNATED INTERMEDIARIES] A requirement to use a designated wholesaler, warehouse, broker, distributor, board, or intermediary is assessed under Article 16.4 where it materially burdens originating goods. A legitimate public or regulated distribution system is not prohibited merely because participation is mandatory. Discriminatory access, unexplained foreign-only markups, artificial delay, or exclusion may constitute Substitution Indicators. Article 16.14 applies where the intermediary is a Delegated Gatekeeper.</w:t>
      </w:r>
    </w:p>
    <w:p>
      <w:pPr/>
      <w:r>
        <w:t>16.10.3 [COMMERCIAL USABILITY] Channel access is evaluated for practical Commercial Usability as well as formal legal permission. Processing times, appointment availability, geographic reach, inventory handling, fees, and operational restrictions may be relevant. Commercial inconvenience alone does not establish inconsistency. A channel that exists only nominally while systematically preventing ordinary market participation may support an Administrative Substitution finding.</w:t>
      </w:r>
    </w:p>
    <w:p>
      <w:pPr/>
      <w:r>
        <w:t>16.10.4 [CAPACITY AND SCARCITY] A genuine capacity constraint may justify neutral scheduling, allocation, or temporary access limits. The responsible authority uses objective criteria and does not reserve practical capacity for domestic goods without adequate regulatory reason. Capacity constraints are reviewed as conditions change. Artificial scarcity created or maintained to reproduce displaced border protection is inconsistent with this Chapter.</w:t>
      </w:r>
    </w:p>
    <w:p>
      <w:pPr/>
      <w:r>
        <w:t>16.10.5 [SUBNATIONAL CHANNELS] Provincial, state, territorial, or relevant local channel regulation remains permissible within the Party's constitutional structure and this Compact. Review focuses on discriminatory or substitutive administration rather than institutional form. A Party does not receive an automatic exemption merely because a restrictive function is exercised subnationally. Implementation and remedy account for the constitutional means lawfully available.</w:t>
      </w:r>
    </w:p>
    <w:p>
      <w:pPr>
        <w:pStyle w:val="Heading2"/>
      </w:pPr>
      <w:r>
        <w:t>Article 16.11 - Inspection, Sampling, Testing, Documentation, and Data</w:t>
      </w:r>
    </w:p>
    <w:p>
      <w:pPr/>
      <w:r>
        <w:t>16.11.1 [RISK-BASED INSPECTION] Inspection, sampling, testing, and documentary scrutiny affecting originating agricultural goods are based on objective regulatory factors appropriate to the function being administered. Import status may be relevant where the border creates a genuine regulatory difference but does not by itself justify punitive or endlessly elevated scrutiny. Compliance history and demonstrated risk may justify targeted intensity. The authority periodically reviews enhanced treatment and de-escalates it when the factual basis no longer supports the higher burden.</w:t>
      </w:r>
    </w:p>
    <w:p>
      <w:pPr/>
      <w:r>
        <w:t>16.11.2 [NO DUPLICATE ASSURANCE] An authority avoids duplicate inspection, testing, certification, or documentation where Chapter 15 recognition or reliable government-held evidence already performs the same regulatory assurance function. Additional assurance requires a material risk, performance, scope, legal-function, or evidence reason. Different agencies do not multiply the same requirement merely by using different labels. Chapter 15 remains controlling for the legal effect of recognition.</w:t>
      </w:r>
    </w:p>
    <w:p>
      <w:pPr/>
      <w:r>
        <w:t>16.11.3 [SINGLE SUBMISSION AND REUSE] A regulated person or competent authority ordinarily submits the same material fact once for the same regulatory matter. Participating agencies reuse reliable government-held information where lawful and technically practicable. A request for resubmission identifies the access, reliability, currency, confidentiality, or legal reason preventing reuse. Internal data fragmentation does not become a trade barrier by default.</w:t>
      </w:r>
    </w:p>
    <w:p>
      <w:pPr/>
      <w:r>
        <w:t>16.11.4 [DATA MINIMIZATION AND CONFIDENTIALITY] Information demands are limited to data reasonably necessary for the assigned regulatory function. Confidential business information receives protection under applicable law and Compact confidentiality rules. Data exchange preserves source, date, purpose, limitations, and provenance where information moves between functions. A data system does not transform one fact into multiple independent adverse indicators.</w:t>
      </w:r>
    </w:p>
    <w:p>
      <w:pPr/>
      <w:r>
        <w:t>16.11.5 [PAPERWORK DETERRENCE] Documentation volume, format, frequency, or repetition is not designed or administered principally to deter originating agricultural trade. A high documentation burden may remain legitimate where the regulated risk or function reasonably requires it. The Article 16.4 analysis considers whether comparable domestic administration, existing data, or recognized assurance explains the difference. Paperwork alone does not prove substitution without objective evidence of the protective function.</w:t>
      </w:r>
    </w:p>
    <w:p>
      <w:pPr>
        <w:pStyle w:val="Heading2"/>
      </w:pPr>
      <w:r>
        <w:t>Article 16.12 - Standards, Testing, and Conformity Assessment Interface</w:t>
      </w:r>
    </w:p>
    <w:p>
      <w:pPr/>
      <w:r>
        <w:t>16.12.1 [CHAPTER 15 EFFECT] An equivalence, recognition, laboratory, certification, inspection, or testing determination under Chapter 15 receives practical effect in regulatory administration within its defined scope. A Party does not demand redundant domestic testing solely because its own institution prefers to repeat a function already recognized. Additional testing remains permissible on a risk-based, performance-based, or scope-specific justification. A Chapter 15 recognition is not enlarged beyond its stated function.</w:t>
      </w:r>
    </w:p>
    <w:p>
      <w:pPr/>
      <w:r>
        <w:t>16.12.2 [CONFORMITY NON-DISCRIMINATION] Conformity-assessment requirements are administered on materially non-discriminatory terms for Comparable Domestic Circumstances. Different procedures may apply where imported transactions create objectively different verification needs. Fees, queues, sample handling, laboratory access, and acceptance criteria may be examined as part of the comparison. Nationality alone does not establish a technical reason.</w:t>
      </w:r>
    </w:p>
    <w:p>
      <w:pPr/>
      <w:r>
        <w:t>16.12.3 [TECHNICAL REGULATION] A technical regulation affecting covered agricultural trade may pursue any Legitimate Regulatory Objective and may differ from another Party's approach. Chapter 16 addresses the measure only where objective evidence supports Administrative Substitution or discriminatory administration within this Chapter's scope. Genuine SPS technical requirements route to Chapters 14 and 15. The existence of trade impact or technical difference alone is insufficient.</w:t>
      </w:r>
    </w:p>
    <w:p>
      <w:pPr/>
      <w:r>
        <w:t>16.12.4 [TESTING FEES AND ACCESS] Testing fees and laboratory-access rules do not function as disguised tariffs or nationality-based barriers. Legitimate cost recovery, scarce specialist capacity, and complex methods may justify substantial charges or waiting periods. Allocation and pricing remain objectively administered. Persistent foreign-only burden without adequate explanation may constitute a Substitution Indicator.</w:t>
      </w:r>
    </w:p>
    <w:p>
      <w:pPr/>
      <w:r>
        <w:t>16.12.5 [MUTUAL AND FUNCTIONAL RECOGNITION] The Parties facilitate mutual or functional recognition of conformity-assessment results where consistent with legitimate regulatory objectives and Chapter 15. Facilitation does not compel recognition where competence or protection has not been demonstrated. Existing recognized arrangements are reused rather than duplicated. Regulatory cooperation remains voluntary except where an operative recognition obligation already applies.</w:t>
      </w:r>
    </w:p>
    <w:p>
      <w:pPr>
        <w:pStyle w:val="Heading2"/>
      </w:pPr>
      <w:r>
        <w:t>Article 16.13 - Quantity, Timing, Seasonal, Geographic, and Supply-Management Controls</w:t>
      </w:r>
    </w:p>
    <w:p>
      <w:pPr/>
      <w:r>
        <w:t>16.13.1 [NO ADMINISTRATIVE QUOTA] A Regulatory Measure does not establish an administrative quantity ceiling that performs the function of a tariff-rate quota or quantitative restriction displaced by Chapters 4 through 9. Genuine safety, conservation, capacity, emergency, or other legitimate limits remain permissible under the appropriate Chapter or Article 16.5. The analysis distinguishes regulatory capacity from artificial market-access scarcity. Quantity effects alone do not establish an administrative quota.</w:t>
      </w:r>
    </w:p>
    <w:p>
      <w:pPr/>
      <w:r>
        <w:t>16.13.2 [TIMING WINDOWS] Application windows, entry periods, seasonal administration, appointment systems, or other timing rules do not function as artificial quantity restrictions on originating agricultural goods. Legitimate seasonal, biological, conservation, operational, or regulatory timing requirements remain permissible. The authority uses objective criteria and commercially usable access where the regulatory function allows it. Artificially narrow windows designed or administered to recreate displaced access limits are inconsistent with this Chapter.</w:t>
      </w:r>
    </w:p>
    <w:p>
      <w:pPr/>
      <w:r>
        <w:t>16.13.3 [GEOGRAPHIC CONTROLS] Geographic restrictions serving SPS purposes route to Chapter 14 and regionalization machinery in Chapter 15. Other geographic controls may serve conservation, environmental, licensing, land-use, distribution, or comparable Legitimate Regulatory Objectives and receive Article 16.5 protection where applicable. A geographic rule does not receive immunity merely because it is framed territorially. Review identifies the actual function and evidence.</w:t>
      </w:r>
    </w:p>
    <w:p>
      <w:pPr/>
      <w:r>
        <w:t>16.13.4 [CONSERVATION AND SCARCITY] A bona fide conservation, resource-protection, or scarcity-management measure administered without disguised discrimination is not inconsistent merely because it limits production, sale, harvest, movement, or market participation. The Party may use objective quantity or seasonal controls necessary to the policy. Comparable domestic and imported circumstances are considered where relevant. Chapter 19 controls an assigned emergency or safeguard function.</w:t>
      </w:r>
    </w:p>
    <w:p>
      <w:pPr/>
      <w:r>
        <w:t>16.13.5 [SUPPLY-MANAGEMENT FIREWALL] Nothing in this Chapter independently abolishes, expands, contracts, or redefines a supply-management system, Managed-Access Field, Within-Access Quantity, Over-Access Duty, or transition schedule governed by Chapters 4 through 9. Chapter 16 applies only to a distinct regulatory practice that independently satisfies the anti-substitution test and is not authorized by those Chapters. A complainant does not use this Chapter to relitigate market-access balances expressly preserved elsewhere in the Compact. Function-over-form likewise prevents an unauthorized new border restriction from being immunized merely by association with supply management.</w:t>
      </w:r>
    </w:p>
    <w:p>
      <w:pPr>
        <w:pStyle w:val="Heading2"/>
      </w:pPr>
      <w:r>
        <w:t>Article 16.14 - State Enterprises, Marketing Boards, and Delegated Gatekeepers</w:t>
      </w:r>
    </w:p>
    <w:p>
      <w:pPr/>
      <w:r>
        <w:t>16.14.1 [ATTRIBUTED REGULATORY FUNCTION] A Party does not evade an applicable Chapter 16 obligation by assigning a covered regulatory or market-access gatekeeping function to a State Enterprise or Delegated Gatekeeper. Attribution under this Article concerns the delegated or governmental function rather than every independent commercial act of the entity. The complainant identifies the authority, mandate, direction, legal privilege, exclusive function, or other evidence connecting the challenged conduct to governmental gatekeeping. Purely private conduct without such connection is not attributed under this Article.</w:t>
      </w:r>
    </w:p>
    <w:p>
      <w:pPr/>
      <w:r>
        <w:t>16.14.2 [MARKETING BOARDS AND ASSOCIATIONS] A marketing board, authorized association, producer body, or comparable entity exercising delegated licensing, allocation, certification, channel, or approval authority administers that function consistently with applicable Chapter 16 disciplines. The entity may pursue lawful domestic mandates and does not become unlawful merely because membership or sector governance is domestic. A delegated function does not impose unexplained nationality discrimination or Administrative Substitution. The Party ensures an available route for review of materially adverse delegated decisions.</w:t>
      </w:r>
    </w:p>
    <w:p>
      <w:pPr/>
      <w:r>
        <w:t>16.14.3 [PRIVATE CERTIFICATION MONOPOLY] Where law or governmental practice makes a private certification or conformity body the exclusive or practically unavoidable gatekeeper for market access, its delegated function receives Article 16.14 scrutiny. The Party need not control the entity's unrelated private business. Fees, criteria, queues, conflicts of interest, and denial procedures relevant to the delegated gatekeeping function are administered transparently and without disguised discrimination. Reasonable accreditation and professional-independence requirements remain permissible.</w:t>
      </w:r>
    </w:p>
    <w:p>
      <w:pPr/>
      <w:r>
        <w:t>16.14.4 [DUE PROCESS] A person materially affected by a delegated gatekeeping decision receives notice of the applicable criteria, a reason for material denial or suspension, a reasonable cure opportunity for correctable defects, and access to review appropriate to the function. Confidential or protected information may be summarized consistently with law. Emergency protective action may precede ordinary process where the assigned function lawfully permits it. Delegation does not erase procedural protections that would apply if the government performed the same function directly.</w:t>
      </w:r>
    </w:p>
    <w:p>
      <w:pPr/>
      <w:r>
        <w:t>16.14.5 [TRANSPARENCY AND RECORDS] The Party identifies material Delegated Gatekeepers and the public or delegated functions they perform where such identification is reasonably practicable. Applicable criteria, fees, and contact or review routes are publicly accessible or otherwise available to affected persons. Records sufficient to review the delegated function are preserved according to applicable law. Chapter 22 governs broader transparency and data obligations.</w:t>
      </w:r>
    </w:p>
    <w:p>
      <w:pPr>
        <w:pStyle w:val="Heading2"/>
      </w:pPr>
      <w:r>
        <w:t>Article 16.15 - New Measures, Regulatory Change, and Implementation</w:t>
      </w:r>
    </w:p>
    <w:p>
      <w:pPr/>
      <w:r>
        <w:t>16.15.1 [ADVANCE PUBLICATION] A significant non-emergency Regulatory Measure affecting covered agricultural trade is published in advance where practicable with sufficient information to identify its principal requirements and intended implementation date. The Party may protect confidential, security-sensitive, or enforcement-sensitive information. Failure to publish information that could not reasonably be known before an emergency does not delay necessary action. Chapter 22 supplies broader transparency disciplines.</w:t>
      </w:r>
    </w:p>
    <w:p>
      <w:pPr/>
      <w:r>
        <w:t>16.15.2 [COMMENT AND TECHNICAL INPUT] A Party provides a reasonable opportunity for affected Parties or persons to submit material technical or administrative comments on a significant non-emergency Regulatory Change where its lawful process permits such input. Urgent action, binding legal deadlines, or another recorded circumstance may justify shortened or subsequent comment. The authority considers material information without surrendering its regulatory decision-making authority. Comment does not require negotiation of the underlying policy objective.</w:t>
      </w:r>
    </w:p>
    <w:p>
      <w:pPr/>
      <w:r>
        <w:t>16.15.3 [IMPLEMENTATION PERIOD] A significant new non-emergency requirement receives a reasonable implementation period where immediate application is not necessary to achieve the regulatory objective. The authority may consider production cycles, labels, software, contracts, inventory, certification, and administrative readiness. A shorter period is permitted where risk, law, fraud prevention, or another material reason requires it. The reason for materially abbreviated implementation is recorded.</w:t>
      </w:r>
    </w:p>
    <w:p>
      <w:pPr/>
      <w:r>
        <w:t>16.15.4 [NO RETROACTIVE SURPRISE] A New Measure or Regulatory Change does not impose adverse regulatory consequences on conduct completed before the measure became legally applicable unless domestic law expressly and lawfully requires retroactivity consistent with the Compact. Goods already shipped, produced, certified, or entered into binding regulatory processes receive reasonable transition consideration where the regulatory objective permits. No transition is required where continued treatment would create an unacceptable safety or other legitimate regulatory risk. The authority distinguishes prospective correction from retroactive punishment.</w:t>
      </w:r>
    </w:p>
    <w:p>
      <w:pPr/>
      <w:r>
        <w:t>16.15.5 [OFFICIAL TRAINING] Each Party provides reasonable implementation guidance or training to officials administering material Chapter 16 functions. Guidance addresses function-over-form, non-discrimination, safe-harbor boundaries, recognized assurance, delegated gatekeeping, and anti-fragmentation principles. Training does not create an unpublished substantive condition for traders. Systemic implementation failures may be recorded under Chapter 17.</w:t>
      </w:r>
    </w:p>
    <w:p>
      <w:pPr>
        <w:pStyle w:val="Heading2"/>
      </w:pPr>
      <w:r>
        <w:t>Article 16.16 - Evidence, Burden of Proof, and Regulatory-Friction Review</w:t>
      </w:r>
    </w:p>
    <w:p>
      <w:pPr/>
      <w:r>
        <w:t>16.16.1 [COMPLAINANT BURDEN] The complaining Party bears the burden of establishing the elements necessary for a Chapter 16 inconsistency. The burden is not reversed merely because a measure is new, costly, trade restrictive in effect, or adopted near a liberalization milestone. Once credible evidence identifies a material disparity or Substitution Indicator, the regulating Party may provide information explaining the regulatory function and relevant distinctions. Ordinary evidentiary principles under Chapter 26 remain applicable.</w:t>
      </w:r>
    </w:p>
    <w:p>
      <w:pPr/>
      <w:r>
        <w:t>16.16.2 [RELEVANT EVIDENCE] Relevant evidence may include measure design, comparator treatment, regulatory history, administrative records, processing times, denial rates, fee structures, inspection patterns, channel access, official explanations, commercial usability, and objective rationale. Evidence is assessed for reliability, provenance, representativeness, and connection to the challenged function. Motive evidence may inform but does not replace proof of design or operation. A finding rests on the measure as administered, not rhetoric alone.</w:t>
      </w:r>
    </w:p>
    <w:p>
      <w:pPr/>
      <w:r>
        <w:t>16.16.3 [PATTERN EVIDENCE] A recurring pattern may support review of systemic regulatory friction where individual events share a materially common function or cause. Pattern evidence does not automatically establish that every individual decision is inconsistent. The regulating Party may identify changes in risk, caseload, product mix, compliance, capacity, or other factors explaining the pattern. Chapter 17 may monitor the pattern without deciding individual liability.</w:t>
      </w:r>
    </w:p>
    <w:p>
      <w:pPr/>
      <w:r>
        <w:t>16.16.4 [REGULATORY FRICTION REGISTER] Chapter 17 may maintain a Regulatory Friction Register recording recurring processing delay, inspection intensity, denial patterns, fee anomalies, documentation growth, channel restrictions, delegated-gatekeeper issues, and other agreed system-level indicators. Entry in the Register triggers attention or review rather than a presumption of violation. Each entry preserves source, date, scope, provenance, and known limitations. Detailed schema may be established in Annex I without altering the substantive test in this Chapter.</w:t>
      </w:r>
    </w:p>
    <w:p>
      <w:pPr/>
      <w:r>
        <w:t>16.16.5 [REASONED REVIEW] A Chapter 16 review identifies the challenged measure, applicable function, evidence, comparator or Substitution Indicators, regulatory explanation, and conclusion under Article 16.4. The reviewer does not treat ALVS statistics or Register entries as automatic individual proof. Material contrary evidence is addressed in the reasons. A finding of inconsistency identifies the specific administrative defect capable of correction.</w:t>
      </w:r>
    </w:p>
    <w:p>
      <w:pPr>
        <w:pStyle w:val="Heading2"/>
      </w:pPr>
      <w:r>
        <w:t>Article 16.17 - Cothrom Cure, Proportional Correction, and Restoration</w:t>
      </w:r>
    </w:p>
    <w:p>
      <w:pPr/>
      <w:r>
        <w:t>16.17.1 [TARGETED CURE] A correctable Chapter 16 inconsistency enters Cothrom Cure focused on the specific fee, queue, inspection practice, approval rule, channel restriction, documentation demand, delegated function, or other verified defect. The cure identifies corrective action, verification, responsible authority, measurable completion, proportionate interim treatment, and the Restoration trigger. The underlying legitimate regulatory objective remains intact. Cure does not require dismantling an entire regulatory regime where narrower correction resolves the inconsistency.</w:t>
      </w:r>
    </w:p>
    <w:p>
      <w:pPr/>
      <w:r>
        <w:t>16.17.2 [PROPORTIONAL CORRECTION] Correction corresponds to the verified scope and commercial effect of the inconsistency. A defective licensing procedure is corrected as a licensing procedure rather than by suspending unrelated health, environmental, taxation, or market-integrity rules. Broader correction requires evidence of a broader common defect. Cross-sector retaliation is not the default Chapter 16 response.</w:t>
      </w:r>
    </w:p>
    <w:p>
      <w:pPr/>
      <w:r>
        <w:t>16.17.3 [AUTOMATIC RESTORATION] Affected treatment restores automatically when the stated corrective condition is objectively satisfied and required verification confirms correction, with the responsible authority acknowledging completion evidence within five business days and performing or scheduling necessary verification within ten business days. Verification receives expedited treatment where delay materially affects perishable goods or an active commercial interruption, and government-caused verification delay does not postpone Restoration once the record objectively establishes correction unless a documented unresolved regulatory issue materially requires further verification. Restoration does not require unrelated concessions, political approval, or renegotiation. The responsible authority promptly updates operational instructions, databases, fee schedules, approval systems, or gatekeeper directions necessary to make Restoration commercially usable.</w:t>
      </w:r>
    </w:p>
    <w:p>
      <w:pPr/>
      <w:r>
        <w:t>16.17.4 [RELIANCE AND TRANSITION] Where a Chapter 16 inconsistency arose from government or delegated administration rather than trader misconduct, correction considers good-faith reliance and commercially reasonable transition where the regulatory objective permits. A trader does not gain a right to continue unsafe, fraudulent, or independently unlawful conduct. Prospective correction is preferred where retroactive punishment would penalize reasonable reliance on official administration. Chapter 25 governs broader Restoration functions assigned to it.</w:t>
      </w:r>
    </w:p>
    <w:p>
      <w:pPr/>
      <w:r>
        <w:t>16.17.5 [NO WHOLE-REGIME SNAPBACK] A Chapter 16 inconsistency does not by itself reactivate a displaced tariff, TRQ, or unrelated market-access restriction. Remedies remain targeted, proportionate, and connected to the verified failure under Chapters 25 and 26. Completed Zero-Line Status and unrelated accrued rights remain protected unless another provision expressly provides otherwise. The purpose of cure is compliant administration rather than reconstruction of the barrier this Chapter exists to prevent.</w:t>
      </w:r>
    </w:p>
    <w:p>
      <w:pPr>
        <w:pStyle w:val="Heading2"/>
      </w:pPr>
      <w:r>
        <w:t>Article 16.18 - ALVS Monitoring, Metrics, and Systemic Friction</w:t>
      </w:r>
    </w:p>
    <w:p>
      <w:pPr/>
      <w:r>
        <w:t>16.18.1 [SYSTEM-LEVEL ROLE] ALVS monitors system-level implementation patterns relevant to Chapter 16, including processing times, inspection intensity, denial rates, fee patterns, documentation burdens, channel access, delegated-gatekeeper performance, and Restoration timing. It does not decide whether an individual Regulatory Measure violates Article 16.4. Monitoring identifies recurring administrative friction requiring attention. Chapter 17 defines ALVS governance and verification methods.</w:t>
      </w:r>
    </w:p>
    <w:p>
      <w:pPr/>
      <w:r>
        <w:t>16.18.2 [THRESHOLDS TRIGGER REVIEW] An ALVS threshold, anomaly, or statistical pattern triggers inquiry, consultation, or review rather than an automatic finding of inconsistency. Thresholds are transparent enough to permit interpretation of what the metric measures. A Party may explain legitimate changes in risk, caseload, enforcement, capacity, or regulation affecting the data. Statistical significance and commercial significance are not assumed to be identical.</w:t>
      </w:r>
    </w:p>
    <w:p>
      <w:pPr/>
      <w:r>
        <w:t>16.18.3 [PROVENANCE] ALVS records preserve source, collection period, methodology, scope, known limitations, and material transformations of Chapter 16 data. Aggregation does not erase provenance. A datum collected for another function is not multiplied into several independent adverse indicators merely because it appears in multiple dashboards. Confidential information remains protected.</w:t>
      </w:r>
    </w:p>
    <w:p>
      <w:pPr/>
      <w:r>
        <w:t>16.18.4 [NO INDIVIDUAL EVIDENCE LAUNDERING] Aggregate ALVS data does not establish that a particular shipment, trader, facility, permit, fee, or inspection decision is inconsistent. Individual review uses evidence properly connected to that matter. System-level patterns may justify closer examination without reversing the complainant's burden under Article 16.16. ALVS does not become a parallel regulator or adjudicator.</w:t>
      </w:r>
    </w:p>
    <w:p>
      <w:pPr/>
      <w:r>
        <w:t>16.18.5 [CORRECTIVE MONITORING] ALVS may record whether a systemic Chapter 16 correction is implemented and whether processing, fees, inspections, or other affected metrics return to the expected compliant range. Monitoring does not delay automatic Restoration when the operative cure condition is already satisfied. A continuing anomaly may trigger a new review on its own evidence. Chapter 25 remains responsible for broader cure and Restoration functions assigned to it.</w:t>
      </w:r>
    </w:p>
    <w:p>
      <w:pPr>
        <w:pStyle w:val="Heading2"/>
      </w:pPr>
      <w:r>
        <w:t>Article 16.19 - Consultation, Cross-Chapter Interfaces, and Final Safeguards</w:t>
      </w:r>
    </w:p>
    <w:p>
      <w:pPr/>
      <w:r>
        <w:t>16.19.1 [RAPID REGULATORY CONSULTATION] A Party may request technical consultation concerning a Regulatory Measure that appears to create material agricultural regulatory friction. The request identifies the measure, affected trade, principal concern, and available evidence without requiring a completed Chapter 26 pleading. Competent officials begin substantive engagement within ten business days where practicable. Consultation does not suspend a legitimate measure or prevent access to another Chapter where its requirements are satisfied.</w:t>
      </w:r>
    </w:p>
    <w:p>
      <w:pPr/>
      <w:r>
        <w:t>16.19.2 [ANNEX I ROUTING SOCKET] Annex I may contain a cross-chapter routing table and Regulatory Friction Register schema consistent with this Chapter. The Annex may identify responsible Chapters, data fields, contact points, and administrative routing without altering substantive rights, burdens, or remedies. Until the Annex is populated, Articles 16.3 and 16.19 govern routing directly. Absence or incompleteness of the Annex does not create a jurisdictional gap.</w:t>
      </w:r>
    </w:p>
    <w:p>
      <w:pPr/>
      <w:r>
        <w:t>16.19.3 [NO DUPLICATE REMEDY] The same governmental act is not subjected to duplicative remedies merely because it implicates more than one Compact function. Authorities identify the primary inconsistency and coordinate any additional function necessary to achieve complete correction. Evidence retains provenance across the handoff. A Party may obtain relief for distinct harms only to the extent each has an independent legal basis.</w:t>
      </w:r>
    </w:p>
    <w:p>
      <w:pPr/>
      <w:r>
        <w:t>16.19.4 [NO PRIVATE RIGHT OR IMPLIED DEREGULATION] This Chapter creates no private right of action or direct effect in domestic law except where a Party expressly provides otherwise. It does not imply deregulation, privatization, abolition of marketing institutions, or harmonization of domestic agricultural policy. Legitimate regulatory diversity remains protected. The Chapter's operative target is discriminatory or functionally substitutive administration established on objective evidence.</w:t>
      </w:r>
    </w:p>
    <w:p>
      <w:pPr/>
      <w:r>
        <w:t>16.19.5 [FINAL FIREWALL] Nothing in this Chapter lowers a Party's ALOP, reopens market-access balances expressly preserved elsewhere, converts trade effect alone into liability, or permits an eliminated border restriction to return under a regulatory label. Chapters 14 and 15 control genuine SPS protection and recognition, Chapters 4 through 9 control assigned tariff and access architecture, and Chapters 17, 25, and 26 control their respective monitoring, cure, and remedy functions. Function-over-form applies in both directions so legitimate regulation is not mislabeled protectionism and disguised protection is not immunized as regulation. Interpretation favors administrable correction of verified friction while preserving lawful regulatory sovereignty.</w:t>
      </w:r>
    </w:p>
    <w:p>
      <w:pPr>
        <w:pStyle w:val="Heading1"/>
      </w:pPr>
      <w:r>
        <w:t>Chapter 17 - Agricultural Liberalization Verification System (ALVS)</w:t>
      </w:r>
    </w:p>
    <w:p>
      <w:pPr/>
      <w:r>
        <w:t xml:space="preserve">This Chapter establishes ALVS as a system-level implementation measurement, verification, registry, challenge, provenance, correction, routing, and transparency architecture while denying it regulatory, adjudicative, remedial, and individual enforcement authority.</w:t>
      </w:r>
    </w:p>
    <w:p>
      <w:pPr>
        <w:pStyle w:val="Heading2"/>
      </w:pPr>
      <w:r>
        <w:t>Article 17.1 - Establishment, Purpose, and Legal Character</w:t>
      </w:r>
    </w:p>
    <w:p>
      <w:pPr/>
      <w:r>
        <w:t>17.1.1 [INSTRUMENT PANEL NOT DRIVER] The Parties establish the Agricultural Liberalization Verification System as the Compact's system-level implementation measurement, verification, and routing architecture. ALVS observes, records, tests data quality, verifies implementation patterns within its assigned competence, and routes issues to the Chapter responsible for substantive action. ALVS does not regulate, adjudicate, punish, grant relief, or administer individual market-access decisions. Its purpose is trustworthy measurement of implementation rather than creation of a supranational regulator.</w:t>
      </w:r>
    </w:p>
    <w:p>
      <w:pPr/>
      <w:r>
        <w:t>17.1.2 [ADMINISTRATIVE CHARACTER] ALVS operates as an administrative architecture under this Compact and not as an independent treaty body possessing implied powers. Its records and procedures have only the legal effects expressly assigned by this Compact. Possession of information, maintenance of a metric, or receipt of a referral does not enlarge ALVS authority. Each Party retains its domestic regulatory and administrative authority subject to the Compact.</w:t>
      </w:r>
    </w:p>
    <w:p>
      <w:pPr/>
      <w:r>
        <w:t>17.1.3 [THREE-STATE SEPARATION] An Indicator records that an unusual or potentially material implementation condition warrants attention, a Verified Implementation Finding records objectively measurable implementation facts or system-level conditions established within ALVS competence, and a Legal Finding determines whether those facts constitute breach of an obligation or otherwise produce legal liability. ALVS may create Indicators and may participate in Verified Implementation Findings according to this Chapter, but where resolution depends on contested interpretation of a substantive obligation ALVS records the measurable facts and routes the interpretive question to the controlling Chapter. ALVS does not issue Legal Findings or convert a factual implementation record into a legal conclusion through terminology, scoring, or characterization. Legal Findings arise only through the substantive and dispute procedures assigned elsewhere in the Compact.</w:t>
      </w:r>
    </w:p>
    <w:p>
      <w:pPr/>
      <w:r>
        <w:t>17.1.4 [PARTY EQUALITY] ALVS applies common methodological principles, data-quality requirements, verification safeguards, and challenge rights equally to each Party. Different metrics or thresholds may be used where objectively justified by the measured function, dataset, product, or administrative system. Methodological differences are documented and do not operate as covert preferential treatment. No Party receives heightened scrutiny merely because of nationality or political disagreement.</w:t>
      </w:r>
    </w:p>
    <w:p>
      <w:pPr/>
      <w:r>
        <w:t>17.1.5 [NO PRIVATE RIGHT] This Chapter creates no private cause of action, direct effect, damages entitlement, or independent right to compel an ALVS determination except where a Party expressly provides otherwise in domestic law. Stakeholders may provide information through procedures established by this Chapter without becoming parties to intergovernmental verification. ALVS records do not replace domestic review rights. Chapter 26 governs legal dispute consequences assigned to it.</w:t>
      </w:r>
    </w:p>
    <w:p>
      <w:pPr>
        <w:pStyle w:val="Heading2"/>
      </w:pPr>
      <w:r>
        <w:t>Article 17.2 - Closed Jurisdiction and Institutional Firewalls</w:t>
      </w:r>
    </w:p>
    <w:p>
      <w:pPr/>
      <w:r>
        <w:t>17.2.1 [CLOSED DOMAINS] ALVS monitors only the verification domains expressly identified in Article 17.4 or another provision that expressly assigns an ALVS function. An unlisted subject does not enter ALVS jurisdiction merely because relevant data exists. Expansion into a new substantive domain requires an amendment or technical amendment authorized by Chapter 29 and consistent with this Chapter's jurisdictional limits. Administrative practice alone does not create a new ALVS mandate.</w:t>
      </w:r>
    </w:p>
    <w:p>
      <w:pPr/>
      <w:r>
        <w:t>17.2.2 [NO IMPLIED AUTHORITY] Recording, aggregating, displaying, or analyzing a metric does not authorize ALVS to regulate the underlying activity. ALVS does not infer enforcement, licensing, customs, SPS, origin, recognition, or remedial authority from analytical usefulness. A referral into ALVS likewise conveys only the function expressly assigned. The receiving substantive Chapter retains its own legal tests and procedures.</w:t>
      </w:r>
    </w:p>
    <w:p>
      <w:pPr/>
      <w:r>
        <w:t>17.2.3 [INDIVIDUAL DECISION FIREWALL] ALVS does not determine individual origin, tariff classification, SPS safety, equivalence, recognition, facility status, licensing eligibility, fraud, Circumvention, trader liability, shipment admissibility, or individual entitlement. It does not detain goods, deny permits, suspend preferences, impose penalties, or restore individual treatment. Individual authorities may use lawfully available evidence according to their own Chapter without treating an ALVS system-level conclusion as automatic individual proof. Chapters 10 through 16 remain controlling for their assigned individual functions.</w:t>
      </w:r>
    </w:p>
    <w:p>
      <w:pPr/>
      <w:r>
        <w:t>17.2.4 [CHAPTER 18 FIREWALL] ALVS does not appoint itself technical or scientific expert where resolution requires expertise outside its assigned methodological competence. A disputed methodology, data-integrity question, or specialized technical issue may be referred to Chapter 18 according to Article 17.15. Referral does not transfer regulatory authority to ALVS. Chapter 18's outcome returns with provenance and is integrated only for the function actually reviewed.</w:t>
      </w:r>
    </w:p>
    <w:p>
      <w:pPr/>
      <w:r>
        <w:t>17.2.5 [CHAPTERS 25 AND 26 FIREWALL] ALVS identifies and documents verified implementation problems but does not impose cure, Restoration, retaliation, compensation, or legal remedy. Chapter 25 administers broader Cothrom Cure and Restoration functions assigned to it, and Chapter 26 governs legal disputes and remedies. An ALVS finding does not substitute for either Chapter's procedural requirements. ALVS may track implementation after referral without controlling the resulting decision.</w:t>
      </w:r>
    </w:p>
    <w:p>
      <w:pPr>
        <w:pStyle w:val="Heading2"/>
      </w:pPr>
      <w:r>
        <w:t>Article 17.3 - System-Level Verification Standard</w:t>
      </w:r>
    </w:p>
    <w:p>
      <w:pPr/>
      <w:r>
        <w:t>17.3.1 [SYSTEM LEVEL] System-level verification examines patterns, distributions, trends, common events, aggregate performance, and recurring implementation behavior across a materially meaningful population or function. It does not convert an individual anomaly into a systemic conclusion merely because the event is serious or visible. A single common systemic event affecting a materially significant population may constitute system-level evidence where its common cause and scope are objectively established. The record states the population, function, period, and materiality being assessed.</w:t>
      </w:r>
    </w:p>
    <w:p>
      <w:pPr/>
      <w:r>
        <w:t>17.3.2 [NO INDIVIDUAL ADVERSE TREATMENT] ALVS data or an ALVS Indicator alone does not support individual adverse treatment. A customs, SPS, licensing, recognition, or other authority seeking individual action applies the evidentiary and procedural requirements of its controlling Chapter. System-level information may justify lawful examination of a pattern without reversing an individual's burden or rights. No trader receives guilt by association from another trader's conduct.</w:t>
      </w:r>
    </w:p>
    <w:p>
      <w:pPr/>
      <w:r>
        <w:t>17.3.3 [INDICATOR NOT VIOLATION] A threshold exceedance, anomaly, adverse trend, or other Indicator initiates inquiry and explanation rather than guilt, violation, or remedy. The affected Party receives an opportunity to identify relevant changes in risk, caseload, product mix, seasonality, enforcement, capacity, law, or data collection. An explained Indicator is recorded as resolved or otherwise appropriately classified. Unexplained material evidence may proceed to verification under this Chapter.</w:t>
      </w:r>
    </w:p>
    <w:p>
      <w:pPr/>
      <w:r>
        <w:t>17.3.4 [MATERIAL PERFORMANCE] A Verified Implementation Finding requires evidence that the identified pattern materially affects implementation of an assigned Compact function. Statistical significance alone does not establish commercial, administrative, or legal materiality. Commercial significance alone does not establish causation or inconsistency. The verification record explains the material implementation effect relied upon.</w:t>
      </w:r>
    </w:p>
    <w:p>
      <w:pPr/>
      <w:r>
        <w:t>17.3.5 [NO CASCADING PRESUMPTIONS] A problem involving one trader, product, region, authority, or Party does not create an adverse presumption concerning unrelated traders, products, regions, authorities, or Parties. Expansion of scope requires independent evidence connecting the broader population to the identified cause or pattern. Correlation may justify inquiry but does not by itself establish causation. ALVS states the evidentiary bridge supporting any broader scope.</w:t>
      </w:r>
    </w:p>
    <w:p>
      <w:pPr>
        <w:pStyle w:val="Heading2"/>
      </w:pPr>
      <w:r>
        <w:t>Article 17.4 - Verification Domains</w:t>
      </w:r>
    </w:p>
    <w:p>
      <w:pPr/>
      <w:r>
        <w:t>17.4.1 [MARKET ACCESS DOMAIN] ALVS monitors scheduled tariff implementation, TRQ displacement, Vesting Tranches, Managed-Access Field contraction, Within-Access Quantity administration, and Zero-Line Registry integrity to the extent assigned by Chapters 4 through 9. Monitoring verifies whether scheduled implementation events occur and remain operationally reflected in applicable records. ALVS does not independently alter tariff treatment or access schedules. Any substantive correction routes to the responsible Chapter and Chapter 25 where applicable.</w:t>
      </w:r>
    </w:p>
    <w:p>
      <w:pPr/>
      <w:r>
        <w:t>17.4.2 [ORIGIN AND CUSTOMS DOMAIN] ALVS monitors system-level origin and customs administration performance under Chapters 10 through 13, including processing times, verification duration, correction patterns, information-request burden, and implementation of final administrative outcomes. It does not determine origin or individual verification results. Aggregate denial or correction rates are interpreted with denominator, selection, and risk-targeting information. Chapter 12 remains responsible for individual verification.</w:t>
      </w:r>
    </w:p>
    <w:p>
      <w:pPr/>
      <w:r>
        <w:t>17.4.3 [SPS AND RECOGNITION DOMAIN] ALVS monitors system-level SPS administration and Chapter 15 recognition performance, including inspection frequency, certification processing, emergency duration, recognition clocks, suspension and Restoration patterns, and implementation of recognition decisions. It does not determine whether a shipment is safe or whether equivalence is substantively demonstrated. Chapters 14 and 15 control those decisions. Risk-targeted populations are identified so their outcomes are not misrepresented as general prevalence.</w:t>
      </w:r>
    </w:p>
    <w:p>
      <w:pPr/>
      <w:r>
        <w:t>17.4.4 [REGULATORY FRICTION DOMAIN] ALVS monitors Chapter 16 system-level friction including fees, approval queues, documentation burden, inspection intensity, channel access, Delegated Gatekeeper performance, and Restoration timing. It may maintain the Regulatory Friction Register established by Article 17.16. Register entry or an adverse metric triggers attention rather than automatic liability. Chapter 16 supplies the substantive anti-substitution test.</w:t>
      </w:r>
    </w:p>
    <w:p>
      <w:pPr/>
      <w:r>
        <w:t>17.4.5 [CURE TRANSPARENCY AND INSTITUTIONAL DOMAIN] ALVS may monitor expressly assigned Chapter 19 emergency duration and review, Chapter 22 transparency and registry currency, Chapter 25 cure and Restoration performance, consultation timing, and implementation of institutional decisions. Monitoring remains factual and system-level. ALVS does not decide whether an emergency remains legally justified or whether a cure legally satisfies an obligation unless another provision expressly assigns a narrow verification function. The responsible Chapter retains substantive authority.</w:t>
      </w:r>
    </w:p>
    <w:p>
      <w:pPr>
        <w:pStyle w:val="Heading2"/>
      </w:pPr>
      <w:r>
        <w:t>Article 17.5 - Institutional Minimalism and Coordination</w:t>
      </w:r>
    </w:p>
    <w:p>
      <w:pPr/>
      <w:r>
        <w:t>17.5.1 [EXISTING SYSTEMS FIRST] ALVS uses existing customs, agricultural, SPS, statistical, trade-administration, and registry systems where reliable and reasonably interoperable. A new reporting stream is created only where existing information cannot reasonably satisfy an assigned verification need. Duplicate collection of the same material fact is avoided. Institutional simplicity is treated as an implementation objective rather than an excuse for poor data.</w:t>
      </w:r>
    </w:p>
    <w:p>
      <w:pPr/>
      <w:r>
        <w:t>17.5.2 [NATIONAL CONTACT POINT] Each Party designates one national ALVS coordination contact capable of receiving requests, routing issues, coordinating data, and maintaining the Party's official ALVS record. The contact may rely on specialized agencies without creating parallel external procedural tracks. A change of contact does not restart a verification matter. Current contact information is maintained in the Implementation Status Registry or another agreed directory.</w:t>
      </w:r>
    </w:p>
    <w:p>
      <w:pPr/>
      <w:r>
        <w:t>17.5.3 [LEAD AUTHORITY CONTINUITY] Each verification matter has one identified lead authority responsible for requests, record continuity, official responses, and procedural status. Internal reassignment, restructuring, or relabeling does not reset completeness, challenge, or verification clocks. Specialized agencies may contribute within their competence. The lead preserves one coherent matter record.</w:t>
      </w:r>
    </w:p>
    <w:p>
      <w:pPr/>
      <w:r>
        <w:t>17.5.4 [FUNCTIONAL INDEPENDENCE] An official responsible for a material ALVS verification conclusion is institutionally distinct, to the extent practicable, from an official deciding individual enforcement consequences arising from the same underlying administration. Functional separation protects against converting system monitoring into automatic individual enforcement. Ordinary interagency expertise and information sharing remain permitted with provenance. Domestic institutional structure determines how separation is implemented.</w:t>
      </w:r>
    </w:p>
    <w:p>
      <w:pPr/>
      <w:r>
        <w:t>17.5.5 [NECESSITY REVIEW] ALVS reporting requirements, thresholds, recurring products, and institutional functions receive periodic necessity review at least once every three years unless Chapter 29 establishes a shorter cycle. The review identifies obsolete, duplicative, low-value, or disproportionately burdensome requirements. Removal or simplification does not erase necessary historical audit records. A new permanent reporting obligation identifies its verification purpose.</w:t>
      </w:r>
    </w:p>
    <w:p>
      <w:pPr>
        <w:pStyle w:val="Heading2"/>
      </w:pPr>
      <w:r>
        <w:t>Article 17.6 - Minimum Dataset and Common Definitions</w:t>
      </w:r>
    </w:p>
    <w:p>
      <w:pPr/>
      <w:r>
        <w:t>17.6.1 [MINIMUM DATASET] The Parties maintain a common minimum dataset for each active verification domain identifying required fields, reporting frequency, responsible source, unit of measure, and applicable confidentiality treatment. The dataset is limited to information reasonably necessary for system-level verification. Domain-specific additions identify their purpose and do not silently become permanent requirements. Technical specifications may be maintained in an annex or agreed implementation guidance consistent with this Chapter.</w:t>
      </w:r>
    </w:p>
    <w:p>
      <w:pPr/>
      <w:r>
        <w:t>17.6.2 [COMMON DEFINITIONS] ALVS uses common definitions for processing time, denial rate, inspection frequency, utilization, correction, Restoration, queue length, and other recurring metrics where comparability requires them. Each definition identifies the event that starts and ends the measurement. A Party-specific variant is permitted where objectively necessary and is clearly mapped to the common definition. Unmapped differences are disclosed before cross-Party comparison.</w:t>
      </w:r>
    </w:p>
    <w:p>
      <w:pPr/>
      <w:r>
        <w:t>17.6.3 [DENOMINATOR DISCIPLINE] Every rate, percentage, ratio, or prevalence statistic identifies its denominator, numerator, population, and reporting period. An inspection failure rate among inspected shipments is not presented as the failure rate among all shipments unless the inspected population is the total population. Risk-targeted or otherwise selected samples are identified as such. ALVS does not use denominator ambiguity to magnify or minimize apparent performance.</w:t>
      </w:r>
    </w:p>
    <w:p>
      <w:pPr/>
      <w:r>
        <w:t>17.6.4 [REPORTING PERIODS] Reporting periods are consistent enough to support meaningful comparison within each metric and verification domain. Calendar, fiscal, seasonal, crop-year, quota-year, or other periods may be used where appropriate to the function. A change in reporting period is documented and historical comparisons are adjusted or qualified where necessary. Cross-Party comparison does not assume unlike periods are equivalent.</w:t>
      </w:r>
    </w:p>
    <w:p>
      <w:pPr/>
      <w:r>
        <w:t>17.6.5 [SAMPLE AND INFERENCE DISCLOSURE] Where a statistic derives from a sample, ALVS records the sample size, selection method, relevant population, and material limitations. Where statistical inference is used, appropriate uncertainty measures, including confidence intervals where suitable, accompany the estimate. A simple administrative count does not require artificial inferential statistics. Small samples receive explicit caution against unsupported generalization.</w:t>
      </w:r>
    </w:p>
    <w:p>
      <w:pPr>
        <w:pStyle w:val="Heading2"/>
      </w:pPr>
      <w:r>
        <w:t>Article 17.7 - Provenance Passport and Chain of Use</w:t>
      </w:r>
    </w:p>
    <w:p>
      <w:pPr/>
      <w:r>
        <w:t>17.7.1 [PROVENANCE PASSPORT] Each material ALVS datum or dataset retains a Provenance Passport identifying source, collection date or period, reporting authority, applicable definition, denominator where relevant, methodology or transformation, quality classification, known limitations, and revision history. The passport may be implemented through linked metadata rather than repeated textual fields. Aggregation does not sever traceability to source information. Confidential information remains protected while auditability is preserved.</w:t>
      </w:r>
    </w:p>
    <w:p>
      <w:pPr/>
      <w:r>
        <w:t>17.7.2 [CHAIN OF USE] When information moves among agencies, Chapters, registries, or analytical functions, the record documents the material chain of use and any transformation affecting interpretation. Transfer does not create new substantive authority in the receiving function. A later user can identify the original purpose and limitations of the information. Lawful confidentiality and access restrictions continue to apply.</w:t>
      </w:r>
    </w:p>
    <w:p>
      <w:pPr/>
      <w:r>
        <w:t>17.7.3 [ONE FACT REMAINS ONE FACT] A single underlying fact does not become multiple independent adverse indicators merely because several systems, agencies, reports, or dashboards record it. ALVS identifies duplicate or derivative observations where reasonably detectable. Multiple genuinely independent observations may corroborate one another. Circular republication of the same source does not constitute independent corroboration.</w:t>
      </w:r>
    </w:p>
    <w:p>
      <w:pPr/>
      <w:r>
        <w:t>17.7.4 [RECORD NOT VERIFICATION] An ALVS record establishes that information was received, recorded, classified, or processed according to the stated procedure; it does not by itself independently verify the underlying real-world fact. Independent verification requires the evidence and method appropriate to the relevant ALVS or substantive function. A source agency's verified record may retain its verified status subject to its provenance and scope. ALVS does not upgrade evidentiary status merely through ingestion.</w:t>
      </w:r>
    </w:p>
    <w:p>
      <w:pPr/>
      <w:r>
        <w:t>17.7.5 [ACCESS AND RETENTION] Access to non-public ALVS information is role-based, function-specific, and auditable to the extent practicable. Retention periods correspond to verification, audit, legal, and historical needs and applicable law. Superseded analytical records required for audit remain preserved according to Article 17.18 rather than silently erased. Data minimization applies to information no longer reasonably necessary for an active function.</w:t>
      </w:r>
    </w:p>
    <w:p>
      <w:pPr>
        <w:pStyle w:val="Heading2"/>
      </w:pPr>
      <w:r>
        <w:t>Article 17.8 - Data Quality, Missing Data, and Classification</w:t>
      </w:r>
    </w:p>
    <w:p>
      <w:pPr/>
      <w:r>
        <w:t>17.8.1 [QUALITY CLASSES] ALVS classifies material data as Verified, Provisional, Estimated, Disputed, or Unavailable according to published criteria. Verified means that the datum has satisfied the applicable ALVS data-quality and source-validation requirements and does not constitute a Legal Finding about underlying conduct. Provisional identifies information awaiting a defined validation step, while Estimated identifies a calculated value not directly observed. Disputed and Unavailable status preserves uncertainty rather than forcing false precision.</w:t>
      </w:r>
    </w:p>
    <w:p>
      <w:pPr/>
      <w:r>
        <w:t>17.8.2 [MISSING DATA] Missing data is disclosed and does not automatically establish either compliance or non-compliance. The record assesses whether the gap materially affects interpretation of a metric or finding. A Party identifies known reasons for material missing data where reasonably available. Persistent unexplained gaps may become an implementation issue concerning reporting without proving the substantive condition the missing data would have measured.</w:t>
      </w:r>
    </w:p>
    <w:p>
      <w:pPr/>
      <w:r>
        <w:t>17.8.3 [ESTIMATION AND IMPUTATION] An estimate or imputed value is clearly labeled and accompanied by methodology, source inputs, assumptions, material uncertainty, and known limitations. Imputation is not used to manufacture apparent precision where the missing information is structurally unknowable. A Party may challenge an estimation method under Article 17.14. Estimated data does not silently become Verified through repeated use.</w:t>
      </w:r>
    </w:p>
    <w:p>
      <w:pPr/>
      <w:r>
        <w:t>17.8.4 [CORRECTION WINDOW] Before material submitted data becomes final for an ALVS reporting cycle, the reporting Party receives a reasonable correction window of at least ten business days unless an urgent verification need requires a shorter documented period. Good-faith clerical, coding, or transmission errors receive correction opportunity rather than punitive treatment. Correction preserves the original record and reason for change. A correction does not erase evidence of a recurring data-quality problem.</w:t>
      </w:r>
    </w:p>
    <w:p>
      <w:pPr/>
      <w:r>
        <w:t>17.8.5 [QUALITY PERFORMANCE] ALVS may monitor completeness, timeliness, internal consistency, revision frequency, and other data-quality metrics at system level. Poor data quality triggers assistance, correction, or review proportionate to its effect on verification. It does not automatically establish failure of the substantive obligation being measured. Repeated material reporting failures may be routed according to the Compact provision governing the reporting obligation.</w:t>
      </w:r>
    </w:p>
    <w:p>
      <w:pPr>
        <w:pStyle w:val="Heading2"/>
      </w:pPr>
      <w:r>
        <w:t>Article 17.9 - Baselines, Comparators, Seasonality, and Trend Methodology</w:t>
      </w:r>
    </w:p>
    <w:p>
      <w:pPr/>
      <w:r>
        <w:t>17.9.1 [REPRESENTATIVE BASELINE] A finding of deterioration uses a representative baseline appropriate to the measured function rather than a cherry-picked favorable or unfavorable period. The baseline records source, period, methodology, exclusions, and known limitations. Baseline selection considers whether the period reflects ordinary administration. A materially abnormal period is excluded or expressly qualified.</w:t>
      </w:r>
    </w:p>
    <w:p>
      <w:pPr/>
      <w:r>
        <w:t>17.9.2 [SEASONAL NORMALIZATION] Agricultural metrics account for seasonality where seasonal variation materially affects interpretation. Appropriate methods may include like-season comparison, crop-year analysis, moving seasonal baselines, or documented adjustment. ALVS does not compare unlike agricultural periods as though they represented equivalent operating conditions. The selected method remains reproducible and reviewable.</w:t>
      </w:r>
    </w:p>
    <w:p>
      <w:pPr/>
      <w:r>
        <w:t>17.9.3 [SHOCKS AND PRODUCTION CYCLES] Weather, disease, emergency action, production cycles, strikes, system outages, abrupt caseload changes, and other material shocks are documented where they affect measured performance. Adjustment does not erase the event from the historical record. ALVS distinguishes shock-driven deviation from persistent implementation deterioration where evidence permits. A Party cannot invoke an unrelated shock as a generic explanation for every adverse metric.</w:t>
      </w:r>
    </w:p>
    <w:p>
      <w:pPr/>
      <w:r>
        <w:t>17.9.4 [BASELINE REVISION] A baseline may be revised where structural conditions, law, methodology, market architecture, or data collection materially change. Revision follows a documented procedure stating the reason, effective period, and effect on historical comparability. A revised baseline is not applied retroactively to manufacture or erase a prior finding. Stable baselines are preferred where conditions remain materially comparable.</w:t>
      </w:r>
    </w:p>
    <w:p>
      <w:pPr/>
      <w:r>
        <w:t>17.9.5 [TREND DISCIPLINE] Trend analysis uses consistent methodology, appropriate comparator periods, and sufficient observations for the conclusion being drawn. Ordinary variance is distinguished from meaningful deterioration through domain-appropriate materiality analysis. Correlation is not presented as causal attribution without additional evidence. Material methodology changes are disclosed alongside the trend.</w:t>
      </w:r>
    </w:p>
    <w:p>
      <w:pPr>
        <w:pStyle w:val="Heading2"/>
      </w:pPr>
      <w:r>
        <w:t>Article 17.10 - Thresholds, Indicators, and Anomaly Detection</w:t>
      </w:r>
    </w:p>
    <w:p>
      <w:pPr/>
      <w:r>
        <w:t>17.10.1 [PUBLISHED METHODOLOGY] Material ALVS thresholds and indicator methodologies are documented, reproducible, and available to the Parties before ordinary use. Public disclosure is provided where lawful and compatible with confidentiality, security, and anti-gaming needs. A threshold identifies what it measures, the relevant population, and the consequence of exceedance. Hidden substantive compliance standards do not arise through analytics.</w:t>
      </w:r>
    </w:p>
    <w:p>
      <w:pPr/>
      <w:r>
        <w:t>17.10.2 [THRESHOLD EFFECT] Exceeding a threshold creates an Indicator and triggers explanation, inquiry, or review rather than a presumption of violation. The affected Party receives the relevant data and methodology needed to understand the Indicator. A satisfactory explanation may resolve the Indicator without further action. Unresolved material evidence proceeds according to Articles 17.12 through 17.15.</w:t>
      </w:r>
    </w:p>
    <w:p>
      <w:pPr/>
      <w:r>
        <w:t>17.10.3 [AUTOMATED ANALYTICS] ALVS may use statistical software, automated anomaly detection, or artificial-intelligence-assisted analytics to identify patterns within assigned domains, but an automated output does not itself become a Verified Implementation Finding or Legal Finding. Where an automated result materially contributes to a Verified Implementation Finding, the record preserves the relevant tool or model version, material inputs, decision-relevant parameters or methodological description, output, validation information, and audit trail sufficient for meaningful independent review without requiring disclosure of protected source code or security-sensitive details. If meaningful review or reconstruction cannot reasonably be achieved, the automated result may support Indicator generation or investigative prioritization but does not materially support the final Verified Implementation Finding. Accountable officials remain responsible for conclusions, and human approval does not cure an otherwise unreviewable automated evidentiary basis.</w:t>
      </w:r>
    </w:p>
    <w:p>
      <w:pPr/>
      <w:r>
        <w:t>17.10.4 [NO RANKING THEATRE] ALVS does not publish composite national compliance scores, league tables, generalized implementation grades, or other rankings that collapse materially different obligations into a single political performance number. Domain-specific factual metrics and clearly defined implementation statuses remain permissible. Comparative reporting identifies methodological limits and does not imply legal equivalence among unlike indicators. The Parties may jointly authorize a narrowly defined comparative metric where its substantive meaning is clear and reproducible.</w:t>
      </w:r>
    </w:p>
    <w:p>
      <w:pPr/>
      <w:r>
        <w:t>17.10.5 [THRESHOLD REVIEW] Thresholds and anomaly methods receive periodic review for false positives, false negatives, changed conditions, materiality, and continued relevance. Adjustments follow a documented prospective procedure and do not retroactively convert past conduct into an adverse Indicator. Different thresholds across domains or systems require objective methodological justification. False-positive experience informs future calibration without erasing properly documented historical records.</w:t>
      </w:r>
    </w:p>
    <w:p>
      <w:pPr>
        <w:pStyle w:val="Heading2"/>
      </w:pPr>
      <w:r>
        <w:t>Article 17.11 - Indicator Development and Preliminary Inquiry</w:t>
      </w:r>
    </w:p>
    <w:p>
      <w:pPr/>
      <w:r>
        <w:t>17.11.1 [INDICATOR CREATION] An Indicator identifies the metric, anomaly, threshold, affected domain, relevant period, source data, and reason further attention may be warranted. It does not state or imply that a Party violated the Compact. The affected Party receives notice through its national contact point. Confidential information is protected while enough information is supplied for meaningful response.</w:t>
      </w:r>
    </w:p>
    <w:p>
      <w:pPr/>
      <w:r>
        <w:t>17.11.2 [PRELIMINARY EXPLANATION] The affected Party may provide a preliminary explanation addressing data quality, denominator, comparator, seasonality, risk targeting, shocks, capacity, legal change, methodology, or another relevant factor. ALVS records the explanation with the Indicator. A plausible explanation is tested against available evidence rather than accepted or rejected on political grounds. Exercise of the explanation right creates no adverse inference.</w:t>
      </w:r>
    </w:p>
    <w:p>
      <w:pPr/>
      <w:r>
        <w:t>17.11.3 [INDICATOR RESOLUTION] An Indicator is closed where correction, explanation, revised data, or further analysis shows that no material implementation concern remains. Closure records the reason and preserves the audit trail. An Indicator may remain active where material uncertainty persists. Active status alone does not establish a Verified Implementation Finding.</w:t>
      </w:r>
    </w:p>
    <w:p>
      <w:pPr/>
      <w:r>
        <w:t>17.11.4 [COMMON SYSTEMIC EVENT] A common software failure, registry error, policy instruction, administrative outage, or comparable event affecting a materially significant population may support immediate system-level inquiry without waiting for numerous independent incidents. The record identifies the common cause and estimated scope. A single trader-specific anomaly does not receive the same treatment absent evidence of broader effect. Urgent inquiry does not create substantive enforcement authority.</w:t>
      </w:r>
    </w:p>
    <w:p>
      <w:pPr/>
      <w:r>
        <w:t>17.11.5 [NO SECTOR OR COUNTRY PRESUMPTION] An Indicator in one product, region, agency, or Party does not automatically generate Indicators for adjacent products, regions, agencies, or Parties. Broader inquiry requires evidence of a common cause or materially related pattern. Similarity alone may justify comparison but not adverse classification. ALVS documents the basis for any expanded scope.</w:t>
      </w:r>
    </w:p>
    <w:p>
      <w:pPr>
        <w:pStyle w:val="Heading2"/>
      </w:pPr>
      <w:r>
        <w:t>Article 17.12 - Verified Implementation Findings</w:t>
      </w:r>
    </w:p>
    <w:p>
      <w:pPr/>
      <w:r>
        <w:t>17.12.1 [FINDING STANDARD] ALVS records a Verified Implementation Finding only where reliable evidence within its assigned competence establishes objectively measurable implementation facts or system-level conditions material to an assigned Compact function. The finding identifies the implementation event, metric, administrative condition, or other factual matter measured, but it does not resolve a contested interpretation of the substantive obligation or determine whether the measured facts constitute breach. Where the legal significance of the established facts is disputed, ALVS records the facts, scope, period, evidence, methodology, materiality, limitations, and unresolved contrary evidence and routes the interpretive question to the controlling Chapter. A finding does not enlarge the jurisdiction of ALVS or another Chapter.</w:t>
      </w:r>
    </w:p>
    <w:p>
      <w:pPr/>
      <w:r>
        <w:t>17.12.2 [MULTIPLE EVIDENCE DISCIPLINE] A systemic finding ordinarily rests on multiple mutually informative indicators or evidence sources where the nature of the issue permits. A single common systemic event may suffice where its cause, scope, and implementation effect are objectively established. Several derivative records from one underlying fact do not satisfy the multiple-evidence principle. The record explains why the evidence is sufficient for the particular finding.</w:t>
      </w:r>
    </w:p>
    <w:p>
      <w:pPr/>
      <w:r>
        <w:t>17.12.3 [CAUSAL DISCIPLINE] Where a finding attributes deterioration to a cause, the record identifies evidence supporting that causal connection rather than relying on correlation alone. Causal certainty beyond what the administrative question reasonably requires is not demanded. Competing material explanations are considered. Unresolved causation is stated as a limitation rather than concealed.</w:t>
      </w:r>
    </w:p>
    <w:p>
      <w:pPr/>
      <w:r>
        <w:t>17.12.4 [NO LEGAL CONCLUSION] A Verified Implementation Finding may state that a scheduled action did not occur, a registry is inaccurate, a processing pattern materially deteriorated, or another implementation fact is established within ALVS competence. It does not state that a Party is legally liable, acted in bad faith, owes compensation, or receives a remedy unless another Chapter has already made that determination. Legal characterization remains with the controlling substantive or dispute procedure. Public summaries preserve this distinction.</w:t>
      </w:r>
    </w:p>
    <w:p>
      <w:pPr/>
      <w:r>
        <w:t>17.12.5 [REASONED RECORD] Each material finding contains a reasoned record sufficient for another competent authority to understand what ALVS verified and what it did not verify. The record addresses material contrary evidence and any unresolved challenge. Data-quality classifications remain visible. A later authority does not treat silence in the ALVS record as proof of an unexamined fact.</w:t>
      </w:r>
    </w:p>
    <w:p>
      <w:pPr>
        <w:pStyle w:val="Heading2"/>
      </w:pPr>
      <w:r>
        <w:t>Article 17.13 - Party Notice, Response, and Challenge Rights</w:t>
      </w:r>
    </w:p>
    <w:p>
      <w:pPr/>
      <w:r>
        <w:t>17.13.1 [PRE-FINAL NOTICE] Before a material Verified Implementation Finding becomes final for ALVS purposes, the affected Party receives the proposed finding, supporting methodology, material data, limitations, and non-confidential explanation of protected information. Notice is sufficient to permit a meaningful challenge. Urgent routing may occur before finality only where delay would materially impair another Chapter's lawful function and the provisional status is explicit. Provisional routing does not convert the proposal into a final finding.</w:t>
      </w:r>
    </w:p>
    <w:p>
      <w:pPr/>
      <w:r>
        <w:t>17.13.2 [CHALLENGE SCOPE] The affected Party may challenge data accuracy, quality classification, denominator, methodology, transformation, baseline, comparator, seasonality, attribution, materiality, causation, scope, or interpretation. The challenge identifies the disputed point and available supporting evidence. Exercise of challenge rights creates no adverse inference. A challenge does not require admission that ALVS possesses substantive regulatory authority.</w:t>
      </w:r>
    </w:p>
    <w:p>
      <w:pPr/>
      <w:r>
        <w:t>17.13.3 [CHALLENGE CLOCK] The affected Party ordinarily receives fifteen business days to submit a challenge after complete notice. A shorter period applies only where a genuinely urgent implementation matter would be materially impaired by the ordinary period, the reasons are recorded, and the Party receives at least five business days unless another controlling Chapter expressly supplies a shorter emergency procedure. Where action cannot reasonably await that minimum period, ALVS may maintain an explicitly Provisional Indicator or provisional analytical record and route urgent facts to the competent Chapter without finalizing a Verified Implementation Finding. A reasonable extension may be granted for unusually complex data where it does not defeat the verification purpose, and internal ALVS delay does not shorten the Party's stated response period.</w:t>
      </w:r>
    </w:p>
    <w:p>
      <w:pPr/>
      <w:r>
        <w:t>17.13.4 [INDEPENDENT REVIEW] A material challenge is reviewed by an official or technical team institutionally distinct from the person principally responsible for the proposed finding to the extent practicable. The reviewer may confirm, modify, return, or withdraw the proposed finding and provides reasons. Specialized technical questions may be referred to Chapter 18. Review does not become a parallel Chapter 26 adjudication.</w:t>
      </w:r>
    </w:p>
    <w:p>
      <w:pPr/>
      <w:r>
        <w:t>17.13.5 [CHALLENGE RECORD] The final ALVS record preserves the challenge, material supporting evidence, outcome, reasons, and any continuing disagreement. Public reporting may summarize the disagreement without disclosing protected information. An unresolved legal disagreement is not disguised as a data-quality dispute. Appropriate unresolved matters may route to Chapters 18, 25, or 26 according to function.</w:t>
      </w:r>
    </w:p>
    <w:p>
      <w:pPr>
        <w:pStyle w:val="Heading2"/>
      </w:pPr>
      <w:r>
        <w:t>Article 17.14 - Data Correction, Retraction, and Version Control</w:t>
      </w:r>
    </w:p>
    <w:p>
      <w:pPr/>
      <w:r>
        <w:t>17.14.1 [CORRECTION PROCEDURE] A Party or ALVS official may initiate correction of an inaccurate, incomplete, misclassified, or materially misleading ALVS record. The correction identifies the error, corrected information, reason, responsible authority, effective date, and affected downstream records. Corrected data is propagated to active dashboards and registries where reasonably practicable. Correction does not silently rewrite historical records.</w:t>
      </w:r>
    </w:p>
    <w:p>
      <w:pPr/>
      <w:r>
        <w:t>17.14.2 [APPEND-ONLY HISTORY] Material ALVS records maintain an append-only or functionally equivalent version history sufficient to reconstruct significant changes. The original record, later versions, reason for revision, and effective dates remain auditable subject to lawful retention rules. Superseded information is marked rather than deceptively presented as current. Confidentiality protections apply throughout the history.</w:t>
      </w:r>
    </w:p>
    <w:p>
      <w:pPr/>
      <w:r>
        <w:t>17.14.3 [RETRACTION] A Verified Implementation Finding shown to be materially erroneous is retracted or replaced promptly. Retraction identifies the reason and whether any downstream referral, cure record, public report, or registry entry requires correction. Retraction does not imply misconduct where the original finding was reasonable on the evidence then available. A corrected record prevents continued reliance on a finding known to be materially wrong.</w:t>
      </w:r>
    </w:p>
    <w:p>
      <w:pPr/>
      <w:r>
        <w:t>17.14.4 [IMPACT ASSESSMENT] A material correction or retraction assesses whether prior Indicators, findings, referrals, trend analyses, or public summaries remain valid. Downstream authorities are notified where the change could materially affect an active matter. Each receiving authority determines consequences within its own jurisdiction. ALVS does not use version control to reopen a legally final decision outside its authority.</w:t>
      </w:r>
    </w:p>
    <w:p>
      <w:pPr/>
      <w:r>
        <w:t>17.14.5 [NO ERASURE] Audit-relevant superseded records are preserved for the applicable retention period rather than erased solely because they became inconvenient or politically sensitive. Preservation does not require continued public display of obsolete information as current. Personal and confidential information remains subject to lawful minimization and deletion requirements. Historical integrity and privacy are reconciled through controlled access and status labeling.</w:t>
      </w:r>
    </w:p>
    <w:p>
      <w:pPr>
        <w:pStyle w:val="Heading2"/>
      </w:pPr>
      <w:r>
        <w:t>Article 17.15 - Independent Technical Review Interface</w:t>
      </w:r>
    </w:p>
    <w:p>
      <w:pPr/>
      <w:r>
        <w:t>17.15.1 [REFERRAL SOCKET] ALVS may refer a disputed methodology, data-integrity issue, statistical question, or specialized technical matter to Chapter 18 where resolution materially exceeds ordinary ALVS competence. Referral identifies the precise question, evidence, competing positions, and reason independent review is useful. ALVS does not refer a matter merely to avoid making an ordinary administrative judgment within its competence. The referral preserves all applicable clocks unless another provision expressly provides otherwise.</w:t>
      </w:r>
    </w:p>
    <w:p>
      <w:pPr/>
      <w:r>
        <w:t>17.15.2 [REFERRAL THRESHOLD] Referral is appropriate where the disputed issue is material to a proposed finding and requires specialized expertise, independent replication, scientific assessment, or technical validation not reasonably available through ordinary ALVS review. Minor clerical, definitional, or routine methodological questions remain within ALVS administration. The threshold prevents Chapter 18 from becoming a default second desk for every disagreement. Urgency and commercial significance may inform referral priority.</w:t>
      </w:r>
    </w:p>
    <w:p>
      <w:pPr/>
      <w:r>
        <w:t>17.15.3 [NO SELF-APPOINTED EXPERTISE] ALVS officials do not claim specialized scientific, econometric, statistical, information-security, or sectoral expertise they do not possess merely because ALVS holds the relevant data. Qualified domestic officials may contribute expertise consistent with functional independence and provenance. Genuine competence is documented where material to a contested technical conclusion. Chapter 18 remains available for independent review where appropriate.</w:t>
      </w:r>
    </w:p>
    <w:p>
      <w:pPr/>
      <w:r>
        <w:t>17.15.4 [OUTCOME INTEGRATION] A Chapter 18 technical outcome returns to ALVS with its scope, assumptions, evidence, limitations, and provenance. ALVS integrates the outcome only to the question actually reviewed. A technical conclusion does not automatically determine legal breach or individual liability. Material disagreement remaining after technical review is recorded and routed according to function.</w:t>
      </w:r>
    </w:p>
    <w:p>
      <w:pPr/>
      <w:r>
        <w:t>17.15.5 [NO CLOCK LAUNDERING] Referral to Chapter 18 does not restart an ALVS verification matter, erase completed procedural steps, or create indefinite administrative suspension. Any necessary pause is limited to the issue genuinely dependent on the technical review and is recorded with an expected review point. Unaffected portions continue where practicable. Another Chapter's substantive clock remains governed by that Chapter.</w:t>
      </w:r>
    </w:p>
    <w:p>
      <w:pPr>
        <w:pStyle w:val="Heading2"/>
      </w:pPr>
      <w:r>
        <w:t>Article 17.16 - Regulatory Friction Register</w:t>
      </w:r>
    </w:p>
    <w:p>
      <w:pPr/>
      <w:r>
        <w:t>17.16.1 [REGISTER ESTABLISHMENT] ALVS maintains a controlled Regulatory Friction Register for recurring or materially significant Chapter 16 implementation patterns warranting system-level attention. The Register is an administrative monitoring record rather than a blacklist or adjudicative docket. Entry does not establish Administrative Substitution or legal inconsistency. Chapter 16 remains controlling for the substantive test.</w:t>
      </w:r>
    </w:p>
    <w:p>
      <w:pPr/>
      <w:r>
        <w:t>17.16.2 [ENTRY CRITERIA] A Register entry identifies a recurring pattern, common systemic event, or materially significant friction Indicator supported by sufficient source information for meaningful review. A single trader complaint does not enter as systemic friction without evidence of broader relevance. Entry criteria are published and applied consistently. Stakeholder information may initiate inquiry but does not bypass verification.</w:t>
      </w:r>
    </w:p>
    <w:p>
      <w:pPr/>
      <w:r>
        <w:t>17.16.3 [REGISTER FIELDS] Each entry records source, date or period, affected function and scope, relevant metrics, provenance, quality status, known limitations, responsible authority, review status, and cross-Chapter routing where applicable. Confidential business information is protected. Public-facing information may be aggregated or summarized. Material corrections follow Article 17.14.</w:t>
      </w:r>
    </w:p>
    <w:p>
      <w:pPr/>
      <w:r>
        <w:t>17.16.4 [STATUS AND REVIEW] Register statuses include Active, Under Review, Resolved, and Archived, with additional technical sub-statuses permitted where clearly defined. Active and Under Review entries receive periodic review appropriate to their significance. Resolved entries identify the basis for resolution. Archived status preserves history without implying a current problem.</w:t>
      </w:r>
    </w:p>
    <w:p>
      <w:pPr/>
      <w:r>
        <w:t>17.16.5 [CHAPTER 16 AND 25 INTERFACE] A verified Chapter 16 implementation problem may route from the Register to the appropriate Chapter 16 process and Chapter 25 cure machinery where applicable. ALVS may track whether corrective administration occurs and whether relevant system metrics normalize. Tracking does not itself impose cure or delay Restoration. Closure reflects verified resolution or appropriate transfer rather than disappearance of inconvenient data.</w:t>
      </w:r>
    </w:p>
    <w:p>
      <w:pPr>
        <w:pStyle w:val="Heading2"/>
      </w:pPr>
      <w:r>
        <w:t>Article 17.17 - Implementation Status Registry</w:t>
      </w:r>
    </w:p>
    <w:p>
      <w:pPr/>
      <w:r>
        <w:t>17.17.1 [REGISTRY ESTABLISHMENT] ALVS maintains an Implementation Status Registry separate from the Regulatory Friction Register. The Registry records the administrative status of scheduled, activated, completed, cured, restored, delayed, disputed, or superseded Compact implementation events expressly assigned for tracking. It does not characterize legal compliance beyond the recorded status. Separation prevents ordinary implementation milestones from being mislabeled as regulatory friction.</w:t>
      </w:r>
    </w:p>
    <w:p>
      <w:pPr/>
      <w:r>
        <w:t>17.17.2 [STATUS CATEGORIES] Core statuses include Pending, Active, Completed, Verified Complete, Under Cure, Restored, Technically Delayed, Disputed, and Superseded. Completed means the responsible authority reports the implementation action complete, while Verified Complete means the applicable ALVS verification confirms completion within its assigned competence. A status may include a defined qualifier where necessary to describe partial scope. Status definitions are published and consistently applied.</w:t>
      </w:r>
    </w:p>
    <w:p>
      <w:pPr/>
      <w:r>
        <w:t>17.17.3 [UPDATE PROCEDURE] The responsible Party or ALVS lead updates a status when a material implementation event occurs or new verification information changes the applicable category. Each update records source, date, authority, reason, and provenance. A Party may challenge an inaccurate status under Article 17.13. Administrative delay in updating the Registry does not alter the underlying legal status of an obligation.</w:t>
      </w:r>
    </w:p>
    <w:p>
      <w:pPr/>
      <w:r>
        <w:t>17.17.4 [ACCURACY REVIEW] Material Registry entries receive periodic accuracy review appropriate to the implementation event and risk of staleness. Completed and Verified Complete entries are not repeatedly reopened without new material evidence or a scheduled review requirement. A superseded obligation remains historically traceable. Registry maintenance does not become perpetual reauthorization.</w:t>
      </w:r>
    </w:p>
    <w:p>
      <w:pPr/>
      <w:r>
        <w:t>17.17.5 [PUBLIC ACCESS] The Parties publish non-confidential Registry information in a usable format where lawful and practicable. Public display distinguishes reported completion from Verified Complete status. Protected operational, commercial, security, or personal information is withheld or aggregated. The public interface does not create rights beyond the underlying Compact.</w:t>
      </w:r>
    </w:p>
    <w:p>
      <w:pPr>
        <w:pStyle w:val="Heading2"/>
      </w:pPr>
      <w:r>
        <w:t>Article 17.18 - Cothrom Escalation, Cure Tracking, and Closure</w:t>
      </w:r>
    </w:p>
    <w:p>
      <w:pPr/>
      <w:r>
        <w:t>17.18.1 [ESCALATION TRIGGER] A final Verified Implementation Finding may be routed to Chapter 25 where a correctable implementation problem requires Cothrom Cure or to Chapter 26 where a legal dispute requires adjudication. Routing identifies the verified problem, evidence, scope, materiality, unresolved issues, and responsible substantive Chapter. ALVS does not recommend punitive treatment outside an expressly assigned reporting function. The receiving Chapter independently applies its legal requirements.</w:t>
      </w:r>
    </w:p>
    <w:p>
      <w:pPr/>
      <w:r>
        <w:t>17.18.2 [NO ALVS PUNISHMENT] ALVS does not suspend benefits, impose tariffs, restrict trade, order compensation, direct retaliation, or compel regulatory outcomes. Where Chapter 25 expressly assigns a verification role, ALVS may determine only whether objectively specified factual completion conditions or system-level performance metrics established by the controlling cure instrument are satisfied and does not independently decide whether a regulatory design is lawful, reasonable, proportionate, equivalent, or otherwise legally compliant. The distinction between measurement and remedy remains visible in every escalation, and any contested legal significance of the measured facts remains with Chapter 25, Chapter 26, or the controlling substantive Chapter. Political disagreement, broad delegation language, or possession of cure data does not enlarge ALVS authority.</w:t>
      </w:r>
    </w:p>
    <w:p>
      <w:pPr/>
      <w:r>
        <w:t>17.18.3 [CURE TRACKING] After referral to Chapter 25, ALVS may track agreed milestones, data, clean-performance periods, implementation actions, and Restoration events within the verification scope assigned by the cure plan. Tracking uses the same provenance, challenge, and quality protections as ordinary ALVS work. ALVS does not add new cure conditions. A missed milestone becomes information for Chapter 25 rather than an automatic penalty.</w:t>
      </w:r>
    </w:p>
    <w:p>
      <w:pPr/>
      <w:r>
        <w:t>17.18.4 [RESTORATION TRACKING] ALVS records whether Restoration required by the Compact or an applicable cure plan becomes operationally effective and commercially usable. It may flag a mismatch between legal Restoration and administrative implementation. ALVS does not withhold Restoration while waiting for an unrelated dashboard update. Chapter 25 or the controlling substantive Chapter determines legal consequences of any failure.</w:t>
      </w:r>
    </w:p>
    <w:p>
      <w:pPr/>
      <w:r>
        <w:t>17.18.5 [CLOSURE] An ALVS escalation closes when cure is verified, the receiving Chapter resolves the matter, the finding is retracted, or the issue is otherwise superseded according to the Compact. Closure records the reason, effective date, and continuing monitoring if any. Closed status does not erase the historical record. A genuinely new implementation problem requires its own evidence and routing.</w:t>
      </w:r>
    </w:p>
    <w:p>
      <w:pPr>
        <w:pStyle w:val="Heading2"/>
      </w:pPr>
      <w:r>
        <w:t>Article 17.19 - Transparency, Public Reporting, and Stakeholder Input</w:t>
      </w:r>
    </w:p>
    <w:p>
      <w:pPr/>
      <w:r>
        <w:t>17.19.1 [PUBLIC DASHBOARD] ALVS publishes aggregate implementation information through a public dashboard or comparable interface where lawful, practicable, and useful. Public metrics identify definitions, periods, denominators, quality status, and material limitations necessary to avoid misleading interpretation. The interface does not expose protected business, personal, security, or enforcement-sensitive information. Publication priorities favor meaningful implementation transparency over decorative data volume.</w:t>
      </w:r>
    </w:p>
    <w:p>
      <w:pPr/>
      <w:r>
        <w:t>17.19.2 [NO PUBLIC INDIVIDUAL ACCUSATION] System-level ALVS data is not used to publicly accuse an individual trader, facility, producer, official, or other person of wrongdoing. An individual matter already lawfully public through another competent process may be referenced only according to that process and applicable law. Aggregation is used where necessary to protect confidentiality and avoid re-identification. Public transparency does not become punishment by dashboard.</w:t>
      </w:r>
    </w:p>
    <w:p>
      <w:pPr/>
      <w:r>
        <w:t>17.19.3 [PERIODIC REPORT] ALVS publishes a periodic implementation report summarizing material Indicators, Verified Implementation Findings, trends, corrections, Registry statuses, Friction Register developments, cure tracking, and methodological changes. The report distinguishes facts, estimates, disputes, and legal determinations made elsewhere. Material Party responses and unresolved methodological limitations are fairly represented. Reporting frequency balances usefulness against administrative burden.</w:t>
      </w:r>
    </w:p>
    <w:p>
      <w:pPr/>
      <w:r>
        <w:t>17.19.4 [STAKEHOLDER CHANNEL] ALVS provides a channel through which producers, processors, traders, SMEs, consumer organizations, and other stakeholders may identify recurring implementation friction or data-quality concerns. Submission does not establish an Indicator, finding, or legal claim without verification. The channel does not replace domestic remedies or Chapter 23 stakeholder procedures. Repeated substantiated submissions may support system-level inquiry according to Article 17.11.</w:t>
      </w:r>
    </w:p>
    <w:p>
      <w:pPr/>
      <w:r>
        <w:t>17.19.5 [CONFIDENTIALITY] All public reporting protects confidential business information and other protected information according to applicable law and Compact rules. Non-confidential summaries preserve useful understanding where detailed disclosure is restricted. Confidentiality does not permit manipulation of public statistics through undisclosed denominator or methodology changes. ALVS records the existence of material protected limitations where disclosure of the substance is not permitted.</w:t>
      </w:r>
    </w:p>
    <w:p>
      <w:pPr>
        <w:pStyle w:val="Heading2"/>
      </w:pPr>
      <w:r>
        <w:t>Article 17.20 - Final Interfaces, Administrative Simplicity, and Safeguards</w:t>
      </w:r>
    </w:p>
    <w:p>
      <w:pPr/>
      <w:r>
        <w:t>17.20.1 [CROSS-CHAPTER ROUTING] ALVS routes origin and customs matters to Chapters 10 through 13, SPS and recognition matters to Chapters 14 and 15, regulatory-friction matters to Chapter 16, independent technical questions to Chapter 18, assigned emergency matters to Chapter 19, transparency functions to Chapter 22, cure and Restoration to Chapter 25, and legal disputes and remedies to Chapter 26. Routing follows function rather than agency label or database location. A routing table may be maintained in an annex or implementation guide without altering substantive jurisdiction. Absence of the table does not create a jurisdictional gap.</w:t>
      </w:r>
    </w:p>
    <w:p>
      <w:pPr/>
      <w:r>
        <w:t>17.20.2 [NO PARALLEL ADJUDICATION] An ALVS process does not duplicate or replace an individual verification, recognition, regulatory review, cure, or dispute process assigned elsewhere. The same evidence may be relevant to multiple functions only with provenance and without circular corroboration. Procedural findings retain the legal effect assigned by their originating Chapter. ALVS does not become an appellate body for substantive decisions.</w:t>
      </w:r>
    </w:p>
    <w:p>
      <w:pPr/>
      <w:r>
        <w:t>17.20.3 [ADMINISTRATIVE SIMPLICITY] ALVS favors automated reuse of reliable existing data, common templates, interoperable fields, single-matter records, proportionate reporting frequency, and elimination of obsolete requirements. Administrative simplicity does not justify hidden methodology, unverifiable estimates, or loss of provenance. The Parties periodically remove duplicative collection and reporting. ALVS itself is subject to the anti-bureaucratic principles it measures.</w:t>
      </w:r>
    </w:p>
    <w:p>
      <w:pPr/>
      <w:r>
        <w:t>17.20.4 [NO JURISDICTION BY DATA] No dataset, dashboard, algorithm, registry, referral, technical report, or institutional practice creates ALVS jurisdiction beyond the express text of this Compact. Data possession does not equal authority, analytical capability does not equal legal competence, and repeated practice does not amend the Compact. Any authorized expansion follows Chapter 29. This safeguard applies notwithstanding technological change.</w:t>
      </w:r>
    </w:p>
    <w:p>
      <w:pPr/>
      <w:r>
        <w:t>17.20.5 [FINAL SAFEGUARD] ALVS measures implementation without becoming the regulator of implementation. Indicators start questions, Verified Implementation Findings establish system-level implementation facts within assigned competence, and Legal Findings remain outside ALVS. Data retains provenance, uncertainty remains visible, challenge precedes final material findings, and correction remains auditable. Interpretation favors accurate, proportionate, administratively simple verification while preserving the substantive authority and procedural protections of every other Chapter.</w:t>
      </w:r>
    </w:p>
    <w:p>
      <w:pPr>
        <w:pStyle w:val="Heading1"/>
      </w:pPr>
      <w:r>
        <w:t>Chapter 18 - Independent Technical and Scientific Review</w:t>
      </w:r>
    </w:p>
    <w:p>
      <w:pPr/>
      <w:r>
        <w:t xml:space="preserve">This Chapter establishes Independent Technical and Scientific Review as a narrow fact-finding mechanism that examines approved technical questions without acquiring regulatory, adjudicative, remedial, or policy-making authority.</w:t>
      </w:r>
    </w:p>
    <w:p>
      <w:pPr>
        <w:pStyle w:val="Heading2"/>
      </w:pPr>
      <w:r>
        <w:t>Article 18.1 - Purpose, Scope, and Legal Character</w:t>
      </w:r>
    </w:p>
    <w:p>
      <w:pPr/>
      <w:r>
        <w:t>18.1.1 [FUNCTION] Chapter 18 provides a neutral, independent, non-adjudicative process for examining technical and scientific questions expressly referred under this Compact. It determines what reliable evidence establishes, suggests, or leaves unresolved within the discipline relevant to the referral. It does not regulate conduct, administer a domestic program, decide legal liability, or prescribe a policy outcome. Chapter 17 measures implementation, Chapter 18 examines referred technical questions, Chapter 25 administers cure and Restoration, and Chapter 26 adjudicates disputes and remedies.</w:t>
      </w:r>
    </w:p>
    <w:p>
      <w:pPr/>
      <w:r>
        <w:t>18.1.2 [NO IMPLIED AUTHORITY] Independent Technical and Scientific Review is a procedural function and does not create a separate international organization, regulator, court, or body possessing legal personality. Analytical usefulness, possession of evidence, repeated referrals, technical expertise, or institutional practice does not create authority beyond this Chapter. The review function does not create, expand, contract, suspend, or replace a substantive obligation elsewhere in the Compact. Any expansion of its mandate occurs only through an amendment or technical amendment authorized by Chapter 29.</w:t>
      </w:r>
    </w:p>
    <w:p>
      <w:pPr/>
      <w:r>
        <w:t>18.1.3 [TECHNICAL FINDING] A Technical Finding states what the technical or scientific record establishes within the referred question and identified methodology. A Methodological Observation identifies a material feature, limitation, assumption, or problem in the methods or data without resolving the referred question. An Unresolved Question identifies a material matter that the available evidence does not presently resolve with sufficient technical confidence. None of those classifications constitutes a Legal Finding.</w:t>
      </w:r>
    </w:p>
    <w:p>
      <w:pPr/>
      <w:r>
        <w:t>18.1.4 [NO LEGAL OUTCOME] Chapter 18 does not interpret the Compact, determine breach or compliance, excuse conduct, allocate legal liability, or recommend a remedy or legal outcome. It does not issue general advisory opinions or initiate review on its own motion. A Technical Finding is not self-executing and has only the effect assigned by the receiving Chapter after that authority applies its own legal test. Technical reports do not create binding precedent, although later technical reviewers may consider their evidence and reasoning for persuasive value.</w:t>
      </w:r>
    </w:p>
    <w:p>
      <w:pPr/>
      <w:r>
        <w:t>18.1.5 [NO DIRECT EFFECT] This Chapter creates no private right of action, private entitlement, or direct domestic legal effect unless a Party expressly provides otherwise in its domestic law. A private person does not obtain an individual customs, SPS, licensing, recognition, compensation, or other determination merely because Chapter 18 records a Technical Finding. Domestic authorities continue to exercise the powers assigned to them by applicable law and the controlling Compact Chapter. Nothing in this Chapter authorizes an expert to exercise governmental coercive power.</w:t>
      </w:r>
    </w:p>
    <w:p>
      <w:pPr>
        <w:pStyle w:val="Heading2"/>
      </w:pPr>
      <w:r>
        <w:t>Article 18.2 - Jurisdiction and Referral Gate</w:t>
      </w:r>
    </w:p>
    <w:p>
      <w:pPr/>
      <w:r>
        <w:t>18.2.1 [REFERABLE QUESTIONS] A referring authority may submit a specialized question concerning scientific evidence, statistical methodology, laboratory methods, technical standards, data integrity, equivalence methodology, epidemiology, economic measurement, engineering or system performance, or a comparable technical matter assigned by the Compact. The question is answerable principally through the tools and norms of an identifiable technical or scientific discipline. The referral identifies the receiving Chapter and the implementation, consultation, cure, or dispute function for which the answer is material. Similarity to a listed field does not permit referral of a legal, political, diplomatic, or policy judgment.</w:t>
      </w:r>
    </w:p>
    <w:p>
      <w:pPr/>
      <w:r>
        <w:t>18.2.2 [EXCLUDED QUESTIONS] Pure treaty interpretation, legal characterization, remedy selection, political judgment, diplomatic judgment, and a Party's sovereign choice of an appropriate level of protection are not referable technical questions. A referral does not ask whether a measure is legally necessary, proportionate, least trade restrictive, arbitrary, unjustifiable, discriminatory, excused, or a disguised restriction, and it does not reproduce substantially all factual predicates of a contested legal test as a synthetic technical verdict. Where a legal test contains separable technical components, the referring authority frames those components as distinct factual or methodological questions that permit the receiving authority to perform the remaining legal analysis independently. A mixed or aggregated question that cannot be cleanly separated from the controlling legal judgment is decomposed or returned rather than converted into technical jurisdiction.</w:t>
      </w:r>
    </w:p>
    <w:p>
      <w:pPr/>
      <w:r>
        <w:t>18.2.3 [MATERIALITY GATE] The referral states why the technical question is material to a function expressly assigned elsewhere in the Compact. It identifies the evidence, methodology, factual record, and material disagreement already known so that Chapter 18 does not duplicate completed work without reason. A designated referral official or body within the referring Chapter confirms technical referability before transmission. Acceptance of a referral does not imply that the underlying claim, measure, or legal position is valid.</w:t>
      </w:r>
    </w:p>
    <w:p>
      <w:pPr/>
      <w:r>
        <w:t>18.2.4 [MALFORMED REFERRAL] The technical review panel returns a malformed, overbroad, non-neutral, or non-referable question with a short reasoned explanation. It may identify a narrower technical question or a logically prior technical issue that appears necessary to make the referral answerable. Any reformulation requires express approval from the referring authority before substantive review proceeds. The panel does not cure a defective referral by silently enlarging, narrowing, or replacing the question.</w:t>
      </w:r>
    </w:p>
    <w:p>
      <w:pPr/>
      <w:r>
        <w:t>18.2.5 [NO ROVING MANDATE] The panel answers the approved question and does not initiate unrelated lines of inquiry merely because the record reveals other concerns. Evidence outside the question may be recorded only to explain a material limitation, dependency, or reason that the approved question cannot reliably be answered. A separate concern requiring examination returns to the competent Chapter for a new referral decision. Repeated referrals do not create continuing supervisory jurisdiction over a sector, Party, measure, or program.</w:t>
      </w:r>
    </w:p>
    <w:p>
      <w:pPr>
        <w:pStyle w:val="Heading2"/>
      </w:pPr>
      <w:r>
        <w:t>Article 18.3 - Technical and Legal Finding Firewall</w:t>
      </w:r>
    </w:p>
    <w:p>
      <w:pPr/>
      <w:r>
        <w:t>18.3.1 [FIREWALL] A Technical Finding may establish what evidence shows within the approved technical question but does not state whether a Party violated, complied with, or is excused from an obligation. The panel does not apply legal standards reserved to another Chapter even where technical vocabulary overlaps with legal terminology. It may compare measurable performance, risks, methods, or alternatives without declaring a legally preferred outcome. The receiving authority remains responsible for every legal characterization.</w:t>
      </w:r>
    </w:p>
    <w:p>
      <w:pPr/>
      <w:r>
        <w:t>18.3.2 [LEGAL TERMS] The panel avoids using terms such as breach, violation, non-compliance, justification, necessity, proportionality, equivalence, arbitrariness, or disguised restriction as conclusions of law. A term may be used where it has an established technical meaning necessary to the relevant discipline, provided the report expressly identifies that technical meaning and does not apply the Compact's legal standard. The report may quote legal instruments or referral language when necessary to explain context. Terminology does not permit Chapter 18 to perform a legal function indirectly.</w:t>
      </w:r>
    </w:p>
    <w:p>
      <w:pPr/>
      <w:r>
        <w:t>18.3.3 [BURDEN FIREWALL] Referral to Chapter 18 does not shift, reverse, supplement, or erase a burden of proof or evidentiary allocation established in Chapters 14, 15, 16, 25, 26, or another controlling provision. The panel evaluates the technical record without deciding which Party ultimately bears the legal consequence of uncertainty. A Party's inability to establish a technical proposition is reported as an evidentiary result rather than converted into a legal presumption unless the controlling Chapter expressly provides that presumption. The receiving authority applies its own burden rules after receiving the report.</w:t>
      </w:r>
    </w:p>
    <w:p>
      <w:pPr/>
      <w:r>
        <w:t>18.3.4 [RECEIVING REASONS] A receiving authority that relies materially on a Technical Finding identifies the finding and explains how it applies the controlling legal test. It does not treat the Technical Finding as dispositive of the legal question merely because Chapter 18 used independent experts. If the receiving authority materially departs from a Technical Finding, it explains the evidentiary or legal basis for that departure to the extent its governing procedure requires reasons. Chapter 18 expertise does not substitute for independent legal reasoning.</w:t>
      </w:r>
    </w:p>
    <w:p>
      <w:pPr/>
      <w:r>
        <w:t>18.3.5 [NO LAUNDERING] No Party or receiving authority uses a Technical Finding to obtain by characterization an outcome that Chapter 18 lacks authority to issue directly. A technical description does not become a Legal Finding because it is repeated in a registry, cure record, consultation paper, panel submission, or public statement. The receiving Chapter may draw legal consequences only through authority it independently possesses. Public reporting clearly distinguishes technical conclusions from subsequent legal determinations.</w:t>
      </w:r>
    </w:p>
    <w:p>
      <w:pPr>
        <w:pStyle w:val="Heading2"/>
      </w:pPr>
      <w:r>
        <w:t>Article 18.4 - Referral Question Discipline</w:t>
      </w:r>
    </w:p>
    <w:p>
      <w:pPr/>
      <w:r>
        <w:t>18.4.1 [QUESTION FORM] Each referral states the approved technical question in one or more grammatically interrogative sentences that identify the subject, conditions, population, period, and comparator where those elements are material. A referral is sufficiently narrow that appropriately qualified experts can reasonably address it within the applicable clock and budget. Broad requests to investigate an entire sector, regulatory regime, or Party are invalid. The final report reproduces the approved question verbatim.</w:t>
      </w:r>
    </w:p>
    <w:p>
      <w:pPr/>
      <w:r>
        <w:t>18.4.2 [NEUTRAL FRAMING] A referral frames the technical question neutrally and does not presume the factual or legal conclusion sought by a Party. It asks what the evidence shows rather than why a Party's measure, method, or position is defective. A compound referral separates materially independent technical questions so each can be answered and qualified distinctly. Neutral framing does not prevent the referral from identifying the concrete disagreement that made review necessary.</w:t>
      </w:r>
    </w:p>
    <w:p>
      <w:pPr/>
      <w:r>
        <w:t>18.4.3 [CLARIFICATION] The panel may request clarification where an ambiguity would materially affect scope, methodology, evidence, or timing. The referring authority responds promptly and circulates the clarification to all participating Parties. A proposed reformulation takes effect only after the referring authority expressly approves it. Clarification time is managed through an expedited procedural step and does not become a device for indefinite clock suspension.</w:t>
      </w:r>
    </w:p>
    <w:p>
      <w:pPr/>
      <w:r>
        <w:t>18.4.4 [ASSUMPTIONS AND EXCLUSIONS] The panel identifies every material assumption it makes about a fact, condition, population, period, or technical definition not established in the record. It states material matters it did not examine and explains whether they were outside scope, unnecessary, unsupported, or unavailable. Silence on an unexamined issue does not imply technical endorsement. An assumption that materially controls the result is highlighted in the report rather than buried in supporting material.</w:t>
      </w:r>
    </w:p>
    <w:p>
      <w:pPr/>
      <w:r>
        <w:t>18.4.5 [NO UNASKED ANSWER] The panel does not answer a technical question that the referring authority did not approve even where experts consider another question more scientifically interesting or important. It may state that the approved question cannot be reliably answered without a specified additional question and return that issue for referral. Work already performed on the approved question remains preserved where useful. This rule prevents technical expertise from becoming self-directed jurisdiction.</w:t>
      </w:r>
    </w:p>
    <w:p>
      <w:pPr>
        <w:pStyle w:val="Heading2"/>
      </w:pPr>
      <w:r>
        <w:t>Article 18.5 - Expert Roster and Appointment</w:t>
      </w:r>
    </w:p>
    <w:p>
      <w:pPr/>
      <w:r>
        <w:t>18.5.1 [ROSTER] The Commission maintains or designates a searchable roster of experts across disciplines reasonably expected to arise under this Compact. Public roster information identifies each expert's principal qualifications, disciplines, methodological expertise, professional background, and availability to the extent practicable. The roster includes qualified experts from the three Parties and may include experts from non-Party jurisdictions. Roster membership creates no entitlement to appointment.</w:t>
      </w:r>
    </w:p>
    <w:p>
      <w:pPr/>
      <w:r>
        <w:t>18.5.2 [MATCHED EXPERTISE] Experts are selected for competence genuinely matched to the approved technical question rather than convenience, nationality, seniority, or prior service. A panel addressing multiple disciplines includes the combination of expertise reasonably necessary to examine the material issues. At least one appointed expert possesses demonstrated methodological competence relevant to the principal analytical method where methodology is materially disputed. Subject-matter familiarity alone does not substitute for required methodological competence.</w:t>
      </w:r>
    </w:p>
    <w:p>
      <w:pPr/>
      <w:r>
        <w:t>18.5.3 [AD HOC EXPERTS] An appointing authority may select an expert outside the standing roster where the question requires unusual, emerging, highly specialized, or urgently available expertise not adequately represented on the roster. The appointment record states why the ad hoc expert is appropriate and why roster expertise is insufficient or unavailable. An ad hoc expert satisfies the same independence, disclosure, confidentiality, and conduct requirements as a roster expert. Urgency does not waive those safeguards.</w:t>
      </w:r>
    </w:p>
    <w:p>
      <w:pPr/>
      <w:r>
        <w:t>18.5.4 [SELECTION RECORD] The appointing authority records the discipline, qualifications, availability, conflict review, and reasons supporting each appointment. Selection seeks technical balance appropriate to the question and does not require one expert nominated by or aligned with each Party. Joint Party nominations may be considered without creating a national-representative role. Experts serve in their independent technical capacity rather than as advocates or governmental delegates.</w:t>
      </w:r>
    </w:p>
    <w:p>
      <w:pPr/>
      <w:r>
        <w:t>18.5.5 [ROSTER MAINTENANCE] The roster is reviewed periodically for current expertise, disciplinary gaps, availability, and material changes in professional status. The Commission may add qualified experts to address identified gaps and may invite joint nominations from the Parties. Institutional diversity among academia, government, industry, laboratories, professional bodies, Indigenous knowledge institutions, and civil society may be considered subject to competence and conflict rules. Roster maintenance does not predetermine appointment in a particular referral.</w:t>
      </w:r>
    </w:p>
    <w:p>
      <w:pPr>
        <w:pStyle w:val="Heading2"/>
      </w:pPr>
      <w:r>
        <w:t>Article 18.6 - Qualifications, Independence, Conflicts, and Conduct</w:t>
      </w:r>
    </w:p>
    <w:p>
      <w:pPr/>
      <w:r>
        <w:t>18.6.1 [INDEPENDENCE] An appointed expert acts independently and does not receive instructions from a Party, affected enterprise, industry association, advocacy organization, or other interested person concerning the substance of the review. Current employment, current advisory duties, a material financial interest in the specific outcome, or substantial prior participation in the specific matter may constitute a material conflict. General expertise, prior publication, or professional work concerning the subject area does not by itself establish disqualification. The inquiry focuses on whether the relationship materially impairs independent technical judgment in the referred matter.</w:t>
      </w:r>
    </w:p>
    <w:p>
      <w:pPr/>
      <w:r>
        <w:t>18.6.2 [DISCLOSURE] Each expert discloses relevant financial interests, employment and advisory relationships, substantial prior participation, and other facts reasonably bearing on the conflict standard at nomination and throughout the proceeding. The disclosure identifies relevant professional relationships during the lookback period established by implementing rules without requiring disclosure of immaterial personal information. Material new circumstances are disclosed promptly. The proceeding record preserves conflict disclosures and their resolution subject to legitimate confidentiality.</w:t>
      </w:r>
    </w:p>
    <w:p>
      <w:pPr/>
      <w:r>
        <w:t>18.6.3 [CHALLENGE AND RECUSAL] A Party may challenge an expert for cause within the prescribed short period after receiving the relevant disclosure or learning of a new material fact. The challenge states specific reasons and does not rely solely on generalized appearance of bias. The appointing authority resolves the challenge promptly with reasons sufficient to show application of the conflict standard. Strategic or repetitive challenges do not suspend the proceeding beyond the time reasonably necessary to protect independence.</w:t>
      </w:r>
    </w:p>
    <w:p>
      <w:pPr/>
      <w:r>
        <w:t>18.6.4 [REPLACEMENT] An expert who is disqualified, voluntarily recuses, becomes unavailable, or cannot complete the work is replaced promptly where replacement is reasonably necessary. The panel may continue with a reduced number only where the remaining expertise is sufficient, procedural equality is preserved, and replacement would cause disproportionate delay relative to the technical question. Any decision to continue with fewer experts is reasoned and disclosed to the Parties. Prior work of the departing expert is used only to the extent independently reviewable by the remaining panel.</w:t>
      </w:r>
    </w:p>
    <w:p>
      <w:pPr/>
      <w:r>
        <w:t>18.6.5 [EX PARTE AND ASSISTANCE] Experts do not engage in substantive ex parte communication with a Party concerning the referred question. Material communications, questions, submissions, and responses are placed on the common record subject to confidentiality procedures. The panel may obtain approved technical assistance from staff or additional specialists where necessary and discloses the nature of that assistance. The final report includes an independence certification by the appointed experts.</w:t>
      </w:r>
    </w:p>
    <w:p>
      <w:pPr>
        <w:pStyle w:val="Heading2"/>
      </w:pPr>
      <w:r>
        <w:t>Article 18.7 - Party Participation and Procedural Equality</w:t>
      </w:r>
    </w:p>
    <w:p>
      <w:pPr/>
      <w:r>
        <w:t>18.7.1 [EQUAL SUBMISSIONS] Each Party receives an equal opportunity to submit evidence relevant to the approved technical question, identify methodological concerns, and address material assumptions. Submission limits may be imposed neutrally to preserve proportionality and timing. The panel considers substance rather than volume and does not prefer evidence merely because one Party submits more material. Equal opportunity does not require identical evidence where Parties possess different relevant information.</w:t>
      </w:r>
    </w:p>
    <w:p>
      <w:pPr/>
      <w:r>
        <w:t>18.7.2 [RESPONSES] Each Party receives an equal opportunity to respond to material new information introduced by another Party, the panel, an independent test, or an approved outside technical source. The panel does not rely materially on new information without providing a meaningful response opportunity unless an applicable urgent procedure expressly permits provisional treatment. Any provisional reliance is identified as such. Later finalization follows the applicable opportunity for response.</w:t>
      </w:r>
    </w:p>
    <w:p>
      <w:pPr/>
      <w:r>
        <w:t>18.7.3 [NO ADVERSE INFERENCE FROM SILENCE] A Party may decline to participate in all or part of the technical review without that choice alone creating an adverse inference. The panel may evaluate the existing record and identify evidentiary gaps caused by unavailable information. An adverse technical inference arises only where the controlling evidentiary rule permits it, the Party had control of specifically requested material evidence, and procedural fairness was provided. Chapter 18 does not invent a new sanction for nonparticipation.</w:t>
      </w:r>
    </w:p>
    <w:p>
      <w:pPr/>
      <w:r>
        <w:t>18.7.4 [OUTSIDE TECHNICAL INPUT] The panel may receive relevant technical information from qualified non-Party scientific institutions, laboratories, professional bodies, Indigenous knowledge holders, affected technical bodies, or other sources under procedures that preserve equality and reliability. Such information is disclosed to the Parties to the extent permitted by confidentiality rules and receives weight according to its provenance and methodological quality. Outside input does not create party status or a right to direct the proceeding. The panel records why material outside information was accepted and how it was used.</w:t>
      </w:r>
    </w:p>
    <w:p>
      <w:pPr/>
      <w:r>
        <w:t>18.7.5 [REASONED CONSIDERATION] The panel considers each material submission and addresses material methodological disagreements in the report. It explains why it materially discounts or rejects evidence, a methodology, or a technical proposition where that choice affects the result. Parties receive equal access to the non-confidential record and equal procedural access to the panel. Procedural equality does not require the panel to repeat cumulative evidence or answer immaterial arguments.</w:t>
      </w:r>
    </w:p>
    <w:p>
      <w:pPr>
        <w:pStyle w:val="Heading2"/>
      </w:pPr>
      <w:r>
        <w:t>Article 18.8 - Evidence and Methodological Standards</w:t>
      </w:r>
    </w:p>
    <w:p>
      <w:pPr/>
      <w:r>
        <w:t>18.8.1 [EVIDENCE STANDARD] The panel evaluates evidence according to reliability, relevance, methodological fitness, provenance, and the norms of the discipline appropriate to the approved question. No universal scientific checklist displaces discipline-specific standards. Reproducibility is required where appropriate to the method and question rather than as an automatic condition for every form of evidence. The panel explains material departures from widely accepted disciplinary practice.</w:t>
      </w:r>
    </w:p>
    <w:p>
      <w:pPr/>
      <w:r>
        <w:t>18.8.2 [SOURCE WEIGHT] Evidence is not preferred merely because it is voluminous, governmental, private, peer reviewed, unpublished, or produced by a particular institutional type. Peer-reviewed literature, government reports, gray literature, laboratory records, administrative data, and other technically relevant sources receive weight according to quality and fitness for the question. Where relevant and lawfully available, traditional and Indigenous knowledge may be considered using methods respectful of its provenance, context, governance, and agreed conditions of use. The report explains material differences in evidentiary weight.</w:t>
      </w:r>
    </w:p>
    <w:p>
      <w:pPr/>
      <w:r>
        <w:t>18.8.3 [TOTALITY AND REASONABLE COMPLETENESS] The panel evaluates the totality of relevant evidence rather than selecting isolated studies or observations that support a preferred conclusion, and it performs a reasonable completeness check for readily identifiable authoritative or materially contrary technical evidence necessary to avoid a curated evidentiary record. That check remains bounded by the approved question, applicable clock, proportionality, lawful access, and the panel's non-investigative role and does not create roving jurisdiction or a general duty to search every possible source. A single high-quality source may carry substantial weight where the discipline supports that result, while multiple weak, cumulative, or derivative sources do not become strong evidence by accumulation. Repetition of the same underlying information is not treated as independent corroboration, and material contrary evidence identified through the bounded check is disclosed to the Parties with an appropriate opportunity to respond.</w:t>
      </w:r>
    </w:p>
    <w:p>
      <w:pPr/>
      <w:r>
        <w:t>18.8.4 [ABSENCE DISTINCTION] The panel distinguishes absence of evidence from evidence of absence whenever that distinction is material. Failure to observe an effect does not establish that the effect cannot exist unless the study design, power, detection limits, and relevant conditions support that inference. Conversely, uncertainty does not establish that an effect exists. The report states the evidentiary basis for any conclusion concerning non-detection or absence.</w:t>
      </w:r>
    </w:p>
    <w:p>
      <w:pPr/>
      <w:r>
        <w:t>18.8.5 [EVIDENCE GAPS] The panel identifies material evidence gaps and, where useful, states what additional evidence could materially reduce uncertainty or resolve the approved question. It does not treat a gap as proof for either Party merely because the proceeding requires an answer. Requests for additional evidence remain proportionate to materiality, cost, time, and expected information value. The receiving authority determines the legal consequence of any unresolved gap under its controlling Chapter.</w:t>
      </w:r>
    </w:p>
    <w:p>
      <w:pPr>
        <w:pStyle w:val="Heading2"/>
      </w:pPr>
      <w:r>
        <w:t>Article 18.9 - Scientific Uncertainty and Competing Views</w:t>
      </w:r>
    </w:p>
    <w:p>
      <w:pPr/>
      <w:r>
        <w:t>18.9.1 [UNRESOLVED RESULT] The panel may conclude that available evidence does not presently resolve all or part of the approved question. It does not manufacture certainty to satisfy an administrative clock, produce a binary answer, or accommodate a preferred legal theory. An Unresolved Question is a valid technical outcome and is not treated as a finding for either Party. The receiving authority determines the legal consequence of unresolved science under its own Chapter.</w:t>
      </w:r>
    </w:p>
    <w:p>
      <w:pPr/>
      <w:r>
        <w:t>18.9.2 [CONFIDENCE CLASSIFICATION] Each material Technical Finding is assigned a confidence classification of High, Moderate, Low, or Unresolved unless the relevant discipline supports a more appropriate stated method. The classification describes technical confidence in the finding and does not imply a numerical probability unless the report expressly provides a justified probability estimate. The report identifies the principal factors supporting or limiting confidence. Confidence terminology does not alter a legal standard of proof.</w:t>
      </w:r>
    </w:p>
    <w:p>
      <w:pPr/>
      <w:r>
        <w:t>18.9.3 [COMPETING VIEWS] The panel identifies materially competing scientific or technical views that are supported by credible evidence and methodology. It does not suppress a technically credible minority view merely because a majority of appointed experts prefers another interpretation. Where the panel favors one view, it explains the evidentiary and methodological reasons. Genuine disagreement remains visible rather than being converted into artificial unanimity.</w:t>
      </w:r>
    </w:p>
    <w:p>
      <w:pPr/>
      <w:r>
        <w:t>18.9.4 [RISK AND UNCERTAINTY] The panel distinguishes risk from uncertainty where that distinction is material to the approved question. Uncertainty is not proof of no risk and is not proof of risk. Chapter 18 does not use scientific uncertainty to override precautionary authority, an appropriate level of protection, or another legal rule assigned to Chapter 14 or another controlling Chapter. It reports the technical state of knowledge and leaves the legal consequence to the competent authority.</w:t>
      </w:r>
    </w:p>
    <w:p>
      <w:pPr/>
      <w:r>
        <w:t>18.9.5 [REDUCING UNCERTAINTY] Where useful, the report identifies additional evidence, observation, testing, replication, or methodological development reasonably capable of reducing material uncertainty. It states expected information value and known limitations rather than promising that further study will necessarily resolve the question. Recommendations concerning additional technical work do not compel a Party to adopt a policy or incur disproportionate expense. Any later review remains subject to this Chapter's jurisdictional and procedural safeguards.</w:t>
      </w:r>
    </w:p>
    <w:p>
      <w:pPr>
        <w:pStyle w:val="Heading2"/>
      </w:pPr>
      <w:r>
        <w:t>Article 18.10 - Data Access, Reproducibility, and Automated Analysis</w:t>
      </w:r>
    </w:p>
    <w:p>
      <w:pPr/>
      <w:r>
        <w:t>18.10.1 [REVIEWABLE ANALYSIS] Material calculations, transformations, coding steps, model assumptions, and analytical procedures supporting a Technical Finding are documented sufficiently for meaningful expert review. The level of documentation reflects the relevant discipline, complexity, confidentiality, and materiality of the analysis. A result that cannot be meaningfully scrutinized does not carry decisive technical weight merely because it was produced by sophisticated software or a recognized institution. The report identifies material limits on reproducibility.</w:t>
      </w:r>
    </w:p>
    <w:p>
      <w:pPr/>
      <w:r>
        <w:t>18.10.2 [UNDERLYING DATA] The panel may request access to underlying data reasonably necessary to examine a material technical claim, subject to confidentiality, privacy, security, privilege, and lawful access constraints. Where complete access is unavailable, the panel considers whether summaries, secure-room access, controlled queries, synthetic data, independent validation, or another less intrusive method permits meaningful review. Inability to access data is recorded as a limitation rather than automatically treated as proof against the holder. The panel does not compel disclosure beyond authority supplied by the controlling procedure.</w:t>
      </w:r>
    </w:p>
    <w:p>
      <w:pPr/>
      <w:r>
        <w:t>18.10.3 [PROPRIETARY METHODS] A proprietary method may receive protection through confidentiality procedures but does not obtain immunity from meaningful technical scrutiny. Where protected source code or trade secrets need not be disclosed, the record preserves sufficient methodological description, version information, validation evidence, material parameters, and audit information to evaluate the result. If that information remains insufficient for meaningful scrutiny, the method does not carry decisive weight in a Technical Finding. Commercial sensitivity does not convert opacity into reliability.</w:t>
      </w:r>
    </w:p>
    <w:p>
      <w:pPr/>
      <w:r>
        <w:t>18.10.4 [AUTOMATED ANALYSIS] Statistical software, machine-learning systems, artificial-intelligence-assisted analysis, or other automated tools may support technical review where appropriate. A materially relied-upon automated result preserves the relevant tool or model version, material inputs, decision-relevant parameters or methodological description, output, validation information, and audit trail sufficient for meaningful independent review without requiring disclosure of protected source code. If meaningful review cannot be achieved, the output may assist inquiry or prioritization but does not materially support the final Technical Finding. Human approval does not cure an otherwise unreviewable automated evidentiary basis.</w:t>
      </w:r>
    </w:p>
    <w:p>
      <w:pPr/>
      <w:r>
        <w:t>18.10.5 [NO STATUS UPGRADE] Referral to Chapter 18 does not upgrade the evidentiary status of an ALVS Indicator, provisional record, disputed dataset, estimate, or other source merely because independent experts examine it. The panel evaluates each source according to its actual provenance, quality, limitations, and verification status. A derivative analysis does not become independent corroboration of the source from which it was derived. Chapter 17 classifications remain visible where Chapter 17 material enters the technical record.</w:t>
      </w:r>
    </w:p>
    <w:p>
      <w:pPr>
        <w:pStyle w:val="Heading2"/>
      </w:pPr>
      <w:r>
        <w:t>Article 18.11 - Confidential and Sensitive Information</w:t>
      </w:r>
    </w:p>
    <w:p>
      <w:pPr/>
      <w:r>
        <w:t>18.11.1 [PROTECTION] Confidential business information, protected personal data, security-sensitive information, privileged material, and other lawfully protected information receive safeguards appropriate to their classification and applicable law. Authorized experts may receive controlled access where access is necessary and legally permitted. Participation in Chapter 18 does not require public disclosure merely to obtain technical consideration. Confidentiality protection does not itself increase the evidentiary weight of protected material.</w:t>
      </w:r>
    </w:p>
    <w:p>
      <w:pPr/>
      <w:r>
        <w:t>18.11.2 [CONTROLLED RECORD] The review maintains a controlled record identifying protected submissions, authorized access, material handling, and any non-confidential substitute. Access is limited to persons whose participation reasonably requires it and who are bound by applicable confidentiality duties. Technical work products derived from protected information receive corresponding protection where disclosure would reveal the underlying protected content. Record controls remain auditable by the authority responsible for the proceeding.</w:t>
      </w:r>
    </w:p>
    <w:p>
      <w:pPr/>
      <w:r>
        <w:t>18.11.3 [NONCONFIDENTIAL SUMMARY AND MEANINGFUL SCRUTINY] A Party relying materially on confidential information provides a non-confidential summary sufficient to convey the substance, methodology, and relevance of the evidence where such a summary can be prepared without defeating lawful protection. Where confidentiality prevents a participating Party from meaningfully scrutinizing evidence material to a Technical Finding, the panel uses an authorized independent verification, secure review, controlled-access procedure, or comparable safeguard that provides an adequate procedural substitute where reasonably available. If meaningful scrutiny and an adequate substitute cannot be achieved, the panel reduces the permissible reliance or confidence assigned to that evidence and records the resulting limitation rather than allowing secrecy to become an unrebuttable evidentiary advantage. The panel structures its public reasoning to explain how protected evidence affected the analysis without revealing protected content.</w:t>
      </w:r>
    </w:p>
    <w:p>
      <w:pPr/>
      <w:r>
        <w:t>18.11.4 [SECURE REVIEW] The panel may use secure rooms, controlled electronic environments, restricted annexes, in-camera technical sessions, or comparable safeguards where necessary to examine protected material. Such procedures provide equal lawful access to participating Parties to the greatest extent compatible with the protection involved. A Party does not obtain protected information merely because another Party lawfully possesses it. The panel records material procedural limitations created by confidentiality.</w:t>
      </w:r>
    </w:p>
    <w:p>
      <w:pPr/>
      <w:r>
        <w:t>18.11.5 [RETENTION AND DISPOSITION] Protected material is retained, returned, archived, or destroyed according to applicable record-retention rules and the security classification governing the material. The panel does not promise destruction where law requires preservation. Access after the proceeding remains limited by the same or stronger protections applicable during review. Version history and auditability are preserved without unnecessary replication of protected content.</w:t>
      </w:r>
    </w:p>
    <w:p>
      <w:pPr>
        <w:pStyle w:val="Heading2"/>
      </w:pPr>
      <w:r>
        <w:t>Article 18.12 - Independent Testing, Replication, and Reanalysis</w:t>
      </w:r>
    </w:p>
    <w:p>
      <w:pPr/>
      <w:r>
        <w:t>18.12.1 [AUTHORITY TO REQUEST] Where existing evidence is insufficient to resolve a material technical issue, the panel may request proportionate replication, laboratory testing, reanalysis of existing data, independent calculation, or another technically appropriate validation step within authority supplied by the referral procedure. The request states the precise question the additional work is expected to address. Testing does not expand the substantive scope of the referral. A Party retains any objection or right provided by the controlling Chapter.</w:t>
      </w:r>
    </w:p>
    <w:p>
      <w:pPr/>
      <w:r>
        <w:t>18.12.2 [NECESSITY RECORD] Before requesting material new testing or replication, the panel explains why existing evidence is insufficient and why the proposed work is reasonably capable of improving the answer. It considers expected information value, materiality, cost, delay, feasibility, sample availability, commercial disruption, animal or environmental impacts where relevant, and methodological alternatives. Expensive or burdensome work is not requested merely because it could produce more data. The record identifies less burdensome alternatives considered.</w:t>
      </w:r>
    </w:p>
    <w:p>
      <w:pPr/>
      <w:r>
        <w:t>18.12.3 [PROPORTIONALITY FIREWALL] The burden of additional technical work remains proportionate to the importance and uncertainty of the question it is intended to resolve. The panel does not require a large-scale study where a materially less burdensome method can answer the question with comparable reliability. Cost alone does not bar necessary testing where the underlying matter is sufficiently material, but the panel explains that balance. Chapter 18 does not use technical perfection as a precondition for ordinary administration.</w:t>
      </w:r>
    </w:p>
    <w:p>
      <w:pPr/>
      <w:r>
        <w:t>18.12.4 [AGREED PROTOCOL] The Parties may agree on a testing, replication, or reanalysis protocol addressing method, sample handling, laboratory selection, quality controls, access, confidentiality, and reporting. The panel reviews the protocol for fitness to the approved question and records any material limitation. Failure to agree does not automatically terminate review where the panel can specify a neutral and proportionate method within its authority. No Party controls the result by unilaterally selecting the decisive method.</w:t>
      </w:r>
    </w:p>
    <w:p>
      <w:pPr/>
      <w:r>
        <w:t>18.12.5 [FAILED REPLICATION] Where attempted replication or reproduction fails, the panel identifies the steps taken, material differences from the original conditions, and plausible technical reasons for the divergence. Failure to reproduce a result does not automatically establish that the original result was invalid. The panel evaluates whether the divergence reflects method, data, conditions, error, random variation, or unresolved uncertainty. The report states the resulting confidence and limitations.</w:t>
      </w:r>
    </w:p>
    <w:p>
      <w:pPr>
        <w:pStyle w:val="Heading2"/>
      </w:pPr>
      <w:r>
        <w:t>Article 18.13 - Review Procedure and Clocks</w:t>
      </w:r>
    </w:p>
    <w:p>
      <w:pPr/>
      <w:r>
        <w:t>18.13.1 [COMPLETENESS] Within ten business days after receipt, the panel or designated secretariat determines whether the referral contains the approved question, receiving Chapter, materiality explanation, available record, confidentiality designations, and information reasonably necessary to begin. A completeness request identifies all known material deficiencies in one notice where practicable. Correction of a deficiency does not permit unrelated new completeness objections absent materially new information. The substantive clock begins when the referral is accepted as complete.</w:t>
      </w:r>
    </w:p>
    <w:p>
      <w:pPr/>
      <w:r>
        <w:t>18.13.2 [ORDINARY AND COMPLEX CLOCKS] An ordinary review reaches final report within one hundred twenty calendar days after acceptance. A genuinely complex review may use a one hundred eighty calendar day clock where the panel records before or promptly after acceptance why disciplinary breadth, testing, data volume, confidentiality, or comparable technical complexity makes the ordinary clock impracticable. Internal reassignment, expert replacement, administrative delay, or workload does not reset either clock. The Parties may jointly authorize a defined extension where necessary to protect the quality of review.</w:t>
      </w:r>
    </w:p>
    <w:p>
      <w:pPr/>
      <w:r>
        <w:t>18.13.3 [EXPEDITED TRACK AND TECHNICAL ADEQUACY] A referral involving perishables, an active commercial interruption, an outbreak, or another time-sensitive technical matter may use a forty-five calendar day expedited track where the panel determines that the available evidence, methodological complexity, required expertise, uncertainty, and procedural needs permit reliable examination within that period. A narrowly framed urgent perishable or active-interruption question may use a fifteen or thirty calendar day track only where the referring authority records the material urgency and the panel independently determines that the selected period is technically adequate rather than treating narrow wording as proof of simplicity. Where the requested accelerated period is technically inadequate, the panel assigns the shortest track reasonably capable of producing reliable work and may issue an explicitly provisional technical observation if immediate information is necessary before final review can be completed. Urgency does not manufacture scientific certainty or convert a provisional observation into a final Technical Finding.</w:t>
      </w:r>
    </w:p>
    <w:p>
      <w:pPr/>
      <w:r>
        <w:t>18.13.4 [PROCEDURAL STEPS] The applicable schedule provides reasonable periods for initial submissions, responses, panel questions, any technical presentation, draft findings, correction comments, and finalization according to the selected track. The panel may conduct oral technical presentations where they materially improve understanding and treats participating Parties equally. Procedural adjustments preserve the final clock unless the Parties jointly approve an extension or the controlling emergency procedure expressly provides otherwise. Internal panel organization does not suspend time.</w:t>
      </w:r>
    </w:p>
    <w:p>
      <w:pPr/>
      <w:r>
        <w:t>18.13.5 [DELAY] Where the panel expects to miss the applicable clock, it promptly states the reason, completed work, outstanding technical issue, and earliest reliable completion date. It issues an interim procedural report and, where technically justified, may identify provisional observations with explicit limitations. A missed clock does not authorize indefinite review or silently convert the matter to a longer track. The referring authority determines any consequence of delay under its own Chapter.</w:t>
      </w:r>
    </w:p>
    <w:p>
      <w:pPr>
        <w:pStyle w:val="Heading2"/>
      </w:pPr>
      <w:r>
        <w:t>Article 18.14 - Draft Findings and Technical Correction</w:t>
      </w:r>
    </w:p>
    <w:p>
      <w:pPr/>
      <w:r>
        <w:t>18.14.1 [DRAFT STAGE] Before finalization, the panel circulates draft Technical Findings, Methodological Observations, and Unresolved Questions to participating Parties subject to confidentiality protections. The draft stage allows identification of factual mistakes, methodological errors, misunderstood evidence, omitted material evidence, and material ambiguity. It is not a new round for changing the approved referral or relitigating legal positions. Draft findings have no independent legal effect.</w:t>
      </w:r>
    </w:p>
    <w:p>
      <w:pPr/>
      <w:r>
        <w:t>18.14.2 [COMMENT SCOPE] A Party commenting on draft findings identifies the specific passage, evidence, calculation, method, assumption, or omission challenged and explains the proposed correction. The panel may disregard repetitive, immaterial, purely legal, or policy submissions outside the technical correction function. Material new technical evidence is accepted only where it could not reasonably have been submitted earlier or where fairness requires consideration. Acceptance of late evidence provides an appropriate response opportunity to other participating Parties.</w:t>
      </w:r>
    </w:p>
    <w:p>
      <w:pPr/>
      <w:r>
        <w:t>18.14.3 [PANEL RESPONSE] The panel considers each material technical correction and revises the draft where warranted. The final report explains disposition of material methodological objections where the reason is not otherwise apparent from the revised analysis. Rejection of a correction does not require a paragraph-by-paragraph answer to cumulative arguments. The record preserves the draft and correction submissions under applicable confidentiality rules.</w:t>
      </w:r>
    </w:p>
    <w:p>
      <w:pPr/>
      <w:r>
        <w:t>18.14.4 [ERROR CORRECTION] A clerical, transcription, calculation, citation, or comparable technical mistake discovered after finalization may be corrected through a defined correction notice. The correction identifies the affected text, prior version, corrected version, reason, date, and whether the substantive conclusion changes. A correction that materially changes a Technical Finding triggers the procedural protection appropriate to that change rather than being disguised as clerical maintenance. Version history remains accessible to authorized reviewers.</w:t>
      </w:r>
    </w:p>
    <w:p>
      <w:pPr/>
      <w:r>
        <w:t>18.14.5 [NO LEGAL REARGUMENT] The draft and correction stages do not authorize Chapter 18 to reconsider legal interpretation, policy preference, or remedy. A Party that disagrees with the legal significance of a technically accurate finding raises that disagreement in the receiving Chapter. The panel does not alter a technical conclusion merely to harmonize it with a Party's desired legal outcome. Technical correction protects accuracy rather than bargaining position.</w:t>
      </w:r>
    </w:p>
    <w:p>
      <w:pPr>
        <w:pStyle w:val="Heading2"/>
      </w:pPr>
      <w:r>
        <w:t>Article 18.15 - Final Technical Report and Confidence Classification</w:t>
      </w:r>
    </w:p>
    <w:p>
      <w:pPr/>
      <w:r>
        <w:t>18.15.1 [REPORT CONTENTS] The final report states the approved question verbatim and identifies the evidence considered, methodology used, material assumptions, data limitations, relevant confidentiality constraints, and procedural steps. It distinguishes Technical Findings, Methodological Observations, and Unresolved Questions. Each material Technical Finding carries the applicable confidence classification and explanation. The report identifies what the evidence establishes, what it suggests, and what remains unresolved.</w:t>
      </w:r>
    </w:p>
    <w:p>
      <w:pPr/>
      <w:r>
        <w:t>18.15.2 [COMPETING VIEWS] The final report identifies materially competing technical views and the reasons the panel accepts, rejects, or remains uncertain between them. Where an appointed expert materially disagrees with the panel's principal technical conclusion, that expert may include a concise dissenting or separate technical opinion. A numerical majority does not transform uncertainty into scientific certainty. The report states areas of consensus separately from material disagreement.</w:t>
      </w:r>
    </w:p>
    <w:p>
      <w:pPr/>
      <w:r>
        <w:t>18.15.3 [REASONING] Technical conclusions are supported by reasoning sufficient for a competent independent expert to understand how the panel moved from evidence and method to result. The report does not conceal decisive assumptions in appendices or unexplained model outputs. Technical annexes may contain detailed calculations, protocols, tables, code descriptions, or methodological material where necessary. The principal report includes a non-technical executive explanation without sacrificing the precision of the full technical reasoning.</w:t>
      </w:r>
    </w:p>
    <w:p>
      <w:pPr/>
      <w:r>
        <w:t>18.15.4 [LIMITATIONS] The report states material limitations affecting scope, generalizability, detection, reproducibility, confidence, or interpretation. It does not present a finding outside the population, conditions, period, or methodology that the evidence supports. A limitation does not nullify an otherwise useful finding but remains visible when the receiving authority applies it. Later users do not strip a Technical Finding from its stated limitations.</w:t>
      </w:r>
    </w:p>
    <w:p>
      <w:pPr/>
      <w:r>
        <w:t>18.15.5 [INDEPENDENCE CERTIFICATION] The final report identifies appointed experts and approved technical assistance and includes the experts' certification that they acted independently under this Chapter. It records unresolved material conflicts or procedural limitations, if any, that could affect confidence. The report does not imply unanimity where a separate technical opinion exists. Certification concerns process and independence rather than legal validity.</w:t>
      </w:r>
    </w:p>
    <w:p>
      <w:pPr>
        <w:pStyle w:val="Heading2"/>
      </w:pPr>
      <w:r>
        <w:t>Article 18.16 - Effect, Routing, and Subsequent Legal Use</w:t>
      </w:r>
    </w:p>
    <w:p>
      <w:pPr/>
      <w:r>
        <w:t>18.16.1 [TRANSMISSION] The final report is transmitted simultaneously to the referring authority and participating Parties subject to lawful confidentiality restrictions. The receiving authority places the report in the record of the function for which it was requested. Transmission completes Chapter 18's assigned examination unless a supplemental question, correction, or reconsideration is properly initiated. Chapter 18 does not supervise subsequent legal use.</w:t>
      </w:r>
    </w:p>
    <w:p>
      <w:pPr/>
      <w:r>
        <w:t>18.16.2 [OWN LEGAL TEST] The receiving authority applies the legal test, burden rules, discretion, procedural safeguards, and remedy limits assigned by its controlling Chapter. A Technical Finding does not automatically create a violation, SPS action, origin determination, recognition decision, Cothrom Cure, suspension, compensation obligation, or remedy. The receiving authority states how material Technical Findings affected its reasoning where its governing procedure requires reasons. Technical expertise does not displace the authority's independent legal responsibility.</w:t>
      </w:r>
    </w:p>
    <w:p>
      <w:pPr/>
      <w:r>
        <w:t>18.16.3 [DEPARTURE] A receiving authority may reach a legal outcome that does not follow the panel's technical conclusion where the controlling law permits that result. It does not rewrite the Technical Finding to conceal the departure. Where reasons are required, it explains the legal or evidentiary basis for using, limiting, or departing from the report. Chapter 18 remains a source of technical analysis rather than an appellate body over the receiving authority.</w:t>
      </w:r>
    </w:p>
    <w:p>
      <w:pPr/>
      <w:r>
        <w:t>18.16.4 [SUPPLEMENTAL REVIEW] A receiving authority may request a supplemental technical review where the original question was materially incomplete, a necessary technical dependency emerged, or clarification is genuinely required. The supplemental referral states the new or clarified question and does not reopen resolved matters merely because a Party dislikes the result. The panel uses the existing record where appropriate and avoids duplicative procedure. A supplemental review receives a proportionate clock and the same jurisdictional safeguards.</w:t>
      </w:r>
    </w:p>
    <w:p>
      <w:pPr/>
      <w:r>
        <w:t>18.16.5 [PUBLIC VERSION AND RECORD] A non-confidential version of the final report is published where lawful and practicable after necessary protection of confidential and sensitive information. The technical record is retained for the period established by implementing rules or applicable law to support audit, correction, reconsideration, and later lawful review. Public materials clearly distinguish Technical Findings from Legal Findings and subsequent governmental decisions. Publication does not enlarge the report's legal effect.</w:t>
      </w:r>
    </w:p>
    <w:p>
      <w:pPr>
        <w:pStyle w:val="Heading2"/>
      </w:pPr>
      <w:r>
        <w:t>Article 18.17 - Reconsideration, New Evidence, and No Epistemic Ratchet</w:t>
      </w:r>
    </w:p>
    <w:p>
      <w:pPr/>
      <w:r>
        <w:t>18.17.1 [RECONSIDERATION GROUNDS] A final Technical Finding may be reconsidered only on materially new scientific or technical evidence that could not reasonably have been available earlier, a material methodological development, or demonstrated material error in the original analysis. Disagreement with the result, a change in legal strategy, or the availability of another expert willing to express a different unsupported opinion is insufficient. The requesting Party identifies the precise ground and explains its material effect on the finding. Reconsideration is exceptional rather than a routine second review.</w:t>
      </w:r>
    </w:p>
    <w:p>
      <w:pPr/>
      <w:r>
        <w:t>18.17.2 [GATE DECISION] The panel or designated appointing authority determines within twenty business days whether the stated reconsideration ground is facially sufficient and material. The gate decision does not decide the merits of the new evidence or methodology. If accepted, the review is limited to the portions of the report materially affected by the ground. If rejected, the reason is recorded without reopening the original technical merits.</w:t>
      </w:r>
    </w:p>
    <w:p>
      <w:pPr/>
      <w:r>
        <w:t>18.17.3 [NO AUTOMATIC SUSPENSION] A reconsideration request does not automatically suspend the status or legal use of the original Technical Finding. The receiving Chapter determines whether its own action is stayed, adjusted, or maintained while reconsideration proceeds. Where new evidence creates a serious technical reason to question immediate reliance, Chapter 18 may identify that fact without ordering a legal stay. Legal effect remains outside Chapter 18.</w:t>
      </w:r>
    </w:p>
    <w:p>
      <w:pPr/>
      <w:r>
        <w:t>18.17.4 [NO EPISTEMIC RATCHET AND LEGAL FINALITY] A Technical Finding does not become permanent scientific truth merely because it was final when issued, and materially better evidence, a material methodological advance, or demonstrated material error may justify a different later Technical Finding through this Chapter. A revised or reconsidered Technical Finding operates prospectively for technical purposes unless the controlling Chapter independently provides a legal basis for reopening an earlier completed determination. Chapter 18 does not by itself reopen, invalidate, or retroactively unsettle accrued rights, completed remedies, final dispute findings, finalized individual decisions, or other legally completed acts, and later scientific change does not characterize an earlier good-faith finding as improper merely because knowledge evolved. The record preserves the relevant versions, explains the basis for technical change, and leaves any authorized question of retroactive or reopening effect to the competent Chapter.</w:t>
      </w:r>
    </w:p>
    <w:p>
      <w:pPr/>
      <w:r>
        <w:t>18.17.5 [ANTI DO OVER] A Party does not obtain serial reconsideration by repackaging substantially the same evidence, methodology, or objection. Repeated requests are screened against the prior record and require a genuinely new qualifying ground. The process protects openness to scientific development without rewarding forum shopping or expert shopping. Finality governs until the reconsideration threshold is actually met.</w:t>
      </w:r>
    </w:p>
    <w:p>
      <w:pPr>
        <w:pStyle w:val="Heading2"/>
      </w:pPr>
      <w:r>
        <w:t>Article 18.18 - Final Jurisdictional and Cross-Chapter Safeguards</w:t>
      </w:r>
    </w:p>
    <w:p>
      <w:pPr/>
      <w:r>
        <w:t>18.18.1 [CHAPTER 17 INTERFACE] Chapter 17 may refer a technical question to Chapter 18 only within Chapter 17's own jurisdiction and evidentiary status. Chapter 18 examination does not transform an Indicator, provisional record, estimate, disputed dataset, or Verified Implementation Finding into a Legal Finding. Chapter 18 returns its technical product to ALVS or the competent receiving Chapter without acquiring ALVS measurement jurisdiction. Neither Chapter enlarges the other by referral.</w:t>
      </w:r>
    </w:p>
    <w:p>
      <w:pPr/>
      <w:r>
        <w:t>18.18.2 [CHAPTER 14 TO 16 INTERFACE] Where a referral arises from Chapters 14, 15, or 16, Chapter 18 respects the substantive authority, burdens, emergency powers, appropriate level of protection, recognition rules, regulatory safeguards, and individual-decision boundaries assigned there. Technical review does not suspend a lawful emergency measure merely because scientific uncertainty remains. It does not make an individual SPS, equivalence, recognition, licensing, facility, or regulatory determination unless the controlling Chapter expressly assigns a narrow technical fact-finding function. The substantive Chapter controls legal consequence.</w:t>
      </w:r>
    </w:p>
    <w:p>
      <w:pPr/>
      <w:r>
        <w:t>18.18.3 [CHAPTER 25 INTERFACE] Chapter 25 may use Chapter 18 to examine an objectively framed technical question relevant to cure or Restoration. Chapter 18 does not decide whether a Party legally cured a breach, whether Restoration is legally due, or whether a cure measure is reasonable or proportionate. It may determine technical facts or performance characteristics expressly referred for that purpose. Chapter 25 applies those facts through its own cure and Restoration rules.</w:t>
      </w:r>
    </w:p>
    <w:p>
      <w:pPr/>
      <w:r>
        <w:t>18.18.4 [CHAPTER 26 INTERFACE] Chapter 26 may receive or request Chapter 18 technical analysis without converting Chapter 18 into a dispute panel or Chapter 26 into an unrestricted technical investigation. A dispute panel retains responsibility for legal interpretation, burden allocation, findings of breach, defenses, and remedies. Chapter 18 experts remain confined to the approved technical question and may be questioned about methodology within procedures established by Chapter 26. Technical disagreement does not itself determine the dispute.</w:t>
      </w:r>
    </w:p>
    <w:p>
      <w:pPr/>
      <w:r>
        <w:t>18.18.5 [FINAL SAFEGUARD] No referral, roster practice, technical report, database, algorithm, scientific reputation, repeated citation, institutional convenience, or political agreement outside the Compact creates Chapter 18 authority beyond its express text. The review function remains narrowly scoped, procedurally neutral, scientifically candid about uncertainty, and constitutionally separate from regulation, cure, and adjudication. It answers the technical question it was authorized to examine and stops when that work is complete. Any broader authority requires an amendment or technical amendment under Chapter 29.</w:t>
      </w:r>
    </w:p>
    <w:p>
      <w:pPr>
        <w:pStyle w:val="Heading1"/>
      </w:pPr>
      <w:r>
        <w:t>Chapter 19 - Transition Safeguards and Emergency Measures</w:t>
      </w:r>
    </w:p>
    <w:p>
      <w:pPr/>
      <w:r>
        <w:t xml:space="preserve">This Chapter establishes exceptional, temporary, and targeted transition safeguards and emergency measures while preserving liberalization as the baseline, requiring causation and evidence, preventing permanent ratchets, and restoring the underlying Compact treatment automatically.</w:t>
      </w:r>
    </w:p>
    <w:p>
      <w:pPr>
        <w:pStyle w:val="Heading2"/>
      </w:pPr>
      <w:r>
        <w:t>Article 19.1 - Purpose, Scope, and Safeguard Character</w:t>
      </w:r>
    </w:p>
    <w:p>
      <w:pPr/>
      <w:r>
        <w:t>19.1.1 [BASELINE] Liberalized treatment under this Compact remains the baseline, and Chapter 19 provides only exceptional, temporary, and targeted authority to address a qualifying transition disruption. A Transition Safeguard adjusts treatment only to the extent expressly permitted by this Chapter and does not suspend the Compact as a whole. An Emergency Measure is a provisional form of Chapter 19 action used only where delay through the ordinary procedure would create material and difficult-to-reverse harm. Neither form of action renegotiates the underlying obligation or converts temporary protection into permanent treatment.</w:t>
      </w:r>
    </w:p>
    <w:p>
      <w:pPr/>
      <w:r>
        <w:t>19.1.2 [COVERED TRADE] This Chapter applies only to covered agricultural goods and qualifying originating trade within the scope of the Compact. It does not create authority over non-originating goods except to the extent evidence concerning those goods is relevant to causation or attribution. Each Party retains its independent external trade policy toward non-Parties subject to its other international obligations. A Chapter 19 measure identifies the originating trade and Product Record IDs to which the temporary adjustment applies.</w:t>
      </w:r>
    </w:p>
    <w:p>
      <w:pPr/>
      <w:r>
        <w:t>19.1.3 [RIGHTS PRESERVED] A Transition Safeguard or Emergency Measure does not erase a Vested Market-Access Right, Zero-Line Status, origin status, completed transition increment, or unrelated Compact right. The measure operates as a temporary overlay on the legal treatment otherwise controlling. Registry records preserve both the underlying treatment and the temporary overlay as distinct fields. Expiry or termination removes the overlay without requiring recreation of the underlying right.</w:t>
      </w:r>
    </w:p>
    <w:p>
      <w:pPr/>
      <w:r>
        <w:t>19.1.4 [NONDISCRIMINATION] A Party applies a Chapter 19 measure without arbitrary discrimination among the other Parties where materially comparable conditions exist. Different treatment is permitted only to the extent reliable evidence establishes a material difference in causation, product exposure, implementation, or the qualifying condition. The written determination identifies the evidence supporting any Party-specific distinction. Political preference, negotiating leverage, or unrelated bilateral disagreement does not establish a material difference.</w:t>
      </w:r>
    </w:p>
    <w:p>
      <w:pPr/>
      <w:r>
        <w:t>19.1.5 [NO NEW TARIFF AUTHORITY] Chapter 19 creates no general authority to impose a tariff, quota, fee, licensing restraint, or other trade restriction that is otherwise prohibited by the Compact. A temporary adjustment is available only in the form and within the limits expressly authorized by this Chapter and the applicable Annex schedule. The existence of serious economic difficulty does not independently create a power omitted from the Compact. Formal amendment under Chapter 29 remains necessary for any permanent expansion of safeguard authority.</w:t>
      </w:r>
    </w:p>
    <w:p>
      <w:pPr>
        <w:pStyle w:val="Heading2"/>
      </w:pPr>
      <w:r>
        <w:t>Article 19.2 - Exclusive Grounds and Thresholds</w:t>
      </w:r>
    </w:p>
    <w:p>
      <w:pPr/>
      <w:r>
        <w:t>19.2.1 [EXCLUSIVE GROUNDS] A Party invokes Chapter 19 only on a ground expressly identified in this Article and states that ground in the initiating notice and final determination. Qualifying grounds are Serious Transition Injury, threat of Serious Transition Injury, Severe Market Disruption materially tied to Compact liberalization, Extraordinary Supply Displacement, or a qualifying emergency condition within Article 19.6. General economic difficulty, political concern, or sectoral dissatisfaction is not an independent ground. The invoking Party bears the burden of establishing every element of the selected ground.</w:t>
      </w:r>
    </w:p>
    <w:p>
      <w:pPr/>
      <w:r>
        <w:t>19.2.2 [SERIOUS TRANSITION INJURY] Serious Transition Injury means a significant overall impairment of the position of affected domestic producers of the like or directly competitive agricultural good during the relevant transition period. The determination evaluates production, sales, market share, prices, employment, inventories, capacity utilization, profitability, and other indicators materially relevant to the sector rather than relying on a single unfavorable metric. Temporary or ordinary commercial fluctuation does not by itself establish serious injury. The record explains why the impairment exceeds adjustment reasonably expected from ordinary competition under the Compact.</w:t>
      </w:r>
    </w:p>
    <w:p>
      <w:pPr/>
      <w:r>
        <w:t>19.2.3 [THREAT OF INJURY] A threat of Serious Transition Injury is established only by objective evidence showing that serious injury is clearly impending and not merely alleged, conjectural, or remotely possible. The analysis identifies the expected time horizon, projected import or market conditions, relevant capacity or supply developments, and the factual basis for the projection. A threat determination gives particular weight to recent and verifiable trends while disclosing material uncertainty. Preventive action does not rest solely on lobbying statements, unsupported forecasts, or a desire to avoid ordinary adjustment.</w:t>
      </w:r>
    </w:p>
    <w:p>
      <w:pPr/>
      <w:r>
        <w:t>19.2.4 [SEVERE MARKET DISRUPTION] Severe Market Disruption exists where a rapid and material change in qualifying originating trade produces an exceptional disturbance in the affected market that is materially greater than normal transition volatility. The Party identifies the product, geographic market where relevant, transition increment, magnitude, duration, and measurable commercial effects of the disturbance. A price decline or import increase alone does not establish severe disruption without evidence of material market impairment and causal connection. The determination distinguishes temporary volatility from a disruption warranting exceptional action.</w:t>
      </w:r>
    </w:p>
    <w:p>
      <w:pPr/>
      <w:r>
        <w:t>19.2.5 [EXTRAORDINARY SUPPLY DISPLACEMENT] Extraordinary Supply Displacement exists where qualifying originating trade unexpectedly displaces domestic supply at a magnitude and speed that materially impairs orderly transition and cannot reasonably be absorbed through ordinary adjustment mechanisms. The analysis considers baseline trade, expected transition volumes, inventories, contracts, production cycles, perishability, storage capacity, and other sector-specific conditions. Displacement expected and expressly accommodated by the applicable transition schedule does not become extraordinary merely because affected producers oppose it. The Party explains why the event materially departs from the transition path contemplated by the Compact.</w:t>
      </w:r>
    </w:p>
    <w:p>
      <w:pPr>
        <w:pStyle w:val="Heading2"/>
      </w:pPr>
      <w:r>
        <w:t>Article 19.3 - Causation and Attribution</w:t>
      </w:r>
    </w:p>
    <w:p>
      <w:pPr/>
      <w:r>
        <w:t>19.3.1 [CAUSAL LINK] A Party establishes a material causal link between the relevant Compact liberalization and the injury, disruption, or displacement relied upon for Chapter 19 action. Temporal sequence alone does not satisfy the causation requirement. The analysis identifies the mechanism through which the relevant transition change materially contributed to the qualifying condition. Where evidence supports only association and not material causation, a safeguard is not imposed on that basis.</w:t>
      </w:r>
    </w:p>
    <w:p>
      <w:pPr/>
      <w:r>
        <w:t>19.3.2 [OTHER CAUSES] The causation analysis separately examines other material causes reasonably capable of producing the observed condition, including weather, disease, exchange-rate movements, third-country imports, domestic policy changes, technological change, input costs, demand shocks, and supply-chain disruption. Harm attributable to another cause is not silently attributed to Compact liberalization. The written determination explains the relative importance of material alternative causes to the extent the evidence permits. Uncertainty in attribution is disclosed rather than resolved automatically against originating trade.</w:t>
      </w:r>
    </w:p>
    <w:p>
      <w:pPr/>
      <w:r>
        <w:t>19.3.3 [BASELINE AND COUNTERFACTUAL] Where reasonably practicable, the Party uses a documented baseline, counterfactual, or comparable analytical method to test whether the qualifying condition materially differs from what likely would have occurred without the relevant transition change. The method identifies its assumptions, data period, limitations, and sensitivity to material alternative assumptions. A model is not required where reliable direct evidence establishes causation more appropriately for the sector. Methodological sophistication does not substitute for transparent reasoning or reliable inputs.</w:t>
      </w:r>
    </w:p>
    <w:p>
      <w:pPr/>
      <w:r>
        <w:t>19.3.4 [NON-ATTRIBUTION] Where multiple causes contribute to Serious Transition Injury, threat thereof, Severe Market Disruption, or Extraordinary Supply Displacement, the determination separates and evaluates the injury properly attributable to causes other than the relevant Compact liberalization. Injury caused by weather, disease, exchange-rate movement, third-country trade, domestic policy, technology, input costs, demand change, supply-chain disruption, or another independent cause is not attributed to the Compact merely because it occurs during the same period. The existence of other causes does not defeat a safeguard where the relevant liberalization independently makes the contribution required by this Chapter, but the scope and intensity of the safeguard do not charge to that liberalization injury properly attributable to those other causes. The written determination explains the attribution method, material interactions among causes, uncertainty, and how non-attributed injury affected the selected measure.</w:t>
      </w:r>
    </w:p>
    <w:p>
      <w:pPr/>
      <w:r>
        <w:t>19.3.5 [POST IMPOSITION REVIEW] Each continuing safeguard includes a scheduled causation review using materially current evidence after imposition. The review tests whether the original causal connection remains material and whether intervening events have become the predominant cause of the continuing condition. A safeguard is reduced or terminated where the qualifying Compact-related cause no longer supports its existing scope or intensity. Continuation does not rest solely on the validity of the original determination.</w:t>
      </w:r>
    </w:p>
    <w:p>
      <w:pPr>
        <w:pStyle w:val="Heading2"/>
      </w:pPr>
      <w:r>
        <w:t>Article 19.4 - Evidence, Burden, and Determination Standard</w:t>
      </w:r>
    </w:p>
    <w:p>
      <w:pPr/>
      <w:r>
        <w:t>19.4.1 [OBJECTIVE EVIDENCE] A Chapter 19 determination rests on objective, contemporaneous, and reasonably representative evidence appropriate to the claimed condition. The record identifies the evidence period, affected product and producer population, data sources, methodology, material assumptions, and known limitations. Material uncertainty and materially contrary evidence remain visible in the determination. Anecdote may identify a matter for examination but does not substitute for the evidentiary showing required by this Chapter.</w:t>
      </w:r>
    </w:p>
    <w:p>
      <w:pPr/>
      <w:r>
        <w:t>19.4.2 [BURDEN] The Party invoking or renewing a safeguard bears the burden of establishing the applicable ground, causation, scope, necessity, and duration required by this Chapter. That burden does not shift merely because another Party possesses relevant information or disputes the proposed measure. Failure of an affected Party to participate does not relieve the invoking Party of its affirmative showing. Evidentiary inferences are used only where expressly permitted by the controlling procedure and supported by fair notice.</w:t>
      </w:r>
    </w:p>
    <w:p>
      <w:pPr/>
      <w:r>
        <w:t>19.4.3 [ALVS USE] Information from Chapter 17 may inform the Chapter 19 record according to its actual provenance, verification status, scope, and limitations. An ALVS Indicator or provisional analytical record does not automatically establish a safeguard trigger, injury, causation, or legal entitlement to act. A Verified Implementation Finding establishes only the objectively measured facts within Chapter 17 competence. Chapter 19 independently applies its own legal requirements to any Chapter 17 material.</w:t>
      </w:r>
    </w:p>
    <w:p>
      <w:pPr/>
      <w:r>
        <w:t>19.4.4 [CHAPTER 18 USE] Chapter 18 may examine a properly referred technical or scientific question material to a Chapter 19 determination. A Technical Finding does not decide Serious Transition Injury, Severe Market Disruption, causation as a legal standard, necessity, or the legality of a safeguard. Chapter 19 states how material technical findings were used while independently applying its legal test and burden rules. An unresolved technical question remains unresolved unless the controlling Chapter 19 standard supplies a lawful consequence for that uncertainty.</w:t>
      </w:r>
    </w:p>
    <w:p>
      <w:pPr/>
      <w:r>
        <w:t>19.4.5 [REASONED DETERMINATION] Every safeguard determination is written, reasoned, dated, and sufficiently specific to permit meaningful review. It states the ground invoked, evidence relied upon, causation analysis, alternative causes considered, product scope, measure selected, alternatives considered, commencement, duration, review dates, relaxation path, and restoration rule. Material contrary submissions receive a reasoned response rather than silent omission. The determination remains distinct from any enforcement, penalty, cure, or dispute finding arising elsewhere in the Compact.</w:t>
      </w:r>
    </w:p>
    <w:p>
      <w:pPr>
        <w:pStyle w:val="Heading2"/>
      </w:pPr>
      <w:r>
        <w:t>Article 19.5 - Ordinary Transition Safeguard Procedure</w:t>
      </w:r>
    </w:p>
    <w:p>
      <w:pPr/>
      <w:r>
        <w:t>19.5.1 [NOTICE OF INTENT] Before imposing an ordinary Transition Safeguard, the invoking Party provides written notice to the other Parties and records the proposed action in the safeguard docket. The notice identifies the affected goods, Product Record IDs, asserted ground, relevant transition change, proposed measure, anticipated duration, and responsible authority. It includes or links to the non-confidential evidence package supporting initiation. Notice begins the consultation and response period but does not prejudge the final determination.</w:t>
      </w:r>
    </w:p>
    <w:p>
      <w:pPr/>
      <w:r>
        <w:t>19.5.2 [EVIDENCE PACKAGE] The initiating evidence package contains the data and analysis reasonably necessary to understand the asserted trigger, causation, scope, and proposed response. Confidential material is handled under applicable protection rules while a meaningful non-confidential explanation is provided where lawful. Material later-added evidence is promptly disclosed with a fair opportunity to respond. The record distinguishes evidence available at initiation from evidence developed during the proceeding.</w:t>
      </w:r>
    </w:p>
    <w:p>
      <w:pPr/>
      <w:r>
        <w:t>19.5.3 [CONSULTATION] The Parties consult promptly after initiation with the objective of clarifying facts, testing alternatives, and avoiding unnecessary disruption. Consultation does not require the invoking Party to abandon a measure supported by this Chapter and does not authorize another Party to veto lawful action. The invoking Party considers materially less disruptive workable alternatives presented during consultation. Failure to reach agreement does not suspend the decision clock.</w:t>
      </w:r>
    </w:p>
    <w:p>
      <w:pPr/>
      <w:r>
        <w:t>19.5.4 [RESPONSE AND CLOCK] An affected Party receives at least fifteen business days after a complete ordinary notice to submit evidence and written observations unless the Parties agree to a longer period. The invoking authority issues its determination within forty-five calendar days after the ordinary record becomes complete, subject to one recorded extension of no more than thirty calendar days for exceptional evidentiary complexity. Internal workload, reassignment, or political review does not reset the clock. A material late submission receives a fair but bounded response opportunity without creating serial clock resets.</w:t>
      </w:r>
    </w:p>
    <w:p>
      <w:pPr/>
      <w:r>
        <w:t>19.5.5 [PUBLICATION] The final ordinary determination is published promptly in non-confidential form and entered in the Chapter 19 safeguard register. The entry identifies the measure, affected Product Record IDs, commencement, scheduled expiry, review dates, and restoration status. Confidential information is protected without concealing the legal and evidentiary basis necessary to understand the action. An ordinary safeguard does not take effect before the final determination unless Article 19.6 independently authorizes emergency provisional action.</w:t>
      </w:r>
    </w:p>
    <w:p>
      <w:pPr>
        <w:pStyle w:val="Heading2"/>
      </w:pPr>
      <w:r>
        <w:t>Article 19.6 - Emergency Provisional Action</w:t>
      </w:r>
    </w:p>
    <w:p>
      <w:pPr/>
      <w:r>
        <w:t>19.6.1 [EMERGENCY THRESHOLD] Emergency provisional action is available only where waiting for completion of Article 19.5 would create material and difficult-to-reverse harm connected to a qualifying Chapter 19 ground. The invoking Party records the facts establishing urgency and explains why ordinary interim commercial adjustment is inadequate. Political urgency, a scheduled announcement, or pressure to demonstrate action does not satisfy the threshold. The burden remains on the invoking Party throughout the provisional period.</w:t>
      </w:r>
    </w:p>
    <w:p>
      <w:pPr/>
      <w:r>
        <w:t>19.6.2 [NARROW ACTION] An Emergency Measure is limited to the narrowest product scope, intensity, and administrative form reasonably capable of addressing the immediate qualifying condition pending review. It does not exceed the scope of an ordinary safeguard that could lawfully be imposed on the evidence then available. Where uncertainty concerns only part of the product scope, provisional treatment is confined accordingly. Emergency authority does not create a presumption that the eventual ordinary safeguard is justified.</w:t>
      </w:r>
    </w:p>
    <w:p>
      <w:pPr/>
      <w:r>
        <w:t>19.6.3 [RAPID NOTICE] The invoking Party notifies the other Parties and enters the Emergency Measure in the safeguard docket no later than forty-eight hours after the measure takes effect. The notice identifies the trigger, affected goods, Product Record IDs, immediate evidence, provisional treatment, commencement, automatic expiry date, and responsible authority. A non-confidential evidence package accompanies the notice or follows as soon as technically practicable within the same forty-eight-hour period. Any unavoidable omission is identified specifically and supplied promptly rather than used to delay review.</w:t>
      </w:r>
    </w:p>
    <w:p>
      <w:pPr/>
      <w:r>
        <w:t>19.6.4 [ACCELERATED REVIEW] The invoking authority completes an accelerated confirmation review within fifteen calendar days after emergency action unless technical complexity requires a thirty-calendar-day track stated in the initial notice. The review tests the emergency threshold, underlying safeguard ground, causation, scope, and continuing necessity using the best evidence reasonably available. Chapter 18 may support a technically adequate urgent referral without converting a provisional observation into a final legal determination. Failure to affirm the measure within the applicable period causes automatic expiry at the end of that period.</w:t>
      </w:r>
    </w:p>
    <w:p>
      <w:pPr/>
      <w:r>
        <w:t>19.6.5 [FAILED PROVISIONAL ACTION AND REPEAT EMERGENCY] A provisional Emergency Measure that expires or is withdrawn without confirmation does not support a substantially equivalent new provisional measure on substantially the same underlying condition merely because additional evidence later becomes available. A new provisional measure requires a materially changed emergency condition, a genuinely independent intervening event, or other materially new facts showing that waiting for the ordinary procedure would now create Material and Difficult-to-Reverse Harm. Additional evidence that merely strengthens, reframes, or relabels the record concerning substantially the same failed emergency proceeds through the ordinary safeguard procedure unless the changed-condition requirement is independently met. The invoking Party records the prior provisional action, the asserted change, the causal relationship between the two events, and the reasons emergency treatment rather than ordinary procedure is again necessary.</w:t>
      </w:r>
    </w:p>
    <w:p>
      <w:pPr>
        <w:pStyle w:val="Heading2"/>
      </w:pPr>
      <w:r>
        <w:t>Article 19.7 - Product, Geographic, and Measure Specificity</w:t>
      </w:r>
    </w:p>
    <w:p>
      <w:pPr/>
      <w:r>
        <w:t>19.7.1 [PRODUCT RECORD] A safeguard identifies affected goods through Product Record IDs wherever the registry provides them and otherwise through the most precise available tariff or product description. The scope corresponds to the goods for which causation and the qualifying condition are established. Sector-wide treatment is not used where reliable evidence supports action only for a narrower product class. Ambiguity in product coverage is resolved through prompt clarification rather than opportunistic expansion.</w:t>
      </w:r>
    </w:p>
    <w:p>
      <w:pPr/>
      <w:r>
        <w:t>19.7.2 [GEOGRAPHIC SCOPE] Where the demonstrated condition is materially regional and domestic law permits geographically differentiated administration, the Party considers whether a regional response can address the condition without broader restriction. A national measure requires evidence explaining why regional action is impracticable, ineffective, or inconsistent with the relevant market structure. Geographic specificity does not permit discrimination among originating goods unrelated to the demonstrated condition. The determination records the geographic analysis where it is material.</w:t>
      </w:r>
    </w:p>
    <w:p>
      <w:pPr/>
      <w:r>
        <w:t>19.7.3 [TRANSITION INCREMENT] The determination identifies the transition increment, access change, tariff elimination step, or other Compact liberalization materially connected to the asserted condition. A safeguard does not reverse earlier completed transition increments that are not causally implicated. Where only the most recent increment is implicated, the temporary adjustment is calibrated to that increment unless stronger evidence supports a broader response. This rule prevents a current disruption from becoming a basis to reopen the entire transition history.</w:t>
      </w:r>
    </w:p>
    <w:p>
      <w:pPr/>
      <w:r>
        <w:t>19.7.4 [GEOGRAPHIC ANTI-FRAGMENTATION] Geographic specificity does not permit a Party to multiply or sequence substantially overlapping safeguards arising from the same underlying transition event through provinces, states, territories, regions, customs districts, agencies, or other administrative subdivisions. For duration, renewal, successive-measure, and anti-circumvention purposes, measures with materially overlapping goods, causal ancestry, affected market conditions, and protective economic effect are assessed together notwithstanding differences in geographic boundary or administering authority. A genuinely distinct regional event may support distinct treatment where the record establishes an independent causal condition rather than a subdivision of the same national or multi-regional disruption. The determination identifies overlapping measures and explains whether they are aggregated or treated separately under this rule.</w:t>
      </w:r>
    </w:p>
    <w:p>
      <w:pPr/>
      <w:r>
        <w:t>19.7.5 [EXPRESS EXCLUSIONS] A safeguard determination states material exclusions necessary to prevent its scope from capturing goods, regions, uses, or transition increments not supported by the evidence. Customs and administering authorities implement those exclusions in operational instructions at the same time the measure takes effect. An exclusion is not withdrawn without evidence and procedure sufficient to support the resulting expansion. Administrative convenience does not override the stated limits of the safeguard.</w:t>
      </w:r>
    </w:p>
    <w:p>
      <w:pPr>
        <w:pStyle w:val="Heading2"/>
      </w:pPr>
      <w:r>
        <w:t>Article 19.8 - Minimum Necessary Adjustment and Alternatives</w:t>
      </w:r>
    </w:p>
    <w:p>
      <w:pPr/>
      <w:r>
        <w:t>19.8.1 [LEAST DISRUPTIVE EFFECTIVE] A Party selects the least disruptive measure reasonably capable of addressing the verified qualifying condition within the authority available under this Chapter. The analysis considers whether monitoring, consultation, administrative pacing, targeted temporary treatment, or another lawful measure can address the problem before a more restrictive option is used. No formal hierarchy requires use of an ineffective measure merely because it appears less restrictive in the abstract. The determination explains why the selected option is reasonably necessary in light of workable alternatives.</w:t>
      </w:r>
    </w:p>
    <w:p>
      <w:pPr/>
      <w:r>
        <w:t>19.8.2 [ALTERNATIVES] The invoking Party evaluates materially plausible alternatives raised by the record and records the principal reasons for accepting or rejecting them. An alternative is assessed according to its expected effectiveness, administrative feasibility, timing, affected rights, and trade disruption. The Party is not required to analyze speculative options lacking a reasonable evidentiary or operational basis. Rejection of a materially less disruptive effective alternative requires a reasoned explanation.</w:t>
      </w:r>
    </w:p>
    <w:p>
      <w:pPr/>
      <w:r>
        <w:t>19.8.3 [COMMERCIAL-EFFECT TEST] The relative disruptiveness of a proposed safeguard is assessed by its actual and reasonably foreseeable commercial effect rather than its formal label, administrative form, or nominal legal category. Monitoring, administrative pacing, licensing, inspection, documentation, quota administration, temporary duty treatment, or another instrument does not qualify as a less disruptive alternative where its practical effect impairs trade more severely than a reasonably available measure capable of addressing the verified condition. The invoking Party compares material alternatives using expected effect on commercially usable access, timing, cost, predictability, affected Product Record IDs, and the demonstrated safeguard objective. A measure is not preferred merely because it appears earlier in an administrative hierarchy or avoids the word tariff, quota, restriction, or safeguard.</w:t>
      </w:r>
    </w:p>
    <w:p>
      <w:pPr/>
      <w:r>
        <w:t>19.8.4 [CALIBRATION] The intensity of the measure is calibrated to the magnitude of the verified condition and the adjustment reasonably necessary to address it. A Party does not use the maximum legally conceivable restriction where a materially narrower adjustment is reasonably sufficient. Calibration considers perishability, production cycles, contracts, inventory, seasonal patterns, and the commercial usability of remaining access. The written determination identifies the principal calibration factors and measurable exit indicators.</w:t>
      </w:r>
    </w:p>
    <w:p>
      <w:pPr/>
      <w:r>
        <w:t>19.8.5 [REASSESSMENT] Each periodic review reassesses whether a less disruptive measure can replace or narrow the existing safeguard. Evidence of adaptation, declining injury, changed causation, improved capacity, or reduced disruption triggers consideration of relaxation. Continued use of the original measure requires current reasons rather than automatic carry-forward of the initial analysis. A safeguard therefore becomes no more restrictive over time absent a materially worsened qualifying condition supported by fresh evidence.</w:t>
      </w:r>
    </w:p>
    <w:p>
      <w:pPr>
        <w:pStyle w:val="Heading2"/>
      </w:pPr>
      <w:r>
        <w:t>Article 19.9 - Duration and Hard Expiry</w:t>
      </w:r>
    </w:p>
    <w:p>
      <w:pPr/>
      <w:r>
        <w:t>19.9.1 [STATED EXPIRY] Every safeguard states a definite commencement date and expiry date when imposed. The duration begins when the measure first takes effect, including any period of substantially equivalent emergency provisional action. Absence of an administrative termination notice does not extend the measure beyond its stated expiry. Customs and other implementing systems are configured in advance to restore the underlying treatment at expiry.</w:t>
      </w:r>
    </w:p>
    <w:p>
      <w:pPr/>
      <w:r>
        <w:t>19.9.2 [ORDINARY MAXIMUM] An ordinary Transition Safeguard does not initially exceed one hundred eighty calendar days. A shorter period is used where the evidence and adjustment objective support a shorter intervention. The initial duration reflects production cycles and the time reasonably necessary for adjustment rather than a default preference for the maximum. Any continuation beyond the initial period requires Article 19.10 renewal.</w:t>
      </w:r>
    </w:p>
    <w:p>
      <w:pPr/>
      <w:r>
        <w:t>19.9.3 [ABSOLUTE CAP] A safeguard and all substantially equivalent renewals or successor measures addressing the same underlying transition event do not exceed three hundred sixty-five calendar days in aggregate. A genuinely distinct later event may support a new safeguard only on fresh evidence establishing its independent trigger and causation. Relabeling, changing the administering authority, or making a minor product adjustment does not restart the aggregate clock. Alteration of the absolute cap requires formal amendment under Chapter 29.</w:t>
      </w:r>
    </w:p>
    <w:p>
      <w:pPr/>
      <w:r>
        <w:t>19.9.4 [AUTOMATIC CESSATION] A safeguard ceases automatically before its scheduled expiry when the verified qualifying condition no longer exists or when the evidence no longer supports the measure at its current scope. The administering authority records the cessation and implements Restoration without waiting for political approval. A review finding that only part of the condition remains causes corresponding narrowing rather than continuation of the entire measure. Automatic cessation is an operative obligation and not merely a recommendation.</w:t>
      </w:r>
    </w:p>
    <w:p>
      <w:pPr/>
      <w:r>
        <w:t>19.9.5 [NO LIMBO] A pending renewal request, consultation, technical referral, administrative review, or dispute does not silently extend a safeguard beyond its lawful duration. Interim continuation exists only where this Chapter expressly authorizes it and states a definite maximum period. Government delay is not converted into additional private trade restriction. If lawful authority expires before a replacement determination is completed, the underlying Compact treatment controls.</w:t>
      </w:r>
    </w:p>
    <w:p>
      <w:pPr>
        <w:pStyle w:val="Heading2"/>
      </w:pPr>
      <w:r>
        <w:t>Article 19.10 - Renewal and Successive Measures</w:t>
      </w:r>
    </w:p>
    <w:p>
      <w:pPr/>
      <w:r>
        <w:t>19.10.1 [FRESH EVIDENCE] Renewal requires materially current evidence establishing that the qualifying condition and causal connection continue and that additional temporary adjustment remains necessary. The renewal record includes developments since the prior determination rather than merely reproducing the original evidence. The Party seeking renewal bears the same burden applicable to initial action. Historical injury alone does not establish current necessity.</w:t>
      </w:r>
    </w:p>
    <w:p>
      <w:pPr/>
      <w:r>
        <w:t>19.10.2 [DE NOVO ELEMENTS] The renewal authority reassesses trigger, causation, scope, alternatives, intensity, and duration on the current record. Prior findings may be considered for historical context but do not create an irrebuttable presumption of continuation. Material changes in market conditions or alternative causes receive explicit analysis. A renewal determination states why continued intervention remains justified despite the time already provided for adjustment.</w:t>
      </w:r>
    </w:p>
    <w:p>
      <w:pPr/>
      <w:r>
        <w:t>19.10.3 [NEW-EVENT AND CAUSAL-ANCESTRY TEST] A Party does not restart a safeguard duration or renewal clock by describing a later manifestation, consequence, metric, administrative theory, or market symptom of the same underlying transition shock as a new event. A genuinely new event exists only where materially current evidence establishes an independent intervening cause or materially distinct transition condition after considering causal ancestry, affected Product Record IDs, relevant periods, market conditions, geographic scope, and the relationship to prior safeguards. Price suppression, inventory accumulation, import growth, producer loss, or another consequence that materially derives from the original event remains part of that event for cumulative-duration purposes unless the independence test is satisfied. The renewal or new-event determination states the asserted new facts and explains why they do or do not share causal ancestry with the earlier safeguard.</w:t>
      </w:r>
    </w:p>
    <w:p>
      <w:pPr/>
      <w:r>
        <w:t>19.10.4 [RENEWAL NOTICE] A proposed renewal is notified at least thirty calendar days before scheduled expiry where the duration of the existing measure permits that notice. The notice includes the materially current evidence, proposed revised scope, relaxation history, and requested additional duration. Affected Parties receive a meaningful opportunity to respond before renewal is finalized. Failure to complete a valid renewal before expiry results in Restoration rather than provisional carryover.</w:t>
      </w:r>
    </w:p>
    <w:p>
      <w:pPr/>
      <w:r>
        <w:t>19.10.5 [NO CIRCUMVENTION] A Party does not use successive emergency actions, alternating product descriptions, rotating agencies, nominally voluntary arrangements, or other formal changes to evade the duration rules of this Chapter. Measures with substantially equivalent function and effect are aggregated where necessary to enforce the applicable cap. A genuinely distinct event remains eligible for independent consideration on its own evidence. The safeguard register preserves predecessor and successor links so cumulative duration remains auditable.</w:t>
      </w:r>
    </w:p>
    <w:p>
      <w:pPr>
        <w:pStyle w:val="Heading2"/>
      </w:pPr>
      <w:r>
        <w:t>Article 19.11 - Progressive Relaxation and Adjustment Monitoring</w:t>
      </w:r>
    </w:p>
    <w:p>
      <w:pPr/>
      <w:r>
        <w:t>19.11.1 [RELAXATION PLAN] A safeguard expected to remain in force longer than ninety calendar days includes a progressive relaxation plan in its initial or renewal determination. The plan identifies measurable review points and the form in which the measure narrows as adjustment occurs. The schedule may reduce rate, volume restriction, product scope, geographic scope, administrative burden, or another restrictive element appropriate to the measure. A static measure beyond a scheduled review point requires fresh evidence explaining why relaxation would materially defeat the safeguard objective.</w:t>
      </w:r>
    </w:p>
    <w:p>
      <w:pPr/>
      <w:r>
        <w:t>19.11.2 [BENCHMARKS] Adjustment benchmarks are objective, measurable where practicable, and connected to the qualifying condition rather than to unrelated political or negotiating goals. Benchmarks may include market stabilization, inventory normalization, capacity adaptation, price or volume ranges, contractual adjustment, or other sector-appropriate indicators. No benchmark requires another Party to surrender an unrelated Compact right. The determination identifies the data source and review frequency for each material benchmark.</w:t>
      </w:r>
    </w:p>
    <w:p>
      <w:pPr/>
      <w:r>
        <w:t>19.11.3 [AUTOMATIC STEP DOWN] Where a stated benchmark for relaxation is objectively satisfied, the corresponding step-down takes effect on the scheduled date unless materially current evidence demonstrates that the benchmark result is unreliable or a qualifying condition materially worsened. Any decision to withhold a scheduled step-down is written, reasoned, and narrowly limited. Administrative delay does not postpone an otherwise due reduction. The safeguard register records each step-down and the evidence supporting any permitted deviation.</w:t>
      </w:r>
    </w:p>
    <w:p>
      <w:pPr/>
      <w:r>
        <w:t>19.11.4 [MONITORING] The invoking Party monitors the commercial condition, adjustment progress, causation, and operation of the safeguard throughout its duration. Monitoring uses data proportionate to the measure and avoids imposing unnecessary reporting burdens on traders or producers. Chapter 17 may support system-level measurement within its jurisdiction without becoming the safeguard decision-maker. Monitoring results feed the scheduled review, relaxation, cessation, and Restoration functions of this Chapter.</w:t>
      </w:r>
    </w:p>
    <w:p>
      <w:pPr/>
      <w:r>
        <w:t>19.11.5 [NO WORSENING WITHOUT NEW FACTS] A safeguard is not made more restrictive during its term unless materially new evidence establishes a worsened qualifying condition and supports the additional scope or intensity under the same substantive standards applicable to initial action. The Party provides notice and a fair response opportunity before worsening an ordinary safeguard unless Article 19.6 independently applies. Any increased restriction remains subject to the original aggregate duration cap. Deterioration caused principally by the safeguard itself does not justify escalation.</w:t>
      </w:r>
    </w:p>
    <w:p>
      <w:pPr>
        <w:pStyle w:val="Heading2"/>
      </w:pPr>
      <w:r>
        <w:t>Article 19.12 - Protected Rights and Temporary Overlay</w:t>
      </w:r>
    </w:p>
    <w:p>
      <w:pPr/>
      <w:r>
        <w:t>19.12.1 [VESTED RIGHTS] A Chapter 19 measure does not extinguish, reduce, re-age, or restart a Vested Market-Access Right established under Chapter 7. Temporary inability to exercise the full commercial benefit during a lawful safeguard does not erase the vested legal status. The registry continues to display the vested amount or status separately from the temporary overlay. Restoration returns commercially usable access to the legally controlling vested position.</w:t>
      </w:r>
    </w:p>
    <w:p>
      <w:pPr/>
      <w:r>
        <w:t>19.12.2 [ZERO LINE] Zero-Line Status under Chapter 9 remains legally recorded during a Chapter 19 measure and is not deleted, suspended as a registry fact, or replaced with a new tariff baseline. Any temporary treatment expressly permitted by this Chapter is recorded as an exceptional overlay linked to the underlying Zero-Line entry. Duration of the overlay does not transform it into ordinary tariff treatment. At cessation, the Zero-Line treatment resumes automatically without a new qualification event.</w:t>
      </w:r>
    </w:p>
    <w:p>
      <w:pPr/>
      <w:r>
        <w:t>19.12.3 [NO CLOCK RESET] A safeguard does not restart, toll, rebase, postpone, or extend a transition clock unless another provision of the Compact expressly and specifically authorizes that effect. Time continues to run for completed and scheduled transition architecture notwithstanding temporary Chapter 19 treatment. A Party does not gain additional transition time merely because it used a safeguard. Any expressly authorized timing adjustment is recorded separately and construed narrowly.</w:t>
      </w:r>
    </w:p>
    <w:p>
      <w:pPr/>
      <w:r>
        <w:t>19.12.4 [NO RECLASSIFICATION] A safeguard does not alter origin status, tariff classification, Product Record ID, schedule identity, or the legal characterization of a covered good merely to facilitate temporary administration. Necessary customs coding for the temporary overlay remains traceable to the underlying product record. Reclassification requires the authority and procedure otherwise applicable under the Compact and domestic law. Ending the safeguard requires no corrective reclassification because the underlying record remains intact.</w:t>
      </w:r>
    </w:p>
    <w:p>
      <w:pPr/>
      <w:r>
        <w:t>19.12.5 [NO NEW BASELINE] Temporary Chapter 19 treatment does not create a new baseline for Chapter 4, Chapter 6, Chapter 7, Chapter 9, or any later review or negotiation. Historical data may record the safeguard as an exceptional event without treating its restrictive level as ordinary treatment. A future comparison distinguishes the underlying Compact obligation from the temporary overlay. No Party relies on the duration of an exceptional measure as evidence that the exception became an acquired restriction.</w:t>
      </w:r>
    </w:p>
    <w:p>
      <w:pPr>
        <w:pStyle w:val="Heading2"/>
      </w:pPr>
      <w:r>
        <w:t>Article 19.13 - Sensitive-Sector and Vesting Interface</w:t>
      </w:r>
    </w:p>
    <w:p>
      <w:pPr/>
      <w:r>
        <w:t>19.13.1 [MONTH 42 FIREWALL] Chapter 19 does not bypass the Chapter 6 Month-42 ceiling or any unanimous procedure governing alteration of sensitive-sector transition architecture. A safeguard does not restart, toll, rebase, postpone, or extend that ceiling. Temporary treatment ending after a scheduled transition milestone does not postpone the legal occurrence of the milestone. Any permanent alteration proceeds only through the procedure expressly assigned by Chapter 6 or Chapter 29.</w:t>
      </w:r>
    </w:p>
    <w:p>
      <w:pPr/>
      <w:r>
        <w:t>19.13.2 [NO NEW SENSITIVE DESIGNATION] A Chapter 19 determination does not create a new sensitive-sector designation or expand an existing designation beyond its lawful scope. Evidence of transition injury may justify only the temporary measure authorized by this Chapter. A Party does not convert ordinary covered goods into sensitive goods by repeated safeguard use. Annex C remains controlling for any designation assigned there.</w:t>
      </w:r>
    </w:p>
    <w:p>
      <w:pPr/>
      <w:r>
        <w:t>19.13.3 [NO DOUBLE PROTECTION] A Party does not obtain duplicative protection under Chapters 6 and 19 for the same injury, product, period, and commercial effect. Where Chapter 6 treatment already addresses the demonstrated condition, the Chapter 19 determination identifies the distinct residual condition requiring additional temporary action. Measures are calibrated to avoid cumulative restriction beyond what the evidence supports. The safeguard register identifies overlapping instruments and the legal basis for any permitted coexistence.</w:t>
      </w:r>
    </w:p>
    <w:p>
      <w:pPr/>
      <w:r>
        <w:t>19.13.4 [CHAPTER 7 INTERFACE] Chapter 7 vesting and TRQ displacement continue to operate as legal architecture during a Chapter 19 safeguard except to the limited extent an express temporary overlay affects current commercial exercise. A safeguard does not reverse displacement already completed or recreate an extinguished access mechanism. The Party records any temporary operational adjustment without rewriting the vesting schedule. Restoration returns access to the position that would control absent the temporary overlay.</w:t>
      </w:r>
    </w:p>
    <w:p>
      <w:pPr/>
      <w:r>
        <w:t>19.13.5 [PRECEDENCE] Where a specific rule in Chapters 6 or 7 directly governs the legal status of a transition milestone, designation, or vested right, that status rule controls over a general Chapter 19 administrative provision. Chapter 19 controls the temporary safeguard procedure and measure only within its assigned scope. Apparent conflict is resolved to preserve both the temporary safeguard function and the underlying transition architecture where reasonably possible. No interpretive presumption expands safeguard authority beyond express text.</w:t>
      </w:r>
    </w:p>
    <w:p>
      <w:pPr>
        <w:pStyle w:val="Heading2"/>
      </w:pPr>
      <w:r>
        <w:t>Article 19.14 - Food Security and Continuity Interface</w:t>
      </w:r>
    </w:p>
    <w:p>
      <w:pPr/>
      <w:r>
        <w:t>19.14.1 [FUNCTIONAL BORDER] Chapter 19 addresses transition injury, market disruption, and temporary trade adjustment, while Chapter 20 addresses food shortage, continuity, and food-security functions assigned there. A Party uses the Chapter whose substantive trigger matches the actual condition rather than selecting the procedure offering broader restriction. A shortage does not become transition injury merely because it occurs during liberalization. Transition injury does not become a food-security emergency merely because the affected good is food.</w:t>
      </w:r>
    </w:p>
    <w:p>
      <w:pPr/>
      <w:r>
        <w:t>19.14.2 [CRITICAL SHORTAGE ROUTING] A critical shortage or continuity threat whose principal problem is availability of food or essential agricultural supply is routed to Chapter 20. Chapter 19 may address a separately established transition condition arising from the same facts only to the extent its independent elements are satisfied. The two Chapters do not duplicate restrictions for the same commercial effect. Each determination identifies the other Chapter where the factual record materially overlaps.</w:t>
      </w:r>
    </w:p>
    <w:p>
      <w:pPr/>
      <w:r>
        <w:t>19.14.3 [NO PRODUCTION COMMAND] Chapter 19 does not authorize compulsory continental production quotas, mandatory cross-border production allocation, or compelled specialization among the Parties. A safeguard may affect temporary trade treatment only within the authority expressly provided. Domestic production policy remains subject to the policy-space provisions of the Compact and each Party's law. Food-security coordination under Chapter 20 does not enlarge Chapter 19 authority.</w:t>
      </w:r>
    </w:p>
    <w:p>
      <w:pPr/>
      <w:r>
        <w:t>19.14.4 [DATA COORDINATION] Authorities administering Chapters 19 and 20 may share relevant lawful data through the common registry and verification architecture subject to confidentiality and purpose limitations. Shared data retains its provenance, status, and limitations when used by the receiving Chapter. A Chapter 20 indicator does not automatically establish a Chapter 19 safeguard ground, and the reverse also applies. Duplicate reporting is minimized where the same reliable data can lawfully serve both functions.</w:t>
      </w:r>
    </w:p>
    <w:p>
      <w:pPr/>
      <w:r>
        <w:t>19.14.5 [JOINT REVIEW] Where a matter materially implicates both transition disruption and food continuity, the responsible authorities coordinate a joint factual review while issuing separate legal determinations under their respective Chapters. The review identifies which facts support each distinct function and prevents double counting of the same harm. Urgent continuity action is not delayed merely to complete an ordinary Chapter 19 proceeding where Chapter 20 independently authorizes action. Coordination does not merge the jurisdictions or remedy systems of the two Chapters.</w:t>
      </w:r>
    </w:p>
    <w:p>
      <w:pPr>
        <w:pStyle w:val="Heading2"/>
      </w:pPr>
      <w:r>
        <w:t>Article 19.15 - SPS, Biosecurity, Fraud, and Circumvention Interfaces</w:t>
      </w:r>
    </w:p>
    <w:p>
      <w:pPr/>
      <w:r>
        <w:t>19.15.1 [SPS CONTROL] Chapter 14 controls SPS emergencies, including measures directed principally at protecting human, animal, or plant life or health from an SPS risk. A Party does not relabel an SPS restriction as a Chapter 19 economic safeguard to avoid Chapter 14 disciplines, evidence rules, review, or Restoration requirements. Chapter 19 may address a separately demonstrated economic transition condition associated with the same event only on independent evidence satisfying this Chapter. The Party's appropriate level of protection remains governed by Chapter 14 rather than Chapter 19.</w:t>
      </w:r>
    </w:p>
    <w:p>
      <w:pPr/>
      <w:r>
        <w:t>19.15.2 [DISEASE EVENT] A disease outbreak or biosecurity event does not by itself establish Serious Transition Injury, Severe Market Disruption, or another Chapter 19 ground. Economic consequences of the event are separated from the legal basis for any SPS response. Where originating trade liberalization independently contributes to a qualifying transition condition beyond the SPS risk itself, Chapter 19 may address that distinct condition. The determination explains the separation to prevent emergency relabeling.</w:t>
      </w:r>
    </w:p>
    <w:p>
      <w:pPr/>
      <w:r>
        <w:t>19.15.3 [FRAUD ROUTING] Fraud, false origin claims, transshipment, or circumvention is investigated and addressed under Chapters 11 and 12 according to their assigned authorities. Chapter 19 does not impose a sector-wide safeguard merely because individual shipments or traders are suspected of fraud. Verified fraudulent trade may enter the causation record only to the extent it materially affects a qualifying Chapter 19 condition and is distinguished from lawful originating trade. Enforcement measures remain targeted to the authority governing the misconduct.</w:t>
      </w:r>
    </w:p>
    <w:p>
      <w:pPr/>
      <w:r>
        <w:t>19.15.4 [NO ENFORCEMENT SUBSTITUTE] A safeguard is not used as an evidentiary shortcut where the actual concern is enforceability, origin verification, customs compliance, or inspection administration. The Party uses the specialized Chapter capable of addressing that problem unless an independent Chapter 19 condition is also established. Administrative frustration does not become serious transition injury by characterization. Cross-chapter coordination preserves evidence without transferring jurisdiction.</w:t>
      </w:r>
    </w:p>
    <w:p>
      <w:pPr/>
      <w:r>
        <w:t>19.15.5 [FUNCTION OVER LABEL] The legal character of a measure follows its function and commercial effect rather than its domestic title or administering agency. An SPS measure remains subject to Chapter 14 when its principal function is SPS protection, and an anti-fraud measure remains subject to Chapters 11 or 12 when its principal function is enforcement. A Party does not obtain Chapter 19 flexibility by changing labels while preserving the same restricted function. Mixed measures identify and separately justify each material component under the Chapter that supplies its authority.</w:t>
      </w:r>
    </w:p>
    <w:p>
      <w:pPr>
        <w:pStyle w:val="Heading2"/>
      </w:pPr>
      <w:r>
        <w:t>Article 19.16 - ALVS and Independent Technical Review Interface</w:t>
      </w:r>
    </w:p>
    <w:p>
      <w:pPr/>
      <w:r>
        <w:t>19.16.1 [ALVS MEASURES] Chapter 17 may measure implementation conditions, trade flows, registry status, timing, and other system-level facts within its assigned competence that are relevant to a Chapter 19 proceeding. ALVS does not determine Serious Transition Injury, threat, Severe Market Disruption, necessity, proportionality, or entitlement to a safeguard. An ALVS Indicator does not automatically initiate or justify Chapter 19 action. The safeguard authority remains responsible for the legal determination and burden of proof.</w:t>
      </w:r>
    </w:p>
    <w:p>
      <w:pPr/>
      <w:r>
        <w:t>19.16.2 [TECHNICAL REVIEW] Chapter 18 may answer an approved scientific, statistical, economic-methodological, or other technical question material to Chapter 19 without becoming the safeguard authority. Its Technical Finding retains the legal-effect limitations and confidence rules established in Chapter 18. A Chapter 19 authority does not ask Chapter 18 to package the factual predicates of the safeguard test into a synthetic legal verdict. The receiving authority independently applies the Chapter 19 standard to the technical record.</w:t>
      </w:r>
    </w:p>
    <w:p>
      <w:pPr/>
      <w:r>
        <w:t>19.16.3 [SEPARATE CLOCKS] A Chapter 17 verification clock, Chapter 18 technical-review clock, and Chapter 19 safeguard clock remain legally distinct unless an express provision coordinates them. Referral to another Chapter does not silently toll a Chapter 19 expiry, response period, renewal deadline, or Restoration obligation. Where a technically reliable answer cannot be obtained before a Chapter 19 deadline, the safeguard authority acts only on the authority and evidence lawfully available at that time. Uncertainty is disclosed rather than converted into an implied extension.</w:t>
      </w:r>
    </w:p>
    <w:p>
      <w:pPr/>
      <w:r>
        <w:t>19.16.4 [PROVENANCE] Information moving from Chapters 17 or 18 into Chapter 19 retains its source, status, methodology, limitations, and evidentiary ancestry. Repetition across institutional records does not create independent corroboration of the same underlying fact. The Chapter 19 determination identifies material reliance on ALVS or Chapter 18 outputs. No institutional routing upgrades provisional or disputed material beyond the status justified by its actual evidence.</w:t>
      </w:r>
    </w:p>
    <w:p>
      <w:pPr/>
      <w:r>
        <w:t>19.16.5 [REGISTRY ENTRY] Each initiated, provisional, ordinary, renewed, modified, relaxed, terminated, or restored safeguard event is recorded in the Implementation Status Registry in a manner compatible with Chapter 22. The record identifies the Chapter 19 legal status separately from any Chapter 17 Indicator or Chapter 18 Technical Finding. Registry publication does not itself create or extend legal authority. Corrections preserve history and do not conceal prior versions of material safeguard status.</w:t>
      </w:r>
    </w:p>
    <w:p>
      <w:pPr>
        <w:pStyle w:val="Heading2"/>
      </w:pPr>
      <w:r>
        <w:t>Article 19.17 - Transparency, Monitoring, and Safeguard Register</w:t>
      </w:r>
    </w:p>
    <w:p>
      <w:pPr/>
      <w:r>
        <w:t>19.17.1 [PUBLIC REGISTER] A public safeguard register identifies every active Chapter 19 measure and every measure terminated within the retention period established by implementing rules. Each entry states the trigger, affected Product Record IDs, non-confidential evidence reference, measure, commencement, expiry, scheduled reviews, modifications, relaxation steps, and Restoration status. The register distinguishes emergency provisional action from an affirmed ordinary safeguard. Publication occurs in a form reasonably accessible to traders, producers, administrators, and the other Parties.</w:t>
      </w:r>
    </w:p>
    <w:p>
      <w:pPr/>
      <w:r>
        <w:t>19.17.2 [MACHINE READABLE] Safeguard status, dates, Product Record IDs, and other standardized fields are published in machine-readable form where practicable and interoperable with Chapter 22 systems. A human-readable legal notice remains authoritative where a technical conflict occurs. System outages or delayed data synchronization do not extend a measure beyond its lawful duration. Corrections are timestamped and linked to the superseded entry.</w:t>
      </w:r>
    </w:p>
    <w:p>
      <w:pPr/>
      <w:r>
        <w:t>19.17.3 [CONFIDENTIALITY] The register protects confidential business information, personal information, security-sensitive material, and other information lawfully protected under the Compact or domestic law. Protection does not justify concealing the existence, legal basis, scope, duration, or non-confidential reasoning of a safeguard. Where material evidence cannot be published, the entry identifies the nature of the protected material and the procedure used to evaluate it. Confidentiality is administered consistently with meaningful Party participation and review.</w:t>
      </w:r>
    </w:p>
    <w:p>
      <w:pPr/>
      <w:r>
        <w:t>19.17.4 [PERIODIC REPORT] The invoking Party publishes a non-confidential status report at each scheduled review and at least every ninety calendar days while an ordinary safeguard remains active. The report addresses current causation, market conditions, adjustment benchmarks, scope, relaxation, remaining duration, and expected Restoration. A report does not replace a renewal determination where renewal is required. Failure to publish does not extend the measure and is corrected promptly.</w:t>
      </w:r>
    </w:p>
    <w:p>
      <w:pPr/>
      <w:r>
        <w:t>19.17.5 [ANNUAL SYSTEM REVIEW] The Parties review the operation of Chapter 19 at least annually through the institutional mechanism assigned by Chapter 24. The review examines use frequency, duration, administrative burden, recurring product patterns, Restoration performance, and evidence of circumvention or overuse. It may recommend technical amendments under Chapter 29 but does not retroactively validate an unlawful measure. Public reporting uses aggregated or protected treatment where necessary to preserve lawful confidentiality.</w:t>
      </w:r>
    </w:p>
    <w:p>
      <w:pPr>
        <w:pStyle w:val="Heading2"/>
      </w:pPr>
      <w:r>
        <w:t>Article 19.18 - Restoration and Anti-Ratchet Rule</w:t>
      </w:r>
    </w:p>
    <w:p>
      <w:pPr/>
      <w:r>
        <w:t>19.18.1 [AUTOMATIC RESTORATION] When a safeguard expires, is terminated, or no longer satisfies its qualifying condition, the underlying Compact treatment restores automatically to the legal position controlling at that time. Restoration does not require a fresh application, political approval, renegotiation, reciprocal concession, or consent by an unrelated authority. The administering Party implements operational changes promptly enough to make restored treatment commercially usable. A temporary safeguard therefore leaves no residual restriction after its lawful end.</w:t>
      </w:r>
    </w:p>
    <w:p>
      <w:pPr/>
      <w:r>
        <w:t>19.18.2 [CURRENT LEGAL POSITION] Restoration returns the good to the treatment that would legally control on the Restoration date absent the temporary overlay, including transition steps that matured while the safeguard was active. It does not return the good to the treatment that existed when the safeguard began if the Compact progressed in the interim. Vested rights, Zero-Line Status, and completed transition events remain included in that current legal position. The safeguard cannot freeze time for the underlying liberalization schedule.</w:t>
      </w:r>
    </w:p>
    <w:p>
      <w:pPr/>
      <w:r>
        <w:t>19.18.3 [COMMERCIALLY USABLE RESTORATION] Restoration is complete only when the treatment legally due after expiry, termination, relaxation, or correction is operationally available through the customs, licensing, quota, registry, payment, certification, information-technology, and other administrative systems reasonably necessary to use that treatment. A publication, legal notice, registry notation, or formal termination does not by itself complete Restoration while an implementing system continues to impose the expired safeguard in commercial practice. The responsible authority promptly corrects implementation and may use only a tightly bounded technical transition necessary to effect the correction, with the reason, affected functions, commencement, and fixed completion date recorded publicly to the extent lawful. Government-caused administrative or technical delay does not create a new baseline, extend the safeguard clock, require a fresh application, or condition commercially usable Restoration on political approval or an unrelated concession.</w:t>
      </w:r>
    </w:p>
    <w:p>
      <w:pPr/>
      <w:r>
        <w:t>19.18.4 [NO UNRELATED CONDITIONS] Restoration is not conditioned on compensation, unrelated concessions, withdrawal of another dispute, new market access, political approval, or acceptance of a new regulatory commitment. A Party may pursue an independently available claim or remedy without holding restored treatment hostage to that process. Where Chapter 25 governs cure of a separate breach, its requirements remain distinct from expiry of a lawful Chapter 19 safeguard. Commercial treatment is restored when Chapter 19 authority ends.</w:t>
      </w:r>
    </w:p>
    <w:p>
      <w:pPr/>
      <w:r>
        <w:t>19.18.5 [ANTI RATCHET] No temporary duty, quota, fee, licensing condition, pacing rule, inspection burden, or other Chapter 19 restriction becomes a permanent baseline through duration, repetition, administrative habit, or registry history. Later negotiations and reviews distinguish the exceptional overlay from the underlying obligation. A Party does not cite its own prior safeguard as evidence of acquired authority to maintain equivalent treatment. Permanent change requires the formal Compact procedure applicable to that change.</w:t>
      </w:r>
    </w:p>
    <w:p>
      <w:pPr>
        <w:pStyle w:val="Heading2"/>
      </w:pPr>
      <w:r>
        <w:t>Article 19.19 - Abuse Prevention and Anti-Circumvention</w:t>
      </w:r>
    </w:p>
    <w:p>
      <w:pPr/>
      <w:r>
        <w:t>19.19.1 [INDIRECT RESTRICTION] A Party does not accomplish indirectly through licensing delay, inspection intensification, fees, administrative throttling, voluntary restraint, quota management, documentation burden, or another device what this Chapter would prohibit as a direct safeguard. Function and commercial effect control over formal label. A measure materially equivalent to a safeguard is subject to Chapter 19 where its principal function is temporary transition protection. Ordinary good-faith administration remains outside this rule where it is independently authorized and not used as a substitute restriction.</w:t>
      </w:r>
    </w:p>
    <w:p>
      <w:pPr/>
      <w:r>
        <w:t>19.19.2 [SCOPE CREEP] A safeguard is not expanded beyond supported products, regions, Parties, or transition increments through informal guidance or administrative practice. Material expansion requires the evidence and procedure applicable to worsening the measure under Article 19.11.5. Traders receive operational instructions consistent with the published determination. A discrepancy is corrected in favor of the lawful scope rather than treated as an opportunity to enlarge it.</w:t>
      </w:r>
    </w:p>
    <w:p>
      <w:pPr/>
      <w:r>
        <w:t>19.19.3 [REPEATED EMERGENCY] Repeated use of emergency provisional authority concerning substantially the same event is treated as cumulative action under Articles 19.6 and 19.10. A Party does not alternate ordinary and emergency labels to evade notice, review, renewal, or duration limits. The register links related actions and exposes cumulative days of restriction. A genuinely new emergency remains available where fresh facts independently satisfy the emergency threshold.</w:t>
      </w:r>
    </w:p>
    <w:p>
      <w:pPr/>
      <w:r>
        <w:t>19.19.4 [VOLUNTARY RESTRAINT] A government does not request, induce, coordinate, or materially pressure a private or foreign actor to maintain a nominally voluntary restraint that reproduces a safeguard the government could not lawfully impose. Genuine private commercial decisions remain outside this prohibition absent governmental direction or material inducement. The inquiry considers communications, conditions, benefits, threats, timing, and commercial effect. An unlawful substitute restraint is terminated and routed to the appropriate cure or dispute procedure.</w:t>
      </w:r>
    </w:p>
    <w:p>
      <w:pPr/>
      <w:r>
        <w:t>19.19.5 [NO PARALLEL PUNISHMENT] Chapter 19 does not impose penalties, retaliation, compensation, or punitive trade consequences for misuse of safeguard authority. A Chapter 19 authority may terminate, narrow, correct, or restore treatment within its own competence. Alleged breach and consequences beyond those administrative corrections proceed through Chapter 25 or Chapter 26 as applicable. This separation prevents safeguard administration from becoming a parallel enforcement system.</w:t>
      </w:r>
    </w:p>
    <w:p>
      <w:pPr>
        <w:pStyle w:val="Heading2"/>
      </w:pPr>
      <w:r>
        <w:t>Article 19.20 - Cure, Dispute Settlement, Finality, and Final Safeguards</w:t>
      </w:r>
    </w:p>
    <w:p>
      <w:pPr/>
      <w:r>
        <w:t>19.20.1 [CHAPTER 25 INTERFACE] Chapter 25 governs cure and Restoration for a breach of Compact obligations arising from unlawful safeguard administration where that Chapter applies. Chapter 19 continues to govern ordinary expiry and automatic Restoration of a lawful safeguard without requiring a Chapter 25 finding. A Party does not use Chapter 25 to extend an otherwise expired safeguard while cure questions are examined. Chapter 25 may verify correction without reopening vested or completed rights unrelated to the breach.</w:t>
      </w:r>
    </w:p>
    <w:p>
      <w:pPr/>
      <w:r>
        <w:t>19.20.2 [CHAPTER 26 INTERFACE] Chapter 26 governs disputes concerning interpretation or application of Chapter 19 and any remedies authorized there. A dispute panel reviews the safeguard determination on the record and legal standards assigned by the Compact without becoming an unrestricted new safeguard investigation. It may evaluate whether evidence and reasons satisfy Chapter 19 while respecting the distinct technical roles of Chapters 17 and 18. Remedy authority does not include whole-Compact snapback unless the Compact expressly and specifically provides otherwise.</w:t>
      </w:r>
    </w:p>
    <w:p>
      <w:pPr/>
      <w:r>
        <w:t>19.20.3 [PROPORTIONAL REMEDY] Any remedy for a Chapter 19 breach remains proportionate to the verified legal failure and preserves unrelated completed and vested rights. A defective safeguard affecting specified goods does not automatically justify suspension of unrelated agricultural or non-agricultural benefits. Restoration and correction are preferred where they adequately cure the failure under the controlling Chapter. Retaliatory escalation does not become a substitute for the structured cure and dispute architecture.</w:t>
      </w:r>
    </w:p>
    <w:p>
      <w:pPr/>
      <w:r>
        <w:t>19.20.4 [FINALITY AND REOPENING] A final safeguard determination remains subject to the scheduled review, renewal, cessation, and dispute mechanisms expressly provided by the Compact. It is not reopened merely because a Party dislikes the outcome or later develops a different litigation strategy. Materially new evidence may affect a continuing or renewal decision according to this Chapter without retroactively validating or invalidating completed lawful acts. Any reopening of a completed legal determination occurs only through authority expressly assigned by the controlling Chapter.</w:t>
      </w:r>
    </w:p>
    <w:p>
      <w:pPr/>
      <w:r>
        <w:t>19.20.5 [FINAL BOUNDARY] No safeguard practice, emergency declaration, registry entry, repeated renewal, administrative custom, political agreement outside the Compact, or institutional convenience creates Chapter 19 authority beyond its express text. Chapter 19 creates no permanent tariff authority, reopens no completed Zero-Line Status, and does not amend the Compact by usage. Exceptional action remains temporary, evidenced, causally attributed, narrowly tailored, time-limited, reviewable, progressively relaxed where applicable, and automatically restored. Any broader or permanent authority requires the formal amendment procedure under Chapter 29.</w:t>
      </w:r>
    </w:p>
    <w:p>
      <w:pPr>
        <w:pStyle w:val="Heading1"/>
      </w:pPr>
      <w:r>
        <w:t>Chapter 20 - Food Security, Shortage, and Continuity</w:t>
      </w:r>
    </w:p>
    <w:p>
      <w:pPr/>
      <w:r>
        <w:t xml:space="preserve">Chapter 20 establishes a narrow food-security, shortage, and continuity architecture that preserves ordinary liberalized trade as the baseline, enables targeted emergency cooperation, protects domestic food-security sovereignty, and prevents temporary emergency measures from becoming permanent trade restrictions.</w:t>
      </w:r>
    </w:p>
    <w:p>
      <w:pPr>
        <w:pStyle w:val="Heading2"/>
      </w:pPr>
      <w:r>
        <w:t xml:space="preserve">Article 20.1 - Purpose, Scope, and Continuity Principle</w:t>
      </w:r>
    </w:p>
    <w:p>
      <w:pPr/>
      <w:r>
        <w:t>20.1.1 [CONTINUITY BASELINE] Ordinary liberalized trade in originating agricultural goods remains the primary Compact mechanism for supporting North American food availability and resilience. Chapter 20 provides supplementary and exceptional continuity tools for a qualifying food-security or distribution event and does not substitute emergency administration for ordinary commerce. Measures under this Chapter preserve safe and feasible cross-border food flows to the greatest extent consistent with the demonstrated event and the authority expressly provided here. Food-security cooperation under this Chapter is facilitative and does not create compulsory continental economic planning.</w:t>
      </w:r>
    </w:p>
    <w:p>
      <w:pPr/>
      <w:r>
        <w:t>20.1.2 [TEMPORARY OVERLAY] A measure under Chapter 20 operates only as a temporary overlay on the treatment otherwise controlling under this Compact. It does not amend tariff schedules, TRQ architecture, Vested Market-Access Rights, Zero-Line Status, origin rules, transition clocks, or another underlying legal baseline. Expiry or termination removes the overlay and restores the treatment that would otherwise apply at that time. Emergency practice does not migrate into ordinary administration merely because it existed during a qualifying event.</w:t>
      </w:r>
    </w:p>
    <w:p>
      <w:pPr/>
      <w:r>
        <w:t>20.1.3 [COVERED SUBJECTS] Chapter 20 applies to covered food and agricultural goods and to an Essential Agricultural Input only where Article 20.9 is satisfied. A measure identifies the affected Product Record IDs or other sufficiently precise product description, geographic scope, affected population, and expected duration. The Chapter does not convert every good used somewhere in an agricultural supply chain into a food-security good. Scope follows the demonstrated continuity need rather than the breadth of an industry or administrative program.</w:t>
      </w:r>
    </w:p>
    <w:p>
      <w:pPr/>
      <w:r>
        <w:t>20.1.4 [DIAGNOSTIC DISCIPLINE] A physical shortage, severe affordability crisis, logistics interruption, SPS event, and transition-related economic disruption remain legally distinct conditions even where more than one occurs at the same time. The invoking authority identifies which condition is present and uses the Chapter assigned to that condition rather than collapsing different problems into a generic emergency. A condition governed principally by Chapter 14 or Chapter 19 remains governed there unless it independently satisfies a Chapter 20 trigger. Measures under this Chapter address the diagnosed food-security or continuity problem and do not acquire broader authority from adjacent problems.</w:t>
      </w:r>
    </w:p>
    <w:p>
      <w:pPr/>
      <w:r>
        <w:t>20.1.5 [ANTI FRAGMENTATION] A Party does not divide one underlying shortage or continuity event into multiple products, regions, agencies, declarations, or administrative episodes for the purpose or effect of extending emergency authority. Materially overlapping measures arising from the same causal event are assessed together for duration, review, and anti-circumvention purposes. A genuinely distinct event may receive separate treatment where materially current evidence establishes independent causal conditions. The record explains whether overlapping measures are aggregated or treated separately and why.</w:t>
      </w:r>
    </w:p>
    <w:p>
      <w:pPr>
        <w:pStyle w:val="Heading2"/>
      </w:pPr>
      <w:r>
        <w:t xml:space="preserve">Article 20.2 - Food-Security Sovereignty</w:t>
      </w:r>
    </w:p>
    <w:p>
      <w:pPr/>
      <w:r>
        <w:t>20.2.1 [DOMESTIC AUTHORITY] Each Party retains authority under its law over domestic food-security policy, strategic reserves, emergency procurement, social assistance, nutrition programs, food banks, redistribution programs, and domestic production policy. Nothing in this Chapter transfers those functions to a North American body. A Party may maintain domestic production capacity for resilience even where that capacity exceeds short-term commercial demand, subject to obligations otherwise applicable under this Compact. Chapter 20 coordinates cross-border continuity without prescribing a Party's domestic food-security model.</w:t>
      </w:r>
    </w:p>
    <w:p>
      <w:pPr/>
      <w:r>
        <w:t>20.2.2 [NO CONTINENTAL ALLOCATION] Chapter 20 creates no compulsory continental production quota, mandatory crop allocation, supranational rationing scheme, or authority to direct the geographic location of production. No Party is required by this Chapter to reserve a fixed share of domestic output for another Party. A Party may enter a specific voluntary arrangement providing otherwise, but that arrangement binds only according to its own terms. Institutional convenience or emergency rhetoric does not create allocation authority absent express Compact text.</w:t>
      </w:r>
    </w:p>
    <w:p>
      <w:pPr/>
      <w:r>
        <w:t>20.2.3 [PRIVATE STOCKS] Chapter 20 does not itself authorize commandeering, seizure, requisition, or compulsory disclosure of private food stocks. A Party may exercise authority independently available under its domestic law subject to applicable Compact obligations and safeguards. Use of domestic emergency authority does not convert the resulting stocks into a continental resource. Cross-border access to private or public stocks occurs only through lawful commercial transactions, voluntary assistance, or another expressly authorized arrangement.</w:t>
      </w:r>
    </w:p>
    <w:p>
      <w:pPr/>
      <w:r>
        <w:t>20.2.4 [DOMESTIC PRIORITIES] Each Party retains authority to prioritize vulnerable populations, remote communities, Indigenous communities, hospitals, schools, emergency services, and other domestic needs according to its law. This Chapter does not determine internal rationing, benefit eligibility, or domestic distribution priorities. Domestic prioritization does not by itself authorize unnecessary discrimination against another Party's trade or circumvention of an express Chapter 20 discipline. Where a cross-border measure relies on domestic prioritization, the Party identifies the food-security need relevant to that measure.</w:t>
      </w:r>
    </w:p>
    <w:p>
      <w:pPr/>
      <w:r>
        <w:t>20.2.5 [NO RESERVE ENTITLEMENT] No Party acquires a right to demand another Party's strategic reserves, emergency stocks, transportation capacity, or future assistance merely because a qualifying event exists. Reserve releases and mutual assistance remain voluntary except to the extent a Party expressly undertakes a specific obligation in writing. Past assistance does not create an implied entitlement, debt, reciprocal preference, or continuing supply commitment. The absence of voluntary assistance does not by itself constitute breach of Chapter 20.</w:t>
      </w:r>
    </w:p>
    <w:p>
      <w:pPr>
        <w:pStyle w:val="Heading2"/>
      </w:pPr>
      <w:r>
        <w:t xml:space="preserve">Article 20.3 - Qualifying Food-Security Event</w:t>
      </w:r>
    </w:p>
    <w:p>
      <w:pPr/>
      <w:r>
        <w:t>20.3.1 [CRITICAL SHORTAGE] A Critical Shortage exists where objective evidence demonstrates a material insufficiency in reasonably available supply of a covered food or Essential Agricultural Input that creates a substantial risk to food security for an identified population. The determination considers available domestic production, inventories, imports, substitutable supply where appropriate, and practical distribution capacity. High prices alone do not establish a Critical Shortage. The shortage is identified by product, geography, affected population, materiality, and expected duration.</w:t>
      </w:r>
    </w:p>
    <w:p>
      <w:pPr/>
      <w:r>
        <w:t>20.3.2 [IMMINENT CRITICAL SHORTAGE] An Imminent Critical Shortage exists where objective and materially current evidence shows that a Critical Shortage is clearly impending within the operational horizon established under Article 20.5. The forecast identifies the causal pathway, expected timing, affected products and populations, and material uncertainties. Unsupported speculation, political concern, lobbying pressure, or ordinary seasonal expectation does not satisfy this standard. Preventive measures remain narrower and shorter than measures justified by an actual Critical Shortage.</w:t>
      </w:r>
    </w:p>
    <w:p>
      <w:pPr/>
      <w:r>
        <w:t>20.3.3 [DISTRIBUTION AND PRODUCTION EVENTS] A Severe Distribution Interruption exists where a material transportation, logistics, storage, border, or distribution failure prevents or is clearly expected to prevent food from reaching an affected population despite otherwise adequate aggregate supply. A Catastrophic Production Loss exists where a sudden and material production reduction results from natural disaster, disease, pest infestation, infrastructure failure, or a comparable extraordinary event. A Major Infrastructure Failure exists where failure of a critical port, rail, road, border crossing, cold-chain node, energy-dependent food facility, or comparable system materially impairs food availability or distribution. Each event is defined by demonstrated function and effect rather than by the label assigned by the invoking authority.</w:t>
      </w:r>
    </w:p>
    <w:p>
      <w:pPr/>
      <w:r>
        <w:t>20.3.4 [COMPARABLE EXTRAORDINARY EVENT] A comparable extraordinary event may qualify only where it produces a food-security or continuity condition materially equivalent in severity and immediacy to an enumerated event. The determination identifies the closest enumerated analogue and explains the evidence establishing comparable materiality, affected population, scope, and expected duration. This provision is not a general economic-difficulty or public-interest catch-all. Ordinary volatility, predictable adjustment, localized commercial inconvenience, or a desire to support domestic producers does not satisfy it.</w:t>
      </w:r>
    </w:p>
    <w:p>
      <w:pPr/>
      <w:r>
        <w:t>20.3.5 [AFFORDABILITY, SELF-CREATED CONDITIONS, AND NON-ATTRIBUTION] A severe affordability condition does not become a physical shortage merely because households face reduced economic access to food, but an independently demonstrated food-access emergency exists only where objective and materially current evidence shows substantial impairment of economic access to sufficient food for an identified population beyond ordinary price variation, seasonal fluctuation, or generalized inflation. An SPS event qualifies under Chapter 20 only to the extent it independently produces a qualifying shortage or continuity condition, while the SPS measure itself remains governed by Chapter 14, and a transition-related import or market shock remains governed by Chapter 19 unless it independently produces a qualifying Chapter 20 event. Where an invoking Party's avoidable policy action or omission materially creates or exacerbates the qualifying condition, the scope and intensity of a restrictive Chapter 20 measure do not attribute to external trade the portion of the condition properly attributable to that domestic action, except to the minimum extent immediately necessary to prevent serious food-security harm to an affected population while a less restrictive correction is implemented. The written determination separates those causes, explains the attribution method and uncertainty, and does not permit political dissatisfaction with prices or a self-created shortage to enlarge emergency authority.</w:t>
      </w:r>
    </w:p>
    <w:p>
      <w:pPr>
        <w:pStyle w:val="Heading2"/>
      </w:pPr>
      <w:r>
        <w:t xml:space="preserve">Article 20.4 - Objective Shortage Determination</w:t>
      </w:r>
    </w:p>
    <w:p>
      <w:pPr/>
      <w:r>
        <w:t>20.4.1 [EVIDENCE SET] A determination under Chapter 20 uses objective and materially current evidence appropriate to the event and available within the necessary decision period. The record considers inventories, consumption requirements, production forecasts, import availability from Party and non-Party sources, transportation capacity, geographic distribution, perishability, expected duration, and other material indicators where relevant. Private stock information is used only where lawfully available and subject to applicable confidentiality protections. Missing information, estimates, and material uncertainty are identified rather than silently converted into certainty.</w:t>
      </w:r>
    </w:p>
    <w:p>
      <w:pPr/>
      <w:r>
        <w:t>20.4.2 [PROBLEM CLASSIFICATION] The determination distinguishes insufficient aggregate supply from an affordability problem, distribution failure, local bottleneck, SPS restriction, ordinary volatility, or another condition that may require a different response. Adequate continental or national supply does not establish adequate local access where distribution is materially impaired. Conversely, a local logistics failure does not establish a national physical shortage merely because goods are temporarily unavailable in one area. The selected measure addresses the condition actually demonstrated.</w:t>
      </w:r>
    </w:p>
    <w:p>
      <w:pPr/>
      <w:r>
        <w:t>20.4.3 [ORDINARY MECHANISMS] Before imposing a restrictive emergency measure, the invoking Party examines whether ordinary market mechanisms, existing inventories, commercially available imports, lawful substitution, logistics adjustments, or cross-border trade can resolve the condition within a timeframe consistent with the identified food-security need. The Party does not reject an ordinary mechanism merely because emergency administration would be politically easier or administratively familiar. Where ordinary mechanisms are inadequate, the determination explains the material gap and expected consequences of waiting. Urgent action may precede complete analysis only where delay would materially worsen the qualifying event, with the omitted analysis completed promptly thereafter.</w:t>
      </w:r>
    </w:p>
    <w:p>
      <w:pPr/>
      <w:r>
        <w:t>20.4.4 [QUANTIFICATION] The determination identifies the affected products, quantities or reasonably bounded quantity ranges, regions, populations, and expected period to the extent reasonably measurable. A quantitative estimate states its source, methodology, assumptions, and material limitations. Where precise quantification is impracticable during an emergency, the authority uses the narrowest reliable range and updates it as better evidence becomes available. An inability to calculate a perfect number does not authorize an unlimited measure.</w:t>
      </w:r>
    </w:p>
    <w:p>
      <w:pPr/>
      <w:r>
        <w:t>20.4.5 [WRITTEN DETERMINATION] A Party invoking restrictive authority under Chapter 20 issues a written determination identifying the qualifying event, legal basis, evidence, methodology, scope, expected duration, alternatives considered, and material uncertainty. The determination distinguishes facts from forecasts and records material contrary evidence known to the authority. Confidential information may be protected while a non-confidential explanation sufficient to understand the basis of action is provided to the extent lawful. The burden of establishing the Chapter 20 basis for the measure remains with the invoking Party.</w:t>
      </w:r>
    </w:p>
    <w:p>
      <w:pPr>
        <w:pStyle w:val="Heading2"/>
      </w:pPr>
      <w:r>
        <w:t xml:space="preserve">Article 20.5 - Imminent-Shortage Standard</w:t>
      </w:r>
    </w:p>
    <w:p>
      <w:pPr/>
      <w:r>
        <w:t>20.5.1 [OPERATIONAL HORIZON] The operational horizon for an Imminent Critical Shortage is the period within which objective evidence indicates the shortage is expected to materialize and ordinarily does not exceed ninety calendar days. A longer horizon may be used only where the production cycle, transportation constraint, or other demonstrated physical feature makes a shorter horizon technically unsuitable and the determination records the reason. The horizon is measured from the date of the imminent-shortage determination and does not restart through administrative renewal. Forecast uncertainty increases rather than relaxes the need for narrow preventive action.</w:t>
      </w:r>
    </w:p>
    <w:p>
      <w:pPr/>
      <w:r>
        <w:t>20.5.2 [FORECAST QUALITY] An imminent-shortage determination relies on materially current trends, observable constraints, credible forecasts, and identified causal mechanisms rather than unsupported extrapolation. The record states the principal assumptions and the evidence that would tend to confirm or disconfirm the forecast. Chapter 18 may examine a properly referred technical forecasting question without deciding whether the legal imminent-shortage standard is met. A forecast does not acquire legal weight merely because it is produced by an automated model or repeated by multiple authorities.</w:t>
      </w:r>
    </w:p>
    <w:p>
      <w:pPr/>
      <w:r>
        <w:t>20.5.3 [NECESSITY OF EARLY ACTION] Preventive action before an actual shortage requires a reasoned explanation of why waiting for materialization would cause materially greater food-security harm or make effective response impracticable. The measure remains no broader or longer than reasonably necessary to address that anticipatory risk. Where monitoring or facilitation can adequately address the risk pending better evidence, those tools are preferred over restrictive intervention. The Party reassesses the need for preventive action as the operational horizon advances.</w:t>
      </w:r>
    </w:p>
    <w:p>
      <w:pPr/>
      <w:r>
        <w:t>20.5.4 [AUTOMATIC EXPIRY AND FORECAST ANCESTRY] An imminent-shortage measure automatically expires when the operational horizon ends if the predicted qualifying shortage has not materialized and no materially changed condition or genuinely new evidence independently supports a new determination. Routine forecast updates, additional observations, revised confidence intervals, later reporting periods, or new data that merely strengthen, weaken, refine, or relabel substantially the same causal forecast do not restart the operational horizon. A new horizon begins only where materially current evidence establishes a materially changed causal condition, independent intervening event, or forecast basis that is not merely a continuation or downstream manifestation of the earlier predicted event. The new determination identifies the asserted change, compares its causal ancestry with the expired forecast, and explains why the evidence establishes a genuinely new imminent-shortage basis rather than serial continuation.</w:t>
      </w:r>
    </w:p>
    <w:p>
      <w:pPr/>
      <w:r>
        <w:t>20.5.5 [REVIEW FREQUENCY] An imminent-shortage measure is reviewed at least every thirty calendar days and more frequently where the event, product, or forecast changes rapidly. Review examines whether the forecast remains credible, whether the shortage has materialized, whether less disruptive action is adequate, and whether scope can be reduced. Failure of the forecast to develop as expected weighs against continuation. Review does not become a mechanism for serially reissuing substantially the same preventive measure.</w:t>
      </w:r>
    </w:p>
    <w:p>
      <w:pPr>
        <w:pStyle w:val="Heading2"/>
      </w:pPr>
      <w:r>
        <w:t xml:space="preserve">Article 20.6 - Early Warning and Shared Situational Awareness</w:t>
      </w:r>
    </w:p>
    <w:p>
      <w:pPr/>
      <w:r>
        <w:t>20.6.1 [VOLUNTARY EARLY WARNING] The Parties maintain a cooperative early-warning mechanism for timely sharing of materially relevant production, inventory, import, export, price, transportation, and shortage indicators. Participation in a particular data stream remains subject to domestic authority, lawful availability, confidentiality, and agreed technical specifications. Early warning supports preparedness and does not itself authorize an emergency measure. A Party may act on its own reliable information where shared information is unavailable.</w:t>
      </w:r>
    </w:p>
    <w:p>
      <w:pPr/>
      <w:r>
        <w:t>20.6.2 [COMMON DATASET] The responsible technical bodies develop a common minimum dataset and interoperable definitions sufficient to compare material food-security indicators without requiring identical domestic statistical systems. Shared data retains its source date, provenance, unit, methodology, revision status, and known limitations. Machine-readable formats are used where practicable and do not displace an authoritative human-readable record where required by law. Methodological differences are documented rather than concealed through artificial harmonization.</w:t>
      </w:r>
    </w:p>
    <w:p>
      <w:pPr/>
      <w:r>
        <w:t>20.6.3 [ONE FACT, SOURCE LINEAGE, AND FEEDBACK EFFECTS] Information does not become independent corroboration merely because multiple Parties, agencies, dashboards, or reports repeat data derived from the same evidentiary source. Shared records preserve lineage sufficient to identify materially common ancestry, and a derivative calculation is assessed according to both its own methodology and the quality of the underlying source. Where an official shortage forecast, emergency announcement, government purchase, restriction, or other anticipatory intervention materially influences prices, inventories, orders, distribution, or behavior later used as evidence, the determination identifies that feedback effect and does not treat the resulting observation as wholly independent confirmation of the original forecast. Chapter 17 verification status remains visible where ALVS information enters the early-warning system, and uncertainty concerning source dependence or endogenous response remains visible rather than being converted into corroboration.</w:t>
      </w:r>
    </w:p>
    <w:p>
      <w:pPr/>
      <w:r>
        <w:t>20.6.4 [USE AND CONFIDENTIALITY] Early-warning information is used for legitimate food-security, continuity, preparedness, and Compact administration purposes and not for market manipulation, improper commercial advantage, or unauthorized disclosure. Protected information remains subject to Chapter 22 and applicable domestic confidentiality rules. Aggregation or anonymization is used where it can preserve operational usefulness without exposing protected information. Confidentiality does not convert unreviewable information into automatic evidence for a restrictive emergency measure.</w:t>
      </w:r>
    </w:p>
    <w:p>
      <w:pPr/>
      <w:r>
        <w:t>20.6.5 [CORRECTION AND GOVERNANCE] A Party or responsible body promptly corrects materially inaccurate shared information and preserves an auditable correction history. Technical bodies may coordinate methodology and data quality but do not acquire authority to declare a Chapter 20 emergency or direct domestic food policy. Early-warning indicators may trigger attention, consultation, or further evidence gathering but not an automatic legal consequence. Governance procedures remain subordinate to the express jurisdictional boundaries of this Chapter.</w:t>
      </w:r>
    </w:p>
    <w:p>
      <w:pPr>
        <w:pStyle w:val="Heading2"/>
      </w:pPr>
      <w:r>
        <w:t xml:space="preserve">Article 20.7 - Emergency Notification and Consultation</w:t>
      </w:r>
    </w:p>
    <w:p>
      <w:pPr/>
      <w:r>
        <w:t>20.7.1 [RAPID NOTICE] A Party imposing a restrictive Emergency Measure under Chapter 20 notifies the other Parties as soon as practicable and no later than forty-eight hours after the measure takes effect. Notice identifies the qualifying event, affected products, geography, legal basis, measure, commencement, expected duration, and responsible authority. It includes a non-confidential evidence package or, where immediate compilation is impracticable, the available core evidence followed promptly by the remainder. Failure to provide timely notice does not enlarge the substantive authority for the measure.</w:t>
      </w:r>
    </w:p>
    <w:p>
      <w:pPr/>
      <w:r>
        <w:t>20.7.2 [URGENT ACTION] A Party does not wait for permission or completion of inter-Party consultation where delay would materially impair lawful response to a qualifying food-security event. Urgent action remains subject to the same substantive trigger, scope, duration, safety, and anti-abuse disciplines as other Chapter 20 action. Consultation is not a veto over domestic emergency authority. The invoking Party nevertheless preserves a record sufficient for prompt subsequent review.</w:t>
      </w:r>
    </w:p>
    <w:p>
      <w:pPr/>
      <w:r>
        <w:t>20.7.3 [CONSULTATION CLOCK] Consultation with affected Parties begins as soon as practicable and ordinarily within five business days after notice of a restrictive emergency measure. Consultation addresses evidence, scope, expected duration, cross-border effects, feasible alternatives, continuity measures, and potential relaxation. An affected Party may provide materially relevant contrary evidence or propose a less disruptive effective alternative. The invoking Party considers those submissions in good faith and records the disposition of material alternatives.</w:t>
      </w:r>
    </w:p>
    <w:p>
      <w:pPr/>
      <w:r>
        <w:t>20.7.4 [NO NEGOTIATING LEVERAGE] Consultation under Chapter 20 is directed to resolving the food-security or continuity event and does not condition emergency relief, relaxation, or Restoration on an unrelated concession. A Party does not use shortage measures to obtain negotiating leverage on another Compact issue. Voluntary assistance may include expressly agreed commercial or logistical terms that are directly connected to the assistance supplied. Political disagreement outside the qualifying event does not justify prolonging a Chapter 20 measure.</w:t>
      </w:r>
    </w:p>
    <w:p>
      <w:pPr/>
      <w:r>
        <w:t>20.7.5 [CONSULTATION RECORD] The responsible authority maintains a record of notices, consultations, material evidence submitted, alternatives considered, and resulting modifications. Non-confidential portions are available to affected Parties and integrated with the Chapter 22 transparency architecture when operational. Confidentiality protections remain applicable to protected information. The consultation record does not itself create an independent legal finding beyond the authority assigned by this Chapter.</w:t>
      </w:r>
    </w:p>
    <w:p>
      <w:pPr>
        <w:pStyle w:val="Heading2"/>
      </w:pPr>
      <w:r>
        <w:t xml:space="preserve">Article 20.8 - Continuity of Cross-Border Trade</w:t>
      </w:r>
    </w:p>
    <w:p>
      <w:pPr/>
      <w:r>
        <w:t>20.8.1 [CONTINUITY DUTY] During a qualifying event, each Party administers border procedures affecting covered food and Essential Agricultural Inputs in a manner that preserves safe and commercially usable trade to the greatest extent reasonably practicable. Authorities identify avoidable governmental bottlenecks and act within their lawful competence to reduce them. Facilitation does not require waiver of origin, SPS, safety, security, fraud-control, or other substantive requirements. Temporary accommodations expire when their operational justification ends.</w:t>
      </w:r>
    </w:p>
    <w:p>
      <w:pPr/>
      <w:r>
        <w:t>20.8.2 [PERISHABLES AND CLEARANCE] Border authorities provide expedited processing, priority inspection, emergency contact channels, and rapid escalation for perishable or time-sensitive food shipments where capacity and safety permit. Electronic documentation and interoperable data exchange are used where practicable to reduce duplicative processing. Authorities monitor material processing times and identify recurring emergency bottlenecks. Expedited treatment does not convert incomplete or unsafe shipments into compliant goods.</w:t>
      </w:r>
    </w:p>
    <w:p>
      <w:pPr/>
      <w:r>
        <w:t>20.8.3 [CAPACITY PRIORITY] Where border or logistics capacity is materially constrained, authorities use risk, perishability, humanitarian need, system dependence, and operational necessity to establish temporary processing priorities. Food cargo does not automatically displace medical supplies, emergency equipment, energy inputs, or other cargo whose movement is materially necessary to protect life, safety, or the functioning of the food system. Priority rules are transparent to the extent practicable and avoid nationality-based favoritism unrelated to the demonstrated need. Capacity prioritization ends when the constraint materially resolves.</w:t>
      </w:r>
    </w:p>
    <w:p>
      <w:pPr/>
      <w:r>
        <w:t>20.8.4 [NON DISCRIMINATION] Emergency border facilitation is administered without arbitrary or unjustifiable discrimination among Parties where relevant conditions are comparable. Different treatment may reflect materially different safety risks, transportation conditions, perishability, urgency, legal status, or operational constraints. The responsible authority records the material basis for significant differential treatment. Formal equality is not required where materially different conditions make identical treatment operationally inappropriate.</w:t>
      </w:r>
    </w:p>
    <w:p>
      <w:pPr/>
      <w:r>
        <w:t>20.8.5 [BOTTLENECK COORDINATION] Border, customs, transportation, SPS, and other relevant authorities maintain rapid contact channels for resolving cross-border food-flow bottlenecks during a qualifying event. Coordination may include routing information, inspection scheduling, temporary administrative accommodations, data reconciliation, and lawful redirection to available ports or crossings. No authority acquires jurisdiction beyond its domestic competence or the Compact merely by participating in coordination. Material unresolved bottlenecks are escalated promptly to the responsible domestic authority.</w:t>
      </w:r>
    </w:p>
    <w:p>
      <w:pPr>
        <w:pStyle w:val="Heading2"/>
      </w:pPr>
      <w:r>
        <w:t xml:space="preserve">Article 20.9 - Essential Agricultural Inputs</w:t>
      </w:r>
    </w:p>
    <w:p>
      <w:pPr/>
      <w:r>
        <w:t>20.9.1 [DEFINITION] An Essential Agricultural Input is seed, feed, fertilizer, veterinary input, breeding stock, or another specifically identified input whose timely availability is genuinely necessary to maintain material food production or continuity during a qualifying event. The definition is construed narrowly according to operational necessity rather than general usefulness to agriculture. Ordinary capital goods, discretionary services, and remotely connected products do not qualify merely because they support an agricultural enterprise. The determination identifies the food-production function that makes the input essential.</w:t>
      </w:r>
    </w:p>
    <w:p>
      <w:pPr/>
      <w:r>
        <w:t>20.9.2 [SOURCE AND NECESSITY] A Party invoking input-continuity treatment explains the quantity or function needed, expected duration, domestic availability, and reasonably available Party and non-Party sources. Lack of a preferred supplier does not establish essential-input scarcity. Where a commercially reasonable substitute can meet the material food-production need without creating a different significant risk, that availability is considered. The analysis does not require technically unsuitable substitution merely to avoid Chapter 20 treatment.</w:t>
      </w:r>
    </w:p>
    <w:p>
      <w:pPr/>
      <w:r>
        <w:t>20.9.3 [TEMPORARY TREATMENT] An input-continuity measure remains temporary, product-specific, and tied to the qualifying event. It does not create a permanent supplier preference, tariff baseline, origin preference, licensing entitlement, or future procurement commitment. Treatment among Parties reflects comparable conditions without arbitrary discrimination. The measure expires automatically when the demonstrated input-continuity need ends.</w:t>
      </w:r>
    </w:p>
    <w:p>
      <w:pPr/>
      <w:r>
        <w:t>20.9.4 [CHAPTER 16 INTERFACE] An input-continuity measure remains subject to Chapter 16 disciplines concerning regulatory friction and anti-substitution to the extent applicable. Chapter 20 does not authorize disguised regulatory substitution, artificial specification changes, or administrative barriers favoring a domestic input. A temporary accommodation does not permanently alter a regulatory requirement unless changed through the authority otherwise governing that requirement. Cross-chapter routing preserves the jurisdiction of each Chapter.</w:t>
      </w:r>
    </w:p>
    <w:p>
      <w:pPr/>
      <w:r>
        <w:t>20.9.5 [REVIEW] An Essential Agricultural Input designation and any restrictive or preferential treatment attached to it are reviewed at least every ninety calendar days and more frequently where conditions change rapidly. Review considers continued necessity, available substitutes, alternative sources, commercial usability, and whether scope can be reduced. A designation does not survive merely because the underlying production sector remains economically important. Expiry or withdrawal restores the treatment otherwise applicable under the Compact.</w:t>
      </w:r>
    </w:p>
    <w:p>
      <w:pPr>
        <w:pStyle w:val="Heading2"/>
      </w:pPr>
      <w:r>
        <w:t xml:space="preserve">Article 20.10 - Transportation and Logistics Continuity</w:t>
      </w:r>
    </w:p>
    <w:p>
      <w:pPr/>
      <w:r>
        <w:t>20.10.1 [ADMINISTRATIVE CONTINUITY] The Parties coordinate within their respective authority to preserve administrative continuity at ports, rail interfaces, trucking corridors, cold-storage nodes, border crossings, and other material food-distribution infrastructure. Coordination focuses on removing avoidable governmental impediments and sharing operational information. Chapter 20 does not itself authorize command of private transportation networks, vehicles, facilities, or labor. Domestic emergency authority remains governed by domestic law and applicable Compact obligations.</w:t>
      </w:r>
    </w:p>
    <w:p>
      <w:pPr/>
      <w:r>
        <w:t>20.10.2 [COLD CHAIN] Authorities give appropriate operational attention to refrigeration, cold storage, temperature-sensitive routing, and time-critical clearance where loss of cold-chain continuity would materially worsen the qualifying event. Temporary priority reflects perishability, safety, humanitarian need, and available capacity. A Party does not use cold-chain priority to create an unrelated commercial preference. Material failures and corrective actions are recorded for emergency review.</w:t>
      </w:r>
    </w:p>
    <w:p>
      <w:pPr/>
      <w:r>
        <w:t>20.10.3 [ROUTING AND CAPACITY] The Parties share timely information on material transportation capacity, closures, congestion, and alternative routing where lawful and operationally useful. Authorities may coordinate temporary routing or scheduling accommodations within their competence. A recommendation concerning private routing remains non-compulsory unless domestic law independently provides authority. Emergency routing does not create a permanent corridor entitlement or regulatory exemption.</w:t>
      </w:r>
    </w:p>
    <w:p>
      <w:pPr/>
      <w:r>
        <w:t>20.10.4 [TEMPORARY ACCOMMODATIONS] A Party may adopt a temporary administrative accommodation concerning transportation documentation, scheduling, hours, routing, or comparable procedure where lawful and necessary to preserve food continuity. The accommodation identifies its scope, safety conditions, commencement, and expiry. It does not waive a substantive safety requirement merely because compliance is inconvenient during an emergency. A temporary accommodation does not become permanent through repeated use or administrative custom.</w:t>
      </w:r>
    </w:p>
    <w:p>
      <w:pPr/>
      <w:r>
        <w:t>20.10.5 [LOGISTICS EXIT] Transportation and logistics measures under this Article end when their demonstrated operational necessity ends and do not await expiration of a broader emergency declaration where the particular bottleneck has resolved. Authorities remove temporary restrictions and accommodations in an orderly manner that preserves safety and commercial predictability. Restoration of ordinary procedures is communicated promptly to affected operators. Residual administrative delay does not create continuing Chapter 20 authority.</w:t>
      </w:r>
    </w:p>
    <w:p>
      <w:pPr>
        <w:pStyle w:val="Heading2"/>
      </w:pPr>
      <w:r>
        <w:t xml:space="preserve">Article 20.11 - Emergency Procurement</w:t>
      </w:r>
    </w:p>
    <w:p>
      <w:pPr/>
      <w:r>
        <w:t>20.11.1 [PROCUREMENT AUTHORITY] Each Party retains authority under its law to procure food and Essential Agricultural Inputs rapidly during a qualifying event. Chapter 20 does not create procurement authority that domestic law does not otherwise provide. Emergency procurement remains connected to the identified event, quantity, timing, and operational need. Procurement does not become a substitute for permanent industrial or agricultural preference policy.</w:t>
      </w:r>
    </w:p>
    <w:p>
      <w:pPr/>
      <w:r>
        <w:t>20.11.2 [SOURCE SELECTION] Emergency source selection may consider availability, delivery time, location, reliability, safety, infrastructure, price, quantity, and other factors materially connected to the emergency need. A Party does not discriminate among suppliers of another Party for a protectionist purpose where materially comparable offers can satisfy the need. Different sourcing decisions may reflect materially different operational conditions and need not produce formal equality. The procurement record identifies the emergency basis for material preferences where domestic law requires reasons.</w:t>
      </w:r>
    </w:p>
    <w:p>
      <w:pPr/>
      <w:r>
        <w:t>20.11.3 [TEMPORARY CHARACTER AND CONTRACT LOCK-IN] An emergency procurement preference, waiver, expedited procedure, or special sourcing rule expires when its emergency justification ends and does not create a permanent domestic-supplier preference, future award entitlement, or precedent requiring continued use. A contract lawfully awarded during the emergency may continue according to its terms where termination would itself be unlawful or commercially unreasonable, but emergency authority does not justify duration, option periods, committed quantities, exclusivity, or preferential treatment materially exceeding the reasonably foreseeable emergency and immediate recovery need. Any contractual feature extending materially beyond that need rests on independent ordinary-law procurement authority and is administered without preserving an emergency preference merely because the contract was signed while Chapter 20 was active. Continued performance of a valid contract therefore does not preserve expired emergency authority for extensions, options, additional quantities, successor awards, or new procurements.</w:t>
      </w:r>
    </w:p>
    <w:p>
      <w:pPr/>
      <w:r>
        <w:t>20.11.4 [ANTI MANIPULATION] Emergency procurement is not used to dispose of unrelated surplus production, manipulate market prices, retaliate against another Party, or create negotiating leverage. A purchase reasonably necessary to build or replenish an emergency operating stock may occur where the quantity and timing are connected to the qualifying event or immediate recovery. The authority distinguishes legitimate resilience procurement from intervention primarily designed to support ordinary market prices. Chapter 25 and Chapter 26 remain available for alleged misuse according to their respective functions.</w:t>
      </w:r>
    </w:p>
    <w:p>
      <w:pPr/>
      <w:r>
        <w:t>20.11.5 [TRANSPARENCY] Emergency procurement remains subject to applicable domestic transparency, accountability, audit, and contract-award rules except to the extent lawful emergency procedures provide otherwise. Material Chapter 20 procurement measures are notified to the other Parties through the Chapter 22 architecture when operational and consistent with confidentiality requirements. Commercially sensitive information is protected according to applicable law. Transparency does not delay procurement where immediate action is lawfully required.</w:t>
      </w:r>
    </w:p>
    <w:p>
      <w:pPr>
        <w:pStyle w:val="Heading2"/>
      </w:pPr>
      <w:r>
        <w:t xml:space="preserve">Article 20.12 - Strategic Food Reserves</w:t>
      </w:r>
    </w:p>
    <w:p>
      <w:pPr/>
      <w:r>
        <w:t>20.12.1 [RESERVE SOVEREIGNTY] Each Party may establish, maintain, size, locate, manage, rotate, release, and replenish strategic food reserves according to its domestic law and policy. Chapter 20 creates no obligation to maintain a reserve at a specified level or composition. A domestic reserve does not become a common North American asset by reason of this Compact. Reserve policy remains subject to obligations otherwise expressly applicable under the Compact.</w:t>
      </w:r>
    </w:p>
    <w:p>
      <w:pPr/>
      <w:r>
        <w:t>20.12.2 [VOLUNTARY RELEASE] Release of strategic reserves for another Party is voluntary unless the releasing Party has expressly undertaken a specific written obligation. A request identifies the product, quantity, timing, delivery need, and relevant qualifying event. The requested Party determines what it can provide consistently with its own food-security responsibilities and existing commitments. Refusal or partial assistance does not create liability absent a specific applicable obligation.</w:t>
      </w:r>
    </w:p>
    <w:p>
      <w:pPr/>
      <w:r>
        <w:t>20.12.3 [REPLENISHMENT] Reserve replenishment remains a domestic decision unless a written assistance arrangement expressly provides otherwise. Replenishment measures do not justify continuing an expired export restriction or other emergency trade limitation merely because the reserve has not returned to a preferred level. A Party may procure replacement stocks through ordinary lawful means after the qualifying event. Continued reserve management does not extend the emergency itself.</w:t>
      </w:r>
    </w:p>
    <w:p>
      <w:pPr/>
      <w:r>
        <w:t>20.12.4 [COOPERATION TERMS] Cross-border reserve cooperation is recorded in writing and identifies quantity, quality, timing, transport, cost or reimbursement where applicable, confidentiality, and any expressly agreed return or replacement obligation. Terms do not create permanent access rights, future supply preferences, or an obligation to repeat assistance unless expressly stated. Material arrangements are notified to the other Parties to the extent lawful and relevant to shared situational awareness. A bilateral arrangement does not impose duties on the third Party without its consent.</w:t>
      </w:r>
    </w:p>
    <w:p>
      <w:pPr/>
      <w:r>
        <w:t>20.12.5 [NO SUPRANATIONAL RESERVE] No Commission body, technical working group, registry administrator, or emergency coordination mechanism acquires authority to order reserve accumulation, release, transfer, or replenishment. Shared data concerning reserves does not transfer ownership or control. Recommendations remain non-binding unless the Parties adopt an express obligation through the procedures of this Compact. Institutional practice cannot create a supranational reserve authority by implication.</w:t>
      </w:r>
    </w:p>
    <w:p>
      <w:pPr>
        <w:pStyle w:val="Heading2"/>
      </w:pPr>
      <w:r>
        <w:t xml:space="preserve">Article 20.13 - Voluntary Mutual Assistance</w:t>
      </w:r>
    </w:p>
    <w:p>
      <w:pPr/>
      <w:r>
        <w:t>20.13.1 [ASSISTANCE MECHANISM] A Party experiencing a qualifying event may request voluntary assistance concerning food, Essential Agricultural Inputs, transportation capacity, technical expertise, reserve releases, border facilitation, or other directly relevant continuity support. The request identifies the specific need, quantity or function, timing, expected duration, and any material delivery constraint. The requested Party determines what assistance it can provide consistent with domestic law, available capacity, concurrent needs, and existing obligations. Chapter 20 does not compel assistance merely because a request is made.</w:t>
      </w:r>
    </w:p>
    <w:p>
      <w:pPr/>
      <w:r>
        <w:t>20.13.2 [WRITTEN TERMS] Material assistance terms are recorded transparently in writing and identify the assistance supplied, timing, responsibilities, costs or reimbursement where applicable, and any express return or replacement obligation. Silence does not create a debt, future supply commitment, preferential access right, or reciprocal political obligation. An assistance arrangement may create such an obligation only where the text expressly does so and the Parties have authority to undertake it. Ambiguity is not construed as a permanent entitlement.</w:t>
      </w:r>
    </w:p>
    <w:p>
      <w:pPr/>
      <w:r>
        <w:t>20.13.3 [COORDINATION] The Parties coordinate material assistance where useful to avoid duplication, incompatible logistics, or competition for the same constrained transportation or storage capacity. Coordination does not create authority to reallocate another Party's resources. A Party may decline coordination where confidentiality, urgency, or operational circumstances reasonably require separate action. Shared assistance information retains provenance and does not become evidence of a broader legal obligation.</w:t>
      </w:r>
    </w:p>
    <w:p>
      <w:pPr/>
      <w:r>
        <w:t>20.13.4 [CONCURRENT SHORTAGES AND NO ALLOCATION ENTITLEMENT] Where two or more Parties simultaneously experience qualifying food-security events, each retains responsibility and authority for its own domestic food-security needs while considering material cross-border consequences of measures taken under this Chapter. Relative shortage severity, available supply, affected populations, substitutes, logistics, and practical alternatives inform cooperation and the assessment of unnecessary cross-border harm but do not create a formula allocating continental supply, an entitlement to another Party's production or reserves, or a duty to equalize shortage levels. A Party requesting or providing assistance discloses materially relevant concurrent constraints to the extent lawful and reasonably available, and concurrent shortage neither creates an unlimited duty to export nor authorizes arbitrary discrimination or avoidable transfer of harm. Any specific allocation, supply, reserve, or assistance commitment exists only where the relevant Parties expressly undertake it in writing under authority otherwise available to them.</w:t>
      </w:r>
    </w:p>
    <w:p>
      <w:pPr/>
      <w:r>
        <w:t>20.13.5 [NO ASSISTANCE RATCHET] Past voluntary assistance does not establish a minimum future assistance level, customary entitlement, most-favored assistance rule, or expectation enforceable under this Compact. Reduction or discontinuation of voluntary assistance is not retaliation merely because another Party preferred continuation. An express written commitment remains enforceable only according to its stated terms and duration. Completion of assistance returns the Parties to the underlying Compact relationship without residual preference.</w:t>
      </w:r>
    </w:p>
    <w:p>
      <w:pPr>
        <w:pStyle w:val="Heading2"/>
      </w:pPr>
      <w:r>
        <w:t xml:space="preserve">Article 20.14 - Export Measures During Shortage</w:t>
      </w:r>
    </w:p>
    <w:p>
      <w:pPr/>
      <w:r>
        <w:t>20.14.1 [EXPORT GATE] A Party uses an emergency export restriction, limitation, licensing constraint, charge, quantitative measure, or functionally equivalent export measure under Chapter 20 only where a genuine qualifying food-security event materially affecting that Party cannot reasonably be addressed through less disruptive effective measures. The measure identifies the specific goods, quantities or bounded ranges, domestic need, geographic scope, and causal relationship to the qualifying event. A generalized desire to increase domestic supply, lower prices, support processors, or gain bargaining leverage does not satisfy this gate. The burden of establishing the export-measure basis remains with the invoking Party.</w:t>
      </w:r>
    </w:p>
    <w:p>
      <w:pPr/>
      <w:r>
        <w:t>20.14.2 [MINIMUM NECESSARY SCOPE] An export measure is no broader in product coverage, quantity, geography, duration, or commercial effect than reasonably necessary to address the demonstrated domestic food-security need. The Party considers commercially available imports, reserve releases, logistics measures, procurement, voluntary assistance, and other reasonably available alternatives. A measure is evaluated by actual and reasonably foreseeable commercial effect rather than formal label. Administrative non-issuance or delay of export licences is treated according to its practical effect.</w:t>
      </w:r>
    </w:p>
    <w:p>
      <w:pPr/>
      <w:r>
        <w:t>20.14.3 [NORTH AMERICAN CONSEQUENCES AND NON-TRANSFER] Before and during an export measure, the invoking Party considers material food-security consequences for the other Parties, including concurrent shortages, dependence on the affected trade flow, available substitutes, vulnerable populations, and transportation constraints. Domestic food-security responsibility remains preserved, and consideration of cross-border effects does not create an allocation formula, an entitlement to another Party's supply, a duty to equalize relative shortage conditions, or an unlimited export obligation. The Party avoids unnecessary transfer of shortage or disruption where a reasonably available alternative can meet the domestic need with materially less cross-border harm, and it records why material alternatives were accepted or rejected. Material differential treatment among Parties reflects relevant differences in food-security, safety, logistics, supply, or legal conditions rather than political preference, retaliation, or comparative shortage percentages standing alone.</w:t>
      </w:r>
    </w:p>
    <w:p>
      <w:pPr/>
      <w:r>
        <w:t>20.14.4 [DURATION, AGGREGATE CEILING, AND REVIEW] An export measure ordinarily does not exceed ninety calendar days in its initial authorization, is reviewed at least every thirty calendar days, and together with substantially equivalent export measures arising from the same qualifying event ordinarily does not exceed one hundred eighty aggregate calendar days. Continuation within that aggregate period requires materially current evidence that the qualifying event persists and that the measure remains necessary at its existing scope, while continuation beyond one hundred eighty aggregate days requires a fresh written exceptional determination establishing an independently continuing critical food-security need, the inadequacy of reasonably available less disruptive measures, and the shortest additional fixed period necessary. A renewal, administrative transfer, product subdivision, geographic subdivision, change of legal form, or materially equivalent successor measure does not reset the causal event or aggregate clock, and periods during which substantially equivalent restrictions remain commercially operative count toward the aggregate ceiling. The measure expires automatically when its qualifying basis ends even if an authorization period remains, and any exceptional continuation remains subject to thirty-day review, causal-ancestry analysis, and the anti-ratchet protections of this Chapter.</w:t>
      </w:r>
    </w:p>
    <w:p>
      <w:pPr/>
      <w:r>
        <w:t>20.14.5 [PROHIBITED USES] An export measure is not used to manipulate prices, protect domestic producers from ordinary competition, retaliate against another Party, obtain negotiating leverage, create a permanent export-control regime, or preserve an emergency preference after the event. A Party does not condition relaxation or expiry on an unrelated concession. Repeated or relabelled measures with substantially the same protective effect are assessed by function and causal ancestry. Alleged abuse is addressed through the review, cure, and dispute mechanisms assigned by this Compact.</w:t>
      </w:r>
    </w:p>
    <w:p>
      <w:pPr>
        <w:pStyle w:val="Heading2"/>
      </w:pPr>
      <w:r>
        <w:t xml:space="preserve">Article 20.15 - Anti-Hoarding and Administrative Anti-Diversion Measures</w:t>
      </w:r>
    </w:p>
    <w:p>
      <w:pPr/>
      <w:r>
        <w:t>20.15.1 [LEGITIMATE TARGET] A Party may use lawful temporary measures against fraud, artificial diversion, unlawful stock manipulation, false documentation, or other conduct that materially interferes with response to a qualifying event. The measure identifies the prohibited conduct and evidence connecting it to the continuity problem. Lawful inventory management, ordinary commercial storage, forward contracting, or price response is not treated as abuse merely because government officials dislike the market outcome. Chapter 11 continues to govern fraud and circumvention within its assigned scope.</w:t>
      </w:r>
    </w:p>
    <w:p>
      <w:pPr/>
      <w:r>
        <w:t>20.15.2 [DOMESTIC POWERS] Chapter 20 does not itself authorize generalized price controls, seizure, requisition, compulsory private disclosure, search, or other coercive domestic power. A Party may exercise authority independently provided by domestic law subject to applicable legal safeguards and Compact obligations. The existence of a qualifying event does not enlarge domestic enforcement jurisdiction by implication. Cross-border consequences of domestic measures remain subject to express Compact disciplines where applicable.</w:t>
      </w:r>
    </w:p>
    <w:p>
      <w:pPr/>
      <w:r>
        <w:t>20.15.3 [NARROW TAILORING] An anti-hoarding or anti-diversion measure is narrowly tailored to the demonstrated conduct, affected product, relevant geography, and period of material risk. It is not used to punish lawful traders, advantage domestic producers, suppress ordinary competition, or impose a broad trade restriction unrelated to the identified conduct. Administrative requirements are assessed by their commercial effect and information need. The measure is relaxed or withdrawn when the demonstrated risk diminishes.</w:t>
      </w:r>
    </w:p>
    <w:p>
      <w:pPr/>
      <w:r>
        <w:t>20.15.4 [REVIEW AND EXPIRY] A restrictive measure under this Article is reviewed at least every thirty calendar days and expires automatically when its qualifying emergency justification ends. Review considers whether the targeted conduct persists, whether enforcement can return to ordinary channels, and whether less burdensome controls are adequate. Renewal requires materially current evidence and does not rely solely on the existence of the broader emergency declaration. Successive substantially equivalent measures are assessed together for anti-circumvention purposes.</w:t>
      </w:r>
    </w:p>
    <w:p>
      <w:pPr/>
      <w:r>
        <w:t>20.15.5 [TRANSPARENCY] Material anti-hoarding and anti-diversion measures affecting cross-border trade are notified to the other Parties with a non-confidential description of the conduct targeted, products affected, duration, and review schedule. Confidential investigative information and protected commercial information remain safeguarded. Notification does not require disclosure that would compromise a lawful investigation or enforcement technique. Lack of public detail does not permit a measure to exceed the authority otherwise supplied by this Article.</w:t>
      </w:r>
    </w:p>
    <w:p>
      <w:pPr>
        <w:pStyle w:val="Heading2"/>
      </w:pPr>
      <w:r>
        <w:t xml:space="preserve">Article 20.16 - Vulnerable Populations and Humanitarian Continuity</w:t>
      </w:r>
    </w:p>
    <w:p>
      <w:pPr/>
      <w:r>
        <w:t>20.16.1 [DOMESTIC PRIORITY] Emergency administration under Chapter 20 recognizes the material needs of vulnerable populations where domestic law or policy assigns priority, including hospitals, remote communities, Indigenous communities, school nutrition programs, emergency shelters, and comparable groups. The identification and ordering of domestic priorities remains a domestic responsibility. Chapter 20 does not create a supranational rationing code or individual entitlement. Cross-border measures nevertheless account for foreseeable humanitarian consequences where relevant to their scope.</w:t>
      </w:r>
    </w:p>
    <w:p>
      <w:pPr/>
      <w:r>
        <w:t>20.16.2 [HUMANITARIAN FACILITATION] The Parties facilitate lawful humanitarian food assistance and essential supporting inputs during a qualifying event where safe, feasible, and consistent with applicable SPS, customs, security, and domestic requirements. Facilitation may include priority contact channels, expedited documentation, routing coordination, and recognition of clearly identified humanitarian consignments. Humanitarian designation does not waive safety or permit diversion into ordinary commercial channels without applicable treatment. Authorities address suspected misuse through targeted verification rather than indiscriminate obstruction.</w:t>
      </w:r>
    </w:p>
    <w:p>
      <w:pPr/>
      <w:r>
        <w:t>20.16.3 [NO POLITICAL COERCION] A Party does not use a Chapter 20 restriction, assistance decision, border procedure, reserve arrangement, or emergency administrative measure for the purpose of coercing another Party on an unrelated political or negotiating matter. Differential treatment based on materially different food-security, safety, logistics, or legal conditions remains permissible where otherwise consistent with this Chapter. The record identifies the operational basis for material differential treatment affecting humanitarian continuity. Chapter 20 does not convert ordinary diplomatic disagreement into a food-security justification.</w:t>
      </w:r>
    </w:p>
    <w:p>
      <w:pPr/>
      <w:r>
        <w:t>20.16.4 [HUMANITARIAN CORRIDORS] The Parties may coordinate temporary humanitarian routing or corridor arrangements where ordinary routes are materially impaired and the arrangement is safe and operationally feasible. Participation remains subject to domestic authority and does not compel use of private infrastructure without lawful authority. A corridor arrangement states its operational purpose, responsible contacts, safety conditions, and expected duration. It creates no permanent route, access, or infrastructure entitlement.</w:t>
      </w:r>
    </w:p>
    <w:p>
      <w:pPr/>
      <w:r>
        <w:t>20.16.5 [NON DIVERSION] Humanitarian priority is not used to obtain a commercial preference unrelated to the identified humanitarian need. Authorities may use proportionate verification to confirm destination, quantity, consignee, and other material facts. Verification remains sufficiently rapid that it does not defeat the humanitarian function absent a material safety, fraud, or diversion concern. Confirmed misuse does not justify withholding unrelated lawful humanitarian shipments.</w:t>
      </w:r>
    </w:p>
    <w:p>
      <w:pPr>
        <w:pStyle w:val="Heading2"/>
      </w:pPr>
      <w:r>
        <w:t xml:space="preserve">Article 20.17 - SPS and Emergency Safety Interface</w:t>
      </w:r>
    </w:p>
    <w:p>
      <w:pPr/>
      <w:r>
        <w:t>20.17.1 [SAFETY SURVIVES SCARCITY] A qualifying shortage or continuity event does not waive legitimate food-safety, animal-health, plant-health, or other SPS requirements. Chapter 14 continues to govern SPS measures and each Party's appropriate level of protection. Scarcity does not require acceptance of unsafe goods or lowering of a Party's chosen level of protection. Emergency facilitation focuses on administrative speed, coordination, and lawful alternatives rather than erosion of safety.</w:t>
      </w:r>
    </w:p>
    <w:p>
      <w:pPr/>
      <w:r>
        <w:t>20.17.2 [NO RELABELLING] A Party does not relabel an SPS restriction as a Chapter 20 food-security measure to avoid Chapter 14 disciplines. Conversely, a food-security continuity measure does not become an SPS measure merely because the affected product is subject to SPS regulation. Where both functions are present, each component remains subject to the Chapter governing that function. Function rather than administrative title determines the applicable discipline.</w:t>
      </w:r>
    </w:p>
    <w:p>
      <w:pPr/>
      <w:r>
        <w:t>20.17.3 [ACCELERATED ADMINISTRATION] During a qualifying event, SPS and border authorities use available expedited procedures, electronic exchange, priority scheduling, equivalence or recognition machinery, and other lawful administrative tools where they can preserve continuity without compromising safety. Chapter 15 recognition and certification mechanisms remain available according to their own standards. Administrative urgency does not predetermine a scientific or regulatory conclusion. Government-caused delay is identified and addressed through the responsible Chapter.</w:t>
      </w:r>
    </w:p>
    <w:p>
      <w:pPr/>
      <w:r>
        <w:t>20.17.4 [EMERGENCY SPS ACTION] An Emergency SPS Action remains governed by Chapter 14 even where it contributes to a Chapter 20 shortage or continuity event. Chapter 20 may address separately demonstrated economic, logistics, procurement, assistance, or continuity consequences without reviewing the legal validity of the SPS action. Chapter 18 may examine a properly referred scientific question while preserving the Chapter 14 legal firewall. The existence of a shortage does not reverse the burden or standard assigned by Chapter 14.</w:t>
      </w:r>
    </w:p>
    <w:p>
      <w:pPr/>
      <w:r>
        <w:t>20.17.5 [SAFE SUBSTITUTION] Where ordinary supply is unavailable, authorities may facilitate consideration of lawful substitute products, sources, certifications, or routes using existing Chapter 14 and Chapter 15 mechanisms. A substitute is not deemed safe, equivalent, recognized, or compliant merely because a shortage exists. Decisions remain evidence-based and within the competent authority's assigned jurisdiction. Temporary facilitation does not create permanent recognition unless the controlling procedure independently establishes it.</w:t>
      </w:r>
    </w:p>
    <w:p>
      <w:pPr>
        <w:pStyle w:val="Heading2"/>
      </w:pPr>
      <w:r>
        <w:t xml:space="preserve">Article 20.18 - Chapters 17-19 Interface</w:t>
      </w:r>
    </w:p>
    <w:p>
      <w:pPr/>
      <w:r>
        <w:t>20.18.1 [CHAPTER 17 INTERFACE] Chapter 17 may measure system-level implementation conditions relevant to food-security preparedness or continuity but does not make an individual Chapter 20 emergency determination. An ALVS Indicator or Verified Implementation Finding does not automatically establish a Critical Shortage, Imminent Critical Shortage, or other Chapter 20 trigger. Chapter 20 may use ALVS information subject to its provenance, verification status, and actual evidentiary weight. Referral does not enlarge either Chapter's jurisdiction.</w:t>
      </w:r>
    </w:p>
    <w:p>
      <w:pPr/>
      <w:r>
        <w:t>20.18.2 [CHAPTER 18 INTERFACE] Chapter 18 may examine a properly referred technical or scientific question relevant to a Chapter 20 determination without deciding whether the legal food-security trigger, necessity test, or emergency authority is satisfied. A Technical Finding does not automatically authorize an export measure, procurement preference, reserve action, or other Chapter 20 intervention. Chapter 20 applies its own burden, legal test, scope, and duration rules after receiving technical analysis. Scientific uncertainty remains visible rather than being converted into automatic emergency authority.</w:t>
      </w:r>
    </w:p>
    <w:p>
      <w:pPr/>
      <w:r>
        <w:t>20.18.3 [CHAPTER 19 INTERFACE] Chapter 19 governs transition-caused economic safeguards, while Chapter 20 governs independently qualifying food-security shortage and continuity events. A Party does not move a matter between Chapters 19 and 20 merely to obtain an easier trigger, longer duration, broader measure, or different evidentiary burden. Where both Chapters are independently satisfied by distinct aspects of the same real-world event, measures remain separately justified, recorded, and limited to their respective functions. Overlapping measures are coordinated to prevent double protection or cumulative restriction beyond the demonstrated needs.</w:t>
      </w:r>
    </w:p>
    <w:p>
      <w:pPr/>
      <w:r>
        <w:t>20.18.4 [NO FORUM SHOPPING] A Party, Commission body, or administrative authority does not characterize substantially the same measure under Chapters 17, 18, 19, and 20 successively or simultaneously for the purpose or effect of avoiding a jurisdictional limit. Function, causal basis, evidentiary status, affected goods, and practical commercial effect determine the relevant interface. Information may travel across Chapters without carrying legal status that the receiving Chapter does not independently confer. The receiving authority records the source and legal role of material cross-chapter information.</w:t>
      </w:r>
    </w:p>
    <w:p>
      <w:pPr/>
      <w:r>
        <w:t>20.18.5 [REGISTRY ROUTING] Material Chapter 20 determinations, measures, reviews, modifications, expiries, and Restoration status are recorded through the Chapter 22 shared-registry architecture when operational. A registry entry records legal status but does not create it. The record preserves links to relevant Chapter 17 measurements, Chapter 18 technical reports, Chapter 19 measures, and other source material without treating those links as independent corroboration. Correction history remains visible.</w:t>
      </w:r>
    </w:p>
    <w:p>
      <w:pPr>
        <w:pStyle w:val="Heading2"/>
      </w:pPr>
      <w:r>
        <w:t xml:space="preserve">Article 20.19 - Restoration, Exit, and Anti-Ratchet</w:t>
      </w:r>
    </w:p>
    <w:p>
      <w:pPr/>
      <w:r>
        <w:t>20.19.1 [AUTOMATIC EXIT] A Chapter 20 emergency measure ends automatically when its qualifying event, product-specific need, or other express legal basis ends, even where a broader emergency declaration remains in force. Expiry does not require a fresh application, political approval, renegotiation, or unrelated concession. The responsible authority promptly communicates termination and updates affected administrative systems. A measure does not survive merely because an agency has not completed ordinary paperwork.</w:t>
      </w:r>
    </w:p>
    <w:p>
      <w:pPr/>
      <w:r>
        <w:t>20.19.2 [UNDERLYING TREATMENT] Upon expiry or termination, the treatment legally controlling under the Compact at that time resumes without resetting a tariff, TRQ, vesting, transition, origin, procurement, licensing, or other baseline. Emergency treatment is not counted as evidence of a new ordinary legal state. Rights that would have advanced during the emergency continue according to the underlying Compact unless an express provision lawfully provided otherwise. Chapter 20 does not reopen a completed Zero-Line Status or other vested right.</w:t>
      </w:r>
    </w:p>
    <w:p>
      <w:pPr/>
      <w:r>
        <w:t>20.19.3 [COMMERCIALLY USABLE RESTORATION] Restoration is complete only when the treatment legally due is operationally available through the customs, licensing, quota, registry, procurement, certification, information-technology, and other administrative systems reasonably necessary to use it. A notice or registry entry does not complete Restoration while an expired emergency restriction remains operative in commercial practice. A tightly bounded technical correction period may be used only where necessary to implement the change, with the reason, affected function, commencement, and fixed completion date recorded to the extent lawful. Government-caused implementation delay does not extend emergency authority or create a new baseline.</w:t>
      </w:r>
    </w:p>
    <w:p>
      <w:pPr/>
      <w:r>
        <w:t>20.19.4 [NO RESERVE REPLENISHMENT EXTENSION] The end of a qualifying event is not postponed merely because a strategic reserve, public inventory, emergency procurement program, or private supply chain has not returned to a preferred pre-event level. Continued recovery activity may proceed under ordinary lawful authority after Chapter 20 emergency powers expire. A Party seeking continued restrictive treatment identifies an independently valid current Chapter 20 basis rather than relying on a general desire to rebuild resilience. Recovery is not emergency permanence.</w:t>
      </w:r>
    </w:p>
    <w:p>
      <w:pPr/>
      <w:r>
        <w:t>20.19.5 [ANTI RATCHET] No tariff baseline, quota baseline, export-control practice, procurement preference, licensing restriction, administrative obstacle, routing preference, or emergency accommodation becomes permanent merely because it operated under Chapter 20. Repeated use does not create customary authority or an implied amendment. Any permanent change requires the legal authority and procedure otherwise applicable to that change, including Chapter 29 where amendment of the Compact is required. Restoration preserves the distinction between temporary emergency administration and ordinary legal treatment.</w:t>
      </w:r>
    </w:p>
    <w:p>
      <w:pPr>
        <w:pStyle w:val="Heading2"/>
      </w:pPr>
      <w:r>
        <w:t xml:space="preserve">Article 20.20 - Abuse Prevention, Review, and Chapters 25-26 Interface</w:t>
      </w:r>
    </w:p>
    <w:p>
      <w:pPr/>
      <w:r>
        <w:t>20.20.1 [FUNCTION OVER LABEL] Whether a measure falls within Chapter 20 is determined by its function, causal basis, scope, and practical commercial effect rather than its title, administering agency, or domestic legal label. A Party does not accomplish indirectly through licensing delay, fees, inspection intensification, procurement design, export administration, routing restrictions, or another mechanism what this Chapter prohibits directly. Measures with substantially equivalent protective or restrictive effects are assessed together where necessary to prevent circumvention. Administrative reorganization does not reset duration or erase causal ancestry.</w:t>
      </w:r>
    </w:p>
    <w:p>
      <w:pPr/>
      <w:r>
        <w:t>20.20.2 [NO RETALIATION AUTHORITY] Chapter 20 creates no authority to retaliate, suspend unrelated benefits, impose punitive trade treatment, demand compensation, or condition food-security relief on an unrelated concession. A Chapter 20 measure addresses the qualifying food-security or continuity event and stops at that function. Alleged non-compliance by another Party does not itself create emergency authority under this Chapter. Cure and remedy functions remain assigned to Chapters 25 and 26.</w:t>
      </w:r>
    </w:p>
    <w:p>
      <w:pPr/>
      <w:r>
        <w:t>20.20.3 [CHAPTER 25 INTERFACE] Chapter 25 may address cure and Restoration where a Party fails to comply with a Chapter 20 obligation according to Chapter 25's own jurisdiction and procedures. Chapter 20 does not independently create a parallel punishment or compliance-escalation system. Chapter 25 does not convert an expired Chapter 20 emergency into continuing emergency authority merely because cure remains underway. Technical or factual questions remain routed to the Chapter assigned to them.</w:t>
      </w:r>
    </w:p>
    <w:p>
      <w:pPr/>
      <w:r>
        <w:t>20.20.4 [CHAPTER 26 INTERFACE] A Chapter 20 determination or measure may be challenged under Chapter 26 to the extent that Chapter provides jurisdiction. Chapter 26 retains responsibility for legal interpretation, burden allocation, findings of breach, defenses, and remedies and does not become a food-security administrator. Review of emergency action accounts for the record and conditions reasonably available when the action was taken while permitting examination of continued measures on materially current evidence. Remedies remain proportionate and do not create whole-Compact snapback or erase completed and vested rights.</w:t>
      </w:r>
    </w:p>
    <w:p>
      <w:pPr/>
      <w:r>
        <w:t>20.20.5 [FINAL JURISDICTIONAL SAFEGUARD] No emergency declaration, repeated renewal, registry entry, technical report, administrative custom, assistance practice, political agreement outside the Compact, institutional convenience, or prior non-objection creates Chapter 20 authority beyond its express text. Periodic review may recommend amendments, improved procedures, or technical updates but does not retroactively validate an unlawful measure. Chapter 20 creates no private right of action or direct effect in domestic law except where a Party expressly provides otherwise. Any broader authority requires the legal procedure assigned by this Compact, including Chapter 29 where amendment is necessary.</w:t>
      </w:r>
    </w:p>
    <w:p>
      <w:pPr>
        <w:pStyle w:val="Heading1"/>
      </w:pPr>
      <w:r>
        <w:t>Chapter 21 - Domestic Producer Adjustment and Policy Space</w:t>
      </w:r>
    </w:p>
    <w:p>
      <w:pPr/>
      <w:r>
        <w:t xml:space="preserve">Chapter 21 preserves domestic producer, worker, community, and supply-chain adjustment policy while preventing assistance from functioning as a substitute for market-access restrictions removed or constrained by this Compact.</w:t>
      </w:r>
    </w:p>
    <w:p>
      <w:pPr>
        <w:pStyle w:val="Heading2"/>
      </w:pPr>
      <w:r>
        <w:t xml:space="preserve">Article 21.1 - Purpose, Scope, and Adjustment Principle</w:t>
      </w:r>
    </w:p>
    <w:p>
      <w:pPr/>
      <w:r>
        <w:t>21.1.1 [ADJUSTMENT PRINCIPLE] Chapter 21 preserves meaningful domestic policy space for agricultural adjustment while protecting the commercial value of rights created by this Compact. Adjustment is permitted, but protectionist substitution is not. A Party may assist producers, processors, workers, communities, and supply-chain participants in adapting to liberalized trade without recreating the border protection that the Compact removes. Interpretation under this Chapter preserves both legitimate domestic adjustment and completed liberalization.</w:t>
      </w:r>
    </w:p>
    <w:p>
      <w:pPr/>
      <w:r>
        <w:t>21.1.2 [LIMITED JURISDICTION] This Chapter governs a domestic measure only to the extent that the measure is expressly established as NAAFTC-specific adjustment assistance or materially affects a specific right or obligation under this Compact. It does not establish a general North American agricultural subsidy code or a general power to review domestic agricultural spending. A challenge identifies the specific Compact right or obligation allegedly defeated, conditioned, discriminated against, or materially nullified. Mere disagreement with another Party's agricultural policy or level of public expenditure does not establish jurisdiction under this Chapter.</w:t>
      </w:r>
    </w:p>
    <w:p>
      <w:pPr/>
      <w:r>
        <w:t>21.1.3 [ADJUSTMENT ASSISTANCE] Adjustment Assistance includes a payment, tax measure, financing arrangement, guarantee, in-kind service, regulatory accommodation, technical service, infrastructure support, training measure, or other domestic instrument used to address adjustment needs. The legal character of a measure follows its design, administration, and practical effect rather than its title or budget classification. Ordinary public services and generally available domestic policies do not become Adjustment Assistance merely because agricultural participants benefit from them. A measure may contain both adjustment and ordinary-policy components, which are assessed according to their respective functions where reasonably separable.</w:t>
      </w:r>
    </w:p>
    <w:p>
      <w:pPr/>
      <w:r>
        <w:t>21.1.4 [COVERED SUBJECTS] Adjustment Assistance may address materially affected producers, processors, workers, cooperatives, communities, and agricultural supply-chain participants. Eligibility may reflect the different economic position, capacity, and adjustment need of each category without requiring identical program treatment. Assistance to one category does not create an entitlement for another category or a presumption that all participants in the same sector are materially affected. Domestic law determines the legal form through which eligible persons or entities receive assistance.</w:t>
      </w:r>
    </w:p>
    <w:p>
      <w:pPr/>
      <w:r>
        <w:t>21.1.5 [NO GENERAL SUBSIDY CODE] This Chapter does not incorporate, replicate, replace, or independently enforce subsidy disciplines arising under the WTO Agreement on Agriculture or another international agreement. It does not classify domestic support into external subsidy categories or determine the legality of a subsidy under another legal instrument. Obligations under other agreements continue according to their own terms and dispute procedures. Chapter 21 addresses only the relationship between domestic adjustment measures and rights or obligations created by this Compact.</w:t>
      </w:r>
    </w:p>
    <w:p>
      <w:pPr>
        <w:pStyle w:val="Heading2"/>
      </w:pPr>
      <w:r>
        <w:t xml:space="preserve">Article 21.2 - Domestic Policy Space</w:t>
      </w:r>
    </w:p>
    <w:p>
      <w:pPr/>
      <w:r>
        <w:t>21.2.1 [PRESERVED AUTHORITY] Each Party retains authority to design, fund, modify, administer, or discontinue domestic agricultural policies consistent with obligations otherwise applicable under this Compact. Preserved authority includes income stabilization, insurance, credit, research, extension, infrastructure, environmental programs, rural development, training, marketing support, transition assistance, and comparable measures. This enumeration is illustrative rather than exhaustive. The existence or generosity of a domestic program does not by itself establish inconsistency with this Chapter.</w:t>
      </w:r>
    </w:p>
    <w:p>
      <w:pPr/>
      <w:r>
        <w:t>21.2.2 [POLICY DESIGN] A Party determines program funding levels, eligibility criteria, delivery institutions, payment methods, and administrative procedures under its domestic law. Differences among the Parties in fiscal capacity, agricultural structure, policy preference, or delivery model do not create a requirement of harmonized support. Domestic policy space includes both spending and regulatory dimensions where another Chapter does not control the measure more specifically. Exercise of that space remains subject to the specific anti-nullification and anti-substitution rules of this Chapter.</w:t>
      </w:r>
    </w:p>
    <w:p>
      <w:pPr/>
      <w:r>
        <w:t>21.2.3 [RIGHT TO REGULATE] Each Party retains authority to regulate for legitimate public objectives including health, safety, environmental protection, animal welfare, labor protection, consumer protection, resilience, and resource stewardship. A regulatory measure is not Adjustment Assistance merely because it changes producer costs, eligibility for a domestic program, or competitive conditions. Where Chapter 14, 15, or 16 governs a regulatory measure more specifically, that Chapter supplies the controlling substantive discipline. Chapter 21 does not convert legitimate regulation into a compensable trade restriction.</w:t>
      </w:r>
    </w:p>
    <w:p>
      <w:pPr/>
      <w:r>
        <w:t>21.2.4 [NO EXTRATERRITORIAL CONTROL] Nothing in this Chapter authorizes one Party to direct another Party's budget, prescribe its preferred agricultural policy model, or determine how domestic funds are allocated among lawful domestic objectives. A Party may question a measure only through a specific obligation and procedure provided by this Compact. Review focuses on the measure's relationship to Compact rights rather than whether another policy design would be economically preferable. No institution created by this Chapter acquires general supervisory authority over a Party's agricultural policy.</w:t>
      </w:r>
    </w:p>
    <w:p>
      <w:pPr/>
      <w:r>
        <w:t>21.2.5 [POLICY SPACE LIMIT] Domestic policy space does not authorize a measure that postpones, diminishes, conditions, reverses, or functionally nullifies a specific Compact right. A Party cannot rely on the domestic character of a payment or program to avoid an obligation that applies to its practical operation. The complaining Party bears the burden of identifying the relevant right and objective evidence of material interference. Increased domestic competitiveness alone is not material interference.</w:t>
      </w:r>
    </w:p>
    <w:p>
      <w:pPr>
        <w:pStyle w:val="Heading2"/>
      </w:pPr>
      <w:r>
        <w:t xml:space="preserve">Article 21.3 - Adjustment Eligibility</w:t>
      </w:r>
    </w:p>
    <w:p>
      <w:pPr/>
      <w:r>
        <w:t>21.3.1 [OBJECTIVE ELIGIBILITY] A NAAFTC-Specific Adjustment Program uses published and objectively administrable eligibility criteria reasonably connected to the program's stated adjustment purpose. Relevant criteria may include revenue effects, displacement, production change, required capital investment, market-access transition exposure, employment effects, or demonstrated regional dependence. Sector membership alone does not establish material adjustment need unless the program expressly and reasonably uses sector-wide eligibility because individual screening would be disproportionate. Criteria remain sufficiently clear for similarly situated applicants to understand the basis of eligibility.</w:t>
      </w:r>
    </w:p>
    <w:p>
      <w:pPr/>
      <w:r>
        <w:t>21.3.2 [MATERIALLY AFFECTED] A person, enterprise, worker group, or community is Materially Affected where documented transition effects are significant enough in context to create a genuine adjustment need rather than a trivial or purely speculative effect. Materiality may consider scale, duration, concentration, enterprise size, regional dependence, available alternatives, and the cost or feasibility of adaptation. No single percentage or monetary threshold applies unless a domestic program lawfully establishes one. A Party records the methodology used for a NAAFTC-specific program so that materiality is not assigned arbitrarily.</w:t>
      </w:r>
    </w:p>
    <w:p>
      <w:pPr/>
      <w:r>
        <w:t>21.3.3 [EVIDENCE PATHWAYS] A Party may use individual, enterprise, sectoral, regional, or mixed evidence to establish eligibility where the chosen level reasonably corresponds to the adjustment problem. Common evidence may be reused across similarly situated applicants rather than repeatedly proven where source, period, and methodology remain applicable. A facilitated evidentiary pathway may operate during an identified transition period, but it does not presume that every contemporaneous loss is caused by NAAFTC. Individual applicants are not required to produce information that the administering authority already possesses and can lawfully reuse.</w:t>
      </w:r>
    </w:p>
    <w:p>
      <w:pPr/>
      <w:r>
        <w:t>21.3.4 [TRANSPARENT ADMINISTRATION] Eligibility criteria, material application requirements, responsible authority, principal decision stages, and available domestic review procedures are published in an accessible form for a NAAFTC-Specific Adjustment Program. A material change to eligibility applies prospectively unless domestic law expressly requires another lawful treatment and the change does not manipulate access to defeat this Chapter. Similar cases receive consistent administration subject to objectively relevant differences. Reasons for a denial are provided to the extent required by domestic law and sufficient to permit any available review.</w:t>
      </w:r>
    </w:p>
    <w:p>
      <w:pPr/>
      <w:r>
        <w:t>21.3.5 [SME PATHWAY] Where a program materially serves small or medium-sized producers or enterprises, the administering authority provides a proportionate pathway that avoids unnecessary documentation and procedural complexity. Simplification may include shorter forms, standardized evidence, pre-application assistance, common-data reuse, or tiered verification. A simplified pathway does not reduce the substantive eligibility standard or permit unsupported payment. Administrative convenience does not justify excluding otherwise eligible smaller participants through requirements disproportionate to the amount or risk of assistance.</w:t>
      </w:r>
    </w:p>
    <w:p>
      <w:pPr>
        <w:pStyle w:val="Heading2"/>
      </w:pPr>
      <w:r>
        <w:t xml:space="preserve">Article 21.4 - Causal Connection and Non-Attribution</w:t>
      </w:r>
    </w:p>
    <w:p>
      <w:pPr/>
      <w:r>
        <w:t>21.4.1 [REASONABLE CONNECTION] A program expressly justified as NAAFTC-specific adjustment assistance maintains a reasonable and documented relationship between the relevant Compact transition and the adjustment need it addresses. Perfect econometric attribution is not required where available evidence reasonably establishes that the transition materially contributes to the identified need. The record identifies the affected goods, rights, transition step, population, or market condition with sufficient precision to explain that relationship. Temporal coincidence alone does not establish causation.</w:t>
      </w:r>
    </w:p>
    <w:p>
      <w:pPr/>
      <w:r>
        <w:t>21.4.2 [NON ATTRIBUTION] Where multiple causes contribute to an adjustment need, the administering authority reasonably separates effects attributable to causes other than the relevant NAAFTC transition. Weather, disease, exchange rates, third-country competition, domestic policy, technology, input costs, demand changes, management decisions, or unrelated supply-chain disruption are not attributed to NAAFTC merely because they occur during the same period. Other causes do not defeat eligibility where NAAFTC independently contributes materially to the adjustment need. The program record explains material causal interactions, uncertainty, and the method used to avoid charging unrelated harm to NAAFTC.</w:t>
      </w:r>
    </w:p>
    <w:p>
      <w:pPr/>
      <w:r>
        <w:t>21.4.3 [PROPORTIONATE ATTRIBUTION] The amount or intensity of NAAFTC-specific assistance need not equal a mathematically exact estimate of NAAFTC-caused loss, but it remains reasonably related to the demonstrated adjustment objective. A Party may use bands, formulas, proxies, standardized payments, or sector-wide methods where they are administrable and supported by a reasonable methodology. Such methods do not attribute one hundred percent of an industry's difficulty to NAAFTC merely because precise separation is difficult. Material methodological limitations and assumptions remain visible in the program record.</w:t>
      </w:r>
    </w:p>
    <w:p>
      <w:pPr/>
      <w:r>
        <w:t>21.4.4 [TRANSITION EVIDENCE] During a defined liberalization or adjustment period, a Party may rely on common transition evidence to reduce repetitive proof where affected participants face substantially similar conditions. Common evidence facilitates administration but does not create an irrebuttable presumption of causation, materiality, or entitlement. Evidence remains current enough to reflect material changes in market conditions and is revised where its factual basis materially deteriorates. Expiry of a transition period does not invalidate assistance already lawfully granted but ends any special evidentiary facilitation tied solely to that period.</w:t>
      </w:r>
    </w:p>
    <w:p>
      <w:pPr/>
      <w:r>
        <w:t>21.4.5 [CAUSAL REVIEW] A causal methodology used for a material NAAFTC-specific program is reviewable for reasonableness, source integrity, and consistency with this Article rather than for selection of the single best economic model. A technical question concerning methodology may be referred under Chapter 18 without converting the resulting Technical Finding into a Legal Finding. Disagreement among credible models is recorded rather than concealed through false precision. Legal consequences remain determined under the controlling Chapter and not by the model itself.</w:t>
      </w:r>
    </w:p>
    <w:p>
      <w:pPr>
        <w:pStyle w:val="Heading2"/>
      </w:pPr>
      <w:r>
        <w:t xml:space="preserve">Article 21.5 - Forms of Permitted Adjustment Assistance</w:t>
      </w:r>
    </w:p>
    <w:p>
      <w:pPr/>
      <w:r>
        <w:t>21.5.1 [ILLUSTRATIVE FORMS] Permitted Adjustment Assistance may include temporary income support, retraining, modernization grants, concessional financing, lawful debt restructuring, technical assistance, diversification support, infrastructure adaptation, market development, insurance support, or comparable measures. Assistance may be delivered through direct payments, tax measures, guarantees, services, or in-kind support according to domestic law. The enumeration does not imply that an unlisted form is prohibited. Each form remains subject to the functional limits of this Chapter.</w:t>
      </w:r>
    </w:p>
    <w:p>
      <w:pPr/>
      <w:r>
        <w:t>21.5.2 [NO BORDER SUBSTITUTE] Adjustment Assistance does not take the form or practical operation of a tariff, import quota, reduced vested access quantity, delayed liberalization, discriminatory border charge, or equivalent border restriction prohibited elsewhere in this Compact. A domestic payment is not automatically equivalent to a border measure merely because it affects competitive conditions. Functional equivalence requires objective evidence that the measure materially recreates the commercial protection of the removed or prohibited restriction. The underlying tariff, access, vesting, and Zero-Line rules remain unchanged.</w:t>
      </w:r>
    </w:p>
    <w:p>
      <w:pPr/>
      <w:r>
        <w:t>21.5.3 [DELIVERY FLEXIBILITY] A Party may deliver assistance through an existing domestic institution or program rather than create a new NAAFTC-specific bureaucracy. Where an existing program is materially expanded or modified for NAAFTC adjustment, only the relevant expansion or modification receives heightened Chapter 21 transparency unless the components cannot reasonably be separated. Administrative integration does not remove substantive obligations applicable to the NAAFTC-specific component. The Compact does not require duplication of domestic application, payment, audit, or appeals systems.</w:t>
      </w:r>
    </w:p>
    <w:p>
      <w:pPr/>
      <w:r>
        <w:t>21.5.4 [REVIEWABLE TRANSITION SUPPORT] A Transition Adjustment Measure expressly justified by a time-bounded NAAFTC transition identifies its objective, commencement, expected duration, and review points. Renewal is based on materially current evidence that the identified adjustment need continues and that the program remains suited to that need. Renewal does not create a new trade baseline or extend an underlying liberalization schedule. Ordinary structural policy is not subject to this duration rule merely because it also assists persons affected by trade.</w:t>
      </w:r>
    </w:p>
    <w:p>
      <w:pPr/>
      <w:r>
        <w:t>21.5.5 [NO PROTECTION ENTITLEMENT] Receipt of Adjustment Assistance does not create a right under this Compact to continued protection from competition, renewal of the program, restoration of a tariff, or suspension of a market-access commitment. A producer or other recipient adapts within the commercial environment created by the Compact and applicable domestic law. Domestic law may create enforceable program rights according to its own terms. Those domestic rights do not enlarge the authority of a Party to restrict another Party's Compact rights.</w:t>
      </w:r>
    </w:p>
    <w:p>
      <w:pPr>
        <w:pStyle w:val="Heading2"/>
      </w:pPr>
      <w:r>
        <w:t xml:space="preserve">Article 21.6 - Producer Modernization and Productivity</w:t>
      </w:r>
    </w:p>
    <w:p>
      <w:pPr/>
      <w:r>
        <w:t>21.6.1 [MODERNIZATION SUPPORT] A Party may support technology adoption, equipment renewal, automation, processing capability, logistics, energy efficiency, digital systems, research uptake, biosecurity infrastructure, or comparable productivity improvements. Modernization assistance may respond to NAAFTC transition or operate as ordinary structural agricultural policy. A program may consider expected productivity, resilience, quality, safety, environmental, or market-development benefits. The Compact does not require a Party to prove that a recipient would otherwise fail before providing modernization support.</w:t>
      </w:r>
    </w:p>
    <w:p>
      <w:pPr/>
      <w:r>
        <w:t>21.6.2 [REASONABLE OBJECTIVE] A NAAFTC-specific modernization program identifies a legitimate adjustment or productivity objective and a reasonable relationship between supported investments and that objective. A reasonable prospect of useful adaptation is sufficient and does not require guaranteed commercial success. Program administrators may use portfolio, sectoral, or project-level assessment according to program scale and risk. Commercial outcomes after assistance do not retroactively determine legality absent evidence that the original program was a disguised trade restriction.</w:t>
      </w:r>
    </w:p>
    <w:p>
      <w:pPr/>
      <w:r>
        <w:t>21.6.3 [COMPETITIVENESS SAFE HARBOR] Assistance does not become inconsistent merely because it improves a domestic producer's productivity, lowers costs, increases output, or strengthens competitiveness. Competitive improvement is a normal possible consequence of modernization and adjustment. Scrutiny arises where objective evidence shows that program design, conditions, or practical operation materially nullifies a specific Compact right rather than simply making domestic production more capable. No Party has a Compact right to preservation of another Party's pre-assistance competitive position.</w:t>
      </w:r>
    </w:p>
    <w:p>
      <w:pPr/>
      <w:r>
        <w:t>21.6.4 [NO PERMANENT PROTECTION] Modernization assistance does not justify postponing liberalization or maintaining a protective border measure until recipients reach a desired competitiveness level. A Party may sequence domestic assistance alongside an existing lawful transition schedule but does not alter that schedule through Chapter 21. Failure of a recipient to modernize does not revive an expired restriction. Success of a recipient does not create a basis to withdraw market access from another Party.</w:t>
      </w:r>
    </w:p>
    <w:p>
      <w:pPr/>
      <w:r>
        <w:t>21.6.5 [TECHNOLOGY NEUTRALITY] A modernization program may identify technical performance requirements reasonably connected to its objective without prescribing a particular supplier nationality. Conditions that effectively require domestic equipment or exclude another Party's goods receive scrutiny under Article 21.15 and Chapter 16. Legitimate interoperability, safety, cybersecurity, environmental, or operational requirements remain available where objectively justified and administered without disguised discrimination. Technical specifications are not converted into local-content rules through informal guidance.</w:t>
      </w:r>
    </w:p>
    <w:p>
      <w:pPr>
        <w:pStyle w:val="Heading2"/>
      </w:pPr>
      <w:r>
        <w:t xml:space="preserve">Article 21.7 - Worker Adjustment</w:t>
      </w:r>
    </w:p>
    <w:p>
      <w:pPr/>
      <w:r>
        <w:t>21.7.1 [WORKERS AS SUBJECTS] Workers are independent adjustment subjects under this Chapter and are not treated solely as extensions of an employer's eligibility. A Party may provide worker assistance where employment, earnings, skills demand, location, or occupational prospects are materially affected by agricultural transition. Worker eligibility may use labor-market evidence different from producer or enterprise evidence. Assistance to workers does not depend on preserving the commercial position of a particular employer.</w:t>
      </w:r>
    </w:p>
    <w:p>
      <w:pPr/>
      <w:r>
        <w:t>21.7.2 [PERMITTED WORKER SUPPORT] Worker adjustment may include training, credential recognition, education, employment services, income bridging, mobility assistance, voluntary relocation support, entrepreneurship support, or comparable labor-market measures. Participation in relocation or occupational change remains voluntary unless domestic law independently provides otherwise. Programs may operate through existing labor, education, social-protection, or workforce institutions. Chapter 21 does not prescribe a single worker-adjustment model.</w:t>
      </w:r>
    </w:p>
    <w:p>
      <w:pPr/>
      <w:r>
        <w:t>21.7.3 [DISTINCT SCRUTINY] Worker assistance is not presumed to functionally nullify market access merely because it cushions employment effects of competition. Anti-substitution scrutiny applies only where program design or administration itself materially conditions, discriminates against, or nullifies a specific Compact right. Income support detached from import, sourcing, production, or market-access conditions ordinarily does not satisfy that test. The burden remains on a challenger to establish the specific material interference.</w:t>
      </w:r>
    </w:p>
    <w:p>
      <w:pPr/>
      <w:r>
        <w:t>21.7.4 [WORKER PARTICIPATION] A Party may provide for consultation with affected workers, worker representatives, employers, training institutions, communities, or unions where applicable under domestic law. Consultation informs program design but does not transfer governmental decision authority unless domestic law provides otherwise. Participation opportunities are administered without requiring political, organizational, or associational alignment as a condition of assistance. Confidential personal employment information remains protected under Article 21.17.</w:t>
      </w:r>
    </w:p>
    <w:p>
      <w:pPr/>
      <w:r>
        <w:t>21.7.5 [EXISTING INSTITUTIONS] Worker programs may be delivered through existing domestic labor-market institutions and may use their established eligibility, review, payment, and audit procedures. Use of an existing institution does not transform its entire mandate into a NAAFTC-specific program. Only the NAAFTC-specific component is subject to additional identification requirements where reasonably separable. Administrative reuse is favored where it reduces duplication without impairing transparency or legal review.</w:t>
      </w:r>
    </w:p>
    <w:p>
      <w:pPr>
        <w:pStyle w:val="Heading2"/>
      </w:pPr>
      <w:r>
        <w:t xml:space="preserve">Article 21.8 - Rural and Regional Adjustment</w:t>
      </w:r>
    </w:p>
    <w:p>
      <w:pPr/>
      <w:r>
        <w:t>21.8.1 [REGIONAL SUPPORT] A Party may support rural or regional development where agricultural transition materially concentrates economic effects in a community or geographic area. Support may include infrastructure, diversification, business development, training, connectivity, logistics, public services, or community-transition measures. Regional targeting may reflect objective differences in dependence, employment concentration, remoteness, alternatives, or adjustment capacity. Geographic differentiation does not itself constitute discrimination among the Parties.</w:t>
      </w:r>
    </w:p>
    <w:p>
      <w:pPr/>
      <w:r>
        <w:t>21.8.2 [OBJECTIVE DIFFERENTIATION] A NAAFTC-specific regional program identifies objective indicators reasonably supporting its geographic scope. Indicators may include agricultural employment share, affected production, processing dependence, income effects, remoteness, infrastructure constraints, or comparable measures. Boundaries are not drawn or altered principally to exclude another Party's goods or preserve a protected local market. Material changes in the underlying regional condition are considered at scheduled review.</w:t>
      </w:r>
    </w:p>
    <w:p>
      <w:pPr/>
      <w:r>
        <w:t>21.8.3 [NO GEOGRAPHIC BARRIER] Regional adjustment does not authorize a province, state, territory, municipality, or other subnational authority to establish a disguised internal barrier against originating goods from another Party. A grant or service may be geographically targeted to eligible domestic recipients without conditioning ordinary market access on local purchase or local exclusion. Measures affecting imported goods remain subject to applicable Compact disciplines irrespective of the level of government administering the program. Chapter 21 does not create an exemption from those disciplines for regional development.</w:t>
      </w:r>
    </w:p>
    <w:p>
      <w:pPr/>
      <w:r>
        <w:t>21.8.4 [SUBNATIONAL COORDINATION] A Party may coordinate adjustment programs with subnational governments, Indigenous governments or authorities where applicable, regional agencies, development bodies, or local institutions according to domestic constitutional arrangements. Coordination may distribute funding and administration while preserving the Party's responsibility for obligations undertaken under this Compact. A Party does not avoid Chapter 21 by delegating a NAAFTC-specific program to another public body. Reporting may be consolidated where multiple implementing bodies operate under one program.</w:t>
      </w:r>
    </w:p>
    <w:p>
      <w:pPr/>
      <w:r>
        <w:t>21.8.5 [ANTI FRAGMENTATION] A Party does not divide one substantially integrated NAAFTC-specific adjustment program among regions, agencies, funds, or legal instruments for the purpose or effect of avoiding applicable transparency, review, or anti-substitution requirements. Components with materially common objectives, funding authority, eligibility, causal basis, and protective economic effect are assessed together where fragmentation would obscure their operation. Genuinely distinct regional programs remain separate where objective conditions and program functions materially differ. The program record explains material aggregation or separation where the distinction affects Chapter 21 treatment.</w:t>
      </w:r>
    </w:p>
    <w:p>
      <w:pPr>
        <w:pStyle w:val="Heading2"/>
      </w:pPr>
      <w:r>
        <w:t xml:space="preserve">Article 21.9 - Supply-Managed Sector Adjustment</w:t>
      </w:r>
    </w:p>
    <w:p>
      <w:pPr/>
      <w:r>
        <w:t>21.9.1 [SUPPLY MANAGEMENT SPACE] Nothing in Chapter 21 independently requires Canada to abolish a domestic supply-management system or prevents lawful domestic administration of such a system during an applicable transition. Supply management remains subject to specific market-access, tariff, TRQ, vesting, Zero-Line, and other obligations established elsewhere in this Compact. Maintenance of the domestic system is not by itself Functional Nullification. Administration or modification of the system does not postpone, diminish, reverse, or condition a Compact right that has vested or become operative.</w:t>
      </w:r>
    </w:p>
    <w:p>
      <w:pPr/>
      <w:r>
        <w:t>21.9.2 [ADJUSTMENT TO EXPANDED ACCESS] Canada may provide adjustment assistance to supply-managed producers, processors, workers, or communities affected by expanded NAAFTC access. Assistance may include compensation, modernization, succession planning, productivity investment, quota-transition assistance, diversification, financing, or comparable measures. The existence of compensation does not imply that expanded access is temporary or reversible. Program design preserves the commercially usable value of access already granted under the Compact.</w:t>
      </w:r>
    </w:p>
    <w:p>
      <w:pPr/>
      <w:r>
        <w:t>21.9.3 [QUOTA VALUE AND SYSTEM DESIGN] Compensation for demonstrated quota-value effects may be administered separately from decisions concerning continuation or reform of the domestic quota system. Payment of compensation does not create a Compact obligation to preserve a particular quota valuation, asset price, transfer rule, or future policy design. Conversely, a change in domestic quota administration does not authorize reduction of vested NAAFTC access. Domestic-law property and compensation questions remain governed by domestic law except to the extent a specific Compact right is materially affected.</w:t>
      </w:r>
    </w:p>
    <w:p>
      <w:pPr/>
      <w:r>
        <w:t>21.9.4 [NO ACCESS NULLIFICATION] A supply-management adjustment measure does not use domestic purchase conditions, import-offset payments, discriminatory allocation, administrative throttling, or equivalent devices to neutralize the commercial value of NAAFTC access. Objective evidence of increased domestic competitiveness, higher domestic investment, or compensation to incumbents is not sufficient by itself to establish nullification. The Functional Nullification test in Article 21.14 applies to design, administration, and practical effect. Chapter 16 controls any regulatory anti-substitution issue falling more specifically within its scope.</w:t>
      </w:r>
    </w:p>
    <w:p>
      <w:pPr/>
      <w:r>
        <w:t>21.9.5 [NOTIFICATION AND BASELINE] A material NAAFTC-specific supply-management adjustment program is identified under Article 21.16 without requiring disclosure of protected individual financial information. Adjustment assistance does not create a new tariff, TRQ, quota-value, production, or negotiating baseline under this Compact. The Parties may agree to phased domestic adjustments through an instrument authorized elsewhere in the Compact, but Chapter 21 does not itself alter a transition schedule. No program renewal reopens a Completed Liberalization Milestone.</w:t>
      </w:r>
    </w:p>
    <w:p>
      <w:pPr>
        <w:pStyle w:val="Heading2"/>
      </w:pPr>
      <w:r>
        <w:t xml:space="preserve">Article 21.10 - Processor and Supply-Chain Adjustment</w:t>
      </w:r>
    </w:p>
    <w:p>
      <w:pPr/>
      <w:r>
        <w:t>21.10.1 [COVERED ENTERPRISES] Adjustment assistance may extend to processors, distributors, cooperatives, storage operators, logistics providers, input suppliers, and other agricultural supply-chain participants where a genuine adjustment need exists. Eligibility follows the participant's demonstrated relationship to the relevant transition rather than mere commercial association with agriculture. A Party may use sectoral evidence where common effects make individual causal proof disproportionate. Assistance remains subject to the same market-access protections applicable to producer programs.</w:t>
      </w:r>
    </w:p>
    <w:p>
      <w:pPr/>
      <w:r>
        <w:t>21.10.2 [CAPITAL ADJUSTMENT] A program may support retooling, plant conversion, storage, cold-chain capacity, logistics adaptation, traceability systems, quality improvement, market development, or other capital adjustment. Supported investments may serve both domestic and export markets. A program does not become inconsistent because it improves scale or efficiency. Conditions attached to support remain subject to Articles 21.14 and 21.15.</w:t>
      </w:r>
    </w:p>
    <w:p>
      <w:pPr/>
      <w:r>
        <w:t>21.10.3 [STRUCTURAL ADJUSTMENT] A Party may assist lawful consolidation, diversification, conversion, orderly exit, cooperative restructuring, or other structural responses to changed market conditions. Chapter 21 does not require preservation of every existing enterprise or production configuration. Assistance for orderly exit does not create a duty to reduce domestic production. Assistance for continued operation does not create a right to border protection.</w:t>
      </w:r>
    </w:p>
    <w:p>
      <w:pPr/>
      <w:r>
        <w:t>21.10.4 [SUPPLY CHAIN NEUTRALITY] A NAAFTC-specific supply-chain program is administered without arbitrary or unjustifiable discrimination among the Parties where relevant conditions are comparable. Different treatment may reflect delivery reliability, technical compatibility, safety, geography, capacity, environmental performance, or another objectively relevant factor. A domestic location requirement inherent in funding domestic physical infrastructure is not by itself a local-content condition on traded inputs. Procurement or sourcing conditions attached to the program remain subject to otherwise applicable Compact rules.</w:t>
      </w:r>
    </w:p>
    <w:p>
      <w:pPr/>
      <w:r>
        <w:t>21.10.5 [TRANSPARENCY] A material NAAFTC-specific processor or supply-chain program is identified through the Article 21.16 transparency architecture. Aggregate reporting may distinguish major recipient categories, program functions, and expenditure without disclosing protected commercial information. A Party may consolidate reporting for integrated producer and processor programs. Consolidation does not obscure materially different eligibility conditions or anti-substitution features.</w:t>
      </w:r>
    </w:p>
    <w:p>
      <w:pPr>
        <w:pStyle w:val="Heading2"/>
      </w:pPr>
      <w:r>
        <w:t xml:space="preserve">Article 21.11 - Small and Medium-Sized Producers</w:t>
      </w:r>
    </w:p>
    <w:p>
      <w:pPr/>
      <w:r>
        <w:t>21.11.1 [PROPORTIONATE BURDEN] Administrative burden for an adjustment program is proportionate to program value, complexity, verification risk, and the capacity reasonably expected of the applicant. An authority does not require a small producer to generate bespoke economic analysis where standardized evidence can reasonably establish the same fact. Higher-value or higher-risk assistance may support greater verification. Proportionality concerns procedure and does not lower substantive eligibility or integrity standards.</w:t>
      </w:r>
    </w:p>
    <w:p>
      <w:pPr/>
      <w:r>
        <w:t>21.11.2 [ACCESSIBLE PROCEDURE] Programs materially intended for small and medium-sized participants provide accessible forms, plain-language guidance, identified contact channels, and reasonable pre-application assistance. Digital administration is permitted but does not become the sole practical route where lack of connectivity or accessibility would materially exclude intended participants and a reasonable alternative is available. Deadlines and document requests are stated clearly. Technical defects that can reasonably be cured do not automatically defeat an otherwise timely application.</w:t>
      </w:r>
    </w:p>
    <w:p>
      <w:pPr/>
      <w:r>
        <w:t>21.11.3 [DATA REUSE] An administering authority reuses information already lawfully held by government where reasonably practicable, current, and suitable for the relevant program purpose. An applicant is not repeatedly required to submit identical records solely because different units administer related program components. Data reuse respects consent, statutory authority, confidentiality, and purpose limitations. A Party may use common attestations or standardized verification for low-risk recurring information.</w:t>
      </w:r>
    </w:p>
    <w:p>
      <w:pPr/>
      <w:r>
        <w:t>21.11.4 [NO LOWER STANDARD] Simplified SME administration does not create a weaker materiality, causation, anti-fraud, or anti-substitution standard. An authority may calibrate the means of proof to applicant scale while requiring the same substantive proposition to be established. Random, risk-based, or post-payment verification may replace burdensome ex ante documentation where domestic law permits. Simplification does not authorize preferential treatment based on the nationality of traded goods.</w:t>
      </w:r>
    </w:p>
    <w:p>
      <w:pPr/>
      <w:r>
        <w:t>21.11.5 [PARTICIPATION REPORTING] A material NAAFTC-specific program serving SMEs reports aggregate participation information sufficient to assess whether the intended access pathway functions in practice. Reporting may include applicant counts, approvals, broad enterprise-size bands, processing times, or comparable indicators according to domestic data availability. No fixed annual metric is required where a program operates for less than a year or another reporting interval better fits its design. Individual financial or identifying information remains protected under Article 21.17.</w:t>
      </w:r>
    </w:p>
    <w:p>
      <w:pPr>
        <w:pStyle w:val="Heading2"/>
      </w:pPr>
      <w:r>
        <w:t xml:space="preserve">Article 21.12 - New Entrants and Young Producers</w:t>
      </w:r>
    </w:p>
    <w:p>
      <w:pPr/>
      <w:r>
        <w:t>21.12.1 [NEW ENTRANT SPACE] A Party may support young producers, new entrants, succession, generational renewal, and entry into agricultural production or processing as ordinary domestic policy or as part of an adjustment strategy. Support may include credit, training, mentorship, land-access facilitation, business planning, infrastructure, or comparable measures. New-entrant assistance need not demonstrate incumbent-style transition loss where its legitimate objective is future participation rather than compensation for past position. Applicable anti-substitution rules continue to govern conditions attached to assistance.</w:t>
      </w:r>
    </w:p>
    <w:p>
      <w:pPr/>
      <w:r>
        <w:t>21.12.2 [ANTI ENTRENCHMENT] Past ownership of quota, productive assets, licenses, or an established market position does not create a permanent priority to future NAAFTC-specific adjustment funds. A Party may recognize documented sunk costs or transition exposure without converting that recognition into a lifetime incumbent entitlement. Program criteria may distinguish incumbents and new entrants where their adjustment needs materially differ. Distinctions remain connected to program purpose rather than political favoritism or exclusion of competition.</w:t>
      </w:r>
    </w:p>
    <w:p>
      <w:pPr/>
      <w:r>
        <w:t>21.12.3 [LAND AND CREDIT] A new-entrant program may address access to land, capital, credit, guarantees, leasing, cooperative ownership, or succession financing according to domestic law. Such support may account for regional land values, collateral constraints, enterprise scale, and beginning-producer risk. The Compact does not require a Party to finance acquisition of any particular asset. Financing conditions do not require avoidance of originating goods from another Party.</w:t>
      </w:r>
    </w:p>
    <w:p>
      <w:pPr/>
      <w:r>
        <w:t>21.12.4 [TRAINING AND MENTORSHIP] A Party may fund technical education, apprenticeship, mentorship, extension, business planning, and management support for new entrants. Programs may partner with producer organizations, educational institutions, Indigenous organizations where applicable, cooperatives, or private providers under domestic rules. Participation in a private organization is not required unless objectively necessary to receive the specific service and a reasonable alternative exists where required by domestic law. Training content does not operate as an informal local-purchase mandate.</w:t>
      </w:r>
    </w:p>
    <w:p>
      <w:pPr/>
      <w:r>
        <w:t>21.12.5 [NO DISCRIMINATORY MARKET CONDITION] New-entrant support does not condition eligibility on a commitment to displace imports, refuse another Party's inputs, or participate in a collective restraint of trade. Domestic residence, establishment, or farming-location criteria inherent in a domestic producer-support program are not by themselves discrimination against traded goods. The relevant inquiry concerns whether program conditions materially interfere with a specific NAAFTC right. Chapter 21 does not create a general right for foreign persons to receive domestic producer subsidies.</w:t>
      </w:r>
    </w:p>
    <w:p>
      <w:pPr>
        <w:pStyle w:val="Heading2"/>
      </w:pPr>
      <w:r>
        <w:t xml:space="preserve">Article 21.13 - Temporary and Structural Assistance</w:t>
      </w:r>
    </w:p>
    <w:p>
      <w:pPr/>
      <w:r>
        <w:t>21.13.1 [LEGAL DISTINCTION] A Transition Adjustment Measure is a program or identifiable program component expressly justified by a defined NAAFTC transition and designed to address adjustment associated with that transition. Structural Domestic Policy is a continuing domestic measure whose legal and policy basis exists independently of a particular NAAFTC transition, even where it benefits affected agricultural participants. The categories are determined by objective design and function rather than title alone. A program may contain separable components in both categories.</w:t>
      </w:r>
    </w:p>
    <w:p>
      <w:pPr/>
      <w:r>
        <w:t>21.13.2 [TRANSITION PROGRAM DISCIPLINE] A Transition Adjustment Measure states its adjustment objective, relevant transition, expected duration, principal eligibility basis, and review schedule. Its duration is reasonably related to the adjustment problem rather than automatically matching the maximum duration available under another Chapter. Renewal requires an affirmative determination supported by materially current evidence. Repeated renewal does not extend a tariff, TRQ, vesting, or other liberalization clock.</w:t>
      </w:r>
    </w:p>
    <w:p>
      <w:pPr/>
      <w:r>
        <w:t>21.13.3 [STRUCTURAL POLICY FIREWALL] Structural Domestic Policy is not subject to Chapter 21 transition-duration limits merely because it affects competitiveness or assists participants also affected by NAAFTC. A program existing before NAAFTC entry into force is ordinarily evidence of structural character but does not receive immunity from review if materially redesigned, expanded, or administered to nullify a specific NAAFTC right. A new program may also be structural where its objective and operation are genuinely independent of a particular NAAFTC transition. Legal character follows function over chronology.</w:t>
      </w:r>
    </w:p>
    <w:p>
      <w:pPr/>
      <w:r>
        <w:t>21.13.4 [ANTI RELABELING AND SUCCESSOR ANCESTRY] Relabeling a Transition Adjustment Measure as structural policy does not alter its legal character where objective design, funding, eligibility, causal basis, and practical operation remain materially continuous. A formally new or successor program does not reset applicable Chapter 21 treatment where substantial continuity of purpose, causal basis, benefit formula, beneficiaries, funding linkage, or protective commercial effect shows that it continues the earlier adjustment function, while genuinely independent ordinary policy remains separate. Administrative transfer, renaming, budget-code change, successor legislation, changed agency, or nominal restructuring does not break program ancestry by itself. The record identifies material continuity and change so that successor treatment follows function rather than formal chronology.</w:t>
      </w:r>
    </w:p>
    <w:p>
      <w:pPr/>
      <w:r>
        <w:t>21.13.5 [NO NEW BASELINE] Neither temporary nor structural assistance creates a new baseline for tariffs, TRQs, market-access calculations, safeguard calculations, origin treatment, future negotiations, or dispute settlement under this Compact. A payment level, support formula, or domestic policy choice does not become a minimum or maximum support entitlement by repetition. Expiry or modification of assistance leaves underlying Compact rights unchanged. Completed liberalization remains completed.</w:t>
      </w:r>
    </w:p>
    <w:p>
      <w:pPr>
        <w:pStyle w:val="Heading2"/>
      </w:pPr>
      <w:r>
        <w:t xml:space="preserve">Article 21.14 - Functional Nullification and Decoupling</w:t>
      </w:r>
    </w:p>
    <w:p>
      <w:pPr/>
      <w:r>
        <w:t>21.14.1 [FUNCTIONAL NULLIFICATION AND CUMULATIVE EFFECT] Functional Nullification occurs where objective evidence establishes that one measure or a materially connected combination of measures, by design or practical operation, materially eliminates or substantially neutralizes the commercial value of an identified NAAFTC right for a covered good. The analysis identifies the specific right, material commercial effect, causal connection, relevant period, mechanism producing that effect, and any aggregation necessary to assess coordinated or materially connected measures whose individual effects would understate their combined operation. Genuinely independent ordinary policies are not aggregated merely because they coexist, benefit the same sector, or contribute incidentally to competitive conditions. Reduced profitability, increased domestic output, improved domestic competitiveness, a change in market share, or another trivial, speculative, remote, or merely incidental effect does not by itself establish Functional Nullification.</w:t>
      </w:r>
    </w:p>
    <w:p>
      <w:pPr/>
      <w:r>
        <w:t>21.14.2 [FUNCTION OVER LABEL] The anti-substitution analysis considers program design, eligibility, payment formula, conditions, administration, funding linkage, practical commercial effect, and materially connected private arrangements rather than the formal label of the measure. A grant, tax credit, insurance payment, procurement preference, regulatory accommodation, or nominally voluntary program may be examined where its function is alleged to nullify a specific right. Formal domestic legality does not answer the Compact question. The analysis nevertheless respects legitimate differences among instruments and does not presume equivalence merely because economic effects overlap.</w:t>
      </w:r>
    </w:p>
    <w:p>
      <w:pPr/>
      <w:r>
        <w:t>21.14.3 [IMPORT OFFSET AND PROXY FORMULAS] A payment or benefit tied materially to import volume, value, market share, displacement, or a materially equivalent proxy receives heightened scrutiny where the economic dependency of the formula is designed or operates to offset the commercial value of NAAFTC access. A proxy may include domestic price depression, inventory accumulation, capacity utilization, competitive-pressure indices, or another variable only where objective evidence shows that its operative function materially tracks import competition rather than an independently relevant adjustment condition. Neutral market indicators do not become prohibited merely because imports influence them among multiple genuine causes, and the analysis separates legitimate adjustment measurement from a formula calibrated directly or indirectly to cancel import competition. Any finding identifies the formula, proxy relationship, causal evidence, materiality, and specific NAAFTC right allegedly nullified.</w:t>
      </w:r>
    </w:p>
    <w:p>
      <w:pPr/>
      <w:r>
        <w:t>21.14.4 [DECOUPLED SAFE HARBOR] Assistance substantially decoupled from import choice, domestic-content choice, current production volume, or displacement of another Party's goods is ordinarily evidence against Functional Nullification. Decoupling is assessed in practical operation and not solely through formal program language. A decoupled program may still be examined where other objective evidence demonstrates material nullification of a specific right. Safe-harbor treatment does not exempt fraud, disguised conditions, or administration inconsistent with published program terms.</w:t>
      </w:r>
    </w:p>
    <w:p>
      <w:pPr/>
      <w:r>
        <w:t>21.14.5 [OBJECTIVE EVIDENCE] A finding of Functional Nullification is not based on speculation, political characterization, the mere existence of assistance, or an assumption that public support necessarily harms imports. Evidence may include program documents, payment formulas, administrative records, market data, sourcing conditions, communications lawfully available to the reviewing body, and observed commercial effects. Correlation is considered with causation and plausible alternative explanations. Chapter 18 may address technical economic questions, but the ultimate legal characterization remains outside a Technical Finding.</w:t>
      </w:r>
    </w:p>
    <w:p>
      <w:pPr>
        <w:pStyle w:val="Heading2"/>
      </w:pPr>
      <w:r>
        <w:t xml:space="preserve">Article 21.15 - Production, Sourcing, and Local-Content Conditions</w:t>
      </w:r>
    </w:p>
    <w:p>
      <w:pPr/>
      <w:r>
        <w:t>21.15.1 [IMPORT DISPLACEMENT CONDITION] A NAAFTC-specific adjustment benefit is not conditioned on a recipient reducing, avoiding, replacing, or refusing originating goods or inputs from another Party for the purpose or effect of frustrating liberalized access. A condition expressly calculated by units of imports displaced or domestic goods substituted receives scrutiny under Article 21.14. Neutral inventory, resilience, diversification, or supply-risk conditions may consider sourcing where objectively connected to a legitimate purpose and not administered as disguised import exclusion. The Party records the objective basis for a materially trade-sensitive condition.</w:t>
      </w:r>
    </w:p>
    <w:p>
      <w:pPr/>
      <w:r>
        <w:t>21.15.2 [LOCAL CONTENT AND SEPARABLE SOURCING] A program does not require domestic content as a condition of Adjustment Assistance where that requirement would materially defeat an applicable NAAFTC sourcing or market-access right. A domestic-location condition inherent in support for a domestic farm, facility, worker, or physical infrastructure is distinguished from a requirement that separable goods, equipment, services, or inputs used by that activity originate domestically or avoid another Party's supply. Location of the supported activity does not by itself justify nationality-based sourcing for separable procurement unless another provision of this Compact independently permits the condition or an objectively justified requirement under applicable law is administered consistently with the controlling Chapter. Domestic establishment eligibility does not automatically become a local-content mandate, and Chapter 16 supplies the controlling rule where its anti-substitution provisions apply more specifically.</w:t>
      </w:r>
    </w:p>
    <w:p>
      <w:pPr/>
      <w:r>
        <w:t>21.15.3 [LEGITIMATE CONDITIONS] Quality, safety, environmental, animal-health, interoperability, cybersecurity, traceability, performance, or resilience conditions remain available where objectively justified and reasonably connected to the program objective. Such conditions are administered without arbitrary or unjustifiable discrimination where relevant circumstances are comparable. A legitimate condition is not invalid merely because fewer suppliers initially satisfy it. Authorities do not manipulate technical criteria principally to exclude originating goods from another Party.</w:t>
      </w:r>
    </w:p>
    <w:p>
      <w:pPr/>
      <w:r>
        <w:t>21.15.4 [NOMINALLY VOLUNTARY RESTRAINT AND CUMULATIVE PRESSURE] A Party does not evade this Article by inducing, coordinating, funding, threatening, or materially conditioning benefits on a nominally private or voluntary agreement to avoid another Party's goods. Attribution may rest on objective evidence of governmental direction, material inducement, coercive linkage, or materially connected governmental conduct whose cumulative operation makes the expected restrictive conduct a practical condition even though no single communication is independently coercive. Ordinary consultation, industry dialogue, public advocacy, dissemination of nonbinding information, or an isolated statement does not by itself establish attribution, and cumulative assessment does not convert lawful persuasion into compulsion without evidence of material governmental linkage to benefits, approvals, penalties, or discretionary treatment. Where attribution is established, function rather than the voluntary label controls and the record identifies the connected conduct supporting that conclusion.</w:t>
      </w:r>
    </w:p>
    <w:p>
      <w:pPr/>
      <w:r>
        <w:t>21.15.5 [ADMINISTRATIVE THROTTLE] Administration of Adjustment Assistance does not intentionally delay, obstruct, condition, or make commercially unusable an import, license, allocation, certification, or other NAAFTC access right that is administered through a connected government process. Separate program administration does not become an access violation merely because it consumes agency resources or creates incidental delay. A claim identifies the connected process, material delay or obstruction, causal link, and specific right affected. Applicable customs, SPS, recognition, or regulatory chapters control where they provide the more specific rule.</w:t>
      </w:r>
    </w:p>
    <w:p>
      <w:pPr>
        <w:pStyle w:val="Heading2"/>
      </w:pPr>
      <w:r>
        <w:t xml:space="preserve">Article 21.16 - Transparency and Program Identification</w:t>
      </w:r>
    </w:p>
    <w:p>
      <w:pPr/>
      <w:r>
        <w:t>21.16.1 [PROGRAM NOTICE] A material NAAFTC-Specific Adjustment Program is identified through a published notice or registry entry stating its objective, principal eligibility criteria, responsible authority, commencement, expected duration or review cycle, and broad form of assistance. Publication occurs within a reasonable period after establishment or material modification and need not delay urgent lawful domestic support. A Party may satisfy this obligation through an existing public database where the required information is readily identifiable. Minor administrative changes do not require a new notice unless they materially alter the program's Chapter 21 character.</w:t>
      </w:r>
    </w:p>
    <w:p>
      <w:pPr/>
      <w:r>
        <w:t>21.16.2 [AGGREGATE INFORMATION] Transparency ordinarily relies on aggregate program information rather than individual recipient financial records. A Party provides broad expenditure, participation, and program-status information to the extent reasonably available and lawful. Reporting categories are sufficiently informative to understand the program without requiring disclosure that would materially harm legitimate commercial or privacy interests. Estimates are identified as estimates and corrected through ordinary reporting where materially revised.</w:t>
      </w:r>
    </w:p>
    <w:p>
      <w:pPr/>
      <w:r>
        <w:t>21.16.3 [MATERIAL MODIFICATION] A material modification includes a change to program objective, principal eligibility, payment methodology, duration, trade-sensitive conditions, or scope that could materially affect analysis under this Chapter. Routine administrative updates, inflation adjustments, contact changes, or minor procedural refinements do not require full renotification. A materially expanded pre-existing structural program is identified where the expansion is expressly NAAFTC-specific or may materially affect a specific NAAFTC right. Notification does not constitute an admission that a program is inconsistent.</w:t>
      </w:r>
    </w:p>
    <w:p>
      <w:pPr/>
      <w:r>
        <w:t>21.16.4 [DE MINIMIS ADMINISTRATION] A Party may establish a reasonable de minimis threshold below which separate Chapter 21 program notification is unnecessary where the program presents no plausible material effect on a specific NAAFTC right. Related or substantially integrated measures are aggregated to prevent artificial fragmentation below the threshold. A de minimis exception does not exempt a measure from substantive obligations if objective evidence later establishes material Functional Nullification. Threshold methodology is published and reviewed periodically for continued administrative reasonableness.</w:t>
      </w:r>
    </w:p>
    <w:p>
      <w:pPr/>
      <w:r>
        <w:t>21.16.5 [CONSULTATION] A Party may request consultation concerning the design or operation of a notified program where it identifies a specific NAAFTC right and a reasonable basis for concern. Consultation seeks clarification and practical resolution without converting notification into prior approval by another Party. The administering Party provides reasonably available non-confidential information relevant to the identified concern. Failure to agree in consultation does not itself establish inconsistency.</w:t>
      </w:r>
    </w:p>
    <w:p>
      <w:pPr>
        <w:pStyle w:val="Heading2"/>
      </w:pPr>
      <w:r>
        <w:t xml:space="preserve">Article 21.17 - Confidentiality and Individual Producer Information</w:t>
      </w:r>
    </w:p>
    <w:p>
      <w:pPr/>
      <w:r>
        <w:t>21.17.1 [CONFIDENTIALITY FIREWALL] Individual producer, worker, processor, or applicant financial, tax, commercial, employment, and personal information remains protected according to applicable domestic law and this Compact. Chapter 21 does not require creation of a continental database of individual farm finances. Transparency obligations are satisfied through aggregate or appropriately protected information wherever that form reasonably permits system-level review. Confidentiality does not conceal the existence, objective, principal eligibility, or aggregate scale of a material NAAFTC-specific program.</w:t>
      </w:r>
    </w:p>
    <w:p>
      <w:pPr/>
      <w:r>
        <w:t>21.17.2 [DATA MINIMIZATION] Information collected for Chapter 21 administration is limited to what is reasonably necessary for eligibility, payment, integrity, evaluation, transparency, or a lawful review function. Authorities avoid collecting duplicative sensitive information where an adequate less intrusive source is available. Data obtained for one program is not repurposed for unrelated Chapter 21 surveillance without lawful authority and an applicable purpose. Retention follows domestic law and is not extended merely because information could someday be useful to a Compact body.</w:t>
      </w:r>
    </w:p>
    <w:p>
      <w:pPr/>
      <w:r>
        <w:t>21.17.3 [ALVS LIMIT] Chapter 17 may verify system-level implementation expressly assigned to ALVS but does not use Chapter 21 as authority for routine individual producer surveillance. ALVS receives aggregate, anonymized, redacted, or otherwise protected information where that form reasonably supports the system-level verification question. An individual record is accessed only where another lawful authority permits it and the information is materially necessary to the assigned function. ALVS status does not alter ownership, confidentiality, privilege, or domestic legal protections attached to the information.</w:t>
      </w:r>
    </w:p>
    <w:p>
      <w:pPr/>
      <w:r>
        <w:t>21.17.4 [LAWFUL SHARING] Protected individual information is shared across borders only with consent or under lawful authority that permits the particular disclosure and provides applicable safeguards. Chapter 21 itself does not create compulsory authority to override domestic privacy, tax-secrecy, commercial-confidentiality, or privilege rules. A Party may provide summaries, ranges, anonymized data, secure-room access, or other substitutes where direct disclosure is unavailable. Inability to disclose protected material is addressed through reasonable evidentiary alternatives rather than an automatic adverse inference.</w:t>
      </w:r>
    </w:p>
    <w:p>
      <w:pPr/>
      <w:r>
        <w:t>21.17.5 [SECURE HANDLING] A body receiving protected information under lawful authority applies access controls, purpose limitation, secure handling, and retention practices appropriate to the sensitivity of the material. Access is limited to persons whose assigned function reasonably requires it. Unauthorized disclosure is addressed under applicable law and institutional rules. Destruction or return occurs when required by law, governing procedure, or the terms under which the information was supplied.</w:t>
      </w:r>
    </w:p>
    <w:p>
      <w:pPr>
        <w:pStyle w:val="Heading2"/>
      </w:pPr>
      <w:r>
        <w:t xml:space="preserve">Article 21.18 - Interface with Chapters 17 through 20</w:t>
      </w:r>
    </w:p>
    <w:p>
      <w:pPr/>
      <w:r>
        <w:t>21.18.1 [CHAPTER 17 INTERFACE] Chapter 17 may verify whether a Party has implemented a Chapter 21 system-level obligation expressly assigned to ALVS, including required publication or registry functions. An ALVS Indicator or Verified Implementation Finding does not determine individual eligibility, program legality, Functional Nullification, or entitlement to assistance. Information entering from Chapter 17 retains the legal status it possesses there and does not acquire a stronger status through reuse. Chapter 21 does not create an independent ALVS enforcement power.</w:t>
      </w:r>
    </w:p>
    <w:p>
      <w:pPr/>
      <w:r>
        <w:t>21.18.2 [CHAPTER 18 INTERFACE] Chapter 18 may examine technical or scientific questions relevant to Chapter 21, including economic methodology, measurement, data quality, or causal analysis within its competence. A Technical Finding informs but does not decide whether a program legally constitutes Functional Nullification or another breach. The reviewing legal body applies the controlling legal test to the evidentiary record. Technical disagreement does not become a substitute for the legal burden of proof.</w:t>
      </w:r>
    </w:p>
    <w:p>
      <w:pPr/>
      <w:r>
        <w:t>21.18.3 [CHAPTER 19 INTERFACE] Chapter 21 is not an alternative safeguard mechanism and does not authorize tariffs, quotas, suspension of vested access, delayed liberalization, or another protective action reserved to Chapter 19 or prohibited elsewhere. Adjustment assistance may operate alongside a lawful Chapter 19 safeguard without extending the safeguard's duration, scope, causal event, or baseline. Expiry of a safeguard does not require expiry of independently lawful adjustment assistance. A Party does not use adjustment payments to reproduce the prohibited commercial effect of an unavailable safeguard.</w:t>
      </w:r>
    </w:p>
    <w:p>
      <w:pPr/>
      <w:r>
        <w:t>21.18.4 [CHAPTER 20 INTERFACE] Food-security, shortage, and continuity measures are governed by Chapter 20 where its trigger and scope are satisfied. Chapter 21 addresses economic and structural adjustment rather than emergency shortage authority. A food-security program may contain an independently identifiable adjustment component, but the component does not inherit emergency authority merely because the programs interact. Information may move between Chapters 20 and 21 while retaining its original legal status and limitations.</w:t>
      </w:r>
    </w:p>
    <w:p>
      <w:pPr/>
      <w:r>
        <w:t>21.18.5 [NO FORUM SHOPPING] A Party does not route substantially the same measure through Chapter 21 to obtain authority unavailable under a more specific Chapter. Where Chapters overlap, the more specific substantive rule governs the function assigned to it while compatible Chapter 21 rules may govern a genuinely distinct adjustment component. Reclassification, agency transfer, or administrative sequencing does not change the controlling Chapter. Disagreement about routing is resolved through the Compact's consultation and dispute architecture rather than unilateral expansion of authority.</w:t>
      </w:r>
    </w:p>
    <w:p>
      <w:pPr>
        <w:pStyle w:val="Heading2"/>
      </w:pPr>
      <w:r>
        <w:t xml:space="preserve">Article 21.19 - No Vested Right to Adjustment Assistance</w:t>
      </w:r>
    </w:p>
    <w:p>
      <w:pPr/>
      <w:r>
        <w:t>21.19.1 [NO COMPACT ENTITLEMENT] This Compact does not create an individually enforceable permanent entitlement to Adjustment Assistance, compensation, subsidy, grant, loan, tax treatment, or another domestic benefit. Eligibility and enforceable payment rights arise under domestic law and the terms of the relevant program. Chapter 21 does not guarantee that every person adversely affected by competition receives compensation. No private right of action or direct effect arises under this Chapter unless a Party expressly provides one under its domestic law.</w:t>
      </w:r>
    </w:p>
    <w:p>
      <w:pPr/>
      <w:r>
        <w:t>21.19.2 [DOMESTIC PROGRAM RIGHTS] A domestic program may create accrued, vested, contractual, statutory, or procedural rights according to the law governing that program. Nothing in Chapter 21 extinguishes such rights merely because the program relates to NAAFTC adjustment. Their existence does not enlarge a Party's authority to impair another Party's Compact rights. Domestic courts and authorities determine domestic-law entitlement questions subject to the allocation of jurisdiction established by this Compact.</w:t>
      </w:r>
    </w:p>
    <w:p>
      <w:pPr/>
      <w:r>
        <w:t>21.19.3 [MODIFICATION AND TERMINATION] A Party may modify, reduce, replace, or terminate Adjustment Assistance according to domestic law without creating a NAAFTC claim merely because recipients prefer continuation. Past receipt does not create a Compact expectation of future payment or renewal. A modification remains subject to Chapter 21 where its design or administration independently affects a specific Compact right. Termination of assistance does not revive expired border protection or reopen completed liberalization.</w:t>
      </w:r>
    </w:p>
    <w:p>
      <w:pPr/>
      <w:r>
        <w:t>21.19.4 [NO SUPPORT FLOOR OR CEILING] Chapter 21 establishes no minimum or maximum level of agricultural support among the Parties. Assistance levels may differ because of domestic policy choices, fiscal capacity, sector structure, regional conditions, or program design. A Party does not challenge another Party merely because its support level is higher or lower. A challenge instead identifies an independent specific obligation and satisfies its applicable legal test.</w:t>
      </w:r>
    </w:p>
    <w:p>
      <w:pPr/>
      <w:r>
        <w:t>21.19.5 [PROGRAM INTEGRITY] Where a Party establishes a program, it administers published eligibility and conditions consistently with domestic law and applicable Compact obligations. Program administration does not manipulate eligibility, timing, or payment to defeat another Party's specific NAAFTC right. This rule does not convert every domestic program error into an international breach. Materiality, attribution, jurisdiction, and applicable review procedures remain required.</w:t>
      </w:r>
    </w:p>
    <w:p>
      <w:pPr>
        <w:pStyle w:val="Heading2"/>
      </w:pPr>
      <w:r>
        <w:t xml:space="preserve">Article 21.20 - Review, Anti-Circumvention, and Chapters 25-29 Interface</w:t>
      </w:r>
    </w:p>
    <w:p>
      <w:pPr/>
      <w:r>
        <w:t>21.20.1 [FUNCTIONAL ANTI CIRCUMVENTION] A Party does not evade this Chapter through program relabeling, administrative reclassification, nominally private implementation, fragmentation, successor instruments, or another formal change that leaves a materially equivalent nullifying function in place. Measures with substantially common causal basis, objective, conditions, beneficiaries, funding linkage, and protective commercial effect may be assessed together where separate treatment would defeat the applicable rule. Genuine differences in purpose or operation remain relevant and are not collapsed merely because programs coexist. Function over label controls without creating a presumption against domestic support.</w:t>
      </w:r>
    </w:p>
    <w:p>
      <w:pPr/>
      <w:r>
        <w:t>21.20.2 [CROSS SUBSIDY AND DISGUISED QUOTA] Adjustment funds are not intentionally routed through an unrelated program to finance a condition that would be prohibited if imposed directly under this Chapter. A production-management feature is not a disguised quota merely because assistance influences output, conservation, capacity, or orderly adjustment. Scrutiny arises where objective evidence shows that the feature is designed or operates to nullify a specific NAAFTC access right or to reconstruct a removed border restriction. The analysis considers the complete program rather than isolated accounting labels.</w:t>
      </w:r>
    </w:p>
    <w:p>
      <w:pPr/>
      <w:r>
        <w:t>21.20.3 [CURE AND COMMERCIALLY USABLE RESTORATION] Where a measure is determined inconsistent with Chapter 21, cure proceeds through Chapter 25 to the extent applicable and focuses on the inconsistent design, condition, administration, or effect rather than unrelated domestic policy. Restoration is complete only when the corrected treatment legally due under the Compact is operationally available through the program, grant, procurement, licensing, information-technology, payment, registry, or other administrative systems reasonably necessary to use that treatment, and a paper amendment alone does not preserve an inconsistent practical condition. A tightly bounded technical implementation period may be used only where reasonably necessary to effect correction, with the affected function, reason, commencement, and fixed completion date recorded, and government-caused delay does not create a new baseline, require an unrelated concession, or extend the inconsistent treatment for political convenience. Chapter 21 itself creates no retaliation, suspension, or punitive authority, and any remedy arises only under Chapter 26 or another controlling provision subject to its limits.</w:t>
      </w:r>
    </w:p>
    <w:p>
      <w:pPr/>
      <w:r>
        <w:t>21.20.4 [REVIEW AND TECHNICAL AMENDMENT] The Parties review the operation of Chapter 21 through the Chapter 29 architecture at the intervals or triggers provided there. Review may examine administrative burden, program transparency, recurring interpretive issues, effectiveness of interfaces, and whether technical clarification is warranted. Review does not reopen Vested Market-Access Rights, Completed Liberalization Milestones, Zero-Line Status, or another accrued right merely because adjustment policy has evolved. A technical amendment proceeds only through authority and procedure expressly available under Chapter 29.</w:t>
      </w:r>
    </w:p>
    <w:p>
      <w:pPr/>
      <w:r>
        <w:t>21.20.5 [FINAL JURISDICTIONAL SAFEGUARD] No adjustment practice, program history, registry entry, Technical Finding, ALVS record, consultation, non-objection, committee practice, domestic payment, political agreement, or institutional convenience creates authority beyond the express text of this Compact. Chapter 21 does not authorize a Party or Compact body to dictate another Party's general agricultural policy, establish a continental subsidy code, or convert ordinary competitive effects into Functional Nullification. Rights and obligations arise from the applicable treaty text, and information or practice cannot silently enlarge them. Adjustment remains permitted, protectionist substitution remains prohibited, and the underlying liberalization baseline remains controlling.</w:t>
      </w:r>
    </w:p>
    <w:p>
      <w:pPr>
        <w:pStyle w:val="Heading1"/>
      </w:pPr>
      <w:r>
        <w:t>Chapter 22 - Transparency, Data, and Shared Registry</w:t>
      </w:r>
    </w:p>
    <w:p>
      <w:r>
        <w:t xml:space="preserve">Chapter 22 establishes a federated transparency, provenance, data-quality, correction, interoperability, confidentiality, and continuity architecture while preventing Registry infrastructure from acquiring substantive legal authority beyond the Compact.</w:t>
      </w:r>
    </w:p>
    <w:p>
      <w:pPr>
        <w:pStyle w:val="Heading2"/>
      </w:pPr>
      <w:r>
        <w:t xml:space="preserve">Article 22.1 - Purpose, Scope, and Data Principle</w:t>
      </w:r>
    </w:p>
    <w:p>
      <w:r>
        <w:t>22.1.1 [REGISTRY PRINCIPLE] The Shared Agricultural Trade Registry records legal and administrative reality; it does not create that reality. The Registry provides a navigational, visibility, provenance, synchronization, and verification layer for information used under this Compact. A Registry entry, dashboard display, API response, machine-readable feed, status marker, or other information representation does not by itself create, modify, suspend, extinguish, or enlarge a legal right or obligation. Legal effect arises only from the Compact provision, annex, schedule, authorized determination, domestic instrument, or other source to which the controlling Compact rule assigns that effect.</w:t>
      </w:r>
    </w:p>
    <w:p>
      <w:r>
        <w:t>22.1.2 [INFORMATION ARCHITECTURE SCOPE] Chapter 22 governs information architecture, transparency, data handling, and shared-record functions assigned by this Compact. It does not create a general reporting power, general surveillance authority, supranational statistics office, centralized enforcement database, or substantive regulatory competence. A technical capability to collect, store, compare, infer, or process information does not create authority to exercise that capability for an unassigned purpose. Any collection or use under this Chapter remains tied to an express Compact function and the limits governing that function.</w:t>
      </w:r>
    </w:p>
    <w:p>
      <w:r>
        <w:t>22.1.3 [TRANSPARENCY SERVES IMPLEMENTATION] Transparency under this Chapter supports implementation, verification, commercial usability, and correction of rights and obligations established elsewhere in the Compact. Publication or recording requirements do not independently create substantive market-access, regulatory, subsidy, origin, emergency, or remedial obligations. Failure to publish or record information does not by itself suspend an underlying legal status unless a controlling provision expressly makes publication constitutive. A Party remains responsible for administering the underlying obligation according to its controlling legal source.</w:t>
      </w:r>
    </w:p>
    <w:p>
      <w:r>
        <w:t>22.1.4 [DISTRIBUTED AUTHORITY] Domestic systems remain authoritative where this Compact assigns them legal or administrative authority. The Registry standardizes visibility, provenance, synchronization, cross-reference, and access across those distributed systems without replacing them merely because information is accessible through a common interface. Internal reassignment among domestic authorities does not reset a Compact clock, erase a record, or alter the legal status of an existing matter. The Registry does not acquire jurisdiction over a domestic system merely by linking to or displaying information from it.</w:t>
      </w:r>
    </w:p>
    <w:p>
      <w:r>
        <w:t>22.1.5 [FUNCTION OVER FORM] An information tool is assessed according to its assigned function and practical operation rather than its label, software format, hosting arrangement, or institutional location. A database, portal, dashboard, spreadsheet, application programming interface, automated feed, paper register, or successor technology receives no greater authority merely because it is described as official or shared. Publication does not create an implied right to undisclosed information, and Registry appearance does not upgrade evidentiary weight. Administrative practice does not expand this Chapter beyond authority expressly established by the Compact.</w:t>
      </w:r>
    </w:p>
    <w:p>
      <w:pPr>
        <w:pStyle w:val="Heading2"/>
      </w:pPr>
      <w:r>
        <w:t xml:space="preserve">Article 22.2 - Covered Information and Data Categories</w:t>
      </w:r>
    </w:p>
    <w:p>
      <w:r>
        <w:t>22.2.1 [PUBLIC AND INTERPARTY INFORMATION] Public Information consists of information expressly designated for public availability under this Compact or applicable domestic law. Party-to-Party Information consists of information exchanged among Parties for an assigned Compact function but not necessarily designated for public release. The status of information is determined by the controlling legal authority rather than by the technical location in which the information is stored. Transfer between systems does not by itself convert Party-to-Party Information into Public Information.</w:t>
      </w:r>
    </w:p>
    <w:p>
      <w:r>
        <w:t>22.2.2 [PROTECTED INFORMATION] Protected Information includes confidential business information, personal information, security-sensitive information, privileged material, and another category lawfully protected under an applicable Compact provision or domestic law. Protection attaches according to the governing legal basis and travels with the information when it moves among authorized Compact functions. A Registry field, transformation, summary, export, or technical copy does not strip an applicable protection. Public-facing records disclose enough non-protected information to make the relevant administrative status intelligible where the controlling law permits.</w:t>
      </w:r>
    </w:p>
    <w:p>
      <w:r>
        <w:t>22.2.3 [TECHNICAL AND EVIDENTIARY DATA] Technical Data includes methodology, definitions, calculations, transformations, assumptions, units, and metadata reasonably necessary to interpret a datum correctly. Evidentiary Material includes information submitted, relied upon, or generated for verification, technical review, cure, consultation, or dispute functions. Recording Evidentiary Material in the Registry does not alter its admissibility, confidence level, burden, or legal significance. Technical Data and Evidentiary Material retain the limitations imposed by their source and controlling procedure.</w:t>
      </w:r>
    </w:p>
    <w:p>
      <w:r>
        <w:t>22.2.4 [PURPOSE LIMITATION AND DERIVATIVE DATA] A Party collects, requests, retains, and uses information under this Chapter only to the extent reasonably necessary for an assigned Compact function. Information collected for one function, and information materially derived from it through scoring, profiling, modeling, inference, transformation, or aggregation, is not repurposed for a materially different function without independent legal authority where the derivative information retains or functionally reproduces the restricted informational content. Genuinely anonymized or sufficiently transformed aggregate information may be used for another lawful purpose where it no longer identifies, exposes, reconstructs, or functionally reproduces the protected or purpose-limited information and the use otherwise complies with applicable law. Reporting burden remains proportionate to the materiality, risk, and verification need of the underlying obligation, and a field appearing in a form, schema, portal, or template does not become a substantive condition merely because an information system can request it.</w:t>
      </w:r>
    </w:p>
    <w:p>
      <w:r>
        <w:t>22.2.5 [CATEGORY GOVERNANCE] The Registry distinguishes public, Party-to-Party, protected, technical, evidentiary, and Registry-metadata categories through published or otherwise accessible rules appropriate to their status. Technical fields, metadata, and non-substantive categories may be added or revised through the applicable technical process where they do not create a new substantive obligation, reporting burden, legal consequence, or access condition. A change that would create such an effect proceeds only through the Compact procedure authorized to make that substantive change. Periodic review removes obsolete fields and reduces unnecessary collection without erasing required historical records.</w:t>
      </w:r>
    </w:p>
    <w:p>
      <w:pPr>
        <w:pStyle w:val="Heading2"/>
      </w:pPr>
      <w:r>
        <w:t xml:space="preserve">Article 22.3 - Shared Registry Architecture</w:t>
      </w:r>
    </w:p>
    <w:p>
      <w:r>
        <w:t>22.3.1 [FEDERATED ARCHITECTURE] The Registry operates as a federated information architecture connecting distributed domestic and Compact-specific systems. It does not require all Compact-related information to be consolidated into a single physical database or data lake. Each Party identifies the domestic systems and authorities that supply information for assigned Registry functions and maintains a national coordination contact point. Technical integration preserves the legal and administrative status of the source system rather than transferring that status to the Registry.</w:t>
      </w:r>
    </w:p>
    <w:p>
      <w:r>
        <w:t>22.3.2 [INTEROPERABILITY OVER UNIFORMITY] The Registry supports interoperability through documented mappings, translation layers, common identifiers, and exchange standards rather than requiring identical domestic platforms. A Party may modernize, replace, migrate, or reorganize its domestic technology without changing Compact rights, obligations, clocks, or record ancestry. Technical specifications remain sufficiently portable to permit reasonable migration and continuity, with open or broadly interoperable standards preferred where practicable. Proprietary implementation does not alter another Party's rights or require another Party or private person to purchase a particular vendor's technology.</w:t>
      </w:r>
    </w:p>
    <w:p>
      <w:r>
        <w:t>22.3.3 [RESPONSIBLE AUTHORITY] Each material Registry matter identifies the authority responsible for the underlying record or assigned administrative function. Internal reassignment, agency reorganization, contractor change, or system migration does not reset a deadline, erase responsibility, or create a new legal baseline. Access to non-public information is role-based, function-specific, and auditable according to applicable law. A technical administrator may maintain infrastructure without acquiring authority to decide the substantive matter represented by that infrastructure.</w:t>
      </w:r>
    </w:p>
    <w:p>
      <w:r>
        <w:t>22.3.4 [SPECIALIZED REGISTER SEPARATION] Specialized registers remain functionally distinct even when accessed through a common Registry interface. Cross-register links preserve source, status, provenance, and governing Chapter so that information sharing does not merge legal functions. Placement, display order, common hosting, or technical dependency does not establish a hierarchy among registers or transfer authority from one register to another. A register created for verification does not become a tariff schedule, legal determination, or remedial instrument merely because another function reads from it.</w:t>
      </w:r>
    </w:p>
    <w:p>
      <w:r>
        <w:t>22.3.5 [SCALABILITY AND NECESSITY] Technical capacity may scale to support increased lawful use without expanding the substantive authority of the Registry or participating institutions. Registry components are periodically reviewed for necessity, burden, cost, interoperability, security, and demonstrated implementation value. An obsolete component may be retired through a controlled process that preserves required records, provenance, fallback access, and legal continuity. Budget or technology constraints do not authorize a Party to suspend a legal right or substitute a materially less usable implementation path without authority under another provision.</w:t>
      </w:r>
    </w:p>
    <w:p>
      <w:pPr>
        <w:pStyle w:val="Heading2"/>
      </w:pPr>
      <w:r>
        <w:t xml:space="preserve">Article 22.4 - Product Record ID Integration</w:t>
      </w:r>
    </w:p>
    <w:p>
      <w:r>
        <w:t>22.4.1 [PERSISTENT PRODUCT ANCHOR] The Product Record ID established under this Compact serves as the persistent cross-reference anchor for product-specific records within the Registry. It links coverage, treatment, origin, implementation, and related records without merging the legal functions of the Chapters or annexes from which those records arise. The identifier remains administrative and does not itself create coverage, origin, tariff treatment, or another substantive status. Human-readable product descriptions accompany the identifier sufficiently to permit practical understanding and error detection.</w:t>
      </w:r>
    </w:p>
    <w:p>
      <w:r>
        <w:t>22.4.2 [NOMENCLATURE CONTINUITY] A Product Record ID survives tariff-nomenclature revisions, concordances, renumbering, splits, and mergers through controlled successor mapping. The mapping records the former code, successor code or codes, effective period, responsible authority, and any material scope issue requiring legal or technical review. A nomenclature change does not erase vested treatment, restart a transition, or create a new baseline merely because a new code appears. Where substantive product scope changes, the controlling Compact provision determines treatment and the Registry records rather than resolves that legal question.</w:t>
      </w:r>
    </w:p>
    <w:p>
      <w:r>
        <w:t>22.4.3 [ANTI FRAGMENTATION] Administrative reorganization, agency transfer, system migration, or formatting change does not create a new Product Record ID for the same substantive product merely to sever record ancestry. Where a product legitimately divides into distinct successor classifications, the Registry preserves traceability from the parent record to each successor. Where classifications merge, the Registry preserves traceability to each predecessor and flags any treatment difference requiring resolution. Identifier management does not broaden product coverage beyond the controlling legal record.</w:t>
      </w:r>
    </w:p>
    <w:p>
      <w:r>
        <w:t>22.4.4 [CROSS ANNEX TRACEABILITY] Annexes and specialized registers may reference Product Record IDs to improve cross-document and machine-readable traceability. Cross-reference does not import an obligation, exception, evidentiary status, or legal effect from one annex or register into another unless the Compact expressly provides that connection. Registry displays identify the originating Chapter, annex, schedule, or authority for consequential treatment fields. A user can therefore trace a displayed treatment to the source that legally supports it.</w:t>
      </w:r>
    </w:p>
    <w:p>
      <w:r>
        <w:t>22.4.5 [IDENTIFIER CORRECTION] An error in Product Record ID assignment is corrected through the applicable correction procedure with preserved version history and downstream notification. Correction conforms the identifier and linked records to the controlling legal state and does not retroactively manufacture a status that never legally existed. A person is not denied otherwise applicable treatment solely because an administrative identifier error remains unresolved where the controlling product identity and entitlement can reasonably be established. Machine-readable formats preserve identifier stability across version updates and record any necessary successor mapping.</w:t>
      </w:r>
    </w:p>
    <w:p>
      <w:pPr>
        <w:pStyle w:val="Heading2"/>
      </w:pPr>
      <w:r>
        <w:t xml:space="preserve">Article 22.5 - Authoritative Source and Provenance</w:t>
      </w:r>
    </w:p>
    <w:p>
      <w:r>
        <w:t>22.5.1 [PROVENANCE PASSPORT] Each consequential Registry datum carries a provenance record sufficient to identify its source, relevant date or period, responsible authority, methodology where material, quality status, and known limitations. The provenance record distinguishes directly observed information from estimates, calculations, transformations, summaries, and derivative analyses. A user or authorized reviewer can trace a material datum to the source or source class from which it derives subject to lawful confidentiality limits. Missing provenance is itself identified rather than silently replaced by assumed authority.</w:t>
      </w:r>
    </w:p>
    <w:p>
      <w:r>
        <w:t>22.5.2 [ASSIGNED AUTHORITY] Where multiple records concern the same matter, legal authority follows the source to which the controlling Compact provision assigns operative effect. A summary, dashboard, Registry display, administrative copy, or derivative dataset does not outrank that assigned source merely because it is newer, easier to access, or centrally displayed. Supporting sources may corroborate, explain, or identify an apparent discrepancy without changing the legal hierarchy. Where the controlling source is uncertain, the Registry flags the conflict for resolution rather than selecting authority by technical convenience.</w:t>
      </w:r>
    </w:p>
    <w:p>
      <w:r>
        <w:t>22.5.3 [CHAIN OF USE] When information moves among agencies, Chapters, registers, or Compact functions, its material chain of use and transformation remains traceable. Aggregation, normalization, translation, summarization, or format conversion does not sever source ancestry or erase limitations that remain relevant to interpretation. A receiving function records any new methodology, inference, or transformation it applies rather than presenting the resulting datum as directly observed. Provenance and limitations travel with information unless a lawful procedure independently establishes a different status.</w:t>
      </w:r>
    </w:p>
    <w:p>
      <w:r>
        <w:t>22.5.4 [CURRENCY AND REVISION HISTORY] A consequential datum records its collection date, reference period, publication date where relevant, and material revision history. Information that may no longer represent current conditions is marked stale, superseded, historical, or otherwise qualified according to published criteria. A material correction preserves the prior record, correction date, reason, responsible authority, and relationship to downstream uses. Silent overwriting or deletion does not substitute for a traceable correction history.</w:t>
      </w:r>
    </w:p>
    <w:p>
      <w:r>
        <w:t>22.5.5 [PROVENANCE CHALLENGE] A Party may challenge the source, lineage, methodology, quality classification, or material limitation of Registry information through the applicable technical or correction procedure. The challenge does not automatically suspend an underlying legal right or obligation and does not convert a technical disagreement into a Legal Finding. Authorized reviewers receive enough source information to evaluate the challenge subject to confidentiality and security protections. Provenance records are retained for the applicable audit period and remain accessible to authorized review functions.</w:t>
      </w:r>
    </w:p>
    <w:p>
      <w:pPr>
        <w:pStyle w:val="Heading2"/>
      </w:pPr>
      <w:r>
        <w:t xml:space="preserve">Article 22.6 - One Fact Remains One Fact</w:t>
      </w:r>
    </w:p>
    <w:p>
      <w:r>
        <w:t>22.6.1 [SINGLE SOURCE PRINCIPLE] A single underlying fact does not become multiple independent indicators merely because multiple systems, agencies, reports, dashboards, publications, or submissions reproduce it. Evidentiary weight reflects source independence, quality, relevance, and methodology rather than the number of administrative copies. The Registry records common ancestry where reasonably detectable so that circular republication is not mistaken for corroboration. This rule does not prevent genuinely independent observations from corroborating one another.</w:t>
      </w:r>
    </w:p>
    <w:p>
      <w:r>
        <w:t>22.6.2 [SOURCE LINEAGE] Where one record derives materially from another, the derivative relationship is recorded to the extent reasonably ascertainable and relevant. Automated synchronization, data mirroring, republication, translation, or reformatting does not create an independent source. An administrative record that merely repeats another record receives no independent evidentiary weight for the repeated fact. A derivative analysis may carry independent analytical value while remaining distinct from independent confirmation of its underlying source data.</w:t>
      </w:r>
    </w:p>
    <w:p>
      <w:r>
        <w:t>22.6.3 [DUPLICATE DETECTION] Registry processes identify material duplicate or derivative observations where reasonably practicable, particularly when apparent corroboration affects a technical review, verification outcome, cure request, or dispute record. Failure to detect an obscure duplication does not by itself establish a violation absent material effect or an applicable reporting duty. A Party submitting materially duplicated evidence discloses known common-source relationships relevant to the use for which the evidence is submitted. Deliberate fragmentation or republication does not increase evidentiary weight.</w:t>
      </w:r>
    </w:p>
    <w:p>
      <w:r>
        <w:t>22.6.4 [AGGREGATION TRANSPARENCY] An aggregated metric identifies its material underlying sources, methodology, relevant period, and treatment of duplicate observations. Aggregation does not erase source limitations or transform dependent observations into independent evidence. Where a common source materially drives several components of an aggregate, that dependency is disclosed when relevant to interpretation. Technical convenience does not justify presenting repeated measurements of the same underlying fact as separate causal signals.</w:t>
      </w:r>
    </w:p>
    <w:p>
      <w:r>
        <w:t>22.6.5 [CORROBORATION REVIEW] Where a Party or technical body relies materially on claimed corroboration, the reviewing function may examine whether the supporting sources are genuinely independent. Independence may consider origin, collection method, institutional separation, data lineage, timing, and whether one source materially copied or derived from another. The inquiry remains proportionate to the importance of the claimed corroboration and does not require exhaustive ancestry reconstruction for immaterial data. A disagreement over source independence remains a technical or evidentiary issue unless a controlling legal procedure assigns further effect.</w:t>
      </w:r>
    </w:p>
    <w:p>
      <w:pPr>
        <w:pStyle w:val="Heading2"/>
      </w:pPr>
      <w:r>
        <w:t xml:space="preserve">Article 22.7 - Legal Status of Registry Entries</w:t>
      </w:r>
    </w:p>
    <w:p>
      <w:r>
        <w:t>22.7.1 [NON CONSTITUTIVE STATUS] A Registry entry records or represents legal or administrative status; it does not independently create, modify, suspend, extinguish, or enlarge that status. The legal effect represented by an entry derives from the operative source to which the Compact assigns authority. Registry architecture, display conventions, color coding, automated flags, or status labels do not substitute for that source. An entry therefore remains informational except to the extent a controlling Compact provision expressly assigns the entry a defined operative function.</w:t>
      </w:r>
    </w:p>
    <w:p>
      <w:r>
        <w:t>22.7.2 [EFFECTIVE DATE] The date on which information is entered, synchronized, displayed, or corrected in the Registry is an administrative date unless the controlling provision expressly gives it legal effect. Late recording does not postpone an underlying legal event that has already occurred under the controlling rule. Early or erroneous recording does not accelerate or manufacture a legal event that has not occurred. The Registry records both the underlying effective date and the administrative recording date where their distinction is material.</w:t>
      </w:r>
    </w:p>
    <w:p>
      <w:r>
        <w:t>22.7.3 [CONFLICT WITH CONTROLLING SOURCE] Where a Registry representation conflicts with the source assigned controlling legal authority, that source governs and the Registry is corrected promptly. A technical conflict does not authorize self-help expansion of a Party's rights or another Party's obligations. Affected administrative systems are corrected consistently with the controlling source and applicable cure provisions. The conflict and correction remain traceable through version history.</w:t>
      </w:r>
    </w:p>
    <w:p>
      <w:r>
        <w:t>22.7.4 [REASONABLE RELIANCE AND DISCLAIMER DISCIPLINE] A person acting reasonably on a current official Registry representation is not treated as having acted culpably merely because the representation later proves erroneous. A generic statement that Registry information is informational, non-constitutive, or subject to independent verification does not by itself defeat reasonable reliance where the official interface presents the representation as current and usable for the relevant administrative function, while a specific visible provisional status, conflict warning, uncertainty notice, source limitation, or supersession marker may be considered according to the circumstances. This reliance protection does not transform an erroneous entry into substantive law or require treatment contrary to a controlling Compact rule beyond any remedy authorized by applicable law, and an authority corrects or mitigates administrative consequences caused by its own material Registry error through otherwise available procedures where reasonably practicable. Nothing in this clause creates a private cause of action, compensation entitlement, or remedy not otherwise provided by the Compact or domestic law.</w:t>
      </w:r>
    </w:p>
    <w:p>
      <w:r>
        <w:t>22.7.5 [STATUS QUERY] A Registry query response, downloadable record, dashboard result, or automated message communicates recorded status and does not by itself constitute a Legal Finding. Material legal-status queries identify or link to the controlling source where reasonably practicable. A stale, superseded, provisional, or disputed status is visibly identified according to applicable Registry rules. No Party relies on a known stale entry to avoid treatment legally due under the controlling source.</w:t>
      </w:r>
    </w:p>
    <w:p>
      <w:pPr>
        <w:pStyle w:val="Heading2"/>
      </w:pPr>
      <w:r>
        <w:t xml:space="preserve">Article 22.8 - Publication and Notification</w:t>
      </w:r>
    </w:p>
    <w:p>
      <w:r>
        <w:t>22.8.1 [PUBLICATION OBLIGATION] Each Party publishes information expressly required to be public under this Compact within the timeframe established by the controlling provision. Where that provision sets no specific period, publication occurs promptly in light of the information's commercial and administrative significance. Publication uses a format reasonably accessible to affected persons and other Parties. Publication under this Article does not require disclosure of Protected Information.</w:t>
      </w:r>
    </w:p>
    <w:p>
      <w:r>
        <w:t>22.8.2 [ADVANCE AND EMERGENCY PUBLICATION] A significant non-emergency administrative change affecting Compact implementation is published in advance where the controlling provision or applicable domestic law so requires or where advance publication is otherwise reasonably practicable. An emergency measure is published as soon as reasonably practicable consistently with the emergency Chapter governing that measure. Emergency publication does not extend the duration, scope, or authority of the emergency measure. Delay in publication is recorded where material to implementation or review.</w:t>
      </w:r>
    </w:p>
    <w:p>
      <w:r>
        <w:t>22.8.3 [NOTIFICATION DISTINCTION] Notification to another Party and publication to the public are distinct functions unless the controlling provision expressly combines them. Each Party maintains current contact information for notices, Registry coordination, corrections, and technical communications. Delivery to a designated contact point satisfies only the notification function assigned to that channel and does not convert Protected Information into Public Information. Internal forwarding failures do not reset a Compact clock where valid notice has reached the designated point.</w:t>
      </w:r>
    </w:p>
    <w:p>
      <w:r>
        <w:t>22.8.4 [ACCESSIBLE FORMATS] Public information is provided in human-readable form and, where reasonably practicable, in machine-readable form suitable for reuse. Language availability follows applicable domestic law and any specific Compact language requirement, with additional translations permitted voluntarily. A translation or machine-readable representation identifies its relationship to the controlling source and does not acquire higher legal status by convenience. Technical accessibility is improved over time without conditioning an underlying right on adoption of a particular technology.</w:t>
      </w:r>
    </w:p>
    <w:p>
      <w:r>
        <w:t>22.8.5 [COMPLETE AND BALANCED PUBLICATION] A Party does not administer a required publication process so as to disclose materially favorable implementation information while systematically withholding required unfavorable information of comparable relevance. Corrections are clearly identified, and superseded public versions remain available where reasonably necessary for audit or historical reconstruction. Aggregate publication metrics may track timeliness, completeness, correction frequency, and accessibility without creating individual legal findings. Failure to publish does not erase the underlying event, and the applicable cure or dispute provisions govern any material breach of the publication obligation.</w:t>
      </w:r>
    </w:p>
    <w:p>
      <w:pPr>
        <w:pStyle w:val="Heading2"/>
      </w:pPr>
      <w:r>
        <w:t xml:space="preserve">Article 22.9 - Corrections and Version Control</w:t>
      </w:r>
    </w:p>
    <w:p>
      <w:r>
        <w:t>22.9.1 [CORRECTION INITIATION] A responsible authority initiates or receives requests for correction of Registry information that is inaccurate, incomplete, misleading, stale, improperly classified, or inconsistent with its controlling source. A correction request identifies the record and alleged defect with enough specificity for efficient review. The process distinguishes correction of an administrative representation from amendment of the underlying legal rule. A correction request does not automatically suspend the underlying right, obligation, clock, or administrative action.</w:t>
      </w:r>
    </w:p>
    <w:p>
      <w:r>
        <w:t>22.9.2 [CORRECTION RECORD] A material correction records the prior information, corrected information, reason, responsible authority, correction date, underlying effective date where different, and known downstream records materially affected. The correction history is append-only or functionally equivalent so that significant prior states can be reconstructed. Superseded records remain accessible to authorized audit functions and, where appropriate, to the public. Silent overwrite, deletion, or unexplained version rollback does not satisfy this Article.</w:t>
      </w:r>
    </w:p>
    <w:p>
      <w:r>
        <w:t>22.9.3 [CLOSED LOOP CROSS-PARTY PROPAGATION] A material correction affecting legal or commercially consequential treatment propagates within a reasonable period to active Registry views, linked records, automated feeds, and materially consequential dependent administrative systems under the correcting Party's control, and the correcting Party transmits the correction with sufficient provenance and urgency information to each other Party known to operate a materially consequential dependent system. A receiving Party propagates the transmitted correction through its own identified materially consequential dependent systems within a reasonable period and treats its propagation as complete only when each such system has acknowledged and implemented the correction or has been isolated from the stale record through a functioning verified fallback that preserves the treatment legally due. Each responsible Party records known dependent systems, material acknowledgments or implementation status, and any system that cannot be corrected immediately, while a distinct downstream record supported by an independent valid legal basis remains unaffected. A transmission notice, queued update, cross-Party receipt, or assertion that a correction was sent does not by itself establish completed propagation where a consequential system continues applying the superseded information.</w:t>
      </w:r>
    </w:p>
    <w:p>
      <w:r>
        <w:t>22.9.4 [IMPACT ASSESSMENT] A material correction assesses whether a prior technical finding, implementation status, referral, notice, publication, or administrative action materially depended on the erroneous information. The responsible function reopens or adjusts the dependent output only to the extent authorized by its governing Chapter and necessary to address the corrected premise. Correction of source data does not automatically reverse an independent Legal Finding that rested on additional valid grounds. The record identifies whether downstream review was required and its resulting status.</w:t>
      </w:r>
    </w:p>
    <w:p>
      <w:r>
        <w:t>22.9.5 [CORRECTION VERSUS AMENDMENT] Administrative correction conforms a record to existing legal or factual authority; substantive amendment changes the governing rule through the procedure authorized by this Compact. A Registry administrator cannot accomplish a substantive amendment by editing a field, schema, status marker, concordance, or explanatory note. Material corrections are notified to affected Parties where required by the governing function. Correction of one record does not establish a general legal precedent for materially different records.</w:t>
      </w:r>
    </w:p>
    <w:p>
      <w:pPr>
        <w:pStyle w:val="Heading2"/>
      </w:pPr>
      <w:r>
        <w:t xml:space="preserve">Article 22.10 - Conflicting Records and Source Hierarchy</w:t>
      </w:r>
    </w:p>
    <w:p>
      <w:r>
        <w:t>22.10.1 [ASSIGNED SOURCE CONTROLS] When records conflict, the source to which the controlling Compact provision assigns legal authority governs the substantive status. Operative Compact text, annexes, schedules, authorized determinations, domestic instruments, and administrative records therefore take priority according to the authority assigned to them for the particular question rather than according to a universal technical hierarchy. Derivative or summary records cannot override the source from which their represented status legally derives. The Registry identifies the controlling source or flags uncertainty for resolution where reasonably practicable.</w:t>
      </w:r>
    </w:p>
    <w:p>
      <w:r>
        <w:t>22.10.2 [CONFLICT IDENTIFICATION] A material discrepancy among the Registry, a domestic system, a customs record, a published notice, or another consequential source is recorded and referred to the responsible authority for resolution. The conflict record identifies the competing sources, affected period, apparent consequence, and interim administrative approach. Detection of a conflict does not itself establish which Party is legally correct. Technical staff preserve the competing records rather than silently harmonizing them through an undocumented edit.</w:t>
      </w:r>
    </w:p>
    <w:p>
      <w:r>
        <w:t>22.10.3 [INTERIM ADMINISTRATION] Pending resolution of a material record conflict, administration follows the last valid legally controlling record unless another Compact provision supplies a different interim rule or the controlling legal state can otherwise be established. A Party does not use uncertainty created by its own inconsistent records to expand a restriction or withhold treatment otherwise demonstrably due. Reasonable temporary procedures preserve commercial usability and prevent avoidable prejudice while the discrepancy is resolved. Interim administration does not create a new baseline or prejudice the ultimate legal determination.</w:t>
      </w:r>
    </w:p>
    <w:p>
      <w:r>
        <w:t>22.10.4 [CUSTOMS AND SYSTEM CONFLICTS] Where customs administration or another operational system conflicts with the legally controlling instrument, the controlling instrument governs and the operational system is corrected. A database configuration, software limitation, mapping error, or administrative practice does not create a legal conflict where the controlling legal sources are consistent. Correction extends to commercially relevant implementation systems rather than only to the Registry display. Applicable refund, correction, restoration, or review procedures remain governed by the Chapters and domestic law that authorize them.</w:t>
      </w:r>
    </w:p>
    <w:p>
      <w:r>
        <w:t>22.10.5 [CONFLICT ESCALATION] An unresolved material conflict may proceed through the technical, consultation, cure, or dispute procedure applicable to the underlying issue. Escalation does not convert the Registry into the decision-maker and does not create an independent cause of action merely because the discrepancy appears in the Registry. The final resolution is recorded with its source, date, scope, and effect on superseded records. A resolved conflict remains available for audit without becoming binding precedent beyond the authority of the decision that resolved it.</w:t>
      </w:r>
    </w:p>
    <w:p>
      <w:pPr>
        <w:pStyle w:val="Heading2"/>
      </w:pPr>
      <w:r>
        <w:t xml:space="preserve">Article 22.11 - Data Quality and Validation</w:t>
      </w:r>
    </w:p>
    <w:p>
      <w:r>
        <w:t>22.11.1 [QUALITY CLASSES] Registry data uses published quality classifications appropriate to function, including Verified, Provisional, Estimated, Disputed, Unavailable, or another technically equivalent class approved without substantive effect. A quality class describes the state of the information and does not determine whether underlying conduct complies with this Compact. Classification criteria identify the validation step, source requirement, methodology, or uncertainty relevant to each class. A change in quality class is versioned where material to prior use.</w:t>
      </w:r>
    </w:p>
    <w:p>
      <w:r>
        <w:t>22.11.2 [VERIFIED AND PROVISIONAL] Verified indicates that a datum has satisfied the applicable source and quality-validation requirements for its assigned information function. Verified does not mean that conduct described by the datum has received a Legal Finding of compliance or non-compliance. Provisional identifies information awaiting a defined validation step or additional source confirmation. A provisional datum is not silently treated as verified merely because time has passed or a dashboard requires a binary status.</w:t>
      </w:r>
    </w:p>
    <w:p>
      <w:r>
        <w:t>22.11.3 [ESTIMATED AND DISPUTED] Estimated identifies a calculated or modeled value not directly observed and records the methodology, material assumptions, and known limitations. Disputed identifies a material disagreement concerning accuracy, methodology, classification, provenance, or interpretation. Neither classification establishes an adverse inference merely by existing. A reviewing function considers the classification according to the evidentiary rules and authority assigned by its governing Chapter.</w:t>
      </w:r>
    </w:p>
    <w:p>
      <w:r>
        <w:t>22.11.4 [MISSING AND INCOMPLETE DATA] Missing or unavailable information is identified rather than automatically treated as evidence of compliance or non-compliance. Where missing data materially affects interpretation, the record states the nature of the gap and its reasonably known consequence for confidence or completeness. A Party does not manufacture an adverse inference from missing information where the information was never lawfully required, was unavailable for reasons outside the holder's reasonable control, or an adequate lawful substitute exists. A governing verification or dispute procedure may draw only the inference that its own rules authorize.</w:t>
      </w:r>
    </w:p>
    <w:p>
      <w:r>
        <w:t>22.11.5 [QUALITY IMPROVEMENT] ALVS or another assigned technical function may monitor completeness, timeliness, consistency, revision frequency, and related system-level quality indicators within its competence. Poor quality first supports correction, technical assistance, clarification, or proportionate review according to material effect rather than automatic legal escalation. Quality metrics do not become substantive trade conditions and do not authorize routine individual surveillance. Repeated material quality failures may be referred through the Chapters that possess authority to address the affected obligation.</w:t>
      </w:r>
    </w:p>
    <w:p>
      <w:pPr>
        <w:pStyle w:val="Heading2"/>
      </w:pPr>
      <w:r>
        <w:t xml:space="preserve">Article 22.12 - Machine-Readable Data and Interoperability</w:t>
      </w:r>
    </w:p>
    <w:p>
      <w:r>
        <w:t>22.12.1 [MACHINE READABLE ACCESS] Where reasonably practicable, public Registry information is available in stable machine-readable formats in addition to human-readable access. Machine-readable publication supports comparison, reuse, automated validation, and accessibility without changing the legal status of the represented information. A Party is not required to rebuild a domestic system solely to satisfy a preferred technical format where a reasonably interoperable alternative performs the assigned function. Technical implementation remains proportionate to expected use, cost, and administrative capacity.</w:t>
      </w:r>
    </w:p>
    <w:p>
      <w:r>
        <w:t>22.12.2 [FORMAT NEUTRAL AUTHORITY] Human-readable and machine-readable representations receive legal significance according to the authority assigned by the controlling Compact provision or applicable domestic law, not according to format alone. Where two representations conflict, the source legally assigned to control the relevant question governs. A technical schema, API response, export file, or user interface cannot silently amend the controlling source. The Registry clearly identifies authoritative and convenience representations where the distinction is material.</w:t>
      </w:r>
    </w:p>
    <w:p>
      <w:r>
        <w:t>22.12.3 [SCHEMA GOVERNANCE] Machine-readable formats use documented schemas, version identifiers, field definitions, units, validation rules, and interpretation guidance appropriate to their function. A non-substantive schema revision may proceed through an authorized technical process if it does not impose a new legal condition, reporting burden, or substantive interpretation. A schema change with such an effect requires the Compact procedure authorized to make that substantive change. Deprecated schemas remain supported or mapped for a reasonable transition period where necessary to preserve continuity.</w:t>
      </w:r>
    </w:p>
    <w:p>
      <w:r>
        <w:t>22.12.4 [API AND INTEROPERABILITY] Where application programming interfaces are provided, their documentation, authentication requirements, service expectations, and material version changes are communicated on non-discriminatory terms appropriate to the user class. Interoperability relies on mappings and translation rather than mandatory adoption of a single domestic technology. Open or broadly implementable standards are preferred where reasonably available and compatible with security, functionality, and cost. Technical restrictions are not designed or administered as disguised barriers to legitimate agricultural trade.</w:t>
      </w:r>
    </w:p>
    <w:p>
      <w:r>
        <w:t>22.12.5 [OUTAGE FALLBACK] A machine-readable service interruption activates documented alternative access, submission, and synchronization procedures proportionate to the affected function. Paper, secure electronic, batch, or other fallback records may satisfy an information function where authenticity, integrity, timing, and traceability are preserved. Use of a fallback does not reduce legal treatment merely because the preferred technical channel is unavailable. Restored systems reconcile fallback records without erasing their original submission or effective times.</w:t>
      </w:r>
    </w:p>
    <w:p>
      <w:pPr>
        <w:pStyle w:val="Heading2"/>
      </w:pPr>
      <w:r>
        <w:t xml:space="preserve">Article 22.13 - Administrative Simplicity and Reuse</w:t>
      </w:r>
    </w:p>
    <w:p>
      <w:r>
        <w:t>22.13.1 [SINGLE SUBMISSION] A Party ordinarily requires the same material fact only once for the same Compact administrative matter where reliable reuse is reasonably practicable and lawful. Authorities reuse information already lawfully held by government when its identity, currency, provenance, accessibility, and permitted purpose are sufficient for the assigned function. A person is not required to recreate information solely because another domestic office stores it in a different technical format. Distinct facts, materially updated facts, or information lawfully unavailable to the receiving function may be requested separately.</w:t>
      </w:r>
    </w:p>
    <w:p>
      <w:r>
        <w:t>22.13.2 [REUSE DECISION] Where an authority declines reasonably available government-held information and requires resubmission of the same material fact, it identifies the material reliability, currency, access, legal, security, or purpose limitation supporting that decision where doing so is practicable. Reuse does not override confidentiality, privacy, privilege, or statutory restrictions on information sharing. A reused datum retains its provenance and is not treated as independently corroborated merely because another agency receives it. Material transformation for a new function is recorded according to Article 22.5.</w:t>
      </w:r>
    </w:p>
    <w:p>
      <w:r>
        <w:t>22.13.3 [COORDINATED REPORTING] Parties coordinate Compact reporting requirements across assigned functions to reduce duplicative submissions, inconsistent definitions, and avoidable administrative burden. Common templates, shared identifiers, and pre-populated information may be used where they preserve accuracy and necessary legal distinctions. Consolidation of reporting does not merge the underlying legal obligations or permit one authority to exercise another authority's substantive jurisdiction. A reporting portal is an administrative convenience rather than an independent source of law.</w:t>
      </w:r>
    </w:p>
    <w:p>
      <w:r>
        <w:t>22.13.4 [PROPORTIONAL PATHWAYS] Reporting design accounts for materiality, risk, transaction frequency, and the capacity of small and medium-sized enterprises without lowering the substantive standard applicable to the underlying obligation. Simplified pathways may be used for low-risk, low-value, repetitive, or previously verified matters where adequate controls remain. A simplified pathway does not create a lesser legal status for an eligible user or good. Authorities periodically review whether documentation demands remain necessary to the function they serve.</w:t>
      </w:r>
    </w:p>
    <w:p>
      <w:r>
        <w:t>22.13.5 [ANTI BURDEN BARRIER] A reporting requirement is not designed or administered to deter legitimate trade through unnecessary repetition, incompatible formats, avoidable delay, or information demands unrelated to the assigned function. Persons subject to recurring requirements may identify burden and interoperability problems through an accessible feedback channel without adverse treatment for doing so. Aggregate burden information may inform technical improvement and Chapter 29 review without creating individual rights to a particular software design. Administrative simplicity does not excuse omission of information genuinely necessary to verify a material obligation.</w:t>
      </w:r>
    </w:p>
    <w:p>
      <w:pPr>
        <w:pStyle w:val="Heading2"/>
      </w:pPr>
      <w:r>
        <w:t xml:space="preserve">Article 22.14 - Confidential Business Information</w:t>
      </w:r>
    </w:p>
    <w:p>
      <w:r>
        <w:t>22.14.1 [CBI PROTECTION] Confidential Business Information receives protection under applicable domestic law and any specific Compact rule governing the information or proceeding. Covered information may include trade secrets, proprietary formulas, commercial terms, customer or supplier information, pricing information, and other material whose unauthorized disclosure would cause material competitive harm. Classification follows the governing legal standard rather than a unilateral label alone. Registry architecture preserves the classification across authorized transfers and transformations.</w:t>
      </w:r>
    </w:p>
    <w:p>
      <w:r>
        <w:t>22.14.2 [ACCESS LIMITATION] Access to Confidential Business Information is limited to persons whose assigned function reasonably requires the information and who are subject to applicable confidentiality safeguards. Role-based permissions, logging, and secure handling are used according to risk and domestic law. Technical administrators receive no broader substantive access than necessary to operate the relevant system. A Party does not make protected information public merely because several authorized institutions require access.</w:t>
      </w:r>
    </w:p>
    <w:p>
      <w:r>
        <w:t>22.14.3 [MEANINGFUL NONCONFIDENTIAL RECORD] Where Confidential Business Information materially supports a technical or legal process, a non-confidential summary or other lawful substitute sufficient for meaningful understanding is provided where reasonably possible. Where such a summary would itself disclose protected information, the governing procedure uses an appropriate protected-review mechanism. Confidentiality does not permit concealment of the legal basis, applicable rule, or public reasoning necessary to understand a trade restriction to the extent disclosure is lawfully required. The substitute does not falsely imply precision or certainty absent from the protected source.</w:t>
      </w:r>
    </w:p>
    <w:p>
      <w:r>
        <w:t>22.14.4 [RETENTION AND DISPOSAL] Confidential Business Information is retained only for the period reasonably necessary for its assigned function, applicable audit requirements, litigation hold, or other lawful retention duty. When retention is no longer required, the information is securely disposed of or irreversibly de-identified according to applicable law and technical practice. Disposal does not erase required metadata showing that a protected record existed and was lawfully handled where such metadata may be retained without exposing the protected content. Backup retention follows the same legal limitations subject to reasonable technical deletion cycles.</w:t>
      </w:r>
    </w:p>
    <w:p>
      <w:r>
        <w:t>22.14.5 [CROSS BORDER SHARING] Confidential Business Information crosses borders only with consent or other lawful authority and with safeguards appropriate to the information and assigned function. The receiving Party uses the information only within the authorized purpose and protection conditions unless independent authority permits another use. A transfer through the Registry does not constitute consent to public disclosure or unrelated governmental use. Unauthorized disclosure is addressed under applicable law and does not alter the underlying Compact status represented by the information.</w:t>
      </w:r>
    </w:p>
    <w:p>
      <w:pPr>
        <w:pStyle w:val="Heading2"/>
      </w:pPr>
      <w:r>
        <w:t xml:space="preserve">Article 22.15 - Personal Information and Data Minimization</w:t>
      </w:r>
    </w:p>
    <w:p>
      <w:r>
        <w:t>22.15.1 [PERSONAL INFORMATION PROTECTION] Personal information processed for Chapter 22 receives the protections required by applicable domestic law and any specific Compact rule governing the assigned function. This Chapter does not establish a general continental personal-information database or independent surveillance authority. Collection is limited to information reasonably necessary to perform an expressly assigned Compact function. A Party uses anonymized, aggregated, or less identifying information where it can reasonably perform the same function.</w:t>
      </w:r>
    </w:p>
    <w:p>
      <w:r>
        <w:t>22.15.2 [PURPOSE LIMITATION] Personal information is used for the purpose for which it was lawfully collected or for another purpose independently authorized by applicable law and consistent with the relevant Compact function. Technical availability does not by itself authorize reuse for enforcement, profiling, commercial intelligence, or unrelated policy analysis. Where consent is legally required, the applicable domestic consent standard governs. Refusal to consent does not create an adverse Compact inference where consent is not legally required for the underlying obligation.</w:t>
      </w:r>
    </w:p>
    <w:p>
      <w:r>
        <w:t>22.15.3 [ACCESS AND CORRECTION] Individuals may exercise access and correction rights to their personal information to the extent provided by applicable domestic law. Registry procedures identify the responsible domestic authority for such requests where reasonably practicable. Correction of personal information follows the applicable legal process and propagates to dependent Registry records where authorized and operationally relevant. A personal-data correction does not alter an independent legal determination unless that determination materially depended on the corrected information and its governing procedure permits review.</w:t>
      </w:r>
    </w:p>
    <w:p>
      <w:r>
        <w:t>22.15.4 [NO SURVEILLANCE EXPANSION] System-level verification does not authorize routine collection of individual producer, worker, customer, financial, or household information beyond what is reasonably necessary for the assigned function. ALVS access remains governed by Chapter 17 and does not become individual surveillance merely because the Registry can technically store granular information. Data minimization applies to identifiers, free-text fields, logs, exports, and retained copies as well as primary records. A request for granular information identifies the Compact function and necessity supporting the request where required by applicable law.</w:t>
      </w:r>
    </w:p>
    <w:p>
      <w:r>
        <w:t>22.15.5 [RETENTION AND TRADE NEUTRALITY] Personal information is retained only as long as reasonably necessary for the assigned function, lawful audit, dispute, or other applicable retention requirement. De-identification or secure disposal occurs when identifiable retention is no longer required, subject to lawful archival obligations. Personal-information requirements are not designed or administered as disguised restrictions on agricultural trade. Privacy protection remains a legitimate regulatory function and is not treated as a trade barrier merely because compliance carries reasonable administrative cost.</w:t>
      </w:r>
    </w:p>
    <w:p>
      <w:pPr>
        <w:pStyle w:val="Heading2"/>
      </w:pPr>
      <w:r>
        <w:t xml:space="preserve">Article 22.16 - Cybersecurity, Access Control, and Integrity</w:t>
      </w:r>
    </w:p>
    <w:p>
      <w:r>
        <w:t>22.16.1 [SECURITY SAFEGUARDS] Registry systems maintain reasonable administrative, technical, and organizational safeguards against unauthorized access, alteration, disclosure, destruction, or loss appropriate to the sensitivity and function of the information. Security controls account for authentication, authorization, integrity, availability, recovery, and incident response without prescribing a single technology. A Party may apply stronger safeguards where consistent with its Compact obligations. Security architecture does not confer substantive regulatory authority on technical personnel.</w:t>
      </w:r>
    </w:p>
    <w:p>
      <w:r>
        <w:t>22.16.2 [ROLE BASED ACCESS] Access to non-public Registry information is authenticated and limited according to role, assigned function, and lawful need. Material access and modification events are logged to the extent appropriate for audit, security, and accountability. Access rights are reviewed and withdrawn when the assigned need ends. Shared credentials or technical shortcuts do not alter confidentiality obligations or excuse unauthorized use.</w:t>
      </w:r>
    </w:p>
    <w:p>
      <w:r>
        <w:t>22.16.3 [INTEGRITY AND TAMPER EVIDENCE] Consequential Registry records maintain integrity controls and tamper-evident characteristics reasonably appropriate to their function and technical environment. Material modifications preserve author, authority, timestamp, version, and change history where technically practicable. A security control does not make an otherwise non-authoritative record legally controlling. Suspected tampering triggers preservation and investigation procedures without automatically establishing the substantive facts represented by the affected record.</w:t>
      </w:r>
    </w:p>
    <w:p>
      <w:r>
        <w:t>22.16.4 [INCIDENT RESPONSE] A material security incident affecting Registry confidentiality, integrity, or availability is contained, investigated, documented, and addressed promptly under applicable law and institutional procedures. Affected Parties receive notice where legally required or materially necessary to protect Compact implementation. Public disclosure of vulnerability detail may be delayed or limited where disclosure would materially increase security risk. Incident response does not authorize concealment of a material implementation failure after the security reason for limited disclosure has passed.</w:t>
      </w:r>
    </w:p>
    <w:p>
      <w:r>
        <w:t>22.16.5 [BACKUP AND CONTINUITY] Registry information is backed up and recoverable according to the materiality of the function and reasonable continuity standards. Recovery procedures preserve version history, provenance, timestamps, fallback submissions, and the distinction between current and superseded records. Restoration from backup does not resurrect expired restrictions, superseded legal states, or withdrawn administrative conditions. Security or continuity requirements are not designed or administered as disguised barriers to legitimate trade.</w:t>
      </w:r>
    </w:p>
    <w:p>
      <w:pPr>
        <w:pStyle w:val="Heading2"/>
      </w:pPr>
      <w:r>
        <w:t xml:space="preserve">Article 22.17 - ALVS Interface</w:t>
      </w:r>
    </w:p>
    <w:p>
      <w:r>
        <w:t>22.17.1 [ALVS DATA USE] ALVS may consume Registry information for the system-level verification functions assigned by Chapter 17 and no broader purpose merely because additional data is technically available. Registry access does not enlarge ALVS jurisdiction, convert it into a legal tribunal, or authorize routine individual surveillance. ALVS applies the source, quality, confidentiality, and provenance status attached to the information it receives. A missing Registry field does not create an ALVS power to compel information absent authority under the Compact.</w:t>
      </w:r>
    </w:p>
    <w:p>
      <w:r>
        <w:t>22.17.2 [STATUS PRESERVATION AND AUTOMATION FIREWALL] An ALVS Indicator, Verified Implementation status, flag, referral, or other Chapter 17 output retains the legal and technical status assigned by Chapter 17 when displayed in the Registry. Registry display, automated ingestion, scoring, routing, or machine-to-machine transmission does not convert an indicator into a Legal Finding or a verification status into a substantive legal determination, and such information may trigger review, verification, routing, preservation of records or evidence, preservation of review integrity, or another expressly authorized procedural step but not substantive adverse treatment unless the controlling Compact provision independently authorizes that consequence. A procedural label, automated rule, color, icon, score, alert, dashboard prominence, hold, preservation instruction, or downstream software response is assessed by practical effect and does not suspend market access, release, payment, licensing, certification, preferential treatment, or another substantive benefit unless independent Compact authority permits that effect. Users and materially consequential dependent systems can identify the Chapter 17 source, status category, and any independently authorized legal consequence associated with a consequential ALVS display.</w:t>
      </w:r>
    </w:p>
    <w:p>
      <w:r>
        <w:t>22.17.3 [PROVENANCE PRESERVATION] Information entering ALVS retains its source ancestry, quality classification, limitations, relevant period, and confidentiality status. ALVS transformation or analysis is recorded as derivative where it produces a new indicator, calculation, or synthesis. Repeated ingestion through multiple ALVS components does not create independent corroboration of the original fact. An ALVS output therefore remains traceable to both its source information and the methodology that produced the output.</w:t>
      </w:r>
    </w:p>
    <w:p>
      <w:r>
        <w:t>22.17.4 [REGISTRY FEEDBACK] ALVS may return implementation status, quality observations, or other authorized outputs to the Registry for visibility and follow-up. Such feedback does not amend the source record, suspend a right, impose a remedy, or create a Legal Finding. Where ALVS identifies a probable data-quality or synchronization problem, the responsible authority receives the issue through the applicable correction or technical-review path. Resolution of the issue is recorded without rewriting the original ALVS observation.</w:t>
      </w:r>
    </w:p>
    <w:p>
      <w:r>
        <w:t>22.17.5 [NO AUTHORITY BOOTSTRAP] Neither repeated Registry reliance on ALVS nor repeated ALVS reliance on Registry information expands the authority of either system. A circular exchange of flags, copies, or derivative indicators does not become independent evidence through repetition. Legal consequences arise only through the Chapter or procedure authorized to assign them. Chapter 17 remains controlling for ALVS competence, and Chapter 22 remains controlling only for the information functions assigned here.</w:t>
      </w:r>
    </w:p>
    <w:p>
      <w:pPr>
        <w:pStyle w:val="Heading2"/>
      </w:pPr>
      <w:r>
        <w:t xml:space="preserve">Article 22.18 - Technical Review and Evidentiary Interface</w:t>
      </w:r>
    </w:p>
    <w:p>
      <w:r>
        <w:t>22.18.1 [TECHNICAL FINDING STATUS] A Chapter 18 Technical Finding retains the status, scope, confidence classification, methodology, assumptions, and limitations assigned under Chapter 18 when recorded in the Registry. Registry publication or display does not convert a Technical Finding into a Legal Finding. The Registry identifies the originating technical process and relevant version where the finding is consequential. Superseded technical findings remain traceable without being presented as current.</w:t>
      </w:r>
    </w:p>
    <w:p>
      <w:r>
        <w:t>22.18.2 [NO EVIDENTIARY UPGRADE] Information does not gain evidentiary weight merely because it appears in the Registry, has been machine validated, or has been copied into several institutional systems. Evidentiary significance remains governed by the procedure using the information and by source quality, independence, relevance, methodology, and applicable burden. Registry validation may establish that a field conforms to a technical rule without establishing the truth of the underlying substantive proposition. A technical consistency check therefore remains distinct from factual or legal adjudication.</w:t>
      </w:r>
    </w:p>
    <w:p>
      <w:r>
        <w:t>22.18.3 [CONFIDENCE AND LIMITATIONS] A technical finding entering the Registry carries its confidence level and material limitations into every downstream display or authorized use. A summary does not omit a limitation where omission would materially change the apparent meaning or confidence of the finding. Where a downstream function applies a different methodology or additional evidence, it records that new analytical step rather than attributing the resulting conclusion to Chapter 18. Provenance prevents a later conclusion from being laundered backward into the original technical finding.</w:t>
      </w:r>
    </w:p>
    <w:p>
      <w:r>
        <w:t>22.18.4 [EVIDENTIARY MATERIAL] Evidentiary Material stored or referenced through the Registry remains subject to the confidentiality, admissibility, disclosure, burden, and review rules of the proceeding for which it is used. The Registry does not create a general discovery right or public-access right to material merely because the material is indexed there. A protected-review procedure may use Registry references without exposing protected content to unauthorized users. An index entry does not substitute for the evidence itself where the governing procedure requires examination of the underlying material.</w:t>
      </w:r>
    </w:p>
    <w:p>
      <w:r>
        <w:t>22.18.5 [TECHNICAL LEGAL FIREWALL] Technical review identifies, measures, validates, models, or explains matters within Chapter 18 competence; it does not decide legal breach merely by recording its output in Chapter 22. A legal decision-maker may consider a Technical Finding according to the authority and evidentiary rules of the governing Chapter. The Registry records the resulting Legal Finding separately from the technical source so their statuses remain distinguishable. Technical Finding and Legal Finding remain separate even where both concern the same underlying facts.</w:t>
      </w:r>
    </w:p>
    <w:p>
      <w:pPr>
        <w:pStyle w:val="Heading2"/>
      </w:pPr>
      <w:r>
        <w:t xml:space="preserve">Article 22.19 - Correction, Outage, and Continuity</w:t>
      </w:r>
    </w:p>
    <w:p>
      <w:r>
        <w:t>22.19.1 [OUTAGE NON SUSPENSION] A Registry outage, synchronization failure, cyber incident, maintenance period, vendor failure, or loss of connectivity does not suspend, modify, extinguish, or postpone a legal right or obligation established elsewhere in the Compact. A Party does not use an outage to reimpose a restriction, refuse vested treatment, restart a transition clock, or create a new baseline. The controlling legal record continues to govern while the information system is unavailable. Any genuinely necessary emergency action proceeds only under the Compact provision independently authorizing that action.</w:t>
      </w:r>
    </w:p>
    <w:p>
      <w:r>
        <w:t>22.19.2 [FALLBACK PROCEDURES] Each materially consequential Registry function maintains a proportionate fallback procedure capable of preserving submissions, notices, timestamps, access, and commercial usability during a significant outage. Fallback channels may include secure email, batch transmission, alternate portal, paper filing, telephone confirmation followed by written record, or another authenticated method appropriate to the function. Use of an authorized fallback receives the same substantive treatment as timely use of the unavailable primary channel. The restored system reconciles fallback activity without changing the original legally relevant time.</w:t>
      </w:r>
    </w:p>
    <w:p>
      <w:r>
        <w:t>22.19.3 [STALE DATA] A stale or unsynchronized Registry entry does not become controlling law merely because the system has not yet received or displayed the current legal state. The source assigned controlling authority governs, and the stale entry is visibly qualified or corrected when identified. A Party does not knowingly rely on stale data to deny treatment that the controlling source establishes. Repeated material synchronization failure proceeds through correction, technical review, or cure according to its effect and governing Chapter.</w:t>
      </w:r>
    </w:p>
    <w:p>
      <w:r>
        <w:t>22.19.4 [VERSION ROLLBACK] A technical rollback, backup restoration, migration failure, or reversion to an earlier software state does not restore a superseded legal restriction, expired measure, prior tariff status, withdrawn condition, or obsolete implementation state. Recovery processes compare restored data against authoritative version history and reconcile material discrepancies before relying on the restored representation. Where immediate reconciliation is impossible, fallback administration follows the controlling legal source rather than the obsolete technical state. The incident record preserves the rollback, affected period, correction, and any material administrative consequence.</w:t>
      </w:r>
    </w:p>
    <w:p>
      <w:r>
        <w:t>22.19.5 [COMMERCIAL CONTINUITY] Correction and continuity measures preserve commercially usable access to treatment legally due under the Compact to the greatest extent reasonably practicable. A technical problem is not cured merely because the Registry display is corrected while customs, licensing, payment, procurement, certification, or another necessary operational system continues applying the erroneous condition. Where correction requires bounded technical implementation time, the responsible authority records the affected function, reason, start, and fixed completion target and uses an available fallback where reasonably practicable. Technical delay does not create a new baseline or authorize political extension of inconsistent treatment.</w:t>
      </w:r>
    </w:p>
    <w:p>
      <w:pPr>
        <w:pStyle w:val="Heading2"/>
      </w:pPr>
      <w:r>
        <w:t xml:space="preserve">Article 22.20 - Anti-Gaming, Cure, Review, and Jurisdictional Finality</w:t>
      </w:r>
    </w:p>
    <w:p>
      <w:r>
        <w:t>22.20.1 [ANTI CIRCUMVENTION] A Party does not evade Chapter 22 by moving an information function outside the named Registry, relabeling a database, fragmenting records among systems, substituting a contractor, or performing through a manual process what this Chapter prohibits electronically. Function and practical effect control where materially connected information practices collectively perform an assigned Registry function. This Article does not bring genuinely independent domestic information systems within Chapter 22 merely because they contain related agricultural data. Any finding identifies the assigned Compact function, connected practices, and material effect supporting application of this Chapter.</w:t>
      </w:r>
    </w:p>
    <w:p>
      <w:r>
        <w:t>22.20.2 [NO SCHEMA LEGISLATION] A form, schema, validation rule, mandatory field, portal workflow, API requirement, status code, or technical specification does not create a new substantive obligation, eligibility condition, market-access restriction, evidentiary burden, or legal consequence absent authority in the controlling Compact rule. Technical implementation may require information reasonably necessary to administer an existing obligation without becoming a substantive amendment. Where a technical change would alter legal treatment or materially expand required reporting beyond existing authority, it proceeds through the amendment or other procedure authorized by this Compact. Administrative convenience does not substitute for legal authority.</w:t>
      </w:r>
    </w:p>
    <w:p>
      <w:r>
        <w:t>22.20.3 [CURE AND RESTORATION] A material Chapter 22 failure proceeds through Chapter 25 to the extent applicable, with cure directed to the defective information practice and any operational consequence it caused. Correcting a Registry entry does not cure an underlying customs, licensing, certification, payment, procurement, or other administrative inconsistency that continues to deny treatment legally due. Restoration is complete only when the relevant corrected treatment is legally and commercially usable through the systems reasonably necessary to obtain it, subject to any bounded technical implementation period authorized by the controlling procedure. Chapter 22 creates no independent retaliation, suspension, damages, or punitive authority.</w:t>
      </w:r>
    </w:p>
    <w:p>
      <w:r>
        <w:t>22.20.4 [DISPUTE AND TECHNICAL AMENDMENT] Chapter 26 governs any dispute concerning a Chapter 22 obligation within its jurisdiction, while technical bodies remain confined to their assigned fact, data, and implementation functions. Registry error alone does not create an independent cause of action where no underlying Chapter 22 or substantive obligation has been breached. Chapter 29 may support non-substantive schema, interoperability, metadata, or technical-standard updates within its authority without reopening substantive rights. A technical amendment does not create a new reporting obligation, legal condition, remedy, or jurisdiction unless the Compact procedure authorized for that substantive change is used.</w:t>
      </w:r>
    </w:p>
    <w:p>
      <w:r>
        <w:t>22.20.5 [FINAL JURISDICTIONAL LOCK] No Registry entry, longstanding practice, technical standard, data field, dashboard convention, ALVS output, Technical Finding, non-objection, software capability, contractor action, or political agreement enlarges the authority of Chapter 22 or any institution beyond authority granted by the Compact. Silence concerning a Registry error does not amend the controlling legal source or waive a substantive right except where a governing provision expressly provides that legal effect. Information architecture remains subordinate to the substantive and institutional allocation established throughout the Compact. The Registry records reality, preserves its provenance, and supports its implementation; it does not become a continental legislature, regulator, tribunal, or source of law.</w:t>
      </w:r>
    </w:p>
    <w:p>
      <w:pPr>
        <w:pStyle w:val="Heading1"/>
      </w:pPr>
      <w:r>
        <w:t>Chapter 23 - Stakeholder, Producer, Processor, and SME Access</w:t>
      </w:r>
    </w:p>
    <w:p>
      <w:r>
        <w:t xml:space="preserve">Chapter 23 establishes practical, proportionate, traceable, and non-discriminatory access to NAAFTC administration for affected stakeholders while preserving governmental decision authority, substantive legal standards, confidentiality, and the jurisdictional boundaries of the Compact.</w:t>
      </w:r>
    </w:p>
    <w:p>
      <w:pPr>
        <w:pStyle w:val="Heading2"/>
      </w:pPr>
      <w:r>
        <w:t>Article 23.1 - Purpose, Scope, and Access Principle</w:t>
      </w:r>
    </w:p>
    <w:p>
      <w:r>
        <w:t>23.1.1 [PROCEDURAL ACCESS] Chapter 23 establishes practical procedural access to the administration and implementation of rights, obligations, records, and functions assigned by this Compact. Practical access means a pathway that an affected stakeholder can reasonably identify, enter, use, track, and complete without avoidable procedural barriers. Access under this Chapter does not create a new substantive agricultural right, veto, regulatory authority, enforcement power, or entitlement to a particular outcome. A substantive request may be rejected on its merits without extinguishing the participant's independent procedural protections under this Chapter.</w:t>
      </w:r>
    </w:p>
    <w:p>
      <w:r>
        <w:t>23.1.2 [FUNCTIONAL CONNECTION] An affected stakeholder has access to a Chapter 23 pathway when the person or represented group demonstrates a reasonable connection to a NAAFTC right, obligation, product, transaction, administrative measure, or implementation function at issue. Corporate size, political influence, media profile, organizational form, nationality, or financial resources do not independently establish or defeat that connection. A Party applies materially comparable access criteria to similarly situated participants and does not reserve ordinary access mechanisms for large or institutionally sophisticated entities. Chapter 23 remains limited to NAAFTC agricultural administration and does not create a general public-participation jurisdiction over unrelated governmental activity.</w:t>
      </w:r>
    </w:p>
    <w:p>
      <w:r>
        <w:t>23.1.3 [NO OUTCOME ENTITLEMENT] Participation gives a stakeholder an opportunity to submit information, request correction or administrative action, receive procedural information, and participate in an assigned consultation or review where the Compact provides that function. Participation does not transfer governmental decision-making authority to the stakeholder or require an authority to adopt the stakeholder's preferred interpretation, policy, remedy, or factual conclusion. A refusal to grant the requested substantive outcome does not by itself establish denial of access where the applicable procedure was fairly available and completed. An authority gives the reasons or disposition information required by the applicable Compact procedure so that procedural access is not reduced to unexplained receipt.</w:t>
      </w:r>
    </w:p>
    <w:p>
      <w:r>
        <w:t>23.1.4 [NO DIRECT EFFECT] Chapter 23 does not create a private cause of action, direct domestic effect, compensation entitlement, or judicial remedy unless domestic law independently provides that consequence. Nothing in this Chapter enlarges the jurisdiction of a domestic court, tribunal, agency, Chapter 26 panel, or Compact institution. A Party may provide additional domestic participation or review rights without converting those domestic rights into obligations of the other Parties. The absence of an additional domestic remedy does not excuse non-performance of an express procedural obligation contained in this Chapter.</w:t>
      </w:r>
    </w:p>
    <w:p>
      <w:r>
        <w:t>23.1.5 [ACCESS PRINCIPLES] The Parties administer Chapter 23 according to practical usability, proportionality, non-discrimination, traceability, timely routing, confidentiality where applicable, and administrative simplicity. Formal availability does not establish practical access where the complete pathway imposes unnecessary cost, specialized intermediaries, inaccessible technology, repetitive submissions, or unexplained procedural dead ends. Measures designed to protect system integrity remain proportionate to demonstrated risk and do not systematically exclude legitimate small or less-resourced participants. These principles guide interpretation of the Chapter without creating authority beyond the operative provisions that follow.</w:t>
      </w:r>
    </w:p>
    <w:p>
      <w:pPr>
        <w:pStyle w:val="Heading2"/>
      </w:pPr>
      <w:r>
        <w:t>Article 23.2 - Eligible Participants and Functional Standing</w:t>
      </w:r>
    </w:p>
    <w:p>
      <w:r>
        <w:t>23.2.1 [ELIGIBLE PARTICIPANTS] Eligible participants may include producers, processors, importers, exporters, agricultural SMEs, cooperatives, associations, workers, communities, Indigenous participants where applicable, regional participants, and other persons materially connected to the implementation matter. Eligibility depends on the function invoked and the participant's actual connection to that function rather than membership in a favored category. Sector membership alone does not establish standing for every issue arising within that sector. A Party may recognize additional participant categories where doing so remains consistent with the jurisdictional limits of this Chapter.</w:t>
      </w:r>
    </w:p>
    <w:p>
      <w:r>
        <w:t>23.2.2 [ACTUAL CONNECTION TEST] A participant establishes functional standing by identifying the affected product, activity, administrative process, legal interest, represented member interest, or material implementation effect with reasonable specificity. The authority does not require proof of ultimate success on the merits as a condition of procedural standing. Speculative, wholly generalized, or unrelated interests may be declined with a concise explanation of the missing functional connection. Standing criteria remain proportionate to the procedural function requested and do not become disguised merits determinations.</w:t>
      </w:r>
    </w:p>
    <w:p>
      <w:r>
        <w:t>23.2.3 [REPRESENTATION] An association, cooperative, adviser, authorized representative, or other lawful representative may act for one or more eligible participants upon reasonable evidence of authority where such evidence is necessary. Representation does not multiply standing, evidentiary weight, or procedural votes merely because the same underlying interest is presented through several entities. A collective submission identifies the represented interest with enough specificity to permit administration while respecting lawful confidentiality. Individual participants retain access to an otherwise available pathway notwithstanding participation by an association or collective body.</w:t>
      </w:r>
    </w:p>
    <w:p>
      <w:r>
        <w:t>23.2.4 [SUCCESSION AND SEPARATION] Functional standing may continue through a lawful successor, assignee, reorganized entity, or transferred operation where the relevant interest or obligation materially continues and the governing law permits the transfer. A change in corporate form, ownership, association membership, or representative does not automatically extinguish a live procedural matter. Misconduct, deficiency, or withdrawal by one participant is not attributed to another participant without an independent factual and legal basis. The authority records material changes in representation or standing without manufacturing a new filing date where the underlying matter remains substantially continuous.</w:t>
      </w:r>
    </w:p>
    <w:p>
      <w:r>
        <w:t>23.2.5 [WITHDRAWAL AND CONSOLIDATION] A participant may withdraw from a voluntary Chapter 23 process by clear notice unless another lawfully applicable obligation requires continued participation or record preservation. The authority may consolidate materially overlapping matters for administrative efficiency after preserving each participant's confidentiality, distinct factual position, and applicable procedural rights. Consolidation does not turn repetition into corroboration or allow the strongest participant to control the submissions of others. A participant receives notice of a material consolidation decision and a practical means to identify any issue that requires separate treatment.</w:t>
      </w:r>
    </w:p>
    <w:p>
      <w:pPr>
        <w:pStyle w:val="Heading2"/>
      </w:pPr>
      <w:r>
        <w:t>Article 23.3 - SME and Small-Producer Accessibility</w:t>
      </w:r>
    </w:p>
    <w:p>
      <w:r>
        <w:t>23.3.1 [SIMPLIFIED PATHWAY] Each Party maintains a simplified access pathway for agricultural SMEs and small producers using Chapter 23 procedures of ordinary complexity. The pathway uses proportionate forms, documentation requests, verification steps, and communication requirements relative to the value, risk, novelty, and legal consequence of the matter. Simplification does not reduce the substantive standard governing the underlying right or obligation. An authority does not require a participant to use a more complex pathway merely because the authority's internal systems are organized around larger firms.</w:t>
      </w:r>
    </w:p>
    <w:p>
      <w:r>
        <w:t>23.3.2 [WHOLE PATHWAY TEST] Accessibility is assessed across the complete administrative pathway rather than by the length or appearance of the initial form. A nominally simple filing is not treated as simplified where mandatory schedules, certifications, software, repeated data entry, or specialist-only instructions recreate substantially the same burden downstream. An authority periodically examines recurring SME failure points and removes avoidable procedural complexity within its assigned authority. A change that materially increases SME burden is accompanied by an implementation explanation and, where practicable, a less burdensome route achieving the same legitimate function.</w:t>
      </w:r>
    </w:p>
    <w:p>
      <w:r>
        <w:t>23.3.3 [ANTI PAYWALL] Access to a mandatory Chapter 23 procedure, required public form, official status channel, or public Chapter 22 Registry material does not depend on purchasing proprietary software or retaining a commercial intermediary. A Party may use commercial technology internally or permit optional third-party services where an accessible official pathway remains available. Mandatory electronic functions use reasonably accessible standards or provide a practicable alternative for participants unable to use the primary system. Fees, subscriptions, proprietary credentials, or commercial service contracts do not become indirect conditions for obtaining treatment otherwise available under the Compact.</w:t>
      </w:r>
    </w:p>
    <w:p>
      <w:r>
        <w:t>23.3.4 [ASSISTANCE AND ACCOMMODATION] Each Party provides reasonable procedural guidance for SMEs and small producers that lack dedicated trade-compliance staff. Guidance may include form assistance, examples, contact routes, accessibility accommodations, and explanations of required fields without advocating a predetermined substantive outcome. Reasonable paper, telephone, assisted-digital, or equivalent alternatives remain available where exclusive digital access would create a material barrier and the function can be administered securely by another method. Assistance received under this clause does not alter the participant's burden of proof or substantive eligibility.</w:t>
      </w:r>
    </w:p>
    <w:p>
      <w:r>
        <w:t>23.3.5 [SME BURDEN REVIEW] Before introducing a materially new Chapter 23 administrative requirement, the responsible authority considers its expected effect on SMEs and small producers and records any proportionate mitigation adopted. Low-risk or routine submissions may use tiered verification where the underlying Compact provision permits risk-based administration. The Parties may maintain access metrics concerning completion rates, processing time, common deficiencies, assistance use, and recurring barriers without creating quotas or outcome targets. Metrics support administrative improvement and do not become evidence that any individual participant is entitled to favorable substantive treatment.</w:t>
      </w:r>
    </w:p>
    <w:p>
      <w:pPr>
        <w:pStyle w:val="Heading2"/>
      </w:pPr>
      <w:r>
        <w:t>Article 23.4 - Single-Entry Administrative Access</w:t>
      </w:r>
    </w:p>
    <w:p>
      <w:r>
        <w:t>23.4.1 [SINGLE ENTRY] Each Party maintains at least one identifiable entry point through which a stakeholder can initiate an ordinary Chapter 23 matter without first resolving the government's internal allocation of responsibility. A competent receiving authority accepts the submission, assigns or obtains a case identifier, and routes the matter to the responsible function. A submission is not rejected solely because it entered through a participating office that is not the ultimate decision-maker. The public-facing entry point provides enough information for a reasonable participant to understand how to begin and how to obtain assistance.</w:t>
      </w:r>
    </w:p>
    <w:p>
      <w:r>
        <w:t>23.4.2 [NO WRONG DOOR] When a Chapter 23 submission reaches an incorrect participating authority, that authority transfers or securely redirects the submission to the appropriate authority within a reasonable period where the destination can reasonably be identified. The original receipt date remains the operative filing date for a time-sensitive Compact procedure unless the participant materially caused delay by supplying information insufficient to identify the matter. Internal transfer does not require duplicate filing or repayment of a fee that was not otherwise lawfully due. The participant receives notice of the transfer and the identity or contact route of the receiving function where disclosure is lawful.</w:t>
      </w:r>
    </w:p>
    <w:p>
      <w:r>
        <w:t>23.4.3 [LEAD AUTHORITY] A matter involving more than one domestic authority receives a lead or coordinating authority where coordination is materially necessary to avoid inconsistent instructions, duplicate requests, or procedural deadlock. The lead authority coordinates routing and status information without acquiring substantive jurisdiction that belongs to another authority. Internal disagreements over jurisdiction are resolved through governmental channels and do not become a condition that the stakeholder is required to resolve. The participant continues to use the same case identifier unless a legally distinct proceeding requires a separately identified record.</w:t>
      </w:r>
    </w:p>
    <w:p>
      <w:r>
        <w:t>23.4.4 [CROSS PARTY ROUTING] A submission materially involving implementation by another Party may be routed through the appropriate Party-to-Party channel when the Compact assigns such coordination. The originating authority informs the participant of the routing status to the extent permitted by confidentiality, law, and the applicable intergovernmental procedure. Cross-Party routing does not create direct stakeholder standing before another Party where that Party's law or the Compact does not provide it. Transfer between Parties does not alter the legal character, evidentiary status, or provenance of the submitted information.</w:t>
      </w:r>
    </w:p>
    <w:p>
      <w:r>
        <w:t>23.4.5 [OUTAGE AND EMERGENCY ROUTING] Each Party maintains a fallback route for time-sensitive Chapter 23 submissions during a material portal, Registry, communications, or administrative-system outage. A valid fallback submission preserves the filing time that would have applied through the unavailable primary channel when the participant follows published fallback instructions or otherwise reasonably demonstrates timely delivery. Emergency routing identifies the function responsible for urgent SPS, shortage, perishable-goods, or other time-sensitive matters without creating emergency authority beyond the relevant substantive Chapter. Restoration of the primary system does not require unnecessary refiling of information already received through the fallback.</w:t>
      </w:r>
    </w:p>
    <w:p>
      <w:pPr>
        <w:pStyle w:val="Heading2"/>
      </w:pPr>
      <w:r>
        <w:t>Article 23.5 - Submission and Petition Requirements</w:t>
      </w:r>
    </w:p>
    <w:p>
      <w:r>
        <w:t>23.5.1 [MINIMUM FILING] An ordinary Chapter 23 filing contains only the information reasonably necessary to identify the participant or lawful representative, the implementation issue, the affected product or activity, the relevant Compact function where known, and the administrative action requested. A Product Record ID is included where available and useful but its absence does not defeat an otherwise identifiable submission. Supporting evidence may accompany the initial filing and may be supplemented where the applicable procedure permits. An authority does not impose pleading requirements designed for formal litigation on an ordinary administrative report or correction request.</w:t>
      </w:r>
    </w:p>
    <w:p>
      <w:r>
        <w:t>23.5.2 [MODEL FORMS] Each Party makes model forms or equivalent structured guidance available for recurring Chapter 23 procedures. A participant may use another reasonably intelligible format unless a particular format is technically necessary to perform an assigned function and the requirement is published. Paper and electronic submissions receive equivalent legal treatment when both are authorized pathways. A formatting defect that does not materially impair identification, verification, security, or processing is treated as curable rather than as a merits failure.</w:t>
      </w:r>
    </w:p>
    <w:p>
      <w:r>
        <w:t>23.5.3 [REQUESTED ACTION] A filing identifies the administrative action sought with enough clarity for the authority to understand whether the participant requests information, correction, routing, consultation, review, explanation, or another available function. The authority may clarify an ambiguous request without requiring the participant to state a legal conclusion or cite the exact Compact article when the issue is otherwise identifiable. The authority records the procedural pathway selected after clarification. Selection of a pathway does not prejudge the substantive merits of the request.</w:t>
      </w:r>
    </w:p>
    <w:p>
      <w:r>
        <w:t>23.5.4 [CONFIDENTIALITY AND AMENDMENT] A participant may identify information claimed as confidential at filing and follows the applicable Chapter 22 and Article 23.11 procedures for protection and any required non-confidential summary. A participant may correct or amend a filing before disposition where the change does not improperly prejudice another participant or defeat a mandatory procedural deadline. Material amendments are dated and preserved in the record so the history of the submission remains traceable. An amendment does not restart a processing clock except to the limited extent objectively necessary to address materially new matter.</w:t>
      </w:r>
    </w:p>
    <w:p>
      <w:r>
        <w:t>23.5.5 [NO ORDINARY ACCESS FEE] A Party does not charge a fee merely to submit an ordinary Chapter 23 access request, correction request, complaint, or participation filing. This clause does not prohibit a generally applicable lawful fee for a distinct service, certification, copy, or procedure where the fee is not used to impair Compact access and an exemption or alternative applies where otherwise required by law. A participant may withdraw a voluntary filing by notice subject to lawful record-retention requirements. Withdrawal does not erase the historical record or prevent an authority from addressing an independently identified legal obligation.</w:t>
      </w:r>
    </w:p>
    <w:p>
      <w:pPr>
        <w:pStyle w:val="Heading2"/>
      </w:pPr>
      <w:r>
        <w:t>Article 23.6 - Completeness Review and Opportunity to Cure</w:t>
      </w:r>
    </w:p>
    <w:p>
      <w:r>
        <w:t>23.6.1 [COMPLETENESS CLOCK] The responsible authority conducts an initial completeness review within 10 business days after receipt of an ordinary Chapter 23 filing unless a shorter controlling Compact clock applies or exceptional complexity makes that period impracticable. Where the 10-business-day period cannot reasonably be met, the authority gives a prompt explanation and a specific revised target that remains proportionate to the matter. Completeness review determines whether the information needed to process the chosen pathway is present and does not decide the ultimate merits. Failure to complete this review does not authorize indefinite suspension of the underlying procedure.</w:t>
      </w:r>
    </w:p>
    <w:p>
      <w:r>
        <w:t>23.6.2 [COORDINATED DEFICIENCY NOTICE AND INSTITUTIONAL FINALITY] A deficiency notice identifies each material missing or defective item reasonably apparent at the time of review, explains why it is needed, and states how the participant may cure it. The authority coordinates known deficiencies across participating domestic offices where practicable, and once the responsible administration has had a reasonable opportunity to conduct that coordinated review, a later internal referral, reassignment, or addition of another participating authority does not by itself justify a new serial deficiency round. A later deficiency may be raised only where it could not reasonably have been identified through the coordinated administration, results from new information or a material amendment, concerns an independently unavoidable technical issue, or is otherwise required by a controlling Compact rule that could not reasonably have been applied earlier. A deficiency notice uses plain language sufficient for a reasonable participant to understand the corrective action required, and internal sequencing among governmental offices does not transfer avoidable completeness delay to the participant.</w:t>
      </w:r>
    </w:p>
    <w:p>
      <w:r>
        <w:t>23.6.3 [CURE WITHOUT CLOCK ABUSE] The participant receives a reasonable cure period proportionate to the deficiency, urgency, complexity, and availability of the requested information. Cure does not reset an elapsed Compact processing clock unless the controlling provision expressly requires a reset or the participant's material amendment makes continued processing of the original matter impracticable. An authority does not repeatedly recharacterize substantially the same deficiency to manufacture new cure periods or avoid a deadline. A cured technical deficiency does not become a substantive adverse finding merely because the initial submission was incomplete.</w:t>
      </w:r>
    </w:p>
    <w:p>
      <w:r>
        <w:t>23.6.4 [DEEMED COMPLETE AND PARTIAL COMPLETENESS] A filing is treated as procedurally complete when the authority confirms completeness or when a participant timely cures all identified material deficiencies and the authority does not identify a permissible unresolved deficiency within the applicable review period. Separable portions of a filing may proceed where unresolved information is not necessary to administer those portions. Deemed completeness does not establish substantive entitlement, factual accuracy, or satisfaction of a separate evidentiary burden. The authority records the completeness date and any portion proceeding separately.</w:t>
      </w:r>
    </w:p>
    <w:p>
      <w:r>
        <w:t>23.6.5 [BURDEN OBJECTION] A participant may object through a simple administrative route to a completeness demand that appears duplicative, disproportionate, technically impossible, unrelated to the assigned function, or already satisfied by information available to the authority. The authority responds to the objection with a concise explanation, withdraws or narrows the demand where appropriate, and does not retaliate for the objection. The objection does not suspend an urgent lawful requirement unless the responsible authority or controlling provision provides that effect. Completeness records preserve the demand, objection, response, cure, and final status for later administrative review.</w:t>
      </w:r>
    </w:p>
    <w:p>
      <w:pPr>
        <w:pStyle w:val="Heading2"/>
      </w:pPr>
      <w:r>
        <w:t>Article 23.7 - Acknowledgment, Tracking, and Status Visibility</w:t>
      </w:r>
    </w:p>
    <w:p>
      <w:r>
        <w:t>23.7.1 [RECEIPT AND IDENTIFIER] A Chapter 23 filing receives a prompt acknowledgment stating the date of receipt and a persistent case or reference identifier. The identifier follows the matter through ordinary internal routing and is cross-referenced to any legally distinct proceeding created from the submission. A Party does not require the participant to reconstruct the administrative history after an internal transfer. The acknowledgment identifies a responsible authority or usable contact route where disclosure is lawful.</w:t>
      </w:r>
    </w:p>
    <w:p>
      <w:r>
        <w:t>23.7.2 [MEANINGFUL STATUS] The responsible authority maintains meaningful procedural status information for an active Chapter 23 matter. Status categories distinguish at least receipt, completeness review, awaiting participant cure, active review, interagency or assigned consultation, decision preparation, closed, and any other materially distinct stage used by the Party. A generic status such as pending is not used indefinitely where a more informative stage is reasonably available. Status information does not disclose protected deliberations, confidential information, or security-sensitive operational details.</w:t>
      </w:r>
    </w:p>
    <w:p>
      <w:r>
        <w:t>23.7.3 [STATUS UPDATES] A participant can obtain an updated status at reasonable intervals without repeatedly resubmitting the underlying matter. Where practicable, the system provides automated notification of a material status change, new deficiency notice, routing change, decision, or closure. Estimated completion dates may be provided where reasonably predictable and are identified as estimates rather than substantive guarantees. A missed estimate prompts updated information where practicable and does not silently convert the matter into indefinite pendency.</w:t>
      </w:r>
    </w:p>
    <w:p>
      <w:r>
        <w:t>23.7.4 [STATUS CORRECTION AND ESCALATION] A participant may request correction of a materially inaccurate status record or identify a matter that appears administratively stranded. The authority corrects the record or explains the status and provides an escalation contact or equivalent route where ordinary tracking has failed. Escalation addresses procedural administration and does not create a right to bypass a lawful substantive sequence. A status correction follows Chapter 22 provenance and version-control principles where the status is maintained in the Shared Registry.</w:t>
      </w:r>
    </w:p>
    <w:p>
      <w:r>
        <w:t>23.7.5 [CLOSURE NOTICE] Closure of a Chapter 23 matter is accompanied by notice sufficient to identify the disposition, effective date where relevant, and any expressly available review, correction, or appeal pathway. The notice distinguishes closure for procedural reasons from a substantive merits determination. A closure code or automated disposition does not replace an explanation required by another Compact provision or domestic law. Closed records remain available for the applicable retention period subject to confidentiality and lawful disposal requirements.</w:t>
      </w:r>
    </w:p>
    <w:p>
      <w:pPr>
        <w:pStyle w:val="Heading2"/>
      </w:pPr>
      <w:r>
        <w:t>Article 23.8 - Routing and Interagency Coordination</w:t>
      </w:r>
    </w:p>
    <w:p>
      <w:r>
        <w:t>23.8.1 [ROUTING TABLE] Each Party maintains an internal routing table or equivalent administrative map for recurring Chapter 23 functions and updates it when responsibilities materially change. The map identifies responsible functions sufficiently to support single-entry routing without requiring publication of sensitive internal information. An outdated routing table does not transfer the consequences of governmental reorganization to the participant. The responsible authorities correct recurring misroutes as an administrative-quality issue.</w:t>
      </w:r>
    </w:p>
    <w:p>
      <w:r>
        <w:t>23.8.2 [TRANSFER CLOCK] A domestic transfer occurs within a reasonable period and does not restart the filing, completeness, consultation, or review clock unless a controlling provision expressly provides otherwise. Time consumed solely by internal jurisdictional disagreement counts as governmental processing time rather than participant delay. The receiving authority inherits the existing case history and does not demand information already available in the coordinated record without a material reason. A legally distinct proceeding may use its own clock where the Compact clearly assigns one.</w:t>
      </w:r>
    </w:p>
    <w:p>
      <w:r>
        <w:t>23.8.3 [COORDINATED RECORD] Authorities participating in the same matter maintain or can access a coordinated record sufficient to avoid inconsistent instructions and unnecessary duplicate evidence requests. Information sharing follows Chapter 22 confidentiality, purpose limitation, cybersecurity, and provenance requirements. An authority requesting information already present in the coordinated record identifies the reason a new or updated submission is materially necessary. Internal copying of the same evidence does not create independent corroboration.</w:t>
      </w:r>
    </w:p>
    <w:p>
      <w:r>
        <w:t>23.8.4 [INTERAGENCY DISAGREEMENT] A Party maintains an internal method for resolving material interagency disagreement over responsibility for a Chapter 23 matter. The stakeholder is not required to litigate or negotiate the government's organizational chart as a prerequisite to access. Pending resolution, a designated coordinating function preserves filing dates, records, urgent procedural rights, and communications. Resolution of administrative responsibility does not itself determine the substantive merits.</w:t>
      </w:r>
    </w:p>
    <w:p>
      <w:r>
        <w:t>23.8.5 [ROUTING TRANSPARENCY] The participant receives notice of a material routing change, referral, consolidation, or transfer that affects the responsible authority, expected sequence, or contact route. Referral information distinguishes an administrative transfer from a substantive recommendation or Legal Finding. The Parties may publish aggregate routing metrics to identify recurring wrong-door problems and coordination delays. Metrics support improvement and do not create performance-based substantive entitlements.</w:t>
      </w:r>
    </w:p>
    <w:p>
      <w:pPr>
        <w:pStyle w:val="Heading2"/>
      </w:pPr>
      <w:r>
        <w:t>Article 23.9 - Registry and Chapter 22 Interface</w:t>
      </w:r>
    </w:p>
    <w:p>
      <w:r>
        <w:t>23.9.1 [REGISTRY SUPPORT] Public information in the Shared Agricultural Trade Registry may be used to identify records, sources, status, procedural contacts, and other information relevant to Chapter 23 participation. Protected Registry information remains subject to Chapter 22 and does not become public merely because a stakeholder invokes Chapter 23. A stakeholder may link a submission to an existing Product Record ID or Registry record where useful. The link supports navigation and provenance but does not alter the legal status of either record.</w:t>
      </w:r>
    </w:p>
    <w:p>
      <w:r>
        <w:t>23.9.2 [NO STATUS CREATION] A stakeholder submission, allegation, correction request, comment, petition, or uploaded document does not by itself create, modify, suspend, or extinguish a Registry legal status. The Registry does not mark a Compact violation as established merely because a stakeholder disputes an entry or alleges non-performance. Any status change follows the authority and procedure assigned by the controlling Chapter. Automated systems preserve this distinction when ingesting Chapter 23 participation data.</w:t>
      </w:r>
    </w:p>
    <w:p>
      <w:r>
        <w:t>23.9.3 [ONE FACT INTERFACE] Chapter 22's One Fact Remains One Fact principle applies to evidence and records linked through Chapter 23. Repetition of the same source across participants, associations, agencies, Registry entries, or submission channels does not manufacture independent corroboration. A participant identifies known source lineage where reasonably available, and the authority preserves provenance when consolidating records. Genuinely independent evidence remains separately assessable according to the applicable evidentiary standard.</w:t>
      </w:r>
    </w:p>
    <w:p>
      <w:r>
        <w:t>23.9.4 [OWN DATA AND THIRD PARTY DATA] A participant may obtain access to its own Chapter 23 submission and associated non-protected procedural information subject to applicable law and legitimate security or integrity limitations. Access to another person's confidential, personal, privileged, or protected information remains governed by Chapter 22 and domestic law. A Party does not condition access to public Registry material on payment to a commercial provider. Machine-readable access may be provided where practicable without creating a right to protected bulk data.</w:t>
      </w:r>
    </w:p>
    <w:p>
      <w:r>
        <w:t>23.9.5 [REGISTRY CORRECTION PATH] A Chapter 23 request alleging a Registry error is routed into the correction architecture of Chapter 22 rather than creating a competing correction system. The participant retains the Chapter 23 case identifier or cross-reference necessary to track the administrative request. A disputed Registry entry does not automatically suspend treatment or become an adverse Legal Finding while correction is pending. Version history and provenance preserve what changed, when it changed, and the authority supporting the correction.</w:t>
      </w:r>
    </w:p>
    <w:p>
      <w:pPr>
        <w:pStyle w:val="Heading2"/>
      </w:pPr>
      <w:r>
        <w:t>Article 23.10 - Evidence and Supporting Information</w:t>
      </w:r>
    </w:p>
    <w:p>
      <w:r>
        <w:t>23.10.1 [REASONABLE EVIDENCE] A participant may submit documentary, transactional, technical, expert, testimonial, sampling, batch, or other reliable information relevant to the assigned Chapter 23 function. The authority applies the evidentiary standard established by the controlling substantive or procedural Chapter rather than inventing a new burden through Chapter 23. Evidence requests remain proportionate to the issue and the participant's reasonable access to the information. Alternative reliable evidence may satisfy a function where the preferred form is unavailable and the controlling rule does not require that specific form.</w:t>
      </w:r>
    </w:p>
    <w:p>
      <w:r>
        <w:t>23.10.2 [PROVENANCE] Submitted evidence identifies its source, date, relevant methodology, and known limitations to the extent reasonably necessary to evaluate the matter. Derived or summarized material preserves enough lineage to distinguish original evidence from analysis, repetition, or transformation. Missing provenance may affect evidentiary weight where material but does not automatically establish falsity or bad faith. Chapter 22 provenance rules govern evidence entered into or linked from the Shared Registry.</w:t>
      </w:r>
    </w:p>
    <w:p>
      <w:r>
        <w:t>23.10.3 [NO EVIDENCE BY VOLUME] The number of copies, signatures, submissions, organizational endorsements, or database reproductions of the same underlying factual source does not multiply its evidentiary weight. Coordinated or duplicate submissions may demonstrate the breadth of participation where that fact is relevant but remain one factual lineage for corroboration purposes. The authority may consolidate duplicative material while preserving materially distinct facts, arguments, affected interests, and confidentiality claims. Volume management does not authorize exclusion of genuinely new evidence merely because it arrives through a coordinated campaign.</w:t>
      </w:r>
    </w:p>
    <w:p>
      <w:r>
        <w:t>23.10.4 [SUPPLEMENTATION] A participant may supplement evidence within an applicable procedural period or in response to a lawful request for clarification or cure. Late evidence may be considered according to the controlling procedure, materiality, fairness, urgency, and reason for delay without creating an unlimited right to reopen a completed matter. The authority records material supplemental evidence and its provenance. Supplementation does not restart a clock except where a controlling provision or genuinely material new matter requires additional processing.</w:t>
      </w:r>
    </w:p>
    <w:p>
      <w:r>
        <w:t>23.10.5 [RETENTION AND PROTECTION] Evidence is retained for the period reasonably necessary to administer the matter, satisfy applicable legal obligations, support authorized review, and preserve required audit history. Confidential, personal, privileged, or security-sensitive evidence receives the protections assigned by Article 23.11, Chapter 22, and applicable law. Disposal or deletion follows applicable retention rules and any lawful hold. Chapter 23 does not create a general discovery right to evidence held by a Party.</w:t>
      </w:r>
    </w:p>
    <w:p>
      <w:pPr>
        <w:pStyle w:val="Heading2"/>
      </w:pPr>
      <w:r>
        <w:t>Article 23.11 - Confidential and Sensitive Submissions</w:t>
      </w:r>
    </w:p>
    <w:p>
      <w:r>
        <w:t>23.11.1 [PROTECTED SUBMISSION] A participant may submit confidential business information, trade secrets, personal information, or other lawfully protected material directly to the responsible authority through an approved secure pathway. The participant identifies the claimed protection with reasonable specificity and supplies a non-confidential summary where required and practicable. The authority does not publicly disclose protected material merely because it supports a Chapter 23 request or consultation. Protection remains subject to applicable law, lawful disclosure obligations, and the specific safeguards of Chapter 22.</w:t>
      </w:r>
    </w:p>
    <w:p>
      <w:r>
        <w:t>23.11.2 [CONFIDENTIALITY CLAIM] A confidentiality claim identifies the information protected, the basis for protection, and any reasonably separable portion that can be disclosed. An authority may request clarification where a claim is materially overbroad or unsupported. A challenge to a confidentiality classification follows an established procedure that protects the information while the challenge is unresolved unless controlling law requires otherwise. Abuse of confidentiality does not conceal the legal basis, operative rule, or non-confidential explanation necessary to understand governmental action.</w:t>
      </w:r>
    </w:p>
    <w:p>
      <w:r>
        <w:t>23.11.3 [REDACTION AND SUMMARY] Where disclosure of a record is otherwise appropriate, the authority uses redaction, aggregation, non-confidential summary, or another lawful technique to protect sensitive material while preserving meaningful transparency. A summary is not required to reveal information that would effectively reconstruct the protected content. The existence of redactions is identified where lawful so that the public record is not misleading about completeness. Redaction does not change the evidentiary status or provenance of the underlying protected material.</w:t>
      </w:r>
    </w:p>
    <w:p>
      <w:r>
        <w:t>23.11.4 [CROSS BORDER SHARING] Protected Chapter 23 information is shared across Parties only under lawful authority, for an assigned Compact purpose, and with safeguards appropriate to its classification. The transmitting authority identifies applicable use restrictions, confidentiality status, and retention requirements where necessary to preserve protection. Receipt by another Party does not automatically convert the information into public material or authorize reuse for an unrelated purpose. A receiving Party applies its lawful protections consistently with the Compact and does not use cross-border transfer to evade a protection that would otherwise apply.</w:t>
      </w:r>
    </w:p>
    <w:p>
      <w:r>
        <w:t>23.11.5 [RETENTION AND ACCESS CONTROL] Access to protected submissions is limited to persons and systems with a legitimate assigned need, subject to reasonable security and audit controls. Retention lasts no longer than required by applicable law, authorized review, dispute preservation, or the legitimate administrative purpose for which the information is held. A lawful preservation hold suspends ordinary disposal only for the scope and duration necessary to satisfy that purpose. Disposal, return, anonymization, or continued retention is documented where required by the governing information-management rule.</w:t>
      </w:r>
    </w:p>
    <w:p>
      <w:pPr>
        <w:pStyle w:val="Heading2"/>
      </w:pPr>
      <w:r>
        <w:t>Article 23.12 - Producer and Processor Participation</w:t>
      </w:r>
    </w:p>
    <w:p>
      <w:r>
        <w:t>23.12.1 [DIRECT ACCESS] Producers and processors materially affected by a NAAFTC implementation matter may use the applicable Chapter 23 pathway directly without participation through an association as a prerequisite. Direct access applies upstream and downstream where the participant can demonstrate the functional connection required by Article 23.2. A Party may use sector-specific forms or routing where they simplify administration without narrowing otherwise available access. Direct participation does not create a preference over other eligible participants.</w:t>
      </w:r>
    </w:p>
    <w:p>
      <w:r>
        <w:t>23.12.2 [MATERIAL EFFECT] Producer or processor participation in a matter requiring affected-party status rests on a material connection to the implementation issue rather than generalized disagreement within a supply chain. Commercial competition, bargaining disagreement, or sector membership alone does not establish a Compact breach. Evidence of concrete treatment, administrative burden, access impairment, adjustment effect, or another relevant implementation consequence may establish the required connection. The substantive Chapter determines whether the identified effect violates an obligation.</w:t>
      </w:r>
    </w:p>
    <w:p>
      <w:r>
        <w:t>23.12.3 [SECTOR CONSULTATION] A responsible authority may convene producer, processor, or mixed supply-chain consultation where sector knowledge would materially improve implementation. Participation is structured to obtain relevant information without assigning governmental authority to the participants. The authority makes reasonable efforts to avoid systematic exclusion of materially affected categories where balanced input is practicable. Consultation does not require consensus and does not create a veto over the resulting governmental decision.</w:t>
      </w:r>
    </w:p>
    <w:p>
      <w:r>
        <w:t>23.12.4 [REGIONAL AND INDIGENOUS PARTICIPATION] Regional and Indigenous producers or processors may participate where they satisfy the same functional-connection principles and the matter materially affects their production, processing, access, or assigned Compact interest. This clause does not define or alter Indigenous rights, constitutional rights, treaty rights, consultation duties, or jurisdiction arising outside this Compact. A Party administers any independently applicable domestic obligations according to its law. Chapter 23 provides a procedural access route without substituting for those independent legal frameworks.</w:t>
      </w:r>
    </w:p>
    <w:p>
      <w:r>
        <w:t>23.12.5 [NON RETALIATION INTERFACE] A producer or processor is not subjected to adverse administrative treatment merely for good-faith use of an available Chapter 23 pathway. Ordinary inspection, enforcement, eligibility review, or compliance action remains permissible where supported by an independent lawful basis unrelated to protected participation. The authority records that independent basis where a credible retaliation issue is raised and Article 23.17 applies. Participation does not create a safe harbor for fraud, misrepresentation, or other misconduct.</w:t>
      </w:r>
    </w:p>
    <w:p>
      <w:pPr>
        <w:pStyle w:val="Heading2"/>
      </w:pPr>
      <w:r>
        <w:t>Article 23.13 - Cooperative, Association, and Collective Participation</w:t>
      </w:r>
    </w:p>
    <w:p>
      <w:r>
        <w:t>23.13.1 [COLLECTIVE ACCESS] A cooperative, producer group, processor group, or legitimate trade association may submit information or participate collectively for represented members where the applicable pathway permits representation. Collective participation can reduce duplicative administration and permit presentation of shared technical or sector evidence. The representative identifies the represented constituency with reasonable specificity and any authorization required by the procedure. Collective participation does not displace an individual's otherwise available access.</w:t>
      </w:r>
    </w:p>
    <w:p>
      <w:r>
        <w:t>23.13.2 [REPRESENTATIONAL STANDING] An organization establishes representational standing through a genuine connection between its lawful purpose or authorized membership and the implementation matter presented. The authority may request reasonable evidence of authorization or governance where necessary to verify representation. Membership count, financial resources, political access, or organizational prominence does not automatically increase evidentiary weight or procedural authority. A shell entity or nominal association created solely to manufacture standing may be treated according to Article 23.19 after an evidence-based determination.</w:t>
      </w:r>
    </w:p>
    <w:p>
      <w:r>
        <w:t>23.13.3 [AGGREGATION WITHOUT CORROBORATION] An association may aggregate common facts, costs, administrative experiences, or member evidence when doing so improves efficiency and preserves material distinctions. Aggregation identifies methodology, scope, and known limitations where those features affect reliability. Repetition of member statements derived from one common source does not become independent corroboration merely because the statements are submitted collectively. Distinct member experiences remain separately cognizable where they provide genuinely independent evidence.</w:t>
      </w:r>
    </w:p>
    <w:p>
      <w:r>
        <w:t>23.13.4 [MEMBER CONFIDENTIALITY] Collective participation protects member confidential information according to Article 23.11 and Chapter 22. An authority does not require public identification of every represented member where the function can be administered through lawful confidential verification or aggregate representation. A member may withdraw authorization prospectively subject to lawful record-retention and procedural fairness requirements. Withdrawal does not retroactively erase evidence lawfully submitted while authorization existed.</w:t>
      </w:r>
    </w:p>
    <w:p>
      <w:r>
        <w:t>23.13.5 [ANTI CAPTURE] An authority does not treat consultation with one association as automatically satisfying a requirement to consider materially distinct affected categories. Where practicable, consultation design avoids giving a single incumbent organization exclusive control over invitations, agendas, evidence channels, or summaries. Anti-capture measures remain proportionate and do not exclude an association merely because it is large, established, or influential. The administrative record identifies the categories consulted and any material inclusion limitation relevant to evaluating the process.</w:t>
      </w:r>
    </w:p>
    <w:p>
      <w:pPr>
        <w:pStyle w:val="Heading2"/>
      </w:pPr>
      <w:r>
        <w:t>Article 23.14 - SME Representation and Assistance</w:t>
      </w:r>
    </w:p>
    <w:p>
      <w:r>
        <w:t>23.14.1 [REPRESENTATIVES AND ADVISERS] An SME or small producer may use a lawful representative, adviser, accountant, broker, technical expert, association, or other support person where the applicable procedure permits representation. A Party does not require specialized legal counsel for an ordinary Chapter 23 procedure unless representation by counsel is independently required by domestic law for that distinct proceeding. The participant remains responsible for representations attributed to it according to applicable law. Use or non-use of an adviser does not alter the substantive eligibility standard.</w:t>
      </w:r>
    </w:p>
    <w:p>
      <w:r>
        <w:t>23.14.2 [NAVIGATOR FUNCTION] Each Party provides a navigator, help desk, or equivalent contact function for recurring Chapter 23 procedures. The function explains routes, forms, required fields, public sources, status mechanisms, and cure processes without making a binding merits determination outside its authority. Guidance is recorded or reproducible where necessary to avoid materially inconsistent instructions. A participant reasonably following official procedural guidance is not penalized merely because the matter is later routed internally to another competent authority.</w:t>
      </w:r>
    </w:p>
    <w:p>
      <w:r>
        <w:t>23.14.3 [TEMPLATES AND TRAINING] The responsible authorities may provide templates, examples, short guides, webinars, training, or other practical materials for recurring administrative functions. Materials distinguish illustrative examples from binding legal requirements. An outdated template does not create a new substantive condition or defeat a filing that otherwise satisfies the controlling rule. Authorities update or withdraw materially misleading assistance materials within a reasonable period after discovering the problem.</w:t>
      </w:r>
    </w:p>
    <w:p>
      <w:r>
        <w:t>23.14.4 [LANGUAGE AND ACCESSIBILITY ASSISTANCE] Procedural assistance includes reasonable language and accessibility support where practicable and materially necessary for usable access. Assistance may include translated key instructions, interpretation routes, accessible document formats, assisted completion, or referral to another official service. The scope remains proportionate to the procedure and does not create an unlimited translation or personalized-advice entitlement. A lack of a preferred optional service does not defeat access where a reasonably usable alternative is available.</w:t>
      </w:r>
    </w:p>
    <w:p>
      <w:r>
        <w:t>23.14.5 [NO INTERMEDIARY DEPENDENCE] A mandatory Chapter 23 pathway remains usable without compulsory reliance on a paid private intermediary. Private advisers and service providers may offer optional assistance, software, filing, translation, or representation services subject to applicable law. An authority does not design official access so that a commercial intermediary possesses information, credentials, or technical capabilities necessary for ordinary participation but unavailable through a reasonable official route. Aggregate assistance-use and feedback data may support improvements without becoming a measure of substantive success.</w:t>
      </w:r>
    </w:p>
    <w:p>
      <w:pPr>
        <w:pStyle w:val="Heading2"/>
      </w:pPr>
      <w:r>
        <w:t>Article 23.15 - Notice and Opportunity for Input</w:t>
      </w:r>
    </w:p>
    <w:p>
      <w:r>
        <w:t>23.15.1 [TARGETED NOTICE] A Party provides targeted notice where an assigned Chapter 23 procedure requires stakeholder input concerning a material administrative change affecting NAAFTC implementation. Materiality is assessed by expected effect on access, compliance burden, treatment, verification, data requirements, or another significant implementation function. Routine maintenance, non-substantive technical correction, and minor operational changes do not require universal notice and comment merely because they affect an administrative system. Another Compact provision may impose a different or more specific notice requirement.</w:t>
      </w:r>
    </w:p>
    <w:p>
      <w:r>
        <w:t>23.15.2 [NOTICE CONTENT] A notice identifies the proposed or adopted change, responsible authority, affected function or participant category, relevant dates, method for submitting input, and any material supporting information required by the governing procedure. The notice is distributed through channels reasonably calculated to reach materially affected categories where targeted participation is required. Failure to contact every potentially affected person does not by itself invalidate a reasonable category-based notice process. Confidential or security-sensitive information may be withheld to the extent authorized by law without making the public description materially misleading.</w:t>
      </w:r>
    </w:p>
    <w:p>
      <w:r>
        <w:t>23.15.3 [COMMENT PERIOD] A comment or input period is reasonable in light of complexity, urgency, commercial timing, perishable-goods effects, and the volume of information reasonably needed from participants. Electronic submission is available where practicable, with an alternative route where necessary to preserve usable access. The authority may hold a public meeting, technical workshop, sector session, or other engagement where it would materially improve the record. Participation in one format is not required as a condition for using another authorized submission route unless the procedure expressly requires it.</w:t>
      </w:r>
    </w:p>
    <w:p>
      <w:r>
        <w:t>23.15.4 [INCLUSION AND SYNTHESIS] The authority makes reasonable efforts to avoid systematic exclusion of materially affected participant categories from a consultation that is intended to inform a broad implementation decision. The administrative record identifies material inclusion efforts, major categories represented, and any significant known limitation in participation where relevant. The authority synthesizes materially distinct comments rather than treating raw submission counts as substantive weight. Material comments receive a reasoned response or disposition at the level required by the governing procedure without requiring individualized answers to duplicative submissions.</w:t>
      </w:r>
    </w:p>
    <w:p>
      <w:r>
        <w:t>23.15.5 [NO VETO] Stakeholder input informs an assigned governmental process and does not create a veto, consent requirement, negotiated entitlement, or presumption that the most numerous position controls. The authority remains responsible for applying the Compact and domestic law to the decision within its jurisdiction. Consultation records preserve material evidence and reasoning without converting stakeholder preference into a Legal Finding. Failure to adopt a participant's proposal does not establish defective consultation where the applicable procedural obligations were satisfied.</w:t>
      </w:r>
    </w:p>
    <w:p>
      <w:pPr>
        <w:pStyle w:val="Heading2"/>
      </w:pPr>
      <w:r>
        <w:t>Article 23.16 - Consultation and Technical Engagement</w:t>
      </w:r>
    </w:p>
    <w:p>
      <w:r>
        <w:t>23.16.1 [STRUCTURED ENGAGEMENT] A responsible authority may establish structured technical consultation for an implementation issue requiring specialized agricultural, scientific, commercial, logistics, customs, or production knowledge. The consultation states its scope, expected output, responsible authority, and relationship to any Chapter 17 or Chapter 18 process. Participants provide information and expertise rather than exercising governmental adjudicative authority. The authority may end, narrow, or redirect consultation when its assigned purpose has been fulfilled or the process is being used primarily for delay.</w:t>
      </w:r>
    </w:p>
    <w:p>
      <w:r>
        <w:t>23.16.2 [TECHNICAL LEGAL FIREWALL] Stakeholder technical input, expert consensus, working-group output, or consultation summary does not become a Legal Finding merely because it is technically persuasive or widely supported. Chapter 18 governs the status of Technical Findings within its assigned scope, and Chapter 26 governs legal dispute functions within its jurisdiction. A technical body does not determine treaty breach, remedy, jurisdiction, or substantive entitlement unless the Compact expressly assigns that function. The record clearly identifies whether an output is evidence, technical analysis, recommendation, administrative decision, or legally operative determination.</w:t>
      </w:r>
    </w:p>
    <w:p>
      <w:r>
        <w:t>23.16.3 [BALANCED PARTICIPATION] Where practicable and relevant to the assigned purpose, consultation design seeks materially useful input from affected perspectives rather than relying exclusively on the easiest or largest participants to convene. Balance does not require numerical equality, representation of every viewpoint, or inclusion of a participant lacking a functional connection. The authority may use targeted invitations, open submissions, rotating participation, or separate sessions to obtain useful evidence efficiently. Selection criteria are not used to reward political support or punish protected participation.</w:t>
      </w:r>
    </w:p>
    <w:p>
      <w:r>
        <w:t>23.16.4 [CONSULTATION DISCIPLINE] A consultation uses reasonable timelines, agendas, records, and information requests proportionate to its purpose. Repetitive meetings, strategic withholding, serial requests for delay, or refusal to engage with defined technical questions do not create an entitlement to prolong the process. The authority records material unresolved technical issues and any follow-up assigned to Chapter 17, Chapter 18, or another competent process. Closing consultation does not suppress evidence already entered into an applicable administrative record.</w:t>
      </w:r>
    </w:p>
    <w:p>
      <w:r>
        <w:t>23.16.5 [CONFIDENTIAL ENGAGEMENT] Confidential technical information may be received under Article 23.11 safeguards where it is materially useful to the consultation. A non-confidential account of the consultation is provided where required and practicable without revealing protected content. Participation in a confidential session does not grant access to another participant's protected information absent lawful authority. Confidentiality arrangements do not convert a stakeholder group into a private decision-making body.</w:t>
      </w:r>
    </w:p>
    <w:p>
      <w:pPr>
        <w:pStyle w:val="Heading2"/>
      </w:pPr>
      <w:r>
        <w:t>Article 23.17 - Non-Retaliation and Protected Participation</w:t>
      </w:r>
    </w:p>
    <w:p>
      <w:r>
        <w:t>23.17.1 [PROTECTED PARTICIPATION] A Party does not impose adverse administrative treatment merely because a person in good faith submitted evidence, sought a correction, requested access, participated in consultation, used a review route, or raised an implementation concern under this Chapter. Protected participation includes lawful representation of another eligible participant and good-faith assistance in an authorized process. The protection applies to governmental treatment within the scope of the Compact and does not regulate purely private disagreement between market participants. A participant need not obtain a favorable substantive outcome to receive this procedural protection.</w:t>
      </w:r>
    </w:p>
    <w:p>
      <w:r>
        <w:t>23.17.2 [INDEPENDENT BASIS AND DISCRETIONARY RETALIATION] Inspection, enforcement, audit, eligibility review, licensing action, or other lawful administration remains permissible when supported by an independent factual and legal basis unrelated to protected participation and when the challenged selection, timing, intensity, scope, or administration of that action is not materially caused or aggravated by the protected participation. Where a participant presents credible evidence of retaliatory linkage, the responsible authority identifies the independent basis, material chronology, and relevant discretionary factors sufficient for the applicable review process to distinguish lawful administration from retaliation hidden within otherwise lawful discretion. Temporal proximity alone does not conclusively establish retaliation, but the prior existence of enforcement authority or a dormant factual basis does not by itself defeat review where protected participation may have materially influenced whether, when, or how the authority acted. The ultimate evidentiary standard follows the controlling review or dispute procedure, and this clause does not restrict proportionate action genuinely justified by the independently established basis.</w:t>
      </w:r>
    </w:p>
    <w:p>
      <w:r>
        <w:t>23.17.3 [MISCONDUCT EXCEPTIONS] Article 23.17 does not protect fraud, deliberate material misrepresentation, evidence tampering, threats, unlawful conduct, bad-faith process abuse, or another independently sanctionable act. An authority distinguishes the sanctionable conduct from the underlying protected act of participation and limits its response to the lawful consequence of the misconduct. Ordinary factual error, unsuccessful argument, or good-faith disagreement is not treated as fraud merely because the participant's position is rejected. Enforcement against misconduct does not authorize unrelated impairment of Compact rights.</w:t>
      </w:r>
    </w:p>
    <w:p>
      <w:r>
        <w:t>23.17.4 [RETALIATION COMPLAINT] A participant may raise an alleged retaliation through an identified administrative route that permits confidential handling where lawful and reasonably necessary. The reviewing authority records the challenged action, protected activity, asserted linkage, independent basis, and disposition. Where retaliation is established under the applicable standard, the authority corrects the affected administrative treatment through the available cure mechanism and addresses any continuing implementation consequence. Article 23.17 does not create damages or compensation beyond remedies otherwise provided by domestic law or the Compact.</w:t>
      </w:r>
    </w:p>
    <w:p>
      <w:r>
        <w:t>23.17.5 [SYSTEMIC SAFEGUARDS] The Parties may use training, aggregate metrics, supervisory review, and recurring-pattern analysis to reduce retaliation risk in Chapter 23 administration. Metrics do not create presumptions against individual officials or participants and are interpreted with appropriate context. Anti-retaliation safeguards are not used to prevent legitimate supervision, quality control, or enforcement. Good-faith participation remains protected without becoming immunity from independently justified governmental action.</w:t>
      </w:r>
    </w:p>
    <w:p>
      <w:pPr>
        <w:pStyle w:val="Heading2"/>
      </w:pPr>
      <w:r>
        <w:t>Article 23.18 - Accessibility, Language, and Practical Usability</w:t>
      </w:r>
    </w:p>
    <w:p>
      <w:r>
        <w:t>23.18.1 [PLAIN LANGUAGE] Public Chapter 23 instructions, ordinary forms, deficiency notices, routing information, and status explanations use language reasonably understandable to their intended users while preserving necessary legal precision. Plain-language material supplements rather than silently replaces controlling treaty or domestic legal text. An authority identifies where a simplified explanation is non-binding and provides access to the controlling source. Complexity that is genuinely required by the underlying legal function is explained rather than disguised.</w:t>
      </w:r>
    </w:p>
    <w:p>
      <w:r>
        <w:t>23.18.2 [LANGUAGE ACCESS] Each Party provides key public Chapter 23 access information in the official languages required by its law and may provide additional language support where practicable and materially useful. Targeted translation or interpretation may be provided for recurring participant groups, high-impact procedures, or specific accessibility needs without creating an unlimited entitlement to translation of every record. A translated summary does not alter the legal authority of the controlling text unless applicable law provides otherwise. Material translation errors discovered by an authority are corrected within a reasonable period and affected users receive appropriate procedural accommodation where practicable.</w:t>
      </w:r>
    </w:p>
    <w:p>
      <w:r>
        <w:t>23.18.3 [ACCESSIBLE FORMATS] Chapter 23 access channels use reasonably accessible digital and document formats and provide accommodations required by applicable law. Where a digital barrier materially prevents use of a mandatory pathway, a practicable assisted or alternative route is available unless the specific technology is indispensable to a secure legal function and no equivalent exists. Accessibility measures preserve confidentiality, identity assurance, and record integrity. A participant is not denied ordinary access merely because an avoidable interface design is incompatible with a commonly used accessibility tool.</w:t>
      </w:r>
    </w:p>
    <w:p>
      <w:r>
        <w:t>23.18.4 [DIGITAL DIVIDE AND MOBILE ACCESS] A Party considers connectivity, device limitations, rural access, and other practical barriers when designing mandatory Chapter 23 procedures. Paper, assisted-digital, telephone-supported, or other equivalent routes may be maintained where reasonably necessary and administratively feasible. Public-facing digital services are reasonably usable on commonly available devices where practicable and do not require excessive bandwidth for routine functions without an alternative. These requirements concern practical access and do not compel a Party to maintain obsolete technology indefinitely.</w:t>
      </w:r>
    </w:p>
    <w:p>
      <w:r>
        <w:t>23.18.5 [USABILITY REVIEW] Responsible authorities periodically review Chapter 23 forms, instructions, contact routes, completion failures, accessibility complaints, and recurring user feedback to identify avoidable barriers. Usability testing may include SMEs, producers, processors, representatives, accessibility users, and other relevant participants without conferring policymaking authority on testers. Improvements remain subject to Chapter 22 data safeguards and Chapter 29 limits on technical amendment. Accessibility metrics support administration and do not create substantive outcome quotas.</w:t>
      </w:r>
    </w:p>
    <w:p>
      <w:pPr>
        <w:pStyle w:val="Heading2"/>
      </w:pPr>
      <w:r>
        <w:t>Article 23.19 - Anti-Gaming and Administrative Simplicity</w:t>
      </w:r>
    </w:p>
    <w:p>
      <w:r>
        <w:t>23.19.1 [ANTI GAMING] A person does not obtain additional procedural authority by creating shell entities, artificial standing, strategic fragmentation, duplicate identities, or materially fictitious representation. An authority applying an anti-gaming rule identifies the conduct, functional connection among the relevant submissions or entities, and material administrative effect. Legitimate corporate structure, association activity, coordinated advocacy, or use of multiple lawful pathways is not treated as abuse merely because it is organized. Anti-gaming determinations remain reviewable through the applicable administrative route.</w:t>
      </w:r>
    </w:p>
    <w:p>
      <w:r>
        <w:t>23.19.2 [DUPLICATE MANAGEMENT AND DISTINCT CONTENT SAFEGUARD] An authority may consolidate, batch, sample, index, or otherwise manage mass duplicative submissions to preserve timely administration. A filtering, sampling, or automated classification method used for that purpose is reasonably designed to detect materially distinct factual content, evidence, affected interests, or legal issues within an otherwise repetitive submission set and provides a practical route to correct a material false-duplicate classification. Management measures preserve genuinely distinct material, lawful confidentiality, and any individually applicable deadline or right, while submission volume does not require repetitive individualized analysis of content that is materially identical. Automated or sampled volume management remains auditable and does not create a substantive adverse determination, discard materially distinct evidence merely because it appears within a coordinated campaign, or manufacture evidentiary weight from repetition.</w:t>
      </w:r>
    </w:p>
    <w:p>
      <w:r>
        <w:t>23.19.3 [COORDINATION EVIDENCE] Collective attribution of abusive conduct requires evidence of material coordination, common control, common source, or another factual connection relevant to the alleged abuse. Similar language, timing, policy preference, sector membership, or use of a common public template does not alone establish bad-faith coordination. Where coordination is established, consequences remain proportionate to the conduct and do not automatically contaminate unrelated participants. Good-faith collective participation remains protected.</w:t>
      </w:r>
    </w:p>
    <w:p>
      <w:r>
        <w:t>23.19.4 [ANTI CAPTURE AND OBSTRUCTION] A stakeholder does not acquire control over a Chapter 23 process by dominating meeting capacity, technical resources, agenda proposals, repetitive submissions, or access to officials. Authorities may use reasonable participation limits, rotating opportunities, time management, consolidation, or neutral facilitation to prevent capture or obstruction. Restrictions are content-neutral or otherwise lawfully justified, proportionate to the administrative problem, and leave a practical route for legitimate participation. Anti-obstruction measures do not become a pretext for excluding inconvenient evidence or less-resourced participants.</w:t>
      </w:r>
    </w:p>
    <w:p>
      <w:r>
        <w:t>23.19.5 [SAFE HARBOR AND REVIEW] Good-faith use of an available Chapter 23 mechanism is not treated as abuse merely because the submission is unsuccessful, critical, repetitive of a genuine unresolved concern, or supported by coordinated participants. Published anti-gaming rules identify prohibited conduct with reasonable clarity and include an avenue to challenge a material access restriction. The Parties periodically review anti-gaming measures for effectiveness, administrative burden, and unintended chilling effects. A measure that systematically deters legitimate small-participant access is narrowed or corrected where the same integrity objective can reasonably be achieved by less restrictive administration.</w:t>
      </w:r>
    </w:p>
    <w:p>
      <w:pPr>
        <w:pStyle w:val="Heading2"/>
      </w:pPr>
      <w:r>
        <w:t>Article 23.20 - Cure, Review, and Jurisdictional Finality</w:t>
      </w:r>
    </w:p>
    <w:p>
      <w:r>
        <w:t>23.20.1 [ACCESS DENIAL REVIEW] A participant denied a material Chapter 23 access pathway receives an explanation identifying the procedural basis for denial and any expressly available correction or review route. Review addresses whether the access rules were properly applied and does not automatically reopen the underlying substantive merits. A technical filing defect is corrected through the applicable cure process where reasonably possible. Final administrative closure identifies any remaining route under Chapters 25, 26, 29, or domestic law that is expressly available.</w:t>
      </w:r>
    </w:p>
    <w:p>
      <w:r>
        <w:t>23.20.2 [CHAPTER 25 CURE] A material failure to perform an operative Chapter 23 administrative obligation proceeds through Chapter 25 to the extent that Chapter assigns cure and Restoration. Cure addresses the defective access practice and any continuing administrative consequence caused by it rather than manufacturing a new substantive agricultural entitlement. Restoration is complete when the participant can again use the legally required pathway and any correctable operational consequence within the Compact's authority has been addressed. Chapter 23 creates no independent retaliation, tariff response, damages, or punitive mechanism.</w:t>
      </w:r>
    </w:p>
    <w:p>
      <w:r>
        <w:t>23.20.3 [CHAPTER 26 DISPUTE INTERFACE] Chapter 26 governs disputes concerning Chapter 23 obligations within its jurisdiction and according to its standing, evidence, review, and remedy rules. A stakeholder allegation, consultation record, access complaint, or administrative disposition does not itself become a Party claim or Legal Finding. Chapter 23 does not create an independent stakeholder right to initiate state-to-state dispute settlement unless another Compact provision expressly provides such a route. Evidence developed through Chapter 23 retains its proper provenance and legal status if later used in an authorized dispute.</w:t>
      </w:r>
    </w:p>
    <w:p>
      <w:r>
        <w:t>23.20.4 [CHAPTER 29 MODERNIZATION] Chapter 29 may support non-substantive technical modernization of Chapter 23 forms, routing tables, contact channels, metrics, accessibility methods, data fields, and implementation tools within its assigned authority. A technical update does not create a new substantive agricultural right, evidentiary burden, mandatory participant category, enforcement power, appeal right, or regulatory jurisdiction. Material procedural changes requiring substantive authority use the amendment or decision process assigned by the Compact. Periodic access review under Chapter 29 may identify barriers and recommend improvements without converting recommendations into binding obligations by publication alone.</w:t>
      </w:r>
    </w:p>
    <w:p>
      <w:r>
        <w:t>23.20.5 [FINAL JURISDICTIONAL LOCK] No submission, consultation, stakeholder consensus, association vote, case identifier, help-desk statement, status code, participation metric, repeated practice, software function, or non-objection enlarges Chapter 23 beyond authority granted by the Compact. Chapter 23 does not create a veto, private enforcement regime, compensation right, regulatory body, shadow tribunal, or additional appeal jurisdiction. Stakeholder access supports implementation, correction, evidence, and usable administration while substantive rights and legal determinations remain where the Compact assigns them. Chapter 23 is an access architecture, not Chapter 26 by another route.</w:t>
      </w:r>
    </w:p>
    <w:p>
      <w:pPr>
        <w:pStyle w:val="Heading1"/>
      </w:pPr>
      <w:r>
        <w:t>Chapter 24 - Institutional Administration</w:t>
      </w:r>
    </w:p>
    <w:p>
      <w:r>
        <w:t xml:space="preserve">Chapter 24 establishes lean, traceable, resilient institutional administration for assigned NAAFTC functions while preventing implied powers, institutional drift, contractor sovereignty, status laundering, and bureaucracy by accumulation.</w:t>
      </w:r>
    </w:p>
    <w:p>
      <w:pPr>
        <w:pStyle w:val="Heading2"/>
      </w:pPr>
      <w:r>
        <w:t xml:space="preserve">Article 24.1 - Purpose, Scope, and Institutional Principle</w:t>
      </w:r>
    </w:p>
    <w:p>
      <w:r>
        <w:t>24.1.1 [ASSIGNED FUNCTION PRINCIPLE] Institutional administration coordinates only functions expressly assigned by the Compact. No institution acquires general agricultural, customs, SPS, trade, adjudicative, or enforcement competence from Chapter 24. Administrative convenience, repeated practice, silence, or consensus does not enlarge authority. The Authority Map identifies the controlling provision for each recurring function.</w:t>
      </w:r>
    </w:p>
    <w:p>
      <w:r>
        <w:t>24.1.2 [NO IMPLIED POWERS] An institutional actor exercises only authority traceable to an operative Compact provision. Necessary clerical steps may support an assigned function but do not create a new substantive power. An asserted incidental power is limited to what is reasonably necessary to perform the assigned function and cannot alter rights or obligations. A material reliance on incidental authority identifies its source and operational necessity.</w:t>
      </w:r>
    </w:p>
    <w:p>
      <w:r>
        <w:t>24.1.3 [PARTY EQUALITY] Institutional administration treats the Parties as juridically equal except where the Compact expressly assigns a differentiated function. Administrative workload, market size, contribution level, or hosting status does not confer superior institutional authority. Procedures preserve equal notice, access to records, and participation in authorized decisions. Any express differentiation is recorded with its legal source.</w:t>
      </w:r>
    </w:p>
    <w:p>
      <w:r>
        <w:t>24.1.4 [SUBSIDIARITY] Administration remains with an existing competent domestic authority where that authority can perform the assigned function effectively. Central or joint administration is used only where the Compact assigns it or where coordination materially improves implementation without changing legal competence. Duplication of existing agriculture, customs, SPS, trade, or registry functions is avoided. A recurring centralized function records why distributed administration is inadequate.</w:t>
      </w:r>
    </w:p>
    <w:p>
      <w:r>
        <w:t>24.1.5 [NO NEW SUBSTANTIVE RIGHTS] Chapter 24 creates administrative machinery and does not independently create a market-access entitlement, private cause of action, regulatory standard, tariff treatment, or agricultural production right. Substantive rights and obligations arise only from the provisions that establish them. An institutional output cannot bootstrap substantive effect through publication, repetition, software implementation, or administrative reliance. Each consequential output states its legal category and controlling source.</w:t>
      </w:r>
    </w:p>
    <w:p>
      <w:pPr>
        <w:pStyle w:val="Heading2"/>
      </w:pPr>
      <w:r>
        <w:t xml:space="preserve">Article 24.2 - Party Competent Authorities</w:t>
      </w:r>
    </w:p>
    <w:p>
      <w:r>
        <w:t>24.2.1 [FUNCTION ASSIGNMENT] Each Party identifies the domestic competent authority responsible for every recurring Compact function assigned to that Party. The assignment identifies a lead office and any participating offices needed for implementation. Internal routing remains the responsibility of the Party and is not transferred to traders or stakeholders. Material assignment changes are recorded and notified through the Chapter 22 Registry.</w:t>
      </w:r>
    </w:p>
    <w:p>
      <w:r>
        <w:t>24.2.2 [AUTHORITY MAP] Each Party maintains a current authority map listing the function, legal source, responsible authority, output, limits, clock owner, and review route. The map is accessible to the other Parties and to affected users where disclosure is lawful. The map records authority but does not create or enlarge it. A conflict between the map and the Compact is resolved in favor of the controlling Compact provision.</w:t>
      </w:r>
    </w:p>
    <w:p>
      <w:r>
        <w:t>24.2.3 [SUCCESSOR AUTHORITY] A domestic reorganization, merger, renaming, abolition, or transfer of office does not erase an assigned Compact function. The lawful successor inherits the same functional limits, pending matters, records, and applicable clocks unless the Compact expressly provides otherwise. A Party designates an interim authority when succession is not immediately clear. The succession record preserves institutional ancestry and the effective date of transfer.</w:t>
      </w:r>
    </w:p>
    <w:p>
      <w:r>
        <w:t>24.2.4 [NO CROSS FUNCTION USURPATION] One domestic authority does not exercise another authority’s assigned function unless domestic law and the Compact permit the delegation or transfer. Administrative assistance, data sharing, or consultation does not itself transfer legal competence. A delegated function retains the same substantive and procedural limits that bound the delegating authority. The delegation record identifies scope, duration, legal basis, and responsible governmental owner.</w:t>
      </w:r>
    </w:p>
    <w:p>
      <w:r>
        <w:t>24.2.5 [CHANGE NOTIFICATION] A Party notifies the other Parties of a material change in competent authority, contact channel, delegated function, or routing arrangement within a reasonable period. Urgent operational changes may take effect before notification where necessary to maintain continuity. The change does not reset a Compact clock or require a participant to restart a pending matter. The Party maintains a usable fallback contact during transition.</w:t>
      </w:r>
    </w:p>
    <w:p>
      <w:pPr>
        <w:pStyle w:val="Heading2"/>
      </w:pPr>
      <w:r>
        <w:t xml:space="preserve">Article 24.3 - NAAFTC Coordinating Officials</w:t>
      </w:r>
    </w:p>
    <w:p>
      <w:r>
        <w:t>24.3.1 [DESIGNATION] Each Party designates one senior NAAFTC coordinating official and a functional alternate. The official serves as a national coordination, communication, routing, and institutional-memory contact. Designation does not displace the competence of domestic authorities assigned substantive functions. Current contact information is maintained in the Registry.</w:t>
      </w:r>
    </w:p>
    <w:p>
      <w:r>
        <w:t>24.3.2 [COORDINATION LIMIT] A coordinating official may convene authorized meetings, transmit notices, route matters, maintain coordination records, and request status information needed for an assigned function. The official does not independently regulate, adjudicate, investigate, enforce, amend the Compact, or issue a Legal Finding. Coordination cannot be used to impose a substantive condition that the controlling provision does not authorize. Material coordination actions identify the function being supported.</w:t>
      </w:r>
    </w:p>
    <w:p>
      <w:r>
        <w:t>24.3.3 [NO AUTHORITATIVE INTERPRETATION] A coordinating official may identify relevant Compact text and communicate a Party position but does not issue an independently authoritative interpretation. An informal explanation, guidance note, meeting statement, or routing instruction retains its stated legal status. Interpretive authority remains with the mechanism expressly assigned by the Compact or applicable law. A consequential communication distinguishes procedural guidance from binding legal effect.</w:t>
      </w:r>
    </w:p>
    <w:p>
      <w:r>
        <w:t>24.3.4 [FUNCTION REGISTER] Each coordinating official maintains or verifies the Party portion of the function-and-authority register. The register links recurring institutional tasks to their legal source, responsible body, output category, and review route. An unlisted task is not automatically unauthorized, but recurring material activity is added once identified and legally sourced. The register is reconciled with the Authority Map at least annually.</w:t>
      </w:r>
    </w:p>
    <w:p>
      <w:r>
        <w:t>24.3.5 [ANTI DRIFT CERTIFICATION] Each Party reviews the coordinating function at least annually for expansion by practice. The review tests recurring tasks against their legal sources and identifies obsolete, duplicated, or unsupported activity. A task lacking authority is discontinued or reassigned through a lawful process rather than normalized by repetition. The review outcome and material corrections are recorded.</w:t>
      </w:r>
    </w:p>
    <w:p>
      <w:pPr>
        <w:pStyle w:val="Heading2"/>
      </w:pPr>
      <w:r>
        <w:t xml:space="preserve">Article 24.4 - Administrative Secretariat Function</w:t>
      </w:r>
    </w:p>
    <w:p>
      <w:r>
        <w:t>24.4.1 [LEAN SECRETARIAT] The Parties may maintain a lean secretariat function or distributed equivalent for records, logistics, notifications, Registry coordination, and institutional memory. The chosen form uses existing infrastructure where practicable and remains proportionate to assigned workload. Hosting, staffing, or technical capacity does not confer additional legal authority. The Parties record the secretariat model and its assigned functions.</w:t>
      </w:r>
    </w:p>
    <w:p>
      <w:r>
        <w:t>24.4.2 [WRITTEN MANDATE AND DERIVATIVE AUTHORITY] Every recurring secretariat function has a written mandate traceable to the Compact or an authorized Party decision, and the mandate states scope, responsible instruction source, permitted outputs, information access, and review route. A derivative decision, delegation, mandate, instruction, implementation act, or successor arrangement cannot confer authority broader in subject matter, legal effect, discretion, duration, or consequence than the Compact provision and authorized decision power from which it descends. Successive administrative acts do not compound, refresh, bootstrap, or otherwise enlarge delegated authority, and a secretariat employee or service provider does not enlarge a mandate through custom, operational necessity, repeated practice, or technical design. A material mandate change uses the authority legally capable of creating that changed function and remains subject to the limits and review route attached to its institutional ancestry.</w:t>
      </w:r>
    </w:p>
    <w:p>
      <w:r>
        <w:t>24.4.3 [POWER FIREWALL] The secretariat does not independently enforce, adjudicate, legislate, investigate, regulate, or issue authoritative Compact interpretations. It may perform clerical verification of completeness or routing only where the controlling provision assigns that task. Clerical processing does not become a substantive eligibility determination merely because software or staff applies validation rules. A disputed legal question is routed to the authority assigned to decide it.</w:t>
      </w:r>
    </w:p>
    <w:p>
      <w:r>
        <w:t>24.4.4 [INSTRUCTION DISCIPLINE] The secretariat acts on instructions from the Parties or an expressly assigned body within that actor’s authority. An instruction outside the instructing actor’s competence does not become valid because the secretariat executes it. The secretariat records the source and date of a material instruction affecting a consequential output. Conflicting instructions are escalated without silently choosing a new legal rule.</w:t>
      </w:r>
    </w:p>
    <w:p>
      <w:r>
        <w:t>24.4.5 [FUNCTION REVIEW] Secretariat functions are reviewed periodically for necessity, duplication, burden, and continuing legal basis. A temporary function expires according to its mandate unless lawfully renewed. A permanent recurring function continues only while its legal source remains operative and the function remains necessary to implementation. Budget and staffing adjustments follow the reviewed function set rather than creating new functions.</w:t>
      </w:r>
    </w:p>
    <w:p>
      <w:pPr>
        <w:pStyle w:val="Heading2"/>
      </w:pPr>
      <w:r>
        <w:t xml:space="preserve">Article 24.5 - Distributed Administration and Subsidiarity</w:t>
      </w:r>
    </w:p>
    <w:p>
      <w:r>
        <w:t>24.5.1 [EXISTING AGENCY PREFERENCE] An assigned function remains with an existing competent domestic authority where that arrangement can meet the Compact effectively. The Parties use established customs, agriculture, SPS, trade, laboratory, and digital channels where practicable. Institutional novelty alone is not a justification for creating a parallel body. A new recurring structure identifies the implementation gap it addresses.</w:t>
      </w:r>
    </w:p>
    <w:p>
      <w:r>
        <w:t>24.5.2 [CENTRALIZATION TEST] A recurring function is centralized only where the Compact assigns central administration or where coordinated administration materially improves implementation. The assessment considers duplication, user burden, latency, expertise, resilience, and legal competence. Centralization does not transfer substantive authority from a competent domestic body unless a lawful transfer independently occurs. The reason for material centralization is recorded.</w:t>
      </w:r>
    </w:p>
    <w:p>
      <w:r>
        <w:t>24.5.3 [SYSTEM LINKAGE FIREWALL] Linking a domestic database, portal, laboratory, or workflow to a Compact system does not give a Compact body jurisdiction over the domestic system. Interoperability transmits authorized information and status without merging legal functions. A shared technical interface preserves source authority, provenance, access controls, and legal category. A dependent system does not treat technical connectivity as substantive delegation.</w:t>
      </w:r>
    </w:p>
    <w:p>
      <w:r>
        <w:t>24.5.4 [NO FUNCTION MERGER BY COORDINATION] Joint work, shared meetings, common forms, or interoperable systems do not merge legally distinct functions. Each participating authority remains responsible for the decision or output assigned to it. A composite workflow identifies handoff points where legal responsibility changes. Users receive a coherent pathway without being required to reconstruct internal jurisdictional boundaries.</w:t>
      </w:r>
    </w:p>
    <w:p>
      <w:r>
        <w:t>24.5.5 [DECENTRALIZATION REVIEW] The Parties periodically review centralized recurring functions for unnecessary duplication or burden. A function suitable for distributed performance may be returned to competent domestic authorities without reducing Compact performance. Decentralization preserves pending matters, records, clocks, and legal status. Material changes are reflected in the Authority Map and Registry.</w:t>
      </w:r>
    </w:p>
    <w:p>
      <w:pPr>
        <w:pStyle w:val="Heading2"/>
      </w:pPr>
      <w:r>
        <w:t xml:space="preserve">Article 24.6 - Assignment of Functions and Authority Map</w:t>
      </w:r>
    </w:p>
    <w:p>
      <w:r>
        <w:t>24.6.1 [TRACEABLE AUTHORITY AND CONTINUITY] Every recurring institutional function is traceable to an operative Compact provision or an authorized decision made under such a provision, and the trace identifies the actor, function, output, limits, and applicable review mechanism. Practice, expertise, urgency, convenience, funding, or stakeholder demand does not independently supply authority, and a claimed power lacking an independently identifiable lawful source is suspended from consequential use until lawfully sourced or discontinued. A defect, omission, migration error, or temporary uncertainty in the Authority Map or other administrative record does not suspend, extinguish, enlarge, or alter an obligation or authority that can be independently established from the Compact or a valid authorized decision. Where an operative obligation remains independently identifiable but its administrative trace is incomplete, the responsible Party verifies and repairs the trace without avoidable interruption of the obligation, applicable clock, participant right, or legally due treatment.</w:t>
      </w:r>
    </w:p>
    <w:p>
      <w:r>
        <w:t>24.6.2 [MAP CONTENT] The Authority Map records each recurring function, legal source, responsible authority, output category, limits, clock owner, delegation status, and review route. The map distinguishes administrative action, technical action, recommendation, Party decision, Compact amendment, and Legal Finding. Linked Chapter 22 records provide current contacts and version history. The map is maintained in a format usable by officials and affected participants.</w:t>
      </w:r>
    </w:p>
    <w:p>
      <w:r>
        <w:t>24.6.3 [MAP NON CONSTITUTIVE STATUS] The Authority Map records existing authority and does not create, enlarge, transfer, or cure authority. An erroneous map entry is corrected through Chapter 22 processes and does not amend the Compact. Reasonable reliance on an official erroneous entry is handled under the controlling procedural and cure rules without manufacturing substantive authority. The correction preserves provenance and identifies affected dependent processes.</w:t>
      </w:r>
    </w:p>
    <w:p>
      <w:r>
        <w:t>24.6.4 [SPECIFIC RULE CONTROLS] A more specific Compact provision controls over a general institutional description where both address the same function. Chapter 24 does not override specialized allocation of authority in Chapters 14 through 23 or later chapters. Administrative actors route conflicts to the controlling mechanism rather than resolving them by institutional preference. The record identifies the provision treated as controlling.</w:t>
      </w:r>
    </w:p>
    <w:p>
      <w:r>
        <w:t>24.6.5 [ORPHAN FUNCTION AUDIT] The Parties audit the Authority Map at least annually for orphaned, duplicated, unsupported, or obsolete recurring functions. An orphaned necessary function is assigned through an authorized process without interrupting pending obligations. An unsupported function is not preserved merely because users or officials have become accustomed to it. Audit corrections are recorded with effective dates and continuity measures.</w:t>
      </w:r>
    </w:p>
    <w:p>
      <w:pPr>
        <w:pStyle w:val="Heading2"/>
      </w:pPr>
      <w:r>
        <w:t xml:space="preserve">Article 24.7 - Meetings and Administrative Sessions</w:t>
      </w:r>
    </w:p>
    <w:p>
      <w:r>
        <w:t>24.7.1 [ORDINARY MEETINGS] Authorized institutional bodies meet at the cadence required by their assigned functions and may use remote participation. Agendas are circulated in advance where practicable and identify matters requiring decision, discussion, or information only. Meeting frequency remains proportionate to workload and does not create authority by repetition. The responsible body records attendance, agenda, material outcomes, and next actions.</w:t>
      </w:r>
    </w:p>
    <w:p>
      <w:r>
        <w:t>24.7.2 [EXTRAORDINARY SESSIONS] An extraordinary session may be convened where an assigned function requires timely coordination. The request identifies the issue, urgency, requested participants, and any decision authority expected to be exercised. Urgency does not expand jurisdiction or bypass a specialized emergency procedure. The record states any shortened notice and its operational reason.</w:t>
      </w:r>
    </w:p>
    <w:p>
      <w:r>
        <w:t>24.7.3 [MINUTES AND DISSENT] Minutes identify attendees, agenda items, material decisions, legal authority relied upon, implementation owners, and material dissent where relevant. Minutes distinguish discussion, recommendation, technical output, and binding authorized decision. Editing or approval of minutes does not convert an unauthorized statement into legal authority. Corrections retain version history under Chapter 22.</w:t>
      </w:r>
    </w:p>
    <w:p>
      <w:r>
        <w:t>24.7.4 [NO CORRIDOR CONSENSUS] Informal consensus, side conversation, email chain, non-objection, or corridor agreement does not bind a Party unless the Compact expressly permits that form of decision. A later formal decision may adopt the substance only through the required authority and procedure. Administrative implementation does not precede required authorization merely because officials expect approval. The final record identifies the legally operative act.</w:t>
      </w:r>
    </w:p>
    <w:p>
      <w:r>
        <w:t>24.7.5 [QUORUM AND OBSERVERS] Quorum rules apply only where an assigned body is authorized to make a decision requiring quorum. Observer or stakeholder participation occurs only where the Compact or an authorized mandate permits it and does not confer decision authority. Remote participation counts on equal terms where the applicable rules permit it. Attendance status and voting or decision capacity are recorded.</w:t>
      </w:r>
    </w:p>
    <w:p>
      <w:pPr>
        <w:pStyle w:val="Heading2"/>
      </w:pPr>
      <w:r>
        <w:t xml:space="preserve">Article 24.8 - Decision Classification</w:t>
      </w:r>
    </w:p>
    <w:p>
      <w:r>
        <w:t>24.8.1 [CLASSIFICATION SYSTEM] Every consequential institutional output is classified as administrative action, technical action, recommendation, Party decision, Compact amendment, Legal Finding, or another category expressly established by the Compact. The classification follows substantive legal effect rather than the title selected by the issuing body. The output states its category and controlling authority where practical. Chapter 22 preserves the classification in downstream records.</w:t>
      </w:r>
    </w:p>
    <w:p>
      <w:r>
        <w:t>24.8.2 [ADMINISTRATIVE ACTION] An administrative action implements an assigned procedural function and does not alter substantive Compact rights or obligations. Routing, scheduling, record maintenance, publication, and clerical completeness functions remain administrative when performed within assigned limits. An administrative label cannot shield a measure that in practical effect makes a substantive determination. Such a measure is treated according to the authority actually required for its effect.</w:t>
      </w:r>
    </w:p>
    <w:p>
      <w:r>
        <w:t>24.8.3 [TECHNICAL AND RECOMMENDATORY STATUS] A technical action or recommendation informs authorized decision-making but is not a Legal Finding or binding Party decision unless the Compact expressly provides otherwise. Technical consensus, expert confidence, repeated citation, or Registry prominence does not change that status. A recommendation remains non-binding even when all participating experts agree. Downstream users preserve the source category and any stated limitations.</w:t>
      </w:r>
    </w:p>
    <w:p>
      <w:r>
        <w:t>24.8.4 [PARTY DECISION AND AMENDMENT] A Party decision binds only to the extent an operative Compact provision authorizes that decision and the required Parties use the prescribed procedure. An administrative body cannot convert its own output into a Party decision by unanimous internal vote. A Compact amendment proceeds only through Chapter 29 or another amendment mechanism expressly established by the Compact. Publication or implementation cannot cure a missing amendment authority.</w:t>
      </w:r>
    </w:p>
    <w:p>
      <w:r>
        <w:t>24.8.5 [LEGAL FINDING FIREWALL] A Legal Finding arises only through Chapter 26 or another provision expressly assigning legal-finding authority. An administrative or technical body does not acquire that authority through expertise, delegation of clerical tasks, consensus, or repeated practice. A system flag, score, validation result, recommendation, or institutional minute is not a Legal Finding. Any authorized downstream consequence remains limited to what the controlling provision permits.</w:t>
      </w:r>
    </w:p>
    <w:p>
      <w:pPr>
        <w:pStyle w:val="Heading2"/>
      </w:pPr>
      <w:r>
        <w:t xml:space="preserve">Article 24.9 - Administrative Decisions and Records</w:t>
      </w:r>
    </w:p>
    <w:p>
      <w:r>
        <w:t>24.9.1 [DECISION CONTENT] A material administrative decision identifies the responsible body, authority relied upon, scope, effective date, legal category, and implementation owner. Reasons are provided where the decision materially affects implementation, access, or a Party obligation and the controlling provision does not supply a more specific standard. The record is sufficiently clear to permit routing, correction, and review. Lawful confidentiality may protect sensitive material without concealing the legal basis of a restriction.</w:t>
      </w:r>
    </w:p>
    <w:p>
      <w:r>
        <w:t>24.9.2 [NON BINDING RECORDS] Meeting minutes, dashboards, emails, status notes, consensus summaries, and internal memoranda do not become binding treaty law merely because they are official records. Their evidentiary or procedural relevance follows the controlling Compact provision. Repetition, citation, or automated ingestion does not elevate their legal category. A downstream system preserves the original status and provenance.</w:t>
      </w:r>
    </w:p>
    <w:p>
      <w:r>
        <w:t>24.9.3 [NO DECISION BY SILENCE] Silence, failure to object, non-response, or administrative inactivity does not constitute an authorized decision unless a controlling Compact provision expressly assigns that consequence. A deemed decision or deemed completeness rule operates only within its stated scope. Administrative delay cannot be converted into substantive consent by local practice. The applicable clock and consequence remain traceable to their legal source.</w:t>
      </w:r>
    </w:p>
    <w:p>
      <w:r>
        <w:t>24.9.4 [CORRECTION AND VERSIONING] Material administrative records and decisions support correction, version history, and identification of superseded text under Chapter 22. A correction states whether legal effect changed and identifies the effective point of the correction where consequential. Superseded records remain available to authorized users for provenance and audit. Dependent systems receive corrections according to Chapter 22 propagation rules.</w:t>
      </w:r>
    </w:p>
    <w:p>
      <w:r>
        <w:t>24.9.5 [DISSENT AND REASONS] Material dissent is recorded where an authorized multi-Party body makes a consequential decision and dissent is relevant to legal or implementation status. The record distinguishes dissent from a lack of authority, abstention, absence, or unresolved technical question. Recording dissent does not create a veto unless the decision rule provides one. Reasons and dissent remain subject to confidentiality and publication rules.</w:t>
      </w:r>
    </w:p>
    <w:p>
      <w:pPr>
        <w:pStyle w:val="Heading2"/>
      </w:pPr>
      <w:r>
        <w:t xml:space="preserve">Article 24.10 - Working Groups and Task-Specific Bodies</w:t>
      </w:r>
    </w:p>
    <w:p>
      <w:r>
        <w:t>24.10.1 [WRITTEN MANDATE] A temporary working group or task-specific body operates under a written mandate identifying purpose, legal source, membership, chair or contact, outputs, reporting line, duration, and closure condition. The mandate distinguishes decision authority from advisory or technical work. A group does not exercise substantive authority beyond the mandate. The mandate and current status are recorded in the active-body register.</w:t>
      </w:r>
    </w:p>
    <w:p>
      <w:r>
        <w:t>24.10.2 [DEFINED OUTPUTS] A working group receives defined deliverables proportionate to the problem assigned to it. Outputs identify whether they are technical products, recommendations, administrative records, or authorized decisions. Open-ended study is not used to create a permanent institutional mission. Unfinished work at closure is transferred only through an authorized handoff.</w:t>
      </w:r>
    </w:p>
    <w:p>
      <w:r>
        <w:t>24.10.3 [TEMPORARY BY DEFAULT] A task-specific body expires on the date or condition stated in its mandate unless lawfully renewed. Repeated meetings, unfinished work, accumulated expertise, budget allocation, or stakeholder expectation does not itself extend the mandate. Renewal identifies continuing need, revised outputs, duration, and authority. Expired bodies cease consequential activity and archive records under Chapter 22.</w:t>
      </w:r>
    </w:p>
    <w:p>
      <w:r>
        <w:t>24.10.4 [MEMBERSHIP DISCIPLINE] Membership criteria reflect the expertise and governmental functions needed for the assigned task and preserve Party equality where the function is joint. Stakeholder or observer participation follows the controlling access rule and does not confer governmental decision power. Conflicts of interest are managed under applicable law and mandate rules. Membership changes do not alter the body’s authority.</w:t>
      </w:r>
    </w:p>
    <w:p>
      <w:r>
        <w:t>24.10.5 [ANTI PROLIFERATION REVIEW] Before creating or renewing a recurring working group, the responsible authorities assess whether an existing body can perform the function without material loss of effectiveness. Duplicative groups are avoided and overlapping mandates are clarified or consolidated through authorized action. Administrative convenience alone does not justify another standing structure. The active-body register identifies related bodies and closure dates.</w:t>
      </w:r>
    </w:p>
    <w:p>
      <w:pPr>
        <w:pStyle w:val="Heading2"/>
      </w:pPr>
      <w:r>
        <w:t xml:space="preserve">Article 24.11 - No Standing Body by Drift</w:t>
      </w:r>
    </w:p>
    <w:p>
      <w:r>
        <w:t>24.11.1 [EXPIRY AND RENEWAL] A temporary institutional body expires automatically according to its mandate and requires an affirmative authorized act for renewal. Renewal occurs before or promptly after expiry and does not retroactively validate consequential action taken without authority. A short continuity period may preserve records and administrative handoff but not substantive decision power. The renewal record states duration, function, and legal source.</w:t>
      </w:r>
    </w:p>
    <w:p>
      <w:r>
        <w:t>24.11.2 [NO PERMANENCE BY PRACTICE] Repeated meetings, budget lines, staffing, office space, software accounts, accumulated expertise, or routine reliance does not transform a temporary body into a permanent one. Institutional habit cannot substitute for a lawful mandate. An expired body may provide records or transition assistance only to the extent authorized for wind-down. New substantive work requires a valid body with assigned authority.</w:t>
      </w:r>
    </w:p>
    <w:p>
      <w:r>
        <w:t>24.11.3 [INSTITUTIONAL ANCESTRY] A renamed, merged, split, successor, or reconstituted body inherits the authority limits and unresolved obligations attached to the functions it receives. Rebranding does not reset duration, cure an expired mandate, enlarge jurisdiction, or erase pending review. A genuinely new function requires its own lawful source. The active-body register preserves predecessor-successor links.</w:t>
      </w:r>
    </w:p>
    <w:p>
      <w:r>
        <w:t>24.11.4 [ACTIVE BODY REGISTER] The Parties maintain a current register of joint and Compact-specific institutional bodies. The register identifies mandate source, status, membership structure, reporting line, creation date, expiry or review date, and assigned outputs. Absence from the register does not invalidate a body independently created by the Compact, but the omission is corrected promptly. The register does not create authority.</w:t>
      </w:r>
    </w:p>
    <w:p>
      <w:r>
        <w:t>24.11.5 [PERIODIC NECESSITY REVIEW] The Parties review active institutional bodies at least annually for necessity, duplication, mandate compliance, and administrative burden. A body no longer needed is allowed to expire or is discontinued through the process applicable to its legal source. Essential functions are reassigned before closure where necessary for continuity. Review does not become a mechanism for extinguishing substantive Compact rights.</w:t>
      </w:r>
    </w:p>
    <w:p>
      <w:pPr>
        <w:pStyle w:val="Heading2"/>
      </w:pPr>
      <w:r>
        <w:t xml:space="preserve">Article 24.12 - Delegation and Contractor Controls</w:t>
      </w:r>
    </w:p>
    <w:p>
      <w:r>
        <w:t>24.12.1 [LAWFUL DELEGATION] A Party delegates an institutional function only to the extent the delegating authority lawfully possesses and may delegate that function. The delegation identifies scope, duration, responsible governmental owner, information access, and applicable limits. A delegate cannot exercise greater authority than the delegating authority. Ultimate Compact responsibility remains with the Party unless the Compact expressly provides otherwise.</w:t>
      </w:r>
    </w:p>
    <w:p>
      <w:r>
        <w:t>24.12.2 [CONTRACTOR FIREWALL] A contractor, vendor, laboratory, consultant, platform operator, or other service provider does not become a treaty regulator, adjudicator, or authoritative interpreter by performing services. A contract may assign technical or administrative tasks within governmental authority but cannot manufacture public power. Government remains responsible for consequential outputs and review routes. Users can identify the responsible governmental authority for a contractor-supported process.</w:t>
      </w:r>
    </w:p>
    <w:p>
      <w:r>
        <w:t>24.12.3 [SOFTWARE IS NOT LAW] Software rules, validation schemas, workflow states, scoring logic, form constraints, and automated routing do not create substantive legal requirements absent independent Compact authority. A system may operationalize a valid rule but preserves the rule’s source, limits, and exceptions. A technical inability to represent a lawful outcome does not extinguish that outcome. Material software defects affecting treatment are corrected through Chapters 22, 25, or the controlling procedure.</w:t>
      </w:r>
    </w:p>
    <w:p>
      <w:r>
        <w:t>24.12.4 [PROCUREMENT AUTHORITY LIMITS] Procurement instruments for Compact administration state the contractor’s authority limits, data duties, audit obligations, continuity requirements, and termination or transition responsibilities. Contract terms do not displace Compact rights, review routes, or governmental accountability. Proprietary design is not used to conceal a consequential legal rule from authorized review. Material subcontracting preserves equivalent controls.</w:t>
      </w:r>
    </w:p>
    <w:p>
      <w:r>
        <w:t>24.12.5 [CONTRACTOR AUDIT] Contractor-supported decisions or processes materially affecting trade, access, data integrity, or Compact administration remain auditable by the responsible Party. Audit access is proportionate to the function and protects lawful confidential and proprietary information. A contractor retains records needed to reconstruct consequential processing and corrections. Audit findings do not themselves become Legal Findings unless the Compact assigns that status.</w:t>
      </w:r>
    </w:p>
    <w:p>
      <w:pPr>
        <w:pStyle w:val="Heading2"/>
      </w:pPr>
      <w:r>
        <w:t xml:space="preserve">Article 24.13 - Administrative Clocks and Responsibility</w:t>
      </w:r>
    </w:p>
    <w:p>
      <w:r>
        <w:t>24.13.1 [CLOCK OWNER] Every recurring Compact deadline administered under Chapter 24 has an identified governmental owner or responsible body. The owner tracks the clock, coordinates participating offices, and maintains a usable escalation contact. Internal division of labor does not make the participant responsible for determining which office consumed government time. The Authority Map identifies the owner where the function is recurring.</w:t>
      </w:r>
    </w:p>
    <w:p>
      <w:r>
        <w:t>24.13.2 [NO INTERNAL CLOCK RESET] Internal transfer, reassignment, vacancy, reorganization, interagency disagreement, contractor change, or change of personnel does not stop or reset a Compact clock unless the controlling provision expressly provides otherwise. Government time remains government time across internal handoffs. A lawful participant-caused suspension is distinguished from internal delay. The record identifies any authorized pause and its basis.</w:t>
      </w:r>
    </w:p>
    <w:p>
      <w:r>
        <w:t>24.13.3 [SINGLE MATTER CONTINUITY] A matter retains its filing date, persistent identifier, material record, and applicable clock as it moves among participating authorities. A receiving office does not require refiling merely because internal jurisdiction changed. New information may be requested only under the controlling substantive or procedural rule. Handoff records identify responsibility and outstanding action.</w:t>
      </w:r>
    </w:p>
    <w:p>
      <w:r>
        <w:t>24.13.4 [STRANDED MATTER ESCALATION] Each Party provides an escalation route for a matter that lacks a responsible office, exceeds a material clock, or becomes stranded by institutional failure. Escalation routes the matter and does not itself decide substantive merits. The responsible authority records the cause of the administrative failure and corrective owner. Use of escalation does not prejudice the participant or restart the clock.</w:t>
      </w:r>
    </w:p>
    <w:p>
      <w:r>
        <w:t>24.13.5 [MISSED CLOCK CONSEQUENCE] The legal consequence of a missed administrative clock is determined by the Compact provision that established the clock. Chapter 24 does not invent deemed approval, damages, tariff treatment, or substantive entitlement where the controlling provision does not provide it. Administrative performance data records missed clocks for systemic review. Chapter 25 addresses material non-performance within its jurisdiction.</w:t>
      </w:r>
    </w:p>
    <w:p>
      <w:pPr>
        <w:pStyle w:val="Heading2"/>
      </w:pPr>
      <w:r>
        <w:t xml:space="preserve">Article 24.14 - Records, Registry, and Institutional Memory</w:t>
      </w:r>
    </w:p>
    <w:p>
      <w:r>
        <w:t>24.14.1 [CHAPTER 22 CONTROL] Chapter 22 governs Registry architecture, provenance, correction, publication, confidentiality, and data-status rules for Chapter 24 records. Chapter 24 uses that architecture rather than creating a parallel database universe. A specialized administrative record may exist outside the Registry where operationally necessary but remains linked by provenance where consequential. The specialized system does not create a competing legal status.</w:t>
      </w:r>
    </w:p>
    <w:p>
      <w:r>
        <w:t>24.14.2 [INSTITUTIONAL RECORD PROVENANCE] A consequential institutional record identifies its source body, date, legal category, version, and controlling authority where applicable. Records preserve sufficient provenance to distinguish original decisions from summaries, copies, technical transformations, and downstream displays. Migration between systems retains that lineage. Missing provenance is corrected without manufacturing legal effect.</w:t>
      </w:r>
    </w:p>
    <w:p>
      <w:r>
        <w:t>24.14.3 [RETENTION AND ARCHIVE] Institutional records are retained according to Chapter 22, applicable law, and the operational needs of the assigned function. Closure or dissolution of a body triggers orderly archival transfer rather than destruction of institutional memory. Retention remains proportionate and respects data-minimization and confidentiality rules. Archived status does not preserve expired authority.</w:t>
      </w:r>
    </w:p>
    <w:p>
      <w:r>
        <w:t>24.14.4 [CORRECTION HISTORY] Material corrections to institutional records preserve the superseded version, correction reason, effective point, and propagation status where consequential. A corrected record does not silently rewrite historical actions taken under the earlier version. Downstream treatment follows the controlling correction and Restoration rules. Authorized users can reconstruct the relevant sequence.</w:t>
      </w:r>
    </w:p>
    <w:p>
      <w:r>
        <w:t>24.14.5 [CONTINUITY OF MEMORY] Successor authorities receive the records, pending-matter context, mandates, and institutional history reasonably necessary to perform inherited functions. Knowledge held by a departing employee, contractor, or dissolved group is not treated as an adequate substitute for maintained records. Continuity measures prioritize active obligations and legally consequential records. Access remains role-based and purpose-limited.</w:t>
      </w:r>
    </w:p>
    <w:p>
      <w:pPr>
        <w:pStyle w:val="Heading2"/>
      </w:pPr>
      <w:r>
        <w:t xml:space="preserve">Article 24.15 - Confidentiality and Information Governance</w:t>
      </w:r>
    </w:p>
    <w:p>
      <w:r>
        <w:t>24.15.1 [INCORPORATION OF CHAPTER 22] Chapter 22 remains controlling for confidentiality and information governance unless a more specific Compact provision expressly applies. Chapter 24 does not create duplicate confidentiality classifications or parallel disclosure standards. Institutional actors use the Chapter 22 status and provenance attached to information. Conflicting local handling instructions are resolved through the controlling legal hierarchy.</w:t>
      </w:r>
    </w:p>
    <w:p>
      <w:r>
        <w:t>24.15.2 [ROLE BASED ACCESS] Access to non-public institutional information is limited according to assigned function, lawful purpose, and role. Administrative convenience or institutional seniority does not by itself justify access. Access changes follow personnel, delegation, contractor, and succession changes promptly. Material access events remain auditable where required by Chapter 22 or applicable law.</w:t>
      </w:r>
    </w:p>
    <w:p>
      <w:r>
        <w:t>24.15.3 [PURPOSE LIMITATION AND MINIMIZATION] Institutional bodies collect, use, retain, and share information only to the extent reasonably necessary for an assigned function or another lawful purpose. A new institutional use requires a lawful basis and does not arise merely because the data is technically available. Data fields and retention practices are reviewed for unnecessary burden. Chapter 22 governs derivative data and downstream use.</w:t>
      </w:r>
    </w:p>
    <w:p>
      <w:r>
        <w:t>24.15.4 [CROSS BORDER SHARING] Cross-Party information sharing follows Chapter 22 and any specialized Compact safeguards governing the information. Transmission preserves provenance, confidentiality status, permitted purpose, and correction history. Receipt does not enlarge the receiving body’s authority to use the information. A material onward transfer remains traceable where required.</w:t>
      </w:r>
    </w:p>
    <w:p>
      <w:r>
        <w:t>24.15.5 [LEGAL BASIS VISIBILITY] Confidentiality does not conceal the existence or legal basis of a material restriction, administrative requirement, or consequential institutional decision. Protected facts may be redacted or summarized to the extent lawfully necessary. The explanation remains sufficient to identify the authority and available review route without reconstructing protected content. Security incidents and unauthorized disclosures follow Chapter 22 response rules.</w:t>
      </w:r>
    </w:p>
    <w:p>
      <w:pPr>
        <w:pStyle w:val="Heading2"/>
      </w:pPr>
      <w:r>
        <w:t xml:space="preserve">Article 24.16 - Budget, Staffing, and Resource Discipline</w:t>
      </w:r>
    </w:p>
    <w:p>
      <w:r>
        <w:t>24.16.1 [EXISTING RESOURCE PREFERENCE] The Parties use existing institutions, staff, infrastructure, and shared systems where practicable to perform Chapter 24 functions. New dedicated capacity is used where existing resources cannot meet an assigned function effectively or resiliently. Resource choices remain proportionate to workload and legal responsibility. Administrative design does not create unnecessary compliance burden for users.</w:t>
      </w:r>
    </w:p>
    <w:p>
      <w:r>
        <w:t>24.16.2 [FUNCTION BASED STAFFING] Staffing and contracted capacity correspond to assigned functions, workload, service requirements, and continuity needs. Budget availability does not itself create a new institutional mission. A new recurring function receives legal authority before resources are used to operationalize it. Material staffing changes preserve pending obligations and clock ownership.</w:t>
      </w:r>
    </w:p>
    <w:p>
      <w:r>
        <w:t>24.16.3 [BUDGET TRANSPARENCY] Joint or Compact-specific administrative expenditures are recorded with sufficient transparency for the Parties to understand function, allocation, and material changes. Lawful confidential procurement information may be protected without obscuring aggregate institutional cost and purpose. Budget records distinguish temporary projects from recurring institutional capacity. Financial reporting does not create substantive audit jurisdiction beyond assigned authority.</w:t>
      </w:r>
    </w:p>
    <w:p>
      <w:r>
        <w:t>24.16.4 [NO REVENUE AUTHORITY] No Chapter 24 institution possesses independent taxing, tariff, fee-setting, borrowing, or revenue-raising authority unless the Compact expressly grants a specific power. Administrative costs are funded through Party arrangements or another lawful source. A service charge authorized elsewhere remains governed by that provision and applicable law. Budget pressure does not justify an unauthorized user fee or market-access condition.</w:t>
      </w:r>
    </w:p>
    <w:p>
      <w:r>
        <w:t>24.16.5 [RESOURCE NECESSITY REVIEW] The Parties periodically review recurring administrative resources for necessity, duplication, resilience, and burden. Cost allocation among Parties follows an agreed method appropriate to the function and does not alter Party equality or substantive rights. Resource reductions preserve minimum capacity needed for operative obligations. Resource expansion remains tied to authorized functions rather than institutional self-preservation.</w:t>
      </w:r>
    </w:p>
    <w:p>
      <w:pPr>
        <w:pStyle w:val="Heading2"/>
      </w:pPr>
      <w:r>
        <w:t xml:space="preserve">Article 24.17 - Performance and Administrative Metrics</w:t>
      </w:r>
    </w:p>
    <w:p>
      <w:r>
        <w:t>24.17.1 [PERFORMANCE MEASURES] The Parties may measure processing times, backlogs, outages, corrections, missed clocks, user burden, implementation quality, and other operational indicators relevant to assigned functions. Metrics use defined populations, periods, and methods sufficient for meaningful interpretation. Measurement supports administration and review rather than creating new substantive standards. Material methodology changes retain version history.</w:t>
      </w:r>
    </w:p>
    <w:p>
      <w:r>
        <w:t>24.17.2 [NO QUOTA CONVERSION] A performance metric does not become a substantive quota, eligibility rule, enforcement threshold, or Legal Finding unless the Compact independently authorizes that effect. Targets for timeliness or service quality do not justify rejection, superficial review, or avoidance of difficult matters. Officials remain responsible for applying controlling legal standards. Automated dashboards preserve this non-substantive status.</w:t>
      </w:r>
    </w:p>
    <w:p>
      <w:r>
        <w:t>24.17.3 [DENOMINATOR AND CONTEXT DISCIPLINE] Published or relied-upon metrics identify material denominator, exclusions, period, and context needed to avoid misleading comparisons. A change in case mix, outage, emergency, or reporting method is disclosed where it materially affects interpretation. Aggregate performance does not determine an individual matter without independent authority. Corrections follow Chapter 22 provenance rules.</w:t>
      </w:r>
    </w:p>
    <w:p>
      <w:r>
        <w:t>24.17.4 [CHALLENGE AND CORRECTION] A Party may identify a material error in an institutional metric and request correction through the assigned administrative route. The responsible body examines source data, methodology, and provenance without turning the process into substantive dispute settlement. A corrected metric propagates to consequential displays under Chapter 22. Disagreement over policy significance remains distinct from correction of factual or methodological error.</w:t>
      </w:r>
    </w:p>
    <w:p>
      <w:r>
        <w:t>24.17.5 [METRIC REVIEW] The Parties periodically review metrics for usefulness, burden, gaming incentives, and unintended effects. A metric that rewards delay concealment, easy-case selection, over-rejection, or other distorted behavior is revised or discontinued. Metric proliferation is avoided where existing measures answer the same administrative question. Review outcomes do not alter substantive Compact rights by themselves.</w:t>
      </w:r>
    </w:p>
    <w:p>
      <w:pPr>
        <w:pStyle w:val="Heading2"/>
      </w:pPr>
      <w:r>
        <w:t xml:space="preserve">Article 24.18 - Continuity, Vacancy, and Institutional Failure</w:t>
      </w:r>
    </w:p>
    <w:p>
      <w:r>
        <w:t>24.18.1 [OBLIGATION CONTINUITY] Government change, election, vacancy, resignation, reorganization, funding interruption, or personnel turnover does not erase an operative Compact obligation. A Party maintains successor responsibility and practical contact arrangements for assigned functions. Temporary internal incapacity is managed through fallback procedures where available. The controlling provision determines any legal consequence of non-performance.</w:t>
      </w:r>
    </w:p>
    <w:p>
      <w:r>
        <w:t>24.18.2 [SYSTEM FAILURE] A cyber incident, system outage, facility failure, natural event, or other administrative disruption triggers proportionate continuity measures for affected functions. Manual, paper, alternate digital, or successor channels are used where reasonably necessary and legally permissible. Fallback processing preserves filing dates, provenance, confidentiality, and applicable clocks to the extent practicable. Restoration of normal systems does not require participants to restart preserved matters.</w:t>
      </w:r>
    </w:p>
    <w:p>
      <w:r>
        <w:t>24.18.3 [FALLBACK AUTHORITY] Each Party maintains fallback contacts and identifies an authority capable of receiving urgent institutional communications when the ordinary channel is unavailable. Fallback receipt preserves routing and timing but does not confer substantive decision authority beyond what the receiving body lawfully holds. The matter is transferred to the competent authority when available. The handoff retains the original receipt record.</w:t>
      </w:r>
    </w:p>
    <w:p>
      <w:r>
        <w:t>24.18.4 [NO EXCEPTION BY FAILURE AND FUNCTIONAL EQUIVALENCE] Institutional failure does not create a general state of exception permitting actors to bypass the Compact, and emergency coordination uses the chapter or provision assigned to the relevant emergency where applicable. A manual, paper, alternate digital, successor, or other continuity mechanism preserves only the assigned function and does not create a substantive decision power, legal standard, validation requirement, eligibility condition, adverse consequence, or discretionary authority unavailable to the ordinary lawful system merely because the fallback uses a different workflow or technical architecture. Temporary continuity measures remain functionally equivalent in legal effect, no broader or longer than reasonably necessary to preserve the assigned function, and subject to the same authority limits, participant protections, review routes, and applicable substantive standards as the function they replace. Material deviations, fallback rules, duration, affected processes, and restoration steps are recorded, and a continuity mechanism that requires materially different authority proceeds only through the Compact process capable of lawfully supplying that authority.</w:t>
      </w:r>
    </w:p>
    <w:p>
      <w:r>
        <w:t>24.18.5 [RESTORATION OF ADMINISTRATION] After a material institutional failure, the responsible Party restores affected administrative capacity and addresses correctable operational consequences through the controlling Compact mechanisms. Restoration includes records, queues, clocks, access channels, and dependent systems where affected. A paper declaration of restored service is insufficient where consequential systems remain unusable. Chapter 25 governs cure and Restoration where its jurisdiction applies.</w:t>
      </w:r>
    </w:p>
    <w:p>
      <w:pPr>
        <w:pStyle w:val="Heading2"/>
      </w:pPr>
      <w:r>
        <w:t xml:space="preserve">Article 24.19 - Anti-Capture, Anti-Gaming, and Institutional Restraint</w:t>
      </w:r>
    </w:p>
    <w:p>
      <w:r>
        <w:t>24.19.1 [ANTI CAPTURE] Institutional administration is structured to resist control by a Party office, incumbent firm, stakeholder bloc, contractor, vendor, or administrative body beyond authority assigned by the Compact. Participation, expertise, funding, hosting, or technical control does not confer extra legal competence. Material conflicts and concentrated operational dependencies are managed through applicable safeguards. Anti-capture measures do not exclude legitimate expertise or stakeholder access authorized elsewhere.</w:t>
      </w:r>
    </w:p>
    <w:p>
      <w:r>
        <w:t>24.19.2 [NO FORUM SHIFTING] An actor does not move a matter among committees, working groups, secretariat functions, contractors, or domestic offices to obtain authority or a legal effect unavailable in the proper forum. Routing for expertise or administration remains permissible when the receiving actor stays within its function. The legal status of the matter does not improve through institutional travel. Material transfers preserve provenance and review routes.</w:t>
      </w:r>
    </w:p>
    <w:p>
      <w:r>
        <w:t>24.19.3 [NO RESPONSIBILITY FRAGMENTATION] Institutional design does not divide an assigned obligation among enough actors that no body remains accountable for performance. The Authority Map identifies a responsible governmental owner for recurring functions and clocks. Supporting offices and contractors remain traceable within that responsibility chain. Internal complexity is not a defense to material non-performance.</w:t>
      </w:r>
    </w:p>
    <w:p>
      <w:r>
        <w:t>24.19.4 [NO AUTHORITY BY CONSENSUS] Consensus may exercise a power only where the Compact assigns that power and permits the applicable decision method. Unanimity among officials, experts, stakeholders, contractors, or institutional bodies does not create jurisdiction that none possesses. A consensus recommendation remains a recommendation unless lawfully adopted through an authorized mechanism. The record preserves both consensus and legal category.</w:t>
      </w:r>
    </w:p>
    <w:p>
      <w:r>
        <w:t>24.19.5 [INSTITUTIONAL RESTRAINT REVIEW] The Parties periodically test recurring institutional practices for mandate drift, committee multiplication, responsibility fragmentation, software-created rules, and other forms of institutional laundering. Renamed, merged, successor, or contractor-supported functions remain subject to institutional ancestry. A practice found unsupported is corrected, discontinued, or lawfully authorized without retroactively manufacturing authority. Review findings route systemic non-performance to Chapter 25 where applicable.</w:t>
      </w:r>
    </w:p>
    <w:p>
      <w:pPr>
        <w:pStyle w:val="Heading2"/>
      </w:pPr>
      <w:r>
        <w:t xml:space="preserve">Article 24.20 - Review, Cure, and Jurisdictional Finality</w:t>
      </w:r>
    </w:p>
    <w:p>
      <w:r>
        <w:t>24.20.1 [CHAPTER 25 CURE] A material failure to perform an operative Chapter 24 obligation proceeds through Chapter 25 to the extent that Chapter assigns cure and Restoration. Cure addresses the defective institutional practice, responsibility chain, record, clock, or continuity mechanism rather than creating a new substantive agricultural entitlement. Restoration returns administration to the legally required state and addresses correctable operational consequences within Compact authority. Chapter 24 creates no independent penalty or retaliation mechanism.</w:t>
      </w:r>
    </w:p>
    <w:p>
      <w:r>
        <w:t>24.20.2 [CHAPTER 26 DISPUTE INTERFACE] Chapter 26 governs legal disputes concerning Chapter 24 obligations within its jurisdiction. Institutional records, audits, metrics, recommendations, or meeting minutes may supply evidence according to their provenance but do not themselves become Legal Findings. Chapter 24 does not create a separate tribunal, appeal track, or stakeholder state-to-state claim. Remedies remain those authorized by the controlling dispute provisions.</w:t>
      </w:r>
    </w:p>
    <w:p>
      <w:r>
        <w:t>24.20.3 [CHAPTER 29 MODERNIZATION] Chapter 29 governs authorized technical modernization and amendment within its assigned scope. Contact details, routing tables, forms, data fields, and other non-substantive administrative tools may be updated only through authority sufficient for the change. A technical update does not create a new institution, substantive right, enforcement power, or legal standard. Material institutional redesign uses the decision or amendment process required by the Compact.</w:t>
      </w:r>
    </w:p>
    <w:p>
      <w:r>
        <w:t>24.20.4 [REDUNDANCY AND NECESSITY] The Parties periodically review Chapter 24 institutions and recurring functions for continuing necessity, duplication, and administrative burden. A redundant function is consolidated, allowed to expire, or discontinued through the process applicable to its legal source while preserving any operative obligation it served. Failure to act on a review does not itself prolong an expired temporary mandate or extinguish an existing Compact obligation. Continuity measures protect pending matters during lawful consolidation or closure.</w:t>
      </w:r>
    </w:p>
    <w:p>
      <w:r>
        <w:t>24.20.5 [FINAL JURISDICTIONAL LOCK] No budget, staff position, meeting, consensus, software rule, contractor practice, authority-map entry, Registry display, repeated practice, institutional custom, non-objection, or administrative necessity enlarges Chapter 24 beyond authority granted by the Compact. Chapter 24 does not become an independent regulator, legislature, tribunal, enforcement system, amendment mechanism, or source of substantive agricultural law. Institutional administration supports assigned functions while substantive authority remains where the Compact places it. Administration follows assigned functions, and assigned functions do not expand merely because administration becomes convenient.</w:t>
      </w:r>
    </w:p>
    <w:p>
      <w:pPr>
        <w:pStyle w:val="Heading1"/>
      </w:pPr>
      <w:r>
        <w:t>Chapter 25 - Consultations, Cure, and Automatic Restoration</w:t>
      </w:r>
    </w:p>
    <w:p>
      <w:pPr>
        <w:pStyle w:val="Normal"/>
      </w:pPr>
      <w:r>
        <w:t xml:space="preserve">Chapter 25 establishes a correction-first, Cothrom-based pathway from sufficient notice through bounded consultation, measurable cure, objective verification, and Automatic Restoration while preserving specialized chapter authority and reserving unresolved legal adjudication to Chapter 26.</w:t>
      </w:r>
    </w:p>
    <w:p>
      <w:pPr>
        <w:pStyle w:val="Heading2"/>
      </w:pPr>
      <w:r>
        <w:t xml:space="preserve">Article 25.1 - Purpose, Scope, and Correction-First Principle</w:t>
      </w:r>
    </w:p>
    <w:p>
      <w:pPr>
        <w:pStyle w:val="Normal"/>
      </w:pPr>
      <w:r>
        <w:t>25.1.1 [CORRECTION-FIRST ARCHITECTURE] Chapter 25 provides a correction-first pathway for alleged non-performance that can be resolved without formal adjudication. The pathway proceeds through sufficient notice, bounded consultation, cure, verification, and Automatic Restoration according to the function assigned at each stage. Chapter 25 fixes implementation problems while Chapter 26 adjudicates genuinely unresolved legal disputes. Use of this Chapter does not enlarge the substantive obligation alleged to require correction.</w:t>
      </w:r>
    </w:p>
    <w:p>
      <w:pPr>
        <w:pStyle w:val="Normal"/>
      </w:pPr>
      <w:r>
        <w:t>25.1.2 [COTHROM CURE PRINCIPLE] Cothrom Cure applies proportional, reversible, obligation-preserving correction to non-performance within the scope of this Chapter. A cure isolates the affected treatment, identifies a measurable corrective condition, uses the least disruptive lawful response, and restores treatment when that condition is satisfied. Unrelated rights, products, sectors, and completed liberalization remain outside the cure unless an independent Compact provision lawfully reaches them. Cure architecture survives disagreement without converting temporary correction into permanent punishment.</w:t>
      </w:r>
    </w:p>
    <w:p>
      <w:pPr>
        <w:pStyle w:val="Normal"/>
      </w:pPr>
      <w:r>
        <w:t>25.1.3 [CURE WITHOUT CONFESSION] A Party may correct alleged non-performance, participate in consultations, propose a cure plan, or accept verification without admitting breach, liability, bad faith, or the legal characterization advanced by another Party. A voluntary correction may close the practical problem even where the Parties continue to disagree about the historical legal characterization. Records distinguish corrective action from any separate admission expressly made by the Party. Chapter 26 remains available for a legal issue that materially survives the completed correction and satisfies its jurisdictional requirements.</w:t>
      </w:r>
    </w:p>
    <w:p>
      <w:pPr>
        <w:pStyle w:val="Normal"/>
      </w:pPr>
      <w:r>
        <w:t>25.1.4 [CONTINUITY OF COMPACT] A Chapter 25 process does not suspend, reopen, diminish, re-age, or condition an unrelated Vested Market-Access Right, Zero-Line Status, Completed Liberalization Milestone, or other accrued treatment. A temporary response exists only to the extent independently authorized by the Compact and remains confined to its lawful scope. The ordinary legal baseline continues beneath any temporary overlay. Completion of cure removes the overlay without creating a new baseline.</w:t>
      </w:r>
    </w:p>
    <w:p>
      <w:pPr>
        <w:pStyle w:val="Normal"/>
      </w:pPr>
      <w:r>
        <w:t>25.1.5 [NO PUNITIVE PURPOSE] Chapter 25 is not used to punish a Party, obtain political leverage, or extract a concession unrelated to the identified non-performance. Temporary treatment under this Chapter addresses a defined unresolved condition and remains capable of reversal. Severity, rhetoric, political disagreement, or dissatisfaction with lawful conduct does not substitute for the legal and factual predicates required by the Compact. Chapter 26 governs remedies requiring adjudication beyond the correction functions expressly assigned here.</w:t>
      </w:r>
    </w:p>
    <w:p>
      <w:pPr>
        <w:pStyle w:val="Heading2"/>
      </w:pPr>
      <w:r>
        <w:t xml:space="preserve">Article 25.2 - Eligible Matters, Materiality, and Scope</w:t>
      </w:r>
    </w:p>
    <w:p>
      <w:pPr>
        <w:pStyle w:val="Normal"/>
      </w:pPr>
      <w:r>
        <w:t>25.2.1 [ELIGIBLE NON-PERFORMANCE] A matter enters Chapter 25 where a Party identifies an act, omission, measure, administrative practice, implementation defect, or failure to perform that is plausibly inconsistent with an operative Compact obligation and is capable of correction. Political disagreement, commercial disappointment, a lawful policy choice, or dissatisfaction with an outcome does not by itself constitute non-performance. The notice identifies the operative obligation and the conduct said to depart from it. A specialized chapter controls where it supplies a more specific correction procedure.</w:t>
      </w:r>
    </w:p>
    <w:p>
      <w:pPr>
        <w:pStyle w:val="Normal"/>
      </w:pPr>
      <w:r>
        <w:t>25.2.2 [MATERIALITY] Chapter 25 treatment is proportionate to the materiality of the alleged or verified non-performance. Relevant factors include scale, duration, commercial effect, affected trade, recurrence, operational consequence, and the importance of the right or process affected. No single factor is automatically controlling unless another Compact provision makes it controlling. Materiality analysis distinguishes observed effects from speculative or unrelated effects.</w:t>
      </w:r>
    </w:p>
    <w:p>
      <w:pPr>
        <w:pStyle w:val="Normal"/>
      </w:pPr>
      <w:r>
        <w:t>25.2.3 [DE MINIMIS MATTERS] An isolated and immaterial deviation that is promptly corrected ordinarily closes through rapid administrative correction without heavier Chapter 25 machinery. Repeated small deviations may be considered together only where evidence establishes a connected pattern, common cause, coordinated practice, or continuing operational defect. Mere numerical accumulation does not transform unrelated minor events into Material Non-Performance. A Party records the basis for treating repeated events as one connected matter.</w:t>
      </w:r>
    </w:p>
    <w:p>
      <w:pPr>
        <w:pStyle w:val="Normal"/>
      </w:pPr>
      <w:r>
        <w:t>25.2.4 [AFFECTED TREATMENT] Every Chapter 25 matter identifies the treatment actually affected by the alleged non-performance. The affected treatment may include a tariff line, managed-access quantity, license, recognition, payment, release, Registry status, administrative process, or other treatment created or protected by the Compact. Scope is stated by Product Record ID, transaction, entity, measure, period, or other precise identifier where available. Cure and any temporary response remain no broader than the supported affected scope.</w:t>
      </w:r>
    </w:p>
    <w:p>
      <w:pPr>
        <w:pStyle w:val="Normal"/>
      </w:pPr>
      <w:r>
        <w:t>25.2.5 [NO RETROACTIVE EXPANSION] A Chapter 25 process does not retroactively enlarge the obligation identified in the notice or create liability for conduct outside its lawful temporal scope. Later evidence may clarify the noticed matter without rewriting the legal standard that governed the conduct. A materially new allegation uses an amended or new notice sufficient to permit a meaningful response. Historical facts remain historical even when prospective correction changes future treatment.</w:t>
      </w:r>
    </w:p>
    <w:p>
      <w:pPr>
        <w:pStyle w:val="Heading2"/>
      </w:pPr>
      <w:r>
        <w:t xml:space="preserve">Article 25.3 - Notice of Alleged Non-Performance</w:t>
      </w:r>
    </w:p>
    <w:p>
      <w:pPr>
        <w:pStyle w:val="Normal"/>
      </w:pPr>
      <w:r>
        <w:t>25.3.1 [FORMAL TRIGGER] A written Notice of Alleged Non-Performance formally initiates the Party-to-Party Chapter 25 process. Informal communications may support rapid correction but do not start a Chapter 25 clock unless the Parties expressly treat a writing as the formal notice. The notice is transmitted through the Chapter 22 Registry and routed under Chapter 24. The Registry timestamp establishes the formal receipt time.</w:t>
      </w:r>
    </w:p>
    <w:p>
      <w:pPr>
        <w:pStyle w:val="Normal"/>
      </w:pPr>
      <w:r>
        <w:t>25.3.2 [NOTICE CONTENT] The notice identifies the operative obligation, challenged act or omission, factual basis, affected treatment, materiality basis, requested correction, and known Product Record IDs or equivalent identifiers. It states the period and affected transactions or administrative processes with the specificity reasonably available to the complaining Party. Confidential information may be protected through Chapter 22 while a usable non-confidential description is provided where lawful. The notice contains enough information for the responding Party to identify what it is being asked to correct.</w:t>
      </w:r>
    </w:p>
    <w:p>
      <w:pPr>
        <w:pStyle w:val="Normal"/>
      </w:pPr>
      <w:r>
        <w:t>25.3.3 [PARTICULARIZATION] A Party does not start consequential clocks through a generalized accusation that fails to identify an obligation or reasonably identifiable conduct. Uncertainty about a fact that is genuinely unavailable to the complaining Party does not defeat notice where the remaining information permits a meaningful response. The responding Party identifies any material ambiguity promptly rather than preserving it as a later procedural objection. The Parties may particularize the record during consultation without treating clarification as a new allegation.</w:t>
      </w:r>
    </w:p>
    <w:p>
      <w:pPr>
        <w:pStyle w:val="Normal"/>
      </w:pPr>
      <w:r>
        <w:t>25.3.4 [NOTICE ACKNOWLEDGMENT] The responding Party acknowledges formal receipt within five business days and identifies the coordinating official and responsible authority known at that time. Failure to acknowledge does not prevent the Registry timestamp from starting an otherwise applicable clock. Internal routing, vacancy, reorganization, or disagreement about domestic ownership remains the responding Party's administrative responsibility. A later change of responsible authority does not restart the notice clock.</w:t>
      </w:r>
    </w:p>
    <w:p>
      <w:pPr>
        <w:pStyle w:val="Normal"/>
      </w:pPr>
      <w:r>
        <w:t>25.3.5 [NOTICE RECORD] The Chapter 22 Registry records the notice date, Parties, affected treatment, identifiers, confidentiality status, responsible authorities, and procedural status. Registry display does not constitute a Legal Finding or admission that non-performance occurred. A corrected or amended notice preserves version history and provenance. Public access follows Chapter 22 confidentiality and transparency rules.</w:t>
      </w:r>
    </w:p>
    <w:p>
      <w:pPr>
        <w:pStyle w:val="Heading2"/>
      </w:pPr>
      <w:r>
        <w:t xml:space="preserve">Article 25.4 - Notice Sufficiency, Correction, and Amendment</w:t>
      </w:r>
    </w:p>
    <w:p>
      <w:pPr>
        <w:pStyle w:val="Normal"/>
      </w:pPr>
      <w:r>
        <w:t>25.4.1 [SUFFICIENCY STANDARD] A notice is sufficient when it identifies the alleged non-performance with enough factual and legal specificity to permit a meaningful response and a practical cure discussion. Minor drafting errors, citation mistakes, formatting defects, or omissions that do not materially impair understanding are correctable and do not defeat genuine notice. A notice that leaves the responding Party unable to identify the obligation or conduct does not start the affected cure clock. The responding Party states a material sufficiency objection with particularity.</w:t>
      </w:r>
    </w:p>
    <w:p>
      <w:pPr>
        <w:pStyle w:val="Normal"/>
      </w:pPr>
      <w:r>
        <w:t>25.4.2 [NOTICE CORRECTION] The complaining Party may correct a curable notice defect within five business days after a particularized sufficiency objection or after discovering the defect independently. A correction that does not materially enlarge the allegation relates back to the original notice date. A correction that materially enlarges the affected conduct, obligation, or period starts a reasonable response period for the newly added matter. The original matter continues on its existing clock to the extent it remains independently sufficient.</w:t>
      </w:r>
    </w:p>
    <w:p>
      <w:pPr>
        <w:pStyle w:val="Normal"/>
      </w:pPr>
      <w:r>
        <w:t>25.4.3 [NO PLEADING GAMES] Neither Party uses technical notice objections to obstruct correction of a reasonably identifiable problem. The complaining Party likewise does not use vague language to reserve unidentified allegations for later expansion. Procedural treatment favors a clear merits-facing record without sacrificing fair notice. A dispute about notice sufficiency may proceed to the procedural route assigned by Chapter 26 if it materially blocks further action.</w:t>
      </w:r>
    </w:p>
    <w:p>
      <w:pPr>
        <w:pStyle w:val="Normal"/>
      </w:pPr>
      <w:r>
        <w:t>25.4.4 [AMENDMENT] The complaining Party may amend a notice to correct facts, add newly discovered related conduct, narrow the matter, or remove an allegation. An amendment identifies what changed and whether the new material is claimed to share causal ancestry with the original matter. The responding Party receives a reasonable opportunity to address materially new content without resetting unrelated portions of the process. An amendment cannot quietly convert one dispute into an unrelated dispute.</w:t>
      </w:r>
    </w:p>
    <w:p>
      <w:pPr>
        <w:pStyle w:val="Normal"/>
      </w:pPr>
      <w:r>
        <w:t>25.4.5 [WITHDRAWAL AND CLOSURE] The complaining Party may withdraw a notice in whole or in severable part by Registry notice. Withdrawal closes the withdrawn portion without establishing that the allegation was correct or incorrect. A completed voluntary correction may be recorded as the reason for closure where the Parties agree or the record objectively supports that description. Withdrawal does not erase independently accrued rights, completed Restoration, or records required by Chapter 22.</w:t>
      </w:r>
    </w:p>
    <w:p>
      <w:pPr>
        <w:pStyle w:val="Heading2"/>
      </w:pPr>
      <w:r>
        <w:t xml:space="preserve">Article 25.5 - Initial Consultation and Rapid Resolution</w:t>
      </w:r>
    </w:p>
    <w:p>
      <w:pPr>
        <w:pStyle w:val="Normal"/>
      </w:pPr>
      <w:r>
        <w:t>25.5.1 [INITIAL CONSULTATION] The Parties begin consultation promptly after sufficient notice to clarify facts, identify the controlling obligation, and determine whether rapid correction can resolve the matter. Consultation focuses on the noticed issue and does not become a forum for unrelated bargaining. Each Party identifies officials able to address the operational problem and the legal interface relevant to it. A Party may preserve its legal position while participating fully in practical correction.</w:t>
      </w:r>
    </w:p>
    <w:p>
      <w:pPr>
        <w:pStyle w:val="Normal"/>
      </w:pPr>
      <w:r>
        <w:t>25.5.2 [RAPID ADMINISTRATIVE TRACK] An obvious clerical, data, routing, coding, payment, Registry, or comparable implementation error may use a rapid administrative track. The responsible authority corrects the error as soon as practicable and records the operational completion evidence. Rapid correction does not require a formal cure plan where the completion condition is simple, objectively verifiable, and accepted or independently established under the Compact. A material dispute about legal entitlement exits the rapid track without prejudice to the remaining Chapter 25 process.</w:t>
      </w:r>
    </w:p>
    <w:p>
      <w:pPr>
        <w:pStyle w:val="Normal"/>
      </w:pPr>
      <w:r>
        <w:t>25.5.3 [VOLUNTARY CURE DURING CONSULTATION] The responding Party may begin corrective action at any time during consultation. Early correction does not wait for agreement on every historical fact or legal characterization. The Parties may develop verification criteria in parallel with the corrective action so that completed work is not delayed by sequencing formalities. A complaining Party does not withhold recognition of objectively completed correction merely because consultation remains open on another severable issue.</w:t>
      </w:r>
    </w:p>
    <w:p>
      <w:pPr>
        <w:pStyle w:val="Normal"/>
      </w:pPr>
      <w:r>
        <w:t>25.5.4 [RELEVANT INFORMATION] Each Party provides reasonably available information material to understanding the noticed issue, subject to confidentiality, privilege, security, and other lawful protections. Requests remain proportionate to the identified matter and avoid duplicating information already available through the Registry or another Party authority. A Party explains a material refusal or inability to provide requested information. Information exchange under consultation does not expand the substantive evidentiary burden assigned elsewhere in the Compact.</w:t>
      </w:r>
    </w:p>
    <w:p>
      <w:pPr>
        <w:pStyle w:val="Normal"/>
      </w:pPr>
      <w:r>
        <w:t>25.5.5 [CONSULTATION RECORD] The responsible coordinating officials maintain a concise record of consultation dates, issues discussed, material information exchanged, agreed facts where any, unresolved questions, and next steps. The record distinguishes agreement from allegation, recommendation, and reserved legal position. Confidential consultation material remains protected under Chapter 22. The record supports continuity if officials or authorities change.</w:t>
      </w:r>
    </w:p>
    <w:p>
      <w:pPr>
        <w:pStyle w:val="Heading2"/>
      </w:pPr>
      <w:r>
        <w:t xml:space="preserve">Article 25.6 - Consultation Clocks and Anti-Delay</w:t>
      </w:r>
    </w:p>
    <w:p>
      <w:pPr>
        <w:pStyle w:val="Normal"/>
      </w:pPr>
      <w:r>
        <w:t>25.6.1 [ORDINARY CLOCK] Ordinary Chapter 25 consultation concludes within thirty calendar days after sufficient notice unless the Parties agree to a defined extension or a specialized provision establishes another period. The period is long enough for practical correction discussion but is not an indefinite prerequisite to further process. The Parties may conclude consultation earlier by agreement or by recording that no practical resolution is presently available. Expiry permits the next legally available step without itself establishing non-performance.</w:t>
      </w:r>
    </w:p>
    <w:p>
      <w:pPr>
        <w:pStyle w:val="Normal"/>
      </w:pPr>
      <w:r>
        <w:t>25.6.2 [ANTI-RESET] Internal referral, reassignment, scheduling difficulty, vacation, vacancy, reorganization, contractor change, software migration, or interagency disagreement does not reset a Chapter 25 clock. A Party absorbs its own routing burden under Chapter 24. A genuinely new matter added by sufficient amendment receives only the additional response time reasonably required for that new matter. Existing severable issues retain their original clocks.</w:t>
      </w:r>
    </w:p>
    <w:p>
      <w:pPr>
        <w:pStyle w:val="Normal"/>
      </w:pPr>
      <w:r>
        <w:t>25.6.3 [NO SERIAL CONSULTATION] A responding Party does not fragment one noticed matter into sequential internal consultations for the purpose or effect of extending the Compact clock. Multiple agencies may participate concurrently or through a lead authority. A necessary specialized technical process may run in parallel unless the Compact expressly requires suspension. Administrative sequencing within one Party does not transfer avoidable delay to the other Party or affected treatment.</w:t>
      </w:r>
    </w:p>
    <w:p>
      <w:pPr>
        <w:pStyle w:val="Normal"/>
      </w:pPr>
      <w:r>
        <w:t>25.6.4 [EXTENSION] The Parties may extend a consultation or cure clock by written agreement stating the new date and the reason the extension materially assists resolution. An extension is issue-specific and does not toll unrelated Compact clocks unless the controlling provision expressly says so. Repeated extensions do not create a permanent holding pattern. The Registry records each extension and its expiration.</w:t>
      </w:r>
    </w:p>
    <w:p>
      <w:pPr>
        <w:pStyle w:val="Normal"/>
      </w:pPr>
      <w:r>
        <w:t>25.6.5 [NO CONSULTATION VETO] A Party's refusal to meet, failure to respond, or insistence that consultation remain open does not indefinitely block the next process authorized by the Compact. Consultation is treated as completed when the applicable period expires, the Parties agree on a cure path, the matter is resolved, or the controlling procedure otherwise permits transition. Completion by expiry is procedural and is not a Legal Finding. Chapter 26 determines any legal consequence requiring adjudication.</w:t>
      </w:r>
    </w:p>
    <w:p>
      <w:pPr>
        <w:pStyle w:val="Heading2"/>
      </w:pPr>
      <w:r>
        <w:t xml:space="preserve">Article 25.7 - Voluntary Cure and Good-Faith Technical Error</w:t>
      </w:r>
    </w:p>
    <w:p>
      <w:pPr>
        <w:pStyle w:val="Normal"/>
      </w:pPr>
      <w:r>
        <w:t>25.7.1 [VOLUNTARY CURE RIGHT] A responding Party may cure a correctable implementation defect voluntarily before, during, or after consultation to the extent consistent with a controlling specialized procedure. The correction is evaluated against the treatment legally due rather than against a demand for admission. A complaining Party identifies any objectively remaining defect after reviewing the correction. A completed voluntary cure closes the corrected portion of the matter subject to verification and Restoration where needed.</w:t>
      </w:r>
    </w:p>
    <w:p>
      <w:pPr>
        <w:pStyle w:val="Normal"/>
      </w:pPr>
      <w:r>
        <w:t>25.7.2 [ISOLATED TECHNICAL ERROR] An isolated, non-recurring technical or clerical error that is promptly corrected and does not reflect a broader operational defect ordinarily receives correction without an additional Chapter 25 penalty. This treatment does not immunize fraud, deliberate evasion, repeated neglect, material systemic failure, or conduct governed by a stricter specialized provision. The record identifies why the event is treated as isolated and correctable. Recurrence is assessed from evidence rather than from the label assigned by the responsible authority.</w:t>
      </w:r>
    </w:p>
    <w:p>
      <w:pPr>
        <w:pStyle w:val="Normal"/>
      </w:pPr>
      <w:r>
        <w:t>25.7.3 [NO AUTOMATIC CULPABILITY] The existence of a correctable implementation error does not by itself establish bad faith, intent, recklessness, or systemic non-performance. Those characterizations require the evidence and legal standard assigned to them elsewhere in the Compact. Prompt correction may be relevant to cure and proportionality without erasing historical facts. Chapter 25 does not create reputational sanctions for a corrected isolated error.</w:t>
      </w:r>
    </w:p>
    <w:p>
      <w:pPr>
        <w:pStyle w:val="Normal"/>
      </w:pPr>
      <w:r>
        <w:t>25.7.4 [EQUIVALENT CORRECTION] A responding Party may propose an equivalent corrective method where it produces the treatment legally required by the Compact with equal or better reliability and no material additional burden on affected participants. The proposal identifies how the alternative satisfies the same completion condition. A complaining Party does not reject an equivalent method merely because it differs administratively from its preferred method. A genuine legal dispute over equivalence remains available for Chapter 26 without blocking objectively severable correction.</w:t>
      </w:r>
    </w:p>
    <w:p>
      <w:pPr>
        <w:pStyle w:val="Normal"/>
      </w:pPr>
      <w:r>
        <w:t>25.7.5 [SYSTEMIC SIGNAL] Repeated technical errors, correlated failures, or recurrence across consequential systems may demonstrate a systemic defect even where each event is individually small. The Party asserting systemic treatment identifies the common cause, causal connection, operational pattern, or shared control failure supporting that conclusion. Mere similarity of labels or temporal proximity is insufficient by itself. A systemic cure remains limited to the scope supported by the evidence.</w:t>
      </w:r>
    </w:p>
    <w:p>
      <w:pPr>
        <w:pStyle w:val="Heading2"/>
      </w:pPr>
      <w:r>
        <w:t xml:space="preserve">Article 25.8 - Cure Plan Formation and Content</w:t>
      </w:r>
    </w:p>
    <w:p>
      <w:pPr>
        <w:pStyle w:val="Normal"/>
      </w:pPr>
      <w:r>
        <w:t>25.8.1 [CURE PLAN TRIGGER] A written cure plan is used where correction cannot be completed promptly through the rapid or voluntary pathway and the matter remains capable of practical remediation. The plan may be agreed by the Parties or proposed unilaterally by the responding Party, and an objectively complete unilateral plan that satisfies Article 25.8.2 preserves the responding Party's ability to perform, document, and tender cure while any disputed legal issue proceeds through the route assigned by the Compact. A unilateral cure plan does not bind the complaining Party to a contested legal interpretation, create a new substantive obligation, or prevent timely resort to Chapter 26, but refusal to agree does not by itself prevent objectively verifiable corrective action from being completed or recognized. An unresolved legal dispute may proceed according to Article 25.19 and Chapter 26 without nullifying severable corrective acts already completed under a legally sufficient cure path.</w:t>
      </w:r>
    </w:p>
    <w:p>
      <w:pPr>
        <w:pStyle w:val="Normal"/>
      </w:pPr>
      <w:r>
        <w:t>25.8.2 [REQUIRED CONTENT] A cure plan identifies the affected obligation or treatment, corrective action, responsible authority, milestones, applicable dates, evidence, verification method, completion condition, temporary treatment if any, and Automatic Restoration trigger. Each element is stated with enough precision to permit later verification without political renegotiation. The plan distinguishes mandatory correction from optional implementation choices. A plan may incorporate an existing specialized cure record where doing so avoids duplication.</w:t>
      </w:r>
    </w:p>
    <w:p>
      <w:pPr>
        <w:pStyle w:val="Normal"/>
      </w:pPr>
      <w:r>
        <w:t>25.8.3 [CONTROLLABLE CONDITIONS] A cure completion condition is objectively measurable, proportionate to the identified deficiency, and within the responding Party's reasonable control or satisfiable through an expressly stated alternative where third-party conduct is necessary. The condition does not require an unrelated concession, impossible private action, discretionary political approval, or performance exceeding the underlying obligation. A Party may challenge an unmeasurable or uncontrollable condition without forfeiting otherwise available cure rights. The cure record identifies any external dependency and the lawful alternative if that dependency fails.</w:t>
      </w:r>
    </w:p>
    <w:p>
      <w:pPr>
        <w:pStyle w:val="Normal"/>
      </w:pPr>
      <w:r>
        <w:t>25.8.4 [NO NEW OBLIGATION] A cure plan implements an existing Compact obligation and does not amend, enlarge, narrow, or replace that obligation. Administrative detail may specify how correction is demonstrated without creating a new substantive standard. A term that would require a substantive treaty change proceeds only through Chapter 29 or another legally sufficient amendment route. Neither Party may enforce an unauthorized cure-plan term as though it were Compact law.</w:t>
      </w:r>
    </w:p>
    <w:p>
      <w:pPr>
        <w:pStyle w:val="Normal"/>
      </w:pPr>
      <w:r>
        <w:t>25.8.5 [CURE WITHOUT CONFESSION RECORD] The cure plan states that participation and corrective action do not constitute an admission unless a Party expressly makes one. Agreed factual propositions are recorded separately from reserved legal positions. The plan may resolve the practical matter without resolving every historical characterization. A later Chapter 26 proceeding uses the legal and evidentiary rules assigned there rather than inferring liability from willingness to cure.</w:t>
      </w:r>
    </w:p>
    <w:p>
      <w:pPr>
        <w:pStyle w:val="Heading2"/>
      </w:pPr>
      <w:r>
        <w:t xml:space="preserve">Article 25.9 - Cure Milestones, Amendment, and Finality</w:t>
      </w:r>
    </w:p>
    <w:p>
      <w:pPr>
        <w:pStyle w:val="Normal"/>
      </w:pPr>
      <w:r>
        <w:t>25.9.1 [MEASURABLE MILESTONES] Each material cure milestone states the act to be completed, responsible actor, evidence of completion, and date or objective event that makes the milestone due. Milestones are sequenced only where sequence is functionally necessary. Internal governmental dependencies do not become conditions imposed on the other Party. A missed milestone is assessed for material effect rather than treated automatically as failure of the entire cure.</w:t>
      </w:r>
    </w:p>
    <w:p>
      <w:pPr>
        <w:pStyle w:val="Normal"/>
      </w:pPr>
      <w:r>
        <w:t>25.9.2 [CURE PLAN FINALITY] Once the cure plan establishes the corrective conditions, a Party does not add new completion requirements merely because earlier conditions have been satisfied. A later requirement needs an independently valid legal basis, materially new evidence, or a genuine correction of an agreed error. The Party proposing the new requirement identifies that basis and its relationship to the noticed matter. Administrative preference or political dissatisfaction is not an independently valid basis.</w:t>
      </w:r>
    </w:p>
    <w:p>
      <w:pPr>
        <w:pStyle w:val="Normal"/>
      </w:pPr>
      <w:r>
        <w:t>25.9.3 [PLAN AMENDMENT] The Parties may amend a cure plan by written agreement where new facts, technical impossibility, changed circumstances, or a superior equivalent method makes amendment materially useful. A responding Party may propose a unilateral implementation adjustment that does not reduce the legal result, delay Restoration, or enlarge the other Party's burden. Material disagreement about such an adjustment is recorded promptly. Amendment does not reset completed milestones or extinguish accrued partial Restoration.</w:t>
      </w:r>
    </w:p>
    <w:p>
      <w:pPr>
        <w:pStyle w:val="Normal"/>
      </w:pPr>
      <w:r>
        <w:t>25.9.4 [NO CURE TREADMILL] A cure process does not require repeated demonstrations of the same completed condition unless a bounded sustained-performance period was fixed in advance or materially new evidence supports renewed verification. A completed milestone remains completed absent fraud, material error, or evidence that the underlying condition ceased to exist. Requests for duplicative evidence are governed by Chapter 22 provenance and least-burden principles. Cure remains a path to closure rather than a renewable administrative obstacle.</w:t>
      </w:r>
    </w:p>
    <w:p>
      <w:pPr>
        <w:pStyle w:val="Normal"/>
      </w:pPr>
      <w:r>
        <w:t>25.9.5 [CURE RECORD PROVENANCE] The Registry preserves the current cure plan, prior versions, amendments, milestone evidence, responsible authorities, and status changes with provenance. A Registry status records the process but does not independently decide legal sufficiency. Corrected metadata does not erase valid completed acts. Chapter 22 controls confidentiality, correction, versioning, and downstream propagation.</w:t>
      </w:r>
    </w:p>
    <w:p>
      <w:pPr>
        <w:pStyle w:val="Heading2"/>
      </w:pPr>
      <w:r>
        <w:t xml:space="preserve">Article 25.10 - Partial, Severable, and Progressive Cure</w:t>
      </w:r>
    </w:p>
    <w:p>
      <w:pPr>
        <w:pStyle w:val="Normal"/>
      </w:pPr>
      <w:r>
        <w:t>25.10.1 [PARTIAL CURE] Where a cure is objectively divisible, verified correction of one portion is recognized without waiting for correction of unrelated unresolved portions. Recognition of partial cure narrows any lawful temporary response to the remaining unresolved scope. Partial cure does not concede the legal merits of the unresolved portion. The Registry identifies what is cured, what remains open, and the treatment applicable to each portion.</w:t>
      </w:r>
    </w:p>
    <w:p>
      <w:pPr>
        <w:pStyle w:val="Normal"/>
      </w:pPr>
      <w:r>
        <w:t>25.10.2 [SEVERABLE PRODUCTS] Cure may proceed separately by Product Record ID, tariff line, facility, transaction class, license, region, administrative process, or other legally meaningful unit where the underlying obligation permits severability. A defect affecting one unit does not contaminate another unit without evidence supporting that connection. The Party asserting non-severability identifies the legal or operational reason separate treatment is impossible. Restoration follows each severable unit when its completion condition is satisfied.</w:t>
      </w:r>
    </w:p>
    <w:p>
      <w:pPr>
        <w:pStyle w:val="Normal"/>
      </w:pPr>
      <w:r>
        <w:t>25.10.3 [PROGRESSIVE CURE] A complex systemic correction may proceed through staged milestones that progressively reduce the unresolved risk or non-performance. Each completed stage receives the recognition and Restoration effect assigned to it at the outset. A later stage does not reopen an earlier completed stage absent a lawful reopening ground. Progressive cure cannot be structured to postpone all practical benefit until the final administrative formality.</w:t>
      </w:r>
    </w:p>
    <w:p>
      <w:pPr>
        <w:pStyle w:val="Normal"/>
      </w:pPr>
      <w:r>
        <w:t>25.10.4 [NO ALL OR NOTHING] Chapter 25 does not impose an all-or-nothing cure model where objective portions of treatment can lawfully be restored earlier. A Party does not withhold severable Restoration solely to increase leverage for correction of another portion. The responding Party likewise does not use partial correction to obscure a material unresolved core. Proportional treatment follows the verified state of each severable component.</w:t>
      </w:r>
    </w:p>
    <w:p>
      <w:pPr>
        <w:pStyle w:val="Normal"/>
      </w:pPr>
      <w:r>
        <w:t>25.10.5 [PARTIAL DISPUTE HANDOFF] A severable legal issue may proceed to Chapter 26 while corrected or undisputed portions remain closed under Chapter 25. The Chapter 26 record receives the completed Chapter 25 record relevant to the unresolved portion without requiring repetition. Formal dispute does not suspend accrued partial Restoration unless Chapter 26 expressly authorizes that effect. The Registry maintains separate statuses for the cured and disputed portions.</w:t>
      </w:r>
    </w:p>
    <w:p>
      <w:pPr>
        <w:pStyle w:val="Heading2"/>
      </w:pPr>
      <w:r>
        <w:t xml:space="preserve">Article 25.11 - Proportional Temporary Treatment and Minimum Step-Back</w:t>
      </w:r>
    </w:p>
    <w:p>
      <w:pPr>
        <w:pStyle w:val="Normal"/>
      </w:pPr>
      <w:r>
        <w:t>25.11.1 [INDEPENDENT AUTHORITY] Chapter 25 does not independently authorize suspension, restriction, tariff increase, quota reduction, or other adverse substantive treatment. A temporary adjustment exists only where another Compact provision independently authorizes it and Chapter 25 governs cure, proportionality, verification, or Restoration for that adjustment. The legal source and affected scope are recorded when temporary treatment begins. Absence of independent authority means ordinary Compact treatment continues during cure.</w:t>
      </w:r>
    </w:p>
    <w:p>
      <w:pPr>
        <w:pStyle w:val="Normal"/>
      </w:pPr>
      <w:r>
        <w:t>25.11.2 [MINIMUM NECESSARY STEP-BACK] Where temporary adjustment is independently authorized, it is limited to the minimum reasonably necessary scope connected to the unresolved non-performance. Scope may be limited by goods, transactions, entities, period, value, quantity, process, or administrative treatment. Unrelated trade and innocent participants remain undisturbed to the greatest extent consistent with the controlling authority. The record explains why a narrower lawful adjustment would not adequately address the identified condition.</w:t>
      </w:r>
    </w:p>
    <w:p>
      <w:pPr>
        <w:pStyle w:val="Normal"/>
      </w:pPr>
      <w:r>
        <w:t>25.11.3 [PROPORTIONALITY FACTORS] A temporary adjustment reflects the materiality, duration, demonstrated commercial effect, recurrence, and defined operational risk of the unresolved non-performance. Forecast harm is distinguished from observed harm and is not treated as certain merely because a model predicts it. The response does not exceed what the controlling provision permits. Escalation requires current evidence that the existing lawful step is insufficient or unavailable.</w:t>
      </w:r>
    </w:p>
    <w:p>
      <w:pPr>
        <w:pStyle w:val="Normal"/>
      </w:pPr>
      <w:r>
        <w:t>25.11.4 [REVERSIBILITY] Every Chapter 25 temporary overlay is designed so that its legal and operational effects can end when the stated Restoration condition is satisfied. Systems, instructions, flags, and administrative records distinguish the overlay from the underlying legal baseline. A Party does not embed a temporary restriction into permanent software logic or ordinary operating rules. Residual effects are removed as part of Commercially Usable Restoration.</w:t>
      </w:r>
    </w:p>
    <w:p>
      <w:pPr>
        <w:pStyle w:val="Normal"/>
      </w:pPr>
      <w:r>
        <w:t>25.11.5 [NO GENERALIZED PUNISHMENT] Temporary treatment does not expand from the affected matter into unrelated products, sectors, rights, or Parties merely to increase pressure. Cross-sector retaliation, whole-Compact snapback, and punitive escalation are outside Chapter 25's independent functions. Chapter 26 governs any remedy that requires adjudicated authority beyond the narrow temporary treatment already authorized elsewhere. Political salience does not enlarge the lawful scope.</w:t>
      </w:r>
    </w:p>
    <w:p>
      <w:pPr>
        <w:pStyle w:val="Heading2"/>
      </w:pPr>
      <w:r>
        <w:t xml:space="preserve">Article 25.12 - Protected Core, Baselines, and Transition Integrity</w:t>
      </w:r>
    </w:p>
    <w:p>
      <w:pPr>
        <w:pStyle w:val="Normal"/>
      </w:pPr>
      <w:r>
        <w:t>25.12.1 [PROTECTED CORE] Cure activity does not suspend humanitarian protections, safety protections, due process, confidentiality rights, review rights, or other treatment that the Compact expressly makes non-suspendable. A specialized chapter may establish additional protected treatment within its scope. A temporary response is interpreted consistently with those protections. No cure plan may trade away a protected core right as consideration for Restoration.</w:t>
      </w:r>
    </w:p>
    <w:p>
      <w:pPr>
        <w:pStyle w:val="Normal"/>
      </w:pPr>
      <w:r>
        <w:t>25.12.2 [VESTED ACCESS] A Vested Market-Access Right remains vested during a Chapter 25 process unless an express Compact provision lawfully provides a narrow temporary overlay. The overlay does not re-age, cancel, or convert the vested status. Restoration returns the participant to the current legal treatment attached to that vested status. Historical records distinguish the overlay from the vested right itself.</w:t>
      </w:r>
    </w:p>
    <w:p>
      <w:pPr>
        <w:pStyle w:val="Normal"/>
      </w:pPr>
      <w:r>
        <w:t>25.12.3 [ZERO-LINE STATUS] Zero-Line Status remains part of the underlying legal baseline during cure. A temporary measure does not delete, replace, or reclassify Zero-Line Status in the Registry. Restoration removes the temporary overlay and applies the treatment legally due on the Restoration date. Chapter 25 does not create a mechanism for resurrecting an extinguished ordinary tariff.</w:t>
      </w:r>
    </w:p>
    <w:p>
      <w:pPr>
        <w:pStyle w:val="Normal"/>
      </w:pPr>
      <w:r>
        <w:t>25.12.4 [TRANSITION CLOCKS] A Chapter 25 process does not reset, toll, rebase, or extend a liberalization or transition clock unless another Compact provision expressly authorizes that effect. Milestones that mature during cure mature according to their governing rules. Restoration therefore returns treatment to the current legal position rather than to the historical position that existed when notice was served. A temporary overlay does not become a substitute transition schedule.</w:t>
      </w:r>
    </w:p>
    <w:p>
      <w:pPr>
        <w:pStyle w:val="Normal"/>
      </w:pPr>
      <w:r>
        <w:t>25.12.5 [NO NEW BASELINE] A temporary Chapter 25 measure, cure plan, settlement, monitoring period, or administrative accommodation does not establish a new tariff, TRQ, access, regulatory, or negotiating baseline. Historical reporting identifies exceptional treatment as exceptional. Future review and modernization use the baseline established by the substantive Compact provisions. Repetition of a temporary measure does not convert it into ordinary treatment.</w:t>
      </w:r>
    </w:p>
    <w:p>
      <w:pPr>
        <w:pStyle w:val="Heading2"/>
      </w:pPr>
      <w:r>
        <w:t xml:space="preserve">Article 25.13 - Verification of Cure</w:t>
      </w:r>
    </w:p>
    <w:p>
      <w:pPr>
        <w:pStyle w:val="Normal"/>
      </w:pPr>
      <w:r>
        <w:t>25.13.1 [VERIFICATION FUNCTION] Verification under Chapter 25 determines whether the stated corrective acts occurred and whether the applicable completion condition is satisfied. Verification does not adjudicate a disputed legal interpretation unless the Compact expressly assigns that question to the verifying body. The verification record identifies evidence, method, result, and any material limitation. A technical conclusion retains its technical status and does not become a Legal Finding through repetition or Registry display.</w:t>
      </w:r>
    </w:p>
    <w:p>
      <w:pPr>
        <w:pStyle w:val="Normal"/>
      </w:pPr>
      <w:r>
        <w:t>25.13.2 [EVIDENCE OF COMPLETION] The responding Party provides the evidence identified in the cure plan or an equivalent reliable evidentiary showing permitted by the Compact. Evidence is proportionate to the completion condition and uses existing Registry information where reasonably available. The verifier may request a particularized supplement where a material gap prevents determination. Irrelevant volume does not substitute for evidence addressing the completion condition.</w:t>
      </w:r>
    </w:p>
    <w:p>
      <w:pPr>
        <w:pStyle w:val="Normal"/>
      </w:pPr>
      <w:r>
        <w:t>25.13.3 [VERIFICATION ACCESS] The complaining Party receives reasonable access to information and verification opportunities necessary to assess completion, subject to lawful confidentiality, privilege, security, and data-protection limits. A refusal of a particular access method does not establish non-completion where equivalent reliable evidence is available. A Party refusing reasonable equivalent access identifies the material legal or operational reason. Verification design minimizes unnecessary exposure of confidential business information.</w:t>
      </w:r>
    </w:p>
    <w:p>
      <w:pPr>
        <w:pStyle w:val="Normal"/>
      </w:pPr>
      <w:r>
        <w:t>25.13.4 [VERIFICATION CLOCK AND DEEMED COMPLETION] The responsible verification function completes ordinary cure verification within ten business days after receiving a complete evidentiary showing unless a specialized provision establishes a shorter period. If that period expires without a timely particularized material objection identifying an unmet completion condition or an independently necessary verification task that cannot reasonably be completed within the period, the cure is deemed verified for purposes of the applicable Restoration trigger. A timely objection pauses only the portion genuinely dependent on the identified issue, states the evidence or task still required and the shortest practicable completion period, and does not delay severable Restoration already established by the record. Internal routing, staffing, silence, refusal to act, administrative convenience, or failure to issue a verification record does not create a discretionary veto over Restoration.</w:t>
      </w:r>
    </w:p>
    <w:p>
      <w:pPr>
        <w:pStyle w:val="Normal"/>
      </w:pPr>
      <w:r>
        <w:t>25.13.5 [VERIFICATION RESULT] The verification record states full completion, partial completion, temporary completion subject to a pre-established sustained-performance period, or non-completion. A non-completion result identifies the unmet condition and supporting evidence rather than reopening the cure plan generally. Partial completion triggers the treatment assigned by Article 25.10. A material legal dispute about what the underlying obligation requires proceeds through Chapter 26 rather than being silently decided by the verifier.</w:t>
      </w:r>
    </w:p>
    <w:p>
      <w:pPr>
        <w:pStyle w:val="Heading2"/>
      </w:pPr>
      <w:r>
        <w:t xml:space="preserve">Article 25.14 - Sustained Performance and No Permanent Probation</w:t>
      </w:r>
    </w:p>
    <w:p>
      <w:pPr>
        <w:pStyle w:val="Normal"/>
      </w:pPr>
      <w:r>
        <w:t>25.14.1 [CLEAN PERFORMANCE PERIOD] A sustained or clean-performance period is used only where the nature of the corrected defect reasonably requires demonstrated performance over time to verify that the cure is real. The period, metric, scope, and completion condition are fixed in advance. The period is no longer than reasonably necessary to observe the relevant performance and does not become indefinite monitoring. A single immaterial event does not automatically restart the entire period.</w:t>
      </w:r>
    </w:p>
    <w:p>
      <w:pPr>
        <w:pStyle w:val="Normal"/>
      </w:pPr>
      <w:r>
        <w:t>25.14.2 [OBJECTIVE METRICS] A clean-performance metric measures the condition actually associated with the cured non-performance. The metric does not introduce a stricter substantive standard than the Compact obligation being verified. Data provenance and denominator choices are recorded so that performance can be replicated and reviewed. A changed metric requires the same independent basis applicable to a cure-plan amendment.</w:t>
      </w:r>
    </w:p>
    <w:p>
      <w:pPr>
        <w:pStyle w:val="Normal"/>
      </w:pPr>
      <w:r>
        <w:t>25.14.3 [NO PERMANENT PROBATION] Completion of a bounded clean-performance period ends the special monitoring attached to that cure unless materially new evidence supports a new proceeding. The responding Party does not remain in a permanent second-class verification status because a historical cure occurred. Ordinary monitoring applicable to all Parties may continue under its own authority. Historical records remain available without carrying an automatic adverse presumption.</w:t>
      </w:r>
    </w:p>
    <w:p>
      <w:pPr>
        <w:pStyle w:val="Normal"/>
      </w:pPr>
      <w:r>
        <w:t>25.14.4 [INTERRUPTION AND RECURRENCE] A material recurrence during a clean-performance period is evaluated for causal connection, scope, and severity. A severable recurrence affects only the portion reasonably connected to it. An interruption caused by force majeure, system outage, or third-party event is assessed according to the controlling Compact rules rather than automatically treated as renewed non-performance. The record states whether the period continues, pauses under express authority, or restarts for a defined reason.</w:t>
      </w:r>
    </w:p>
    <w:p>
      <w:pPr>
        <w:pStyle w:val="Normal"/>
      </w:pPr>
      <w:r>
        <w:t>25.14.5 [EARLY COMPLETION] A cure plan may provide objective early-completion criteria where reliable evidence can establish sustained correction before the maximum observation period expires. Early completion is not discretionary once the stated criteria are satisfied. The verifier records the evidence supporting early completion. Automatic Restoration follows the resulting completion trigger.</w:t>
      </w:r>
    </w:p>
    <w:p>
      <w:pPr>
        <w:pStyle w:val="Heading2"/>
      </w:pPr>
      <w:r>
        <w:t xml:space="preserve">Article 25.15 - Automatic Restoration</w:t>
      </w:r>
    </w:p>
    <w:p>
      <w:pPr>
        <w:pStyle w:val="Normal"/>
      </w:pPr>
      <w:r>
        <w:t>25.15.1 [AUTOMATIC LEGAL EFFECT] Satisfaction of the applicable cure completion condition produces Restoration by operation of the Compact to the extent assigned by the cure record and controlling provision. Restoration does not require renegotiation, political approval, discretionary reauthorization, or an unrelated concession. A Party does not keep a cured matter alive merely because it disagrees politically with the outcome. A later restriction requires an independently valid legal basis.</w:t>
      </w:r>
    </w:p>
    <w:p>
      <w:pPr>
        <w:pStyle w:val="Normal"/>
      </w:pPr>
      <w:r>
        <w:t>25.15.2 [RESTORATION TRIGGER] Every cure record identifies the objective event, verified condition, or expiry rule that triggers Restoration. The trigger is fixed before consequential temporary treatment is imposed or, where no temporary treatment exists, before verification begins. A Party cannot add a new satisfaction test after the trigger occurs. The Registry records the trigger time and the treatment restored.</w:t>
      </w:r>
    </w:p>
    <w:p>
      <w:pPr>
        <w:pStyle w:val="Normal"/>
      </w:pPr>
      <w:r>
        <w:t>25.15.3 [NO DISCRETIONARY VETO] A complaining Party does not possess an additional discretionary veto after the objective Restoration condition is satisfied. A timely particularized verification objection may be resolved through the procedure assigned by this Chapter, but a generalized statement of dissatisfaction does not postpone legal effect. Materially new facts arising after Restoration may support a new or renewed notice. Historical disagreement alone does not reverse accrued Restoration.</w:t>
      </w:r>
    </w:p>
    <w:p>
      <w:pPr>
        <w:pStyle w:val="Normal"/>
      </w:pPr>
      <w:r>
        <w:t>25.15.4 [CURRENT LEGAL POSITION] Restoration returns affected treatment to the position legally controlling on the Restoration date absent the temporary overlay. A liberalization milestone, vesting event, synchronized activation, or other lawful transition step that matured during cure remains effective. Restoration does not revive a superseded restriction merely because it existed when the notice began. The Registry records the current legal baseline separately from the historical overlay.</w:t>
      </w:r>
    </w:p>
    <w:p>
      <w:pPr>
        <w:pStyle w:val="Normal"/>
      </w:pPr>
      <w:r>
        <w:t>25.15.5 [RESTORATION FINALITY] Accrued Restoration remains effective unless a later action is independently authorized by the Compact. Fraud in obtaining a verification result, material error, or materially new conduct may support reopening only through the procedure legally assigned to that ground. Retained historical records do not themselves keep the cured restriction alive. Finality prevents cure from becoming perpetual provisional treatment.</w:t>
      </w:r>
    </w:p>
    <w:p>
      <w:pPr>
        <w:pStyle w:val="Heading2"/>
      </w:pPr>
      <w:r>
        <w:t xml:space="preserve">Article 25.16 - Commercially Usable Restoration</w:t>
      </w:r>
    </w:p>
    <w:p>
      <w:pPr>
        <w:pStyle w:val="Normal"/>
      </w:pPr>
      <w:r>
        <w:t>25.16.1 [OPERATIONAL IMPLEMENTATION] Commercially Usable Restoration requires the legal restoration to reach each materially consequential system, instruction, process, and authority necessary for affected participants to receive the treatment legally due. Relevant systems may include customs processing, licensing, payment, recognition, allocation, Registry, inspection, procurement, and automated decision tools. A signed memorandum or central policy instruction alone is insufficient where downstream administration continues the superseded treatment. The responsible Party identifies consequential implementation points when Restoration begins.</w:t>
      </w:r>
    </w:p>
    <w:p>
      <w:pPr>
        <w:pStyle w:val="Normal"/>
      </w:pPr>
      <w:r>
        <w:t>25.16.2 [IMPLEMENTATION CLOCK] The responsible Party operationally implements Restoration within five business days after the legal trigger unless the controlling provision requires faster action. Perishable-goods treatment follows Article 25.18. Government-caused implementation delay does not postpone the legal effect of Restoration. The Party corrects resulting treatment retroactively where legally and practically possible.</w:t>
      </w:r>
    </w:p>
    <w:p>
      <w:pPr>
        <w:pStyle w:val="Normal"/>
      </w:pPr>
      <w:r>
        <w:t>25.16.3 [DOWNSTREAM PROPAGATION] A Restoration instruction propagates through materially consequential dependent systems under the responsible Party's control and through cross-Party systems where Chapter 22 requires transmission. Completion is not established merely because an update was sent, queued, or acknowledged while a consequential system continues applying stale treatment. A system that cannot be updated immediately is isolated from the stale rule through a verified fallback that preserves the treatment legally due. Propagation records identify unresolved implementation points and expected correction.</w:t>
      </w:r>
    </w:p>
    <w:p>
      <w:pPr>
        <w:pStyle w:val="Normal"/>
      </w:pPr>
      <w:r>
        <w:t>25.16.4 [NO RESIDUAL RESTRICTION] After Restoration, a temporary flag, hold, surcharge, reduced allocation, special validation rule, adverse code, or other residual condition tied solely to the cured matter is removed. A distinct condition supported by an independent valid legal basis may remain. The responsible authority distinguishes the independent condition from the cured overlay in the record. Administrative inertia is not an independent legal basis.</w:t>
      </w:r>
    </w:p>
    <w:p>
      <w:pPr>
        <w:pStyle w:val="Normal"/>
      </w:pPr>
      <w:r>
        <w:t>25.16.5 [PARTICIPANT REMEDIATION] Where delayed operational implementation caused a participant to receive treatment less favorable than the treatment legally due after Restoration, the responsible Party promptly preserves and provides the correction, refund, reprocessing, credit, release, reassessment, or other effective remediation legally appropriate to place the participant as nearly as practicable in the position produced by timely implementation. Domestic procedures may govern the form and administration of remediation but are applied in a manner that does not nullify, materially postpone, or condition the Compact treatment already legally due, and an expedited route is used where ordinary processing would defeat commercially meaningful correction. The participant is not required to surrender another Compact right, accept an unrelated concession, or bear government-caused delay as a condition of obtaining remediation. The Registry records material systemic correction without disclosing protected information, and Chapter 26 remains available for an unresolved legal dispute concerning the consequence or adequacy of implementation-delay remediation.</w:t>
      </w:r>
    </w:p>
    <w:p>
      <w:pPr>
        <w:pStyle w:val="Heading2"/>
      </w:pPr>
      <w:r>
        <w:t xml:space="preserve">Article 25.17 - Recurrence, Successor Measures, and Causal Ancestry</w:t>
      </w:r>
    </w:p>
    <w:p>
      <w:pPr>
        <w:pStyle w:val="Normal"/>
      </w:pPr>
      <w:r>
        <w:t>25.17.1 [RECURRENCE STANDARD] Recurrence exists where materially similar non-performance after cure is supported by evidence of causal continuity, a common operational defect, or substantially continuous conduct. Similar terminology, product category, or temporal proximity alone does not establish recurrence. The notice identifies the prior cured matter and the evidence connecting the new conduct to it. Genuinely independent later conduct is treated on its own facts.</w:t>
      </w:r>
    </w:p>
    <w:p>
      <w:pPr>
        <w:pStyle w:val="Normal"/>
      </w:pPr>
      <w:r>
        <w:t>25.17.2 [SUCCESSOR MEASURE] A renamed, relocated, redesigned, reissued, or successor measure is treated as continuous with a cured measure only to the extent its practical operation and causal ancestry substantially continue the identified non-performance. Formal repeal or organizational transfer does not defeat continuity where the prohibited effect remains materially the same. Formal similarity does not establish continuity where the legal basis, operation, and relevant effects are genuinely independent. The analysis addresses substance rather than label.</w:t>
      </w:r>
    </w:p>
    <w:p>
      <w:pPr>
        <w:pStyle w:val="Normal"/>
      </w:pPr>
      <w:r>
        <w:t>25.17.3 [CAUSAL ANCESTRY] A Party alleging recurrence or successor treatment identifies the evidentiary chain connecting the original non-performance to the later measure or practice. Relevant evidence may include common legal authority, implementation instructions, responsible actors, software logic, stated purpose, operational continuity, affected treatment, or other probative facts. No single indicator is automatically dispositive. The record distinguishes causal ancestry from coincidence.</w:t>
      </w:r>
    </w:p>
    <w:p>
      <w:pPr>
        <w:pStyle w:val="Normal"/>
      </w:pPr>
      <w:r>
        <w:t>25.17.4 [SCOPE OF RECURRENCE] A recurrence affects only the scope supported by the new evidence and does not automatically reactivate the entire historical response. A minor severable recurrence does not revive unrelated cured portions. Material systemic recurrence may justify broader treatment only where the controlling Compact authority and current evidence support that scope. Any renewed temporary adjustment receives a new Restoration condition.</w:t>
      </w:r>
    </w:p>
    <w:p>
      <w:pPr>
        <w:pStyle w:val="Normal"/>
      </w:pPr>
      <w:r>
        <w:t>25.17.5 [NO SCARLET LETTER] A prior cure does not create an irrebuttable adverse status, permanent presumption of bad faith, or perpetual heightened burden. Recurrence is proved from current evidence under the applicable standard. Prior verified facts may remain relevant where legally probative but do not replace proof of the new matter. Successful cure remains meaningful even when a later independent problem occurs.</w:t>
      </w:r>
    </w:p>
    <w:p>
      <w:pPr>
        <w:pStyle w:val="Heading2"/>
      </w:pPr>
      <w:r>
        <w:t xml:space="preserve">Article 25.18 - Urgent and Perishable-Goods Track</w:t>
      </w:r>
    </w:p>
    <w:p>
      <w:pPr>
        <w:pStyle w:val="Normal"/>
      </w:pPr>
      <w:r>
        <w:t>25.18.1 [URGENT TRACK] A Chapter 25 matter materially affecting perishable agricultural goods, live animals, time-sensitive planting inputs, or another treatment for which ordinary delay would defeat practical relief receives expedited handling. The Party requesting expedited treatment identifies the perishability or time-sensitive consequence and the decision needed. Expedited treatment accelerates procedure without lowering the substantive legal standard. The responsible authorities use the fastest reliable communication and verification methods available.</w:t>
      </w:r>
    </w:p>
    <w:p>
      <w:pPr>
        <w:pStyle w:val="Normal"/>
      </w:pPr>
      <w:r>
        <w:t>25.18.2 [RAPID CONSULTATION CLOCK AND COMMERCIAL WINDOW] Urgent consultation begins as soon as practicable and ordinarily no later than forty-eight hours after sufficient notice, but forty-eight hours is an outer ceiling rather than a safe harbor where the commercially meaningful window is shorter. Where credible evidence shows that spoilage, animal welfare, planting timing, release timing, or another irreversible commercial consequence will materially occur sooner, the Parties compress consultation to that shorter window to the extent technically and legally practicable and use any independently authorized severable or interim preservation measure without waiting for the outer ceiling. Written exchange, remote consultation, parallel technical review, and immediate routing to officials able to act are used to avoid unnecessary delay. Failure to convene or complete consultation within the commercially meaningful period does not block the next urgent step otherwise authorized by the Compact.</w:t>
      </w:r>
    </w:p>
    <w:p>
      <w:pPr>
        <w:pStyle w:val="Normal"/>
      </w:pPr>
      <w:r>
        <w:t>25.18.3 [URGENT VERIFICATION] Where continued temporary treatment materially affects perishable goods, cure verification is completed within seventy-two hours after a complete evidentiary showing unless physical or scientific verification reasonably requires more time. Any extension identifies the specific task that cannot be completed and the shortest practicable completion time. Unaffected severable treatment is restored without waiting for the extended task. Administrative convenience does not justify an urgent verification extension.</w:t>
      </w:r>
    </w:p>
    <w:p>
      <w:pPr>
        <w:pStyle w:val="Normal"/>
      </w:pPr>
      <w:r>
        <w:t>25.18.4 [INTERIM PRESERVATION] Where independently authorized, an urgent process favors reversible interim arrangements that preserve safety, evidence, and commercially meaningful access while avoiding unnecessary spoilage or destruction. An interim arrangement does not prejudge legal merits or create a permanent entitlement. SPS and other genuine safety measures remain governed by their specialized chapters. Economic urgency does not override a lawful health or biosecurity requirement.</w:t>
      </w:r>
    </w:p>
    <w:p>
      <w:pPr>
        <w:pStyle w:val="Normal"/>
      </w:pPr>
      <w:r>
        <w:t>25.18.5 [URGENT RESTORATION] Automatic Restoration for an urgent perishable-goods matter is operationally implemented as soon as practicable after the legal trigger and without waiting for the ordinary five-business-day outer period. The responsible authority prioritizes consequential customs, licensing, inspection, allocation, and payment systems necessary to make Restoration commercially useful. A downstream technical failure receives an immediate lawful fallback. The Registry records the expedited action and any residual correction still required.</w:t>
      </w:r>
    </w:p>
    <w:p>
      <w:pPr>
        <w:pStyle w:val="Heading2"/>
      </w:pPr>
      <w:r>
        <w:t xml:space="preserve">Article 25.19 - Failed Cure, Material Non-Performance, and Chapter 26 Handoff</w:t>
      </w:r>
    </w:p>
    <w:p>
      <w:pPr>
        <w:pStyle w:val="Normal"/>
      </w:pPr>
      <w:r>
        <w:t>25.19.1 [FAILED CURE] A cure fails where a material completion condition remains unsatisfied after the applicable cure opportunity and the failure is not merely an immaterial delay or administrative formality without substantive effect. Failure may also arise where verified correction is materially undone by causally continuous successor conduct. The record identifies the unmet condition and the current affected scope. Failed cure does not automatically determine the legal merits of the underlying allegation.</w:t>
      </w:r>
    </w:p>
    <w:p>
      <w:pPr>
        <w:pStyle w:val="Normal"/>
      </w:pPr>
      <w:r>
        <w:t>25.19.2 [MATERIAL NON-PERFORMANCE] Material Non-Performance for Chapter 25 handoff requires unresolved non-performance significant in scale, duration, commercial effect, recurrence, or effect on a protected Compact right. The determination uses current evidence and does not aggregate unrelated minor matters merely to reach materiality. A specialized chapter may define a more specific materiality standard within its scope. Chapter 26 determines contested legal consequences requiring adjudication.</w:t>
      </w:r>
    </w:p>
    <w:p>
      <w:pPr>
        <w:pStyle w:val="Normal"/>
      </w:pPr>
      <w:r>
        <w:t>25.19.3 [HANDOFF CONDITIONS] A matter may proceed to Chapter 26 when bounded consultation has concluded or expired and a material legal dispute remains, when a material cure fails, when the responding Party refuses a reasonably available cure process, or when another Compact provision expressly authorizes earlier adjudication. The handoff identifies the unresolved claims, agreed facts, completed cure steps, and existing record. The Parties do not repeat completed procedural work merely because the forum changes. Chapter 26 applies its own jurisdiction, burden, and remedy rules.</w:t>
      </w:r>
    </w:p>
    <w:p>
      <w:pPr>
        <w:pStyle w:val="Normal"/>
      </w:pPr>
      <w:r>
        <w:t>25.19.4 [NO WEAPONIZED EXHAUSTION] Chapter 25 is not interpreted to let a Party block adjudication indefinitely by refusing consultation, withholding agreement on a cure plan, avoiding verification, or keeping a procedural stage nominally open. Expiry or completion of the applicable bounded stage satisfies the Chapter 25 procedural prerequisite for the matter within its scope. An urgent provision may authorize a faster route according to its own terms. Procedural completion does not imply that the complaining Party prevails on the merits.</w:t>
      </w:r>
    </w:p>
    <w:p>
      <w:pPr>
        <w:pStyle w:val="Normal"/>
      </w:pPr>
      <w:r>
        <w:t>25.19.5 [PRESERVATION DURING HANDOFF] Completed cure, partial Restoration, accrued rights, and unaffected treatment remain effective when an unresolved portion proceeds to Chapter 26. The existence of formal dispute settlement does not itself reactivate a cured restriction. Any interim or remedial treatment during Chapter 26 requires authority under that Chapter or another controlling provision. The Chapter 25 record remains available with its provenance and confidentiality protections.</w:t>
      </w:r>
    </w:p>
    <w:p>
      <w:pPr>
        <w:pStyle w:val="Heading2"/>
      </w:pPr>
      <w:r>
        <w:t xml:space="preserve">Article 25.20 - Registry, Cross-Chapter Coordination, and Jurisdictional Finality</w:t>
      </w:r>
    </w:p>
    <w:p>
      <w:pPr>
        <w:pStyle w:val="Normal"/>
      </w:pPr>
      <w:r>
        <w:t>25.20.1 [CHAPTER 25 REGISTRY] The Chapter 25 record is maintained through the Chapter 22 shared Registry architecture rather than through a parallel database universe. It includes notices, sufficiency corrections, consultation status, cure plans, milestones, verification records, temporary overlays, Restoration triggers, operational implementation status, recurrence records, and closure. Each entry identifies provenance, responsible authority, legal category, and confidentiality status. Registry administration does not create legal consequences beyond those assigned by the controlling provision.</w:t>
      </w:r>
    </w:p>
    <w:p>
      <w:pPr>
        <w:pStyle w:val="Normal"/>
      </w:pPr>
      <w:r>
        <w:t>25.20.2 [CROSS-CHAPTER COORDINATION] Chapter 22 governs data, provenance, transparency, confidentiality, and correction; Chapter 23 governs stakeholder access; and Chapter 24 governs responsible institutional actors and routing. Chapters 17 and 18 may provide factual, technical, or verification inputs within their assigned functions. Specialized substantive chapters remain controlling over the obligations they create. Chapter 25 coordinates cure without silently absorbing another chapter's jurisdiction.</w:t>
      </w:r>
    </w:p>
    <w:p>
      <w:pPr>
        <w:pStyle w:val="Normal"/>
      </w:pPr>
      <w:r>
        <w:t>25.20.3 [TECHNICAL LEGAL FIREWALL] An ALVS Indicator, technical report, Registry status, expert view, verification result, consultation record, or cure-plan milestone does not become a Legal Finding merely because it is relied upon repeatedly or displayed prominently. Technical evidence may inform Chapter 26 according to that Chapter's rules. A body lacking adjudicative authority does not acquire it through consensus, software, institutional practice, or Party convenience. Legal merits remain with the process to which the Compact assigns them.</w:t>
      </w:r>
    </w:p>
    <w:p>
      <w:pPr>
        <w:pStyle w:val="Normal"/>
      </w:pPr>
      <w:r>
        <w:t>25.20.4 [NO AMENDMENT BY CURE] A consultation outcome, cure plan, technical accommodation, settlement record, Restoration implementation, or repeated administrative practice does not amend the Compact. A substantive change requiring amendment proceeds through Chapter 29 or another legally sufficient route. The Parties may resolve a particular implementation matter without creating a generally applicable new rule. Later users can identify the legal source of every continuing obligation.</w:t>
      </w:r>
    </w:p>
    <w:p>
      <w:pPr>
        <w:pStyle w:val="Normal"/>
      </w:pPr>
      <w:r>
        <w:t>25.20.5 [FINAL JURISDICTIONAL LOCK] Chapter 25 supplies consultation, correction, cure, verification, Restoration, and handoff functions within the authority expressly assigned by the Compact. It does not become an independent tribunal, damages system, tariff authority, general enforcement code, amendment mechanism, or source of new substantive agricultural law. Chapter 26 receives genuinely unresolved legal disputes without requiring repetition of completed Chapter 25 work. Cure ends when the Compact's objective completion and Restoration conditions are satisfied, not when politics decides to stop arguing.</w:t>
      </w:r>
    </w:p>
    <w:p>
      <w:pPr>
        <w:pStyle w:val="Heading1"/>
      </w:pPr>
      <w:r>
        <w:t>Chapter 26 - Remedies and Dispute Settlement</w:t>
      </w:r>
    </w:p>
    <w:p>
      <w:pPr>
        <w:pStyle w:val="Normal"/>
      </w:pPr>
      <w:r>
        <w:t xml:space="preserve">Chapter 26 establishes a narrow adjudicative architecture for genuinely unresolved Compact disputes, preserves Chapter 25 procedural credit, constrains panels to traceable authority, applies Cothrom proportionality to authorized remedies, and returns adjudicated matters toward compliance and Automatic Restoration without creating a standing regulator or general retaliation power.</w:t>
      </w:r>
    </w:p>
    <w:p>
      <w:pPr>
        <w:pStyle w:val="Heading2"/>
      </w:pPr>
      <w:r>
        <w:t xml:space="preserve">Article 26.1 - Purpose, Scope, and Adjudicative Principle</w:t>
      </w:r>
    </w:p>
    <w:p>
      <w:pPr>
        <w:pStyle w:val="Normal"/>
      </w:pPr>
      <w:r>
        <w:t>26.1.1 [ADJUDICATIVE PURPOSE] Chapter 26 resolves genuinely unresolved legal disputes concerning identified Compact obligations after the correction functions assigned to Chapter 25 have been completed, expired, or lawfully bypassed. A panel determines whether identified conduct conforms to identified obligations and issues only findings and remedies authorized by the Compact. The process directs the Parties toward compliance and Restoration rather than punishment, policy supervision, or renegotiation. Chapter 25 fixes, Chapter 26 adjudicates, and Chapter 26 does not regulate.</w:t>
      </w:r>
    </w:p>
    <w:p>
      <w:pPr>
        <w:pStyle w:val="Normal"/>
      </w:pPr>
      <w:r>
        <w:t>26.1.2 [LEGAL NOT POLITICAL] Adjudication under this Chapter addresses legal claims supported by the Compact and does not decide political grievances, commercial dissatisfaction, or abstract disagreements about preferred policy. A panel applies the Compact to the defined dispute before it. General equitable jurisdiction, free-floating fairness review, and authority based solely on institutional convenience are excluded. Political salience does not enlarge jurisdiction.</w:t>
      </w:r>
    </w:p>
    <w:p>
      <w:pPr>
        <w:pStyle w:val="Normal"/>
      </w:pPr>
      <w:r>
        <w:t>26.1.3 [TRACEABLE JURISDICTION] Every exercise of panel jurisdiction is affirmatively traceable to an operative Compact provision and the procedural conditions applicable to the claim. Silence, ambiguity, repeated practice, Party convenience, or agreement by litigating officials does not create adjudicative power that the Compact does not supply. A panel states the source and scope of its jurisdiction before deciding contested merits. Jurisdictional uncertainty is resolved through interpretation of the Compact rather than through a presumption of additional authority.</w:t>
      </w:r>
    </w:p>
    <w:p>
      <w:pPr>
        <w:pStyle w:val="Normal"/>
      </w:pPr>
      <w:r>
        <w:t>26.1.4 [AUTHORIZED REMEDIES ONLY] A panel authorizes only a remedy for which the Compact supplies an identifiable legal source. No remedy creates an obligation, tariff authority, regulatory standard, supervisory power, or substantive entitlement that the panel could not independently find in the Compact. Remedial convenience does not substitute for legal authority. A remedy remains bounded by the source provision from which it descends.</w:t>
      </w:r>
    </w:p>
    <w:p>
      <w:pPr>
        <w:pStyle w:val="Normal"/>
      </w:pPr>
      <w:r>
        <w:t>26.1.5 [COMPLIANCE AND EXIT] The adjudicative objective is to identify the legal result, obtain conformity where required, restore ordinary treatment, and terminate special dispute machinery when its assigned function is complete. A panel does not retain continuing jurisdiction merely because future disagreement is possible. Verification and Restoration proceed through the functions assigned by this Chapter, Chapter 25, or another controlling provision. Completed adjudication does not create a permanent supervisory relationship.</w:t>
      </w:r>
    </w:p>
    <w:p>
      <w:pPr>
        <w:pStyle w:val="Heading2"/>
      </w:pPr>
      <w:r>
        <w:t xml:space="preserve">Article 26.2 - Jurisdiction and Eligible Claims</w:t>
      </w:r>
    </w:p>
    <w:p>
      <w:pPr>
        <w:pStyle w:val="Normal"/>
      </w:pPr>
      <w:r>
        <w:t>26.2.1 [OPERATIVE OBLIGATION] A claim is eligible only where it identifies an operative Compact obligation or prohibition capable of application to the challenged conduct. A request for an advisory opinion, abstract policy review, or interpretation detached from a concrete dispute is outside this Chapter. The claimant identifies the article and clause relied upon where reasonably possible. A pleading defect is treated under Article 26.4 rather than converted into substantive jurisdiction.</w:t>
      </w:r>
    </w:p>
    <w:p>
      <w:pPr>
        <w:pStyle w:val="Normal"/>
      </w:pPr>
      <w:r>
        <w:t>26.2.2 [LEGALLY COGNIZABLE CLAIM] The claim identifies a specific act, omission, measure, administrative practice, or failure to perform and explains how it is alleged to conflict with the identified obligation. Generalized allegations against a Party, sector, program, or policy environment are insufficient without a legally cognizable connection. The claim states the affected treatment or legal interest within the Compact. The panel decides only the legal controversy actually presented.</w:t>
      </w:r>
    </w:p>
    <w:p>
      <w:pPr>
        <w:pStyle w:val="Normal"/>
      </w:pPr>
      <w:r>
        <w:t>26.2.3 [AFFECTED PARTY] A Party requesting review identifies how the alleged non-conformity affects a Compact right, obligation, treatment, or legally protected interest for which Party-to-Party adjudication is available. Chapter 23 participation does not independently create Party standing or a private right of action. A Party may present evidence concerning affected stakeholders where relevant to the legal claim. The panel does not enlarge standing through equitable considerations.</w:t>
      </w:r>
    </w:p>
    <w:p>
      <w:pPr>
        <w:pStyle w:val="Normal"/>
      </w:pPr>
      <w:r>
        <w:t>26.2.4 [CHAPTER 25 PREREQUISITE] A claim subject to Chapter 25 enters Chapter 26 when the applicable consultation stage has concluded or expired, a material cure has failed, the responding Party has refused a reasonably available cure process, or another Compact provision expressly authorizes earlier adjudication. Completed or expired Chapter 25 procedure satisfies the prerequisite without requiring political agreement that consultation succeeded. A Party cannot defeat jurisdiction by keeping a Chapter 25 stage nominally open after its bounded period. An urgent or specialized provision controls where it lawfully supplies a different route.</w:t>
      </w:r>
    </w:p>
    <w:p>
      <w:pPr>
        <w:pStyle w:val="Normal"/>
      </w:pPr>
      <w:r>
        <w:t>26.2.5 [EXCLUDED MATTERS] Chapter 26 does not hear a request whose substance is to rewrite the Compact, obtain a political concession, supervise lawful domestic policy, or create a new substantive obligation. A matter assigned exclusively to another Compact procedure follows that procedure. Severable eligible claims may proceed even where excluded matters appear in the same filing. The panel identifies and dismisses or severs material outside its jurisdiction.</w:t>
      </w:r>
    </w:p>
    <w:p>
      <w:pPr>
        <w:pStyle w:val="Heading2"/>
      </w:pPr>
      <w:r>
        <w:t xml:space="preserve">Article 26.3 - Chapter 25 Handoff and Procedural Credit</w:t>
      </w:r>
    </w:p>
    <w:p>
      <w:pPr>
        <w:pStyle w:val="Normal"/>
      </w:pPr>
      <w:r>
        <w:t>26.3.1 [HANDOFF RECORD] The Chapter 25 handoff includes the sufficient notice, amendments, agreed facts, material evidence, consultation record, cure plans, milestone records, verification material, Restoration status, and unresolved legal questions relevant to the claim. Chapter 22 provenance and confidentiality follow the transferred material. The handoff identifies which matters are agreed, disputed, cured, restored, or unresolved. Transfer does not alter the legal status of any item.</w:t>
      </w:r>
    </w:p>
    <w:p>
      <w:pPr>
        <w:pStyle w:val="Normal"/>
      </w:pPr>
      <w:r>
        <w:t>26.3.2 [PROCEDURAL CREDIT] A procedural step properly completed under Chapter 25 receives full procedural credit in Chapter 26 to the extent it satisfies the same functional requirement. The Parties do not repeat notice, factual exchange, technical work, or cure documentation merely because the matter changed chapters. A panel may request a focused supplement where the adjudicative question genuinely requires additional material. Procedural credit does not prevent a Party from contesting the legal significance of transferred material.</w:t>
      </w:r>
    </w:p>
    <w:p>
      <w:pPr>
        <w:pStyle w:val="Normal"/>
      </w:pPr>
      <w:r>
        <w:t>26.3.3 [NO STATUS LAUNDERING] An ALVS Indicator, Technical Finding, verification result, cure status, consultation statement, or Registry entry retains the legal status assigned by its source chapter. Transfer into a panel record does not convert technical or administrative material into a Legal Finding. The panel evaluates admissible material according to its function, provenance, and evidentiary weight. Repetition, consensus, or prominent display does not change legal category.</w:t>
      </w:r>
    </w:p>
    <w:p>
      <w:pPr>
        <w:pStyle w:val="Normal"/>
      </w:pPr>
      <w:r>
        <w:t>26.3.4 [HANDOFF CHECKLIST] The coordinating authority records whether notice sufficiency, consultation, cure opportunity, verification, partial Restoration, unresolved claims, and applicable clocks have been completed, expired, waived where lawful, or remain active. The checklist is administrative and does not decide contested jurisdiction or merits. A missing administrative entry does not erase an independently established completed step. The panel may correct the procedural record from reliable underlying evidence.</w:t>
      </w:r>
    </w:p>
    <w:p>
      <w:pPr>
        <w:pStyle w:val="Normal"/>
      </w:pPr>
      <w:r>
        <w:t>26.3.5 [PROCEDURAL CREDIT LEDGER] The panel maintains a concise ledger identifying completed procedural acts credited from Chapter 25 and any additional act required in Chapter 26. Each additional requirement identifies its legal source and the reason existing work does not satisfy it. The ledger prevents duplicative process from becoming a delay mechanism. A Party may challenge a ledger entry through the panel's ordinary procedural process.</w:t>
      </w:r>
    </w:p>
    <w:p>
      <w:pPr>
        <w:pStyle w:val="Heading2"/>
      </w:pPr>
      <w:r>
        <w:t xml:space="preserve">Article 26.4 - Request for Panel Review</w:t>
      </w:r>
    </w:p>
    <w:p>
      <w:pPr>
        <w:pStyle w:val="Normal"/>
      </w:pPr>
      <w:r>
        <w:t>26.4.1 [PARTICULARIZED REQUEST] A Request for Panel Review identifies the claimant, respondent, Compact provision, challenged conduct, unresolved legal question, affected treatment, Chapter 25 history, requested finding, and any remedy the claimant may later seek. The request states material facts with enough specificity to permit a meaningful response. Confidential information follows Chapter 22 protections. A request does not reserve unidentified claims through generalized language.</w:t>
      </w:r>
    </w:p>
    <w:p>
      <w:pPr>
        <w:pStyle w:val="Normal"/>
      </w:pPr>
      <w:r>
        <w:t>26.4.2 [FILING AND SERVICE] The request is filed through the Chapter 22 Registry and served through the Chapter 24 coordinating channels. The Registry timestamp establishes filing and service unless reliable evidence establishes a material transmission failure. Domestic routing remains the receiving Party's responsibility. Reorganization, vacancy, or internal referral does not reset a properly started response clock.</w:t>
      </w:r>
    </w:p>
    <w:p>
      <w:pPr>
        <w:pStyle w:val="Normal"/>
      </w:pPr>
      <w:r>
        <w:t>26.4.3 [PLEADING CORRECTION] A minor citation, formatting, clerical, or factual defect that does not materially alter the claim may be corrected without restarting the proceeding. A material amendment that adds a new obligation, materially different conduct, or an unrelated affected treatment receives the response period reasonably required for that added matter. Existing severable claims retain their procedural position. Correction does not become a vehicle for jurisdictional expansion.</w:t>
      </w:r>
    </w:p>
    <w:p>
      <w:pPr>
        <w:pStyle w:val="Normal"/>
      </w:pPr>
      <w:r>
        <w:t>26.4.4 [NO PLEADING GAMES] A respondent does not defeat a reasonably identifiable claim through immaterial technical objections, and a claimant does not use imprecision to conceal the case it intends to present. A material sufficiency objection identifies the missing information and why it prevents a meaningful response. The panel resolves pleading questions promptly and proportionately. Dismissal for pleading insufficiency ordinarily permits refiling where the underlying claim remains timely and otherwise eligible.</w:t>
      </w:r>
    </w:p>
    <w:p>
      <w:pPr>
        <w:pStyle w:val="Normal"/>
      </w:pPr>
      <w:r>
        <w:t>26.4.5 [REQUESTED REMEDY NOTICE] A claimant identifies the category and legal source of any remedy it expects to request if non-conformity is found. The notice does not require the panel to grant that remedy and does not limit a narrower remedy supported by the final findings. A materially broader remedy sought later requires a legal basis and fair opportunity for response. Remedy notice cannot create remedial authority absent from the Compact.</w:t>
      </w:r>
    </w:p>
    <w:p>
      <w:pPr>
        <w:pStyle w:val="Heading2"/>
      </w:pPr>
      <w:r>
        <w:t xml:space="preserve">Article 26.5 - Response and Defined Questions Presented</w:t>
      </w:r>
    </w:p>
    <w:p>
      <w:pPr>
        <w:pStyle w:val="Normal"/>
      </w:pPr>
      <w:r>
        <w:t>26.5.1 [BOUNDED RESPONSE] The responding Party files its response within twenty calendar days after a sufficient request unless the panel establishes a shorter urgent period or the Parties agree to a defined extension. The response addresses jurisdiction, material facts, legal interpretation, defenses, and the requested findings or remedies relevant to the claim. It identifies agreed propositions separately from disputed propositions. Failure to respond does not relieve the panel of its duty to establish jurisdiction and the legal basis for any finding.</w:t>
      </w:r>
    </w:p>
    <w:p>
      <w:pPr>
        <w:pStyle w:val="Normal"/>
      </w:pPr>
      <w:r>
        <w:t>26.5.2 [QUESTIONS PRESENTED] After the response, the panel states the defined questions presented for decision with sufficient precision to identify each legal issue and affected treatment. The questions derive from the request and response rather than from a free-standing panel policy agenda. Each question identifies the Compact provision materially implicated. The Parties receive a short opportunity to identify a material misstatement before the questions are fixed.</w:t>
      </w:r>
    </w:p>
    <w:p>
      <w:pPr>
        <w:pStyle w:val="Normal"/>
      </w:pPr>
      <w:r>
        <w:t>26.5.3 [ANTI-JURISDICTION CREEP] Once fixed, the questions presented do not expand through evidence, hearing discussion, panel curiosity, or remedial argument. A narrow clarification may be made where it does not add a materially new claim or obligation. A materially new issue uses the procedure legally applicable to that issue. The panel may decide less than the full question where severability or jurisdiction requires narrowing.</w:t>
      </w:r>
    </w:p>
    <w:p>
      <w:pPr>
        <w:pStyle w:val="Normal"/>
      </w:pPr>
      <w:r>
        <w:t>26.5.4 [CONSOLIDATION] Genuinely related questions may be consolidated where they share material facts, legal provisions, or remedial analysis and consolidation improves procedural economy without prejudicing a Party's ability to respond. Consolidation does not merge distinct burdens, erase severable findings, or broaden remedial scope. Each consolidated claim retains an identifiable disposition. Unrelated questions are severed.</w:t>
      </w:r>
    </w:p>
    <w:p>
      <w:pPr>
        <w:pStyle w:val="Normal"/>
      </w:pPr>
      <w:r>
        <w:t>26.5.5 [NO REFORMULATION INTO POLICY REVIEW] The panel does not reformulate a narrow legal dispute into review of an entire regulatory system, agricultural policy, domestic program, or sector unless the Compact and pleaded claim independently place that broader matter within jurisdiction. Systemic evidence may prove a properly pleaded claim without converting the case into general supervision. The panel explains any material reformulation necessary to resolve ambiguity. A reformulation cannot create jurisdiction that the original claim lacked.</w:t>
      </w:r>
    </w:p>
    <w:p>
      <w:pPr>
        <w:pStyle w:val="Heading2"/>
      </w:pPr>
      <w:r>
        <w:t xml:space="preserve">Article 26.6 - Panel Constitution, Independence, and Continuity</w:t>
      </w:r>
    </w:p>
    <w:p>
      <w:pPr>
        <w:pStyle w:val="Normal"/>
      </w:pPr>
      <w:r>
        <w:t>26.6.1 [THREE-MEMBER PANEL] An ordinary panel consists of three members with demonstrated competence relevant to treaty interpretation, trade administration, agricultural regulation, dispute resolution, or the technical context of the dispute. Each member acts independently rather than as an advocate for an appointing Party. The chair is selected through the procedure established by the Parties or the applicable roster rules. A specialized provision may lawfully establish a different composition.</w:t>
      </w:r>
    </w:p>
    <w:p>
      <w:pPr>
        <w:pStyle w:val="Normal"/>
      </w:pPr>
      <w:r>
        <w:t>26.6.2 [INDEPENDENCE AND CONFLICTS] A panelist discloses a financial, professional, governmental, familial, or other material interest reasonably capable of calling independence or impartiality into question. A disclosed conflict is evaluated promptly under published panel rules. A panelist does not accept instructions from a Party, stakeholder, contractor, or Compact body concerning the outcome. Confidential information acquired through service remains protected.</w:t>
      </w:r>
    </w:p>
    <w:p>
      <w:pPr>
        <w:pStyle w:val="Normal"/>
      </w:pPr>
      <w:r>
        <w:t>26.6.3 [APPOINTMENT FALLBACK] A Party's failure or refusal to appoint a panelist within the applicable period does not disable adjudication. The missing appointment is first made through the neutral roster rule, agreed appointing authority, or other pre-established mechanism expressly designated under the Compact, and if that mechanism does not produce an appointment within ten calendar days after the ordinary appointment period expires, the Chapter 24 Secretariat selects by auditable random draw from eligible neutral roster members who satisfy the applicable independence and competence requirements. The fallback does not permit the opposing Party unilaterally to select the missing member, and the Secretariat performs only the ministerial selection function without evaluating the merits or preferred outcome. Appointment delay does not restart the merits clock or reward the non-appointing Party, and the Registry records the triggering dates, eligible pool, draw method, and resulting appointment.</w:t>
      </w:r>
    </w:p>
    <w:p>
      <w:pPr>
        <w:pStyle w:val="Normal"/>
      </w:pPr>
      <w:r>
        <w:t>26.6.4 [REPLACEMENT AND REMOVAL] A panelist who resigns, dies, becomes unable to serve, or is removed for a material conflict is replaced through the same neutral mechanism applicable to the original seat. Completed procedural acts remain valid unless the reconstituted panel identifies a concrete fairness reason requiring a limited repetition. Replacement does not reopen fixed questions presented or erase the existing record. Removal for cause is documented without exposing protected deliberations.</w:t>
      </w:r>
    </w:p>
    <w:p>
      <w:pPr>
        <w:pStyle w:val="Normal"/>
      </w:pPr>
      <w:r>
        <w:t>26.6.5 [NO INSTITUTIONAL CAPTURE] Repeated service, roster administration, funding, technical expertise, or familiarity with Compact institutions does not confer additional jurisdiction on a panelist or panel. Panel compensation does not depend on outcome, remedial severity, or proceeding length. A Party does not manipulate appointments to secure a standing policy-making bloc. Chapter 24 institutional-restraint principles apply to panel administration to the extent consistent with adjudicative independence.</w:t>
      </w:r>
    </w:p>
    <w:p>
      <w:pPr>
        <w:pStyle w:val="Heading2"/>
      </w:pPr>
      <w:r>
        <w:t xml:space="preserve">Article 26.7 - Panel Authority and Jurisdictional Limits</w:t>
      </w:r>
    </w:p>
    <w:p>
      <w:pPr>
        <w:pStyle w:val="Normal"/>
      </w:pPr>
      <w:r>
        <w:t>26.7.1 [INTERPRET AND APPLY] A panel interprets and applies the Compact only as necessary to decide the defined questions presented. It may make findings of conformity, non-conformity, partial non-conformity, jurisdictional dismissal, or other disposition expressly authorized by this Chapter. Incidental procedural authority is limited to what is reasonably necessary to conduct the assigned adjudication and cannot create substantive law. The panel identifies the textual basis for consequential exercises of authority.</w:t>
      </w:r>
    </w:p>
    <w:p>
      <w:pPr>
        <w:pStyle w:val="Normal"/>
      </w:pPr>
      <w:r>
        <w:t>26.7.2 [NO LEGISLATION] A panel does not amend tariff schedules, create regulatory standards, establish quotas, redesign domestic programs, legislate implementing rules, or create generally applicable obligations. A finding may identify the legal result required by an existing obligation without dictating a policy choice where multiple lawful methods of conformity remain available. The responding Party retains lawful implementation choice. Chapter 29 remains the route for treaty modernization or amendment.</w:t>
      </w:r>
    </w:p>
    <w:p>
      <w:pPr>
        <w:pStyle w:val="Normal"/>
      </w:pPr>
      <w:r>
        <w:t>26.7.3 [NO PROGRAM ADMINISTRATION] A panel does not administer a cure plan, operate a Registry, manage licensing, supervise customs processing, direct an agency's daily work, or conduct continuing regulatory oversight. It may identify an objective compliance condition where the Compact authorizes that function. Operational implementation remains with the responsible Party authorities and assigned Compact mechanisms. A panel does not become a permanent compliance office.</w:t>
      </w:r>
    </w:p>
    <w:p>
      <w:pPr>
        <w:pStyle w:val="Normal"/>
      </w:pPr>
      <w:r>
        <w:t>26.7.4 [TEXTUAL HOOK FOR REMEDY] Every remedy identifies the Compact provision authorizing the remedy, the adjudicated non-performance to which it responds, and the limits attached to that authority. A remedy may not create an obligation the panel could not find in the Compact. Implied enforcement power does not arise from the seriousness of a violation or the desirability of a particular outcome. Where no temporary adverse remedy is authorized, the panel issues the findings and conformity direction the Compact permits without inventing one.</w:t>
      </w:r>
    </w:p>
    <w:p>
      <w:pPr>
        <w:pStyle w:val="Normal"/>
      </w:pPr>
      <w:r>
        <w:t>26.7.5 [NO AUTHORITY BY CONSENT] Party agreement during litigation does not confer jurisdiction or remedial power that the Compact withholds. The Parties may settle or narrow their dispute within lawful authority, but they do not convert the panel into an amendment body through consent. A panel verifies its own authority for each consequential order or finding. Repeated acquiescence does not mature into jurisdiction.</w:t>
      </w:r>
    </w:p>
    <w:p>
      <w:pPr>
        <w:pStyle w:val="Heading2"/>
      </w:pPr>
      <w:r>
        <w:t xml:space="preserve">Article 26.8 - Record, Evidence, and Procedural Integrity</w:t>
      </w:r>
    </w:p>
    <w:p>
      <w:pPr>
        <w:pStyle w:val="Normal"/>
      </w:pPr>
      <w:r>
        <w:t>26.8.1 [RECORD INDEX] The panel maintains an indexed record identifying each submission, Chapter 25 carryover item, exhibit, expert material, technical output, procedural ruling, and confidentiality status. Provenance follows material transferred from another chapter. The index distinguishes evidence from argument and administrative metadata. The Parties receive practical access to the non-protected record.</w:t>
      </w:r>
    </w:p>
    <w:p>
      <w:pPr>
        <w:pStyle w:val="Normal"/>
      </w:pPr>
      <w:r>
        <w:t>26.8.2 [AUTHENTICATION AND RELIABILITY] Evidence is supported by sufficient provenance, authentication, or contextual reliability for the use made of it. The panel may consider official records, business records, technical data, expert material, testimony, models, and other probative information consistent with the Compact. Evidentiary formality is proportionate to the consequence and risk of error. A contested item is not excluded merely because it originated in an administrative rather than judicial process.</w:t>
      </w:r>
    </w:p>
    <w:p>
      <w:pPr>
        <w:pStyle w:val="Normal"/>
      </w:pPr>
      <w:r>
        <w:t>26.8.3 [LATE EVIDENCE] A Party does not deliberately withhold material evidence during Chapter 25 or an established Chapter 26 filing period to obtain tactical advantage. The panel may admit genuinely new, previously unavailable, rebuttal, or outcome-material evidence where fairness permits. Abusive late evidence may be excluded, given reduced weight, or admitted with a proportionate response opportunity. Evidentiary management does not become a substantive penalty unrelated to the dispute.</w:t>
      </w:r>
    </w:p>
    <w:p>
      <w:pPr>
        <w:pStyle w:val="Normal"/>
      </w:pPr>
      <w:r>
        <w:t>26.8.4 [NO EVIDENCE FLOODING] Submission volume does not create evidentiary weight and does not require repetitive analysis of materially duplicative material. The panel may require indexing, representative samples, summaries linked to source records, or other proportionate organization while preserving materially distinct evidence. Automated or sampled management remains auditable where consequential. A Party retains a practical route to identify material content incorrectly treated as duplicative.</w:t>
      </w:r>
    </w:p>
    <w:p>
      <w:pPr>
        <w:pStyle w:val="Normal"/>
      </w:pPr>
      <w:r>
        <w:t>26.8.5 [PRIVILEGE AND CONFIDENTIALITY] Chapter 22 governs confidential information, protected business information, security-sensitive material, and applicable access controls in the panel record. Nothing in this Chapter compels disclosure of legally protected privilege except where the Compact expressly provides otherwise. A Party invoking protection provides a usable description or substitute where lawfully possible and materially necessary for fairness. Protective treatment does not permit a Party to rely conclusively on undisclosed evidence that the opposing Party has no meaningful opportunity to answer.</w:t>
      </w:r>
    </w:p>
    <w:p>
      <w:pPr>
        <w:pStyle w:val="Heading2"/>
      </w:pPr>
      <w:r>
        <w:t xml:space="preserve">Article 26.9 - Technical Evidence and Chapters 17 and 18 Firewall</w:t>
      </w:r>
    </w:p>
    <w:p>
      <w:pPr>
        <w:pStyle w:val="Normal"/>
      </w:pPr>
      <w:r>
        <w:t>26.9.1 [ASSIGNED STATUS] An ALVS Indicator, Verified Implementation status, Technical Finding, model output, expert report, scientific assessment, or other technical material enters the record with the status assigned by its source provision. The panel may evaluate its relevance, reliability, limitations, and relationship to the legal question. Technical status is not upgraded through filing. Chapter 17 and Chapter 18 firewalls remain operative.</w:t>
      </w:r>
    </w:p>
    <w:p>
      <w:pPr>
        <w:pStyle w:val="Normal"/>
      </w:pPr>
      <w:r>
        <w:t>26.9.2 [TECHNICAL FINDING NOT LEGAL FINDING] A Technical Finding does not become a Legal Finding merely because a panel considers it, a Party relies upon it, or multiple technical sources agree. The panel independently applies the Compact's legal standard to the facts within its jurisdiction. A technical body does not become an adjudicator retroactively. The panel explains any material departure from a technically well-supported record where that departure affects the legal result.</w:t>
      </w:r>
    </w:p>
    <w:p>
      <w:pPr>
        <w:pStyle w:val="Normal"/>
      </w:pPr>
      <w:r>
        <w:t>26.9.3 [TECHNICAL ASSISTANCE] Where a genuine technical question materially exceeds the reliable record available to the panel, the panel may request focused assistance through Chapter 18 or another expressly assigned technical mechanism. The request identifies the technical question and does not delegate the legal issue. Technical assistance ordinarily runs within the existing adjudicative clock and does not create an automatic stay. A Party may address the resulting technical material before it is relied upon.</w:t>
      </w:r>
    </w:p>
    <w:p>
      <w:pPr>
        <w:pStyle w:val="Normal"/>
      </w:pPr>
      <w:r>
        <w:t>26.9.4 [MODELS AND UNCERTAINTY] A model, forecast, risk estimate, or statistical analysis is evaluated with its assumptions, inputs, uncertainty, sensitivity, provenance, and demonstrated fitness for the use made of it. A forecast is not treated as observed fact. Competing models are compared on relevant methodological grounds rather than institutional prestige. The legal standard remains the one established by the Compact.</w:t>
      </w:r>
    </w:p>
    <w:p>
      <w:pPr>
        <w:pStyle w:val="Normal"/>
      </w:pPr>
      <w:r>
        <w:t>26.9.5 [NO TECHNICAL VETO] A panel does not surrender adjudication because experts disagree or because a technical mechanism cannot produce certainty. The panel decides the legal question on the record under the applicable burden and standard while identifying material uncertainty. A specialized provision requiring a particular scientific or technical predicate remains controlling. Technical uncertainty does not create substantive panel authority.</w:t>
      </w:r>
    </w:p>
    <w:p>
      <w:pPr>
        <w:pStyle w:val="Heading2"/>
      </w:pPr>
      <w:r>
        <w:t xml:space="preserve">Article 26.10 - Burdens and Evidentiary Standards</w:t>
      </w:r>
    </w:p>
    <w:p>
      <w:pPr>
        <w:pStyle w:val="Normal"/>
      </w:pPr>
      <w:r>
        <w:t>26.10.1 [CLAIMANT BURDEN] The claimant establishes the facts and legal elements necessary to support each claim of non-conformity under the applicable Compact provision. The burden attaches to the claim actually pleaded and does not expand because the challenged policy is controversial or complex. Facts formally agreed or reliably established in the Chapter 25 record need not be reproved without a material basis for challenge. The panel identifies any element it finds unproven.</w:t>
      </w:r>
    </w:p>
    <w:p>
      <w:pPr>
        <w:pStyle w:val="Normal"/>
      </w:pPr>
      <w:r>
        <w:t>26.10.2 [EXCEPTIONS AND DEFENSES] A Party relying on an exception, affirmative defense, or specialized justification establishes the facts that the controlling provision assigns to that Party. The legal availability and scope of the exception remain questions of Compact interpretation. Invocation of an exception does not shift unrelated elements of the claimant's case. A specialized chapter controls any express burden allocation within its scope.</w:t>
      </w:r>
    </w:p>
    <w:p>
      <w:pPr>
        <w:pStyle w:val="Normal"/>
      </w:pPr>
      <w:r>
        <w:t>26.10.3 [STANDARD OF PERSUASION] Unless a controlling provision establishes another standard, a panel makes factual findings when the record as a whole provides the more persuasive and reliable account of the fact necessary to decide the claim. The panel considers evidence quality, provenance, corroboration, uncertainty, and contrary evidence rather than merely counting submissions. Serious remedial consequence warrants correspondingly careful reasoning but does not silently alter the legal burden. The panel states any specialized standard it applies.</w:t>
      </w:r>
    </w:p>
    <w:p>
      <w:pPr>
        <w:pStyle w:val="Normal"/>
      </w:pPr>
      <w:r>
        <w:t>26.10.4 [NO CURE ADMISSION] Participation in Chapter 25 consultation, voluntary correction, submission of a cure plan, acceptance of verification, or Restoration does not create a presumption that the responding Party committed the alleged legal breach. Settlement communications and correction-first conduct are not used as adverse admissions unless a Party expressly states otherwise. Historical facts independently evidenced remain available. This rule preserves the incentive to cure without confession.</w:t>
      </w:r>
    </w:p>
    <w:p>
      <w:pPr>
        <w:pStyle w:val="Normal"/>
      </w:pPr>
      <w:r>
        <w:t>26.10.5 [ADVERSE INFERENCE LIMIT] A panel may draw a proportionate inference from a Party's unexplained failure to produce material evidence demonstrably within its control only after giving that Party notice and a reasonable opportunity to explain or cure the gap. An inference does not substitute for jurisdiction or create an element unsupported by the Compact. Lawful privilege, confidentiality, technical impossibility, or genuine unavailability is considered. The panel states the inference and its effect on the reasoning.</w:t>
      </w:r>
    </w:p>
    <w:p>
      <w:pPr>
        <w:pStyle w:val="Heading2"/>
      </w:pPr>
      <w:r>
        <w:t xml:space="preserve">Article 26.11 - Hearings, Written Procedure, and Procedural Economy</w:t>
      </w:r>
    </w:p>
    <w:p>
      <w:pPr>
        <w:pStyle w:val="Normal"/>
      </w:pPr>
      <w:r>
        <w:t>26.11.1 [WRITTEN-FIRST PROCESS] Proceedings ordinarily prioritize written submissions, indexed evidence, and defined questions presented. A hearing is held where oral examination, clarification, technical explanation, or procedural fairness materially assists decision. Written-first procedure does not deny a Party a meaningful opportunity to be heard. The panel avoids ceremonial process that adds delay without adjudicative value.</w:t>
      </w:r>
    </w:p>
    <w:p>
      <w:pPr>
        <w:pStyle w:val="Normal"/>
      </w:pPr>
      <w:r>
        <w:t>26.11.2 [REMOTE AND ELECTRONIC PROCEDURE] Filings, conferences, and hearings may occur electronically or remotely where reliability, confidentiality, accessibility, and procedural fairness are preserved. Technical failure does not forfeit a right where the affected Party acts promptly to cure it. The panel maintains an authoritative record of filed material and procedural directions. Electronic convenience does not expand public access to protected information.</w:t>
      </w:r>
    </w:p>
    <w:p>
      <w:pPr>
        <w:pStyle w:val="Normal"/>
      </w:pPr>
      <w:r>
        <w:t>26.11.3 [PROPORTIONATE LIMITS] The panel may establish proportionate page, time, exhibit, or presentation limits tailored to the complexity and urgency of the dispute. A limit permits adjustment where necessary to present an outcome-material issue fairly. Procedural economy does not become a device for excluding a complex claim merely because it requires a substantial record. Repetitive or immaterial material may be restricted.</w:t>
      </w:r>
    </w:p>
    <w:p>
      <w:pPr>
        <w:pStyle w:val="Normal"/>
      </w:pPr>
      <w:r>
        <w:t>26.11.4 [JOINT AND CONSOLIDATED SUBMISSIONS] The panel may accept agreed statements of fact, joint technical descriptions, stipulated record materials, and other joint submissions that narrow genuine disagreement. Consolidated treatment preserves the separate legal status of each claim and defense. A Party is not required to agree to a characterization merely to obtain procedural efficiency. Disagreement is recorded rather than manufactured into consensus.</w:t>
      </w:r>
    </w:p>
    <w:p>
      <w:pPr>
        <w:pStyle w:val="Normal"/>
      </w:pPr>
      <w:r>
        <w:t>26.11.5 [ANTI-DELAY] A Party does not use repetitive motions, unnecessary adjournments, strategic non-appearance, redundant discovery requests, or procedural fragmentation to make adjudication commercially meaningless. The panel addresses delay through scheduling, severance, focused orders, or other procedural measures within its authority. Delay management does not predetermine the merits. Urgent agricultural consequences receive the expedited treatment assigned by this Chapter or a specialized provision.</w:t>
      </w:r>
    </w:p>
    <w:p>
      <w:pPr>
        <w:pStyle w:val="Heading2"/>
      </w:pPr>
      <w:r>
        <w:t xml:space="preserve">Article 26.12 - Interim Preservation and No Prejudgment</w:t>
      </w:r>
    </w:p>
    <w:p>
      <w:pPr>
        <w:pStyle w:val="Normal"/>
      </w:pPr>
      <w:r>
        <w:t>26.12.1 [INTERIM PURPOSE] Interim preservation is available only where expressly authorized by the Compact and where delay before final decision would materially impair the ability to provide meaningful lawful relief, preserve evidence, or protect a right from irreversible loss. An interim measure preserves rather than decides the ultimate dispute. The requesting Party identifies the factual basis, legal source, urgency, and proposed scope. Absence of express authority prevents the panel from inventing interim substantive restrictions.</w:t>
      </w:r>
    </w:p>
    <w:p>
      <w:pPr>
        <w:pStyle w:val="Normal"/>
      </w:pPr>
      <w:r>
        <w:t>26.12.2 [NO PREJUDGMENT] An interim determination does not establish the final merits and is not described as a Legal Finding of non-conformity unless the Compact expressly provides otherwise. The panel uses only the degree of preliminary assessment necessary for the authorized preservation function. Final adjudication considers the complete record independently. Interim language does not shift the ultimate burden of proof.</w:t>
      </w:r>
    </w:p>
    <w:p>
      <w:pPr>
        <w:pStyle w:val="Normal"/>
      </w:pPr>
      <w:r>
        <w:t>26.12.3 [MINIMUM INTERIM SCOPE] An authorized interim measure is no broader, longer, or more burdensome than reasonably necessary to preserve the interest identified by its legal source. The panel considers a less restrictive lawful alternative capable of preserving the same interest. Unrelated products, sectors, participants, and rights remain unaffected. Interim proportionality applies from the first day rather than only after final adjudication.</w:t>
      </w:r>
    </w:p>
    <w:p>
      <w:pPr>
        <w:pStyle w:val="Normal"/>
      </w:pPr>
      <w:r>
        <w:t>26.12.4 [EXPIRY AND REVIEW] Every interim measure states an expiration event or date and a prompt review route. Continuation requires current evidence and continuing legal authority rather than inertia. A measure ends automatically when its legal predicate ceases or the final decision supersedes it. Administrative delay does not convert interim treatment into permanent treatment.</w:t>
      </w:r>
    </w:p>
    <w:p>
      <w:pPr>
        <w:pStyle w:val="Normal"/>
      </w:pPr>
      <w:r>
        <w:t>26.12.5 [SPECIALIZED SAFEGUARDS] SPS, food safety, animal health, plant health, emergency, shortage, and other specialized chapters remain controlling where they provide the substantive or procedural standard for urgent treatment. Commercial urgency does not lower a lawful safety standard. Specialized protection does not authorize unrelated economic punishment. Chapter 26 coordinates adjudication without displacing the more specific rule.</w:t>
      </w:r>
    </w:p>
    <w:p>
      <w:pPr>
        <w:pStyle w:val="Heading2"/>
      </w:pPr>
      <w:r>
        <w:t xml:space="preserve">Article 26.13 - Legal Findings, Reasons, and Publication</w:t>
      </w:r>
    </w:p>
    <w:p>
      <w:pPr>
        <w:pStyle w:val="Normal"/>
      </w:pPr>
      <w:r>
        <w:t>26.13.1 [ITEMIZED FINDINGS] Every final report identifies separately each claim, operative obligation, material factual finding, legal interpretation, reasoning, scope, and disposition. The panel does not issue a generalized declaration that a Party violated NAAFTC without identifying the conduct and obligation supporting each result. Separate treatment preserves severability. A remedy links only to findings that legally support it.</w:t>
      </w:r>
    </w:p>
    <w:p>
      <w:pPr>
        <w:pStyle w:val="Normal"/>
      </w:pPr>
      <w:r>
        <w:t>26.13.2 [REASONED DECISION] The panel explains the reasoning sufficient for the Parties and a later reviewer to understand how material evidence and Compact text produced the result. It addresses outcome-determinative arguments and contrary evidence without being required to catalogue every submission. Material uncertainty is identified rather than concealed. Reasons do not create dicta-based obligations beyond what is necessary to decide the dispute.</w:t>
      </w:r>
    </w:p>
    <w:p>
      <w:pPr>
        <w:pStyle w:val="Normal"/>
      </w:pPr>
      <w:r>
        <w:t>26.13.3 [SCOPE OF FINDING] A finding states the products, measures, practices, periods, or other legally relevant scope to which it applies. Evidence of a broader pattern does not automatically enlarge the finding beyond the pleaded and proven matter. A systemic finding requires jurisdiction, pleading, and evidence supporting systemic scope. Unrelated treatment remains outside the finding.</w:t>
      </w:r>
    </w:p>
    <w:p>
      <w:pPr>
        <w:pStyle w:val="Normal"/>
      </w:pPr>
      <w:r>
        <w:t>26.13.4 [DISSENT AND SEPARATE VIEWS] A panelist may record a dissent or separate view identifying the legal or factual point of disagreement. A separate view does not alter the binding disposition produced by the applicable panel rule. Publication protects confidential information and does not disclose protected deliberative material beyond the separate reasoning voluntarily stated. The Registry distinguishes majority findings from separate views.</w:t>
      </w:r>
    </w:p>
    <w:p>
      <w:pPr>
        <w:pStyle w:val="Normal"/>
      </w:pPr>
      <w:r>
        <w:t>26.13.5 [PUBLICATION] A non-confidential final report and reasons are published through Chapter 22 after necessary redaction and procedural correction. Publication identifies the status and effective date of the decision. Redaction does not conceal the legal basis or operative scope to the extent a usable public explanation can lawfully be provided. Publication itself does not enlarge precedential effect.</w:t>
      </w:r>
    </w:p>
    <w:p>
      <w:pPr>
        <w:pStyle w:val="Heading2"/>
      </w:pPr>
      <w:r>
        <w:t xml:space="preserve">Article 26.14 - Conformity, Non-Conformity, and Partial Outcomes</w:t>
      </w:r>
    </w:p>
    <w:p>
      <w:pPr>
        <w:pStyle w:val="Normal"/>
      </w:pPr>
      <w:r>
        <w:t>26.14.1 [CONFORMITY] Where the claimant does not establish non-conformity, the panel records a finding of conformity or failure to establish the pleaded breach as appropriate to the legal issue. The finding applies only to the conduct and record within its stated scope. It does not immunize materially different future conduct. Any temporary dispute-specific restriction lacking an independent continuing basis ends according to its governing rule.</w:t>
      </w:r>
    </w:p>
    <w:p>
      <w:pPr>
        <w:pStyle w:val="Normal"/>
      </w:pPr>
      <w:r>
        <w:t>26.14.2 [NON-CONFORMITY] Where the claimant establishes non-conformity, the panel identifies the precise obligation and conduct producing that result. The finding does not automatically determine remedy beyond what the Compact authorizes. The responding Party retains lawful choice among conforming implementation methods where the obligation permits more than one. Post-finding cure proceeds under Article 26.15.</w:t>
      </w:r>
    </w:p>
    <w:p>
      <w:pPr>
        <w:pStyle w:val="Normal"/>
      </w:pPr>
      <w:r>
        <w:t>26.14.3 [PARTIAL NON-CONFORMITY] Where only part of a challenged measure, practice, product set, period, or legal theory is inconsistent with the Compact, the panel issues a correspondingly partial finding. Lawful portions are not contaminated by proximity to the non-conforming portion. Cure and remedy attach only to the adjudicated scope unless a broader connection is independently established. Partial Restoration proceeds as each severable portion conforms.</w:t>
      </w:r>
    </w:p>
    <w:p>
      <w:pPr>
        <w:pStyle w:val="Normal"/>
      </w:pPr>
      <w:r>
        <w:t>26.14.4 [MIXED CLAIMS] A panel may uphold some claims, reject others, dismiss some for lack of jurisdiction, and leave another unresolved where the Compact requires a different procedure. Each disposition is separately recorded. A prevailing result on one claim does not supply evidence or remedy authority for another claim automatically. Remedy analysis follows the findings individually and cumulatively only where the Compact permits connected treatment.</w:t>
      </w:r>
    </w:p>
    <w:p>
      <w:pPr>
        <w:pStyle w:val="Normal"/>
      </w:pPr>
      <w:r>
        <w:t>26.14.5 [PROCEDURAL DISMISSAL] A claim dismissed for a curable procedural defect may be dismissed without prejudice where refiling remains lawful. Dismissal with prejudice requires a legal basis appropriate to final disposition rather than administrative convenience. A procedural dismissal does not become a merits finding. Accrued Restoration or completed cure remains unaffected unless an independent provision says otherwise.</w:t>
      </w:r>
    </w:p>
    <w:p>
      <w:pPr>
        <w:pStyle w:val="Heading2"/>
      </w:pPr>
      <w:r>
        <w:t xml:space="preserve">Article 26.15 - Post-Finding Cure Opportunity</w:t>
      </w:r>
    </w:p>
    <w:p>
      <w:pPr>
        <w:pStyle w:val="Normal"/>
      </w:pPr>
      <w:r>
        <w:t>26.15.1 [CORRECTION FIRST AFTER FINDING] A final finding of non-conformity ordinarily initiates a bounded opportunity for the responding Party to conform before a temporary adverse remedy is activated, unless the controlling provision requires immediate treatment. The finding identifies the obligation and scope to be corrected without dictating an unauthorized implementation method. The responding Party may cure immediately or submit the implementation information required for a measurable cure path. Adjudication therefore returns the matter to correction rather than treating punishment as the default next step.</w:t>
      </w:r>
    </w:p>
    <w:p>
      <w:pPr>
        <w:pStyle w:val="Normal"/>
      </w:pPr>
      <w:r>
        <w:t>26.15.2 [CURE PLAN INTERFACE] Where implementation cannot be completed immediately, the responding Party provides a post-finding cure plan using the applicable Chapter 25 requirements for measurable milestones, evidence, verification, and completion conditions. The adjudicated legal finding fixes the legal issue already decided and is not renegotiated through the cure plan. The plan does not create obligations beyond the finding and underlying Compact provision. Chapter 25 machinery may administer cure only within its assigned functions.</w:t>
      </w:r>
    </w:p>
    <w:p>
      <w:pPr>
        <w:pStyle w:val="Normal"/>
      </w:pPr>
      <w:r>
        <w:t>26.15.3 [BOUNDED IMPLEMENTATION PERIOD] The implementation period is no longer than reasonably necessary for the identified corrective acts, considering legal, technical, administrative, and commercial circumstances. A specialized provision may establish a specific period. Internal reorganization, procurement choice, staffing, or political preference does not automatically justify delay. The Registry records the completion date or objective event that ends the period.</w:t>
      </w:r>
    </w:p>
    <w:p>
      <w:pPr>
        <w:pStyle w:val="Normal"/>
      </w:pPr>
      <w:r>
        <w:t>26.15.4 [VOLUNTARY EARLY CURE] A responding Party may complete conformity before the implementation period expires. Early cure receives verification promptly and does not wait for the original deadline merely because additional time was available. Where correction is severable, completed portions receive proportionate recognition and Restoration. Early compliance does not require a further admission beyond the panel's existing finding.</w:t>
      </w:r>
    </w:p>
    <w:p>
      <w:pPr>
        <w:pStyle w:val="Normal"/>
      </w:pPr>
      <w:r>
        <w:t>26.15.5 [NO REMEDY TREADMILL] Once the adjudicated correction condition is established, the prevailing Party does not add new demands as conformity is achieved. A later requirement needs an independently valid Compact basis, materially new conduct, or a lawful clarification of the finding. Disagreement about whether the condition is satisfied follows the assigned verification or review route. Winning the case does not confer ownership of the cure process.</w:t>
      </w:r>
    </w:p>
    <w:p>
      <w:pPr>
        <w:pStyle w:val="Heading2"/>
      </w:pPr>
      <w:r>
        <w:t xml:space="preserve">Article 26.16 - Remedy Principle and Cothrom Proportionality</w:t>
      </w:r>
    </w:p>
    <w:p>
      <w:pPr>
        <w:pStyle w:val="Normal"/>
      </w:pPr>
      <w:r>
        <w:t>26.16.1 [REMEDY FOLLOWS FINDING] A temporary remedy responds only to adjudicated non-performance that remains unresolved after the applicable correction opportunity or for which immediate remedial treatment is expressly authorized. The remedy identifies the finding, legal source, affected scope, and objective compliance condition. A remedy does not attach to rejected, dismissed, cured, or unrelated claims. The legal baseline remains the substantive Compact treatment beneath any temporary overlay.</w:t>
      </w:r>
    </w:p>
    <w:p>
      <w:pPr>
        <w:pStyle w:val="Normal"/>
      </w:pPr>
      <w:r>
        <w:t>26.16.2 [MINIMUM NECESSARY REMEDY] The panel selects or confirms the minimum lawful remedial scope reasonably sufficient to address the unresolved adjudicated non-performance. It considers a narrower or less restrictive authorized alternative capable of achieving the same compliance function. Remedy may be severed by product, treatment, transaction, entity, period, or other legally meaningful unit. The prevailing Party's preferred severity is not controlling.</w:t>
      </w:r>
    </w:p>
    <w:p>
      <w:pPr>
        <w:pStyle w:val="Normal"/>
      </w:pPr>
      <w:r>
        <w:t>26.16.3 [CAUSAL CONNECTION] The scope of remedy maintains a demonstrable connection to the adjudicated conduct and affected treatment. A remedy does not migrate to an unrelated sector merely because economic value can be matched there. Aggregation of connected findings requires a reasoned explanation of the common legal or causal basis. Cross-sector punishment is not a default enforcement technique under this Chapter.</w:t>
      </w:r>
    </w:p>
    <w:p>
      <w:pPr>
        <w:pStyle w:val="Normal"/>
      </w:pPr>
      <w:r>
        <w:t>26.16.4 [REVERSIBILITY] Every temporary remedy is designed for prompt and complete reversal when its objective compliance condition is satisfied. Administrative systems distinguish the temporary overlay from the underlying baseline and preserve the information necessary for Restoration. A remedy is not embedded into ordinary rules in a manner that makes reversal discretionary or technically impracticable. Residual effects are part of the Restoration obligation.</w:t>
      </w:r>
    </w:p>
    <w:p>
      <w:pPr>
        <w:pStyle w:val="Normal"/>
      </w:pPr>
      <w:r>
        <w:t>26.16.5 [NO AUTOMATIC TARIFF WARFARE] A finding of non-conformity does not by itself authorize tariff escalation, whole-Compact suspension, generalized retaliation, or a snapback of liberalized treatment. Any tariff or benefit adjustment requires an express Compact source and remains subject to its limits, protected core, proportionality, and Restoration rules. Seriousness of a dispute does not manufacture tariff authority. Cothrom correction and earn-back remain the governing remedial logic.</w:t>
      </w:r>
    </w:p>
    <w:p>
      <w:pPr>
        <w:pStyle w:val="Heading2"/>
      </w:pPr>
      <w:r>
        <w:t xml:space="preserve">Article 26.17 - Permitted Temporary Remedies and Protected Core</w:t>
      </w:r>
    </w:p>
    <w:p>
      <w:pPr>
        <w:pStyle w:val="Normal"/>
      </w:pPr>
      <w:r>
        <w:t>26.17.1 [ENUMERATED AUTHORITY] A temporary adverse remedy under Chapter 26 is limited to a remedy expressly authorized by the substantive provision at issue, a remedial provision of the Compact, or a provision expressly incorporated for that purpose. Chapter 26 supplies procedure and proportionality but does not create a general power to suspend benefits. The panel states the enumerated authority before activating or confirming a remedy. Where the Compact supplies no adverse remedy, conformity and declaratory findings remain available without invention.</w:t>
      </w:r>
    </w:p>
    <w:p>
      <w:pPr>
        <w:pStyle w:val="Normal"/>
      </w:pPr>
      <w:r>
        <w:t>26.17.2 [FUTURE INCREMENTAL BENEFITS] A pause or adjustment to a future incremental benefit is available only where the Compact expressly makes that benefit conditional or subject to such treatment. An accrued Vested Market-Access Right is not reclassified as future merely because implementation is incomplete. A completed liberalization milestone remains completed. The remedy record distinguishes future conditional treatment from accrued rights.</w:t>
      </w:r>
    </w:p>
    <w:p>
      <w:pPr>
        <w:pStyle w:val="Normal"/>
      </w:pPr>
      <w:r>
        <w:t>26.17.3 [PROTECTED CORE] Humanitarian protections, lawful safety protections, due process, confidentiality, review rights, and any treatment expressly made non-suspendable remain outside remedial bargaining. A specialized chapter may identify additional protected treatment. A Party does not condition Restoration on surrender of a protected right. The panel interprets remedial authority consistently with the protected core.</w:t>
      </w:r>
    </w:p>
    <w:p>
      <w:pPr>
        <w:pStyle w:val="Normal"/>
      </w:pPr>
      <w:r>
        <w:t>26.17.4 [ZERO-LINE AND VESTED STATUS] Zero-Line Status, Vested Market-Access Rights, completed transition achievements, and synchronized activation events remain part of the underlying legal baseline unless an express provision authorizes a narrow temporary overlay. A temporary remedy does not delete, re-age, rebase, or permanently reclassify those statuses. The Registry records the overlay separately. Restoration applies the current legal position when the overlay ends.</w:t>
      </w:r>
    </w:p>
    <w:p>
      <w:pPr>
        <w:pStyle w:val="Normal"/>
      </w:pPr>
      <w:r>
        <w:t>26.17.5 [NO WHOLE-COMPACT SNAPBACK] Chapter 26 does not authorize whole-Compact snapback, generalized suspension, or cross-sector retaliation merely because a Party has not conformed with one adjudicated obligation. A broader remedy requires independently traceable authority and evidence supporting its lawful scope. Remedy value alone does not establish causal connection. Unrelated Compact rights continue operating.</w:t>
      </w:r>
    </w:p>
    <w:p>
      <w:pPr>
        <w:pStyle w:val="Heading2"/>
      </w:pPr>
      <w:r>
        <w:t xml:space="preserve">Article 26.18 - Remedy Duration, Verification, and Automatic Restoration</w:t>
      </w:r>
    </w:p>
    <w:p>
      <w:pPr>
        <w:pStyle w:val="Normal"/>
      </w:pPr>
      <w:r>
        <w:t>26.18.1 [EXIT CONDITION AT INCEPTION] Every temporary adverse remedy states at inception the objective compliance condition, verification method, responsible authority, and event that ends the remedy. A temporary adverse remedy does not acquire operative effect until those elements are legally ascertainable and recorded with sufficient precision to permit objective compliance and Automatic Restoration, except that an independently authorized interim preservation measure under Article 26.12 continues according to its own legal basis and limits. The exit condition is no broader than the adjudicated obligation and cannot require an unrelated concession, political satisfaction test, or condition added after remedial authorization. A defective or unmeasurable exit condition is corrected before consequential application, and premature administrative application does not validate the defect or postpone rights that remain due under the underlying Compact baseline.</w:t>
      </w:r>
    </w:p>
    <w:p>
      <w:pPr>
        <w:pStyle w:val="Normal"/>
      </w:pPr>
      <w:r>
        <w:t>26.18.2 [BOUNDED DURATION] A temporary remedy lasts only while its legal predicate and unresolved adjudicated non-performance continue. Any stated outer review period does not create a right to retain the remedy after compliance occurs. Continued application requires current authority and current evidence. Inertia, administrative backlog, or unresolved political disagreement does not extend duration.</w:t>
      </w:r>
    </w:p>
    <w:p>
      <w:pPr>
        <w:pStyle w:val="Normal"/>
      </w:pPr>
      <w:r>
        <w:t>26.18.3 [VERIFICATION OF COMPLIANCE] Compliance verification determines whether the objective condition attached to the remedy has been satisfied and does not reopen the legal finding already decided. Chapter 25 verification machinery may be used where assigned and compatible with the final finding. A technical verifier does not acquire adjudicative authority. Verification delay and severable completion follow the anti-veto and partial-Restoration principles of Chapter 25.</w:t>
      </w:r>
    </w:p>
    <w:p>
      <w:pPr>
        <w:pStyle w:val="Normal"/>
      </w:pPr>
      <w:r>
        <w:t>26.18.4 [AUTOMATIC RESTORATION] When the objective compliance condition is satisfied, the temporary remedy ends and ordinary treatment restores by operation of the Compact. The prevailing Party does not receive a second vote, discretionary satisfaction veto, or right to demand an unrelated concession. Restoration returns treatment to the current legal position, including milestones that matured during the remedial period. A later restriction requires a new independently valid legal basis.</w:t>
      </w:r>
    </w:p>
    <w:p>
      <w:pPr>
        <w:pStyle w:val="Normal"/>
      </w:pPr>
      <w:r>
        <w:t>26.18.5 [COMMERCIALLY USABLE RESTORATION] Restoration reaches customs, licensing, payment, Registry, allocation, inspection, procurement, and other materially consequential systems necessary to deliver the treatment legally due. A paper decision or central instruction is not complete Restoration while a consequential downstream system continues applying the remedy. Government-caused implementation delay does not postpone the legal effect of Restoration and receives the participant remediation required by Chapter 25 where applicable. The Registry records legal and operational completion separately.</w:t>
      </w:r>
    </w:p>
    <w:p>
      <w:pPr>
        <w:pStyle w:val="Heading2"/>
      </w:pPr>
      <w:r>
        <w:t xml:space="preserve">Article 26.19 - Non-Compliance, Recurrence, and Successor Measures</w:t>
      </w:r>
    </w:p>
    <w:p>
      <w:pPr>
        <w:pStyle w:val="Normal"/>
      </w:pPr>
      <w:r>
        <w:t>26.19.1 [CONTINUING NON-COMPLIANCE] Where the implementation period expires and adjudicated non-conformity materially continues, the record identifies the unresolved condition and current scope before any authorized remedy escalates or continues. Continued non-compliance does not enlarge remedial authority beyond the Compact. Partial conformity narrows the unresolved scope. A Party may not treat administrative delay in recognizing completed compliance as continuing breach.</w:t>
      </w:r>
    </w:p>
    <w:p>
      <w:pPr>
        <w:pStyle w:val="Normal"/>
      </w:pPr>
      <w:r>
        <w:t>26.19.2 [RECURRENCE] A materially similar non-conformity after completed cure or Restoration is treated as recurrence only where current evidence establishes causal continuity, a common operational defect, or substantially continuous conduct. Historical violation is relevant where probative but does not create permanent guilt. Similar terminology, product category, or political objective alone is insufficient. The recurrence record identifies the evidentiary connection.</w:t>
      </w:r>
    </w:p>
    <w:p>
      <w:pPr>
        <w:pStyle w:val="Normal"/>
      </w:pPr>
      <w:r>
        <w:t>26.19.3 [SUCCESSOR MEASURE] Renaming, relocating, redesigning, transferring, or reissuing a measure does not defeat an existing finding where the successor materially continues the adjudicated non-conformity and causal ancestry is established. A genuinely independent measure receives its own legal analysis. Practical operation controls over formal label where the evidence supports continuity. The panel or assigned compliance process states the scope of any successor determination.</w:t>
      </w:r>
    </w:p>
    <w:p>
      <w:pPr>
        <w:pStyle w:val="Normal"/>
      </w:pPr>
      <w:r>
        <w:t>26.19.4 [NO FULL RESTART FOR CONTINUOUS CONDUCT] A Party does not require a brand-new multi-month merits case merely because adjudicated non-conforming conduct is transferred to a successor agency or instrument without material legal interruption. The assigned compliance process may determine continuity using the existing finding and new evidence, subject to a meaningful opportunity for response. A genuinely new legal question proceeds through the procedure applicable to that question. Continuity does not permit the compliance process to expand the original finding.</w:t>
      </w:r>
    </w:p>
    <w:p>
      <w:pPr>
        <w:pStyle w:val="Normal"/>
      </w:pPr>
      <w:r>
        <w:t>26.19.5 [NO SCARLET LETTER] A prior adverse finding does not create an irrebuttable presumption, permanent heightened burden, or second-class status for unrelated future conduct. New independent conduct is judged under the ordinary Compact rules. Prior facts may be considered only to the extent legally relevant to recurrence, intent where the Compact makes it relevant, or causal ancestry. Successful conformity and Restoration retain legal significance.</w:t>
      </w:r>
    </w:p>
    <w:p>
      <w:pPr>
        <w:pStyle w:val="Heading2"/>
      </w:pPr>
      <w:r>
        <w:t xml:space="preserve">Article 26.20 - Finality, Limited Review, Implementation, and Institutional Boundary</w:t>
      </w:r>
    </w:p>
    <w:p>
      <w:pPr>
        <w:pStyle w:val="Normal"/>
      </w:pPr>
      <w:r>
        <w:t>26.20.1 [FINALITY] A final panel report binds the Parties with respect to the dispute and scope decided according to the Compact. It does not amend the Compact, create general regulatory jurisdiction, or automatically control materially different future facts. Administrative implementation follows the operative findings and remedies actually authorized. Finality does not prevent correction of the narrow errors identified in this Article.</w:t>
      </w:r>
    </w:p>
    <w:p>
      <w:pPr>
        <w:pStyle w:val="Normal"/>
      </w:pPr>
      <w:r>
        <w:t>26.20.2 [LIMITED RECONSIDERATION] Within ten calendar days after the final report, a Party may request limited reconsideration for manifest jurisdictional error, material legal error apparent from the report, clerical or computational error, or an outcome-determinative Compact provision demonstrably overlooked. The request identifies the precise alleged error and does not reopen the evidentiary record merely because the Party disagrees with the result. The panel resolves the request within ten business days after receiving the final permitted response, except that one reasoned extension of no more than five business days may be used where the identified issue cannot reasonably be decided within the ordinary period, and expiry of that outer period terminates reconsideration jurisdiction over the request unless the Parties jointly withdraw it earlier. The panel corrects an established error or denies the request with concise reasons, and reconsideration is not a second full merits proceeding.</w:t>
      </w:r>
    </w:p>
    <w:p>
      <w:pPr>
        <w:pStyle w:val="Normal"/>
      </w:pPr>
      <w:r>
        <w:t>26.20.3 [NO AUTOMATIC STAY] A request for reconsideration does not automatically suspend a conformity obligation, accrued Restoration, or an otherwise effective remedy. The panel may preserve a narrowly affected implementation step only where the Compact authorizes preservation and immediate execution would make correction of the alleged error practically impossible. Any preservation is bounded, reasoned, and expires with the reconsideration decision. Unaffected portions continue operating.</w:t>
      </w:r>
    </w:p>
    <w:p>
      <w:pPr>
        <w:pStyle w:val="Normal"/>
      </w:pPr>
      <w:r>
        <w:t>26.20.4 [NO PRECEDENT BY ACCRETION] A prior panel report may be considered for consistency and persuasive reasoning but does not amend the Compact or create a generally applicable obligation beyond the text. A later panel independently justifies its interpretation against the Compact and the facts before it. Repetition of an interpretation does not substitute for Chapter 29 amendment where the Parties seek a new rule. Chapter 22 publication does not convert persuasive reasoning into legislation.</w:t>
      </w:r>
    </w:p>
    <w:p>
      <w:pPr>
        <w:pStyle w:val="Normal"/>
      </w:pPr>
      <w:r>
        <w:t>26.20.5 [JURISDICTIONAL EXIT] When the panel has decided the defined dispute, authorized any lawful remedy, and completed any permitted limited reconsideration, its adjudicative function ends except for a compliance or clarification function expressly assigned by the Compact. Chapter 22 records the result, Chapter 24 administers authorized institutional tasks, Chapter 25 supports cure and Restoration where assigned, and Chapter 29 remains the route for modernization or amendment. Winning the case does not give the prevailing Party ownership of Restoration or continuing supervision of the responding Party. Chapter 26 finds the law, decides the particular dispute, authorizes only what the Compact permits, supports compliance, restores ordinary treatment, and then exits.</w:t>
      </w:r>
    </w:p>
    <w:p>
      <w:pPr>
        <w:pStyle w:val="Heading1"/>
      </w:pPr>
      <w:r>
        <w:t>Chapter 27 - Relationship to CUSMA and Other International Agreements</w:t>
      </w:r>
    </w:p>
    <w:p>
      <w:pPr>
        <w:pStyle w:val="Normal"/>
      </w:pPr>
      <w:r>
        <w:t xml:space="preserve">Chapter 27 establishes compatibility-first relationship rules for CUSMA and other international instruments, confines genuine conflict to necessary incompatibility, applies minimum displacement, preserves accrued treatment, prevents institutional and external-law bootstrapping, and keeps incorporation and amendment within Chapters 28 and 29.</w:t>
      </w:r>
    </w:p>
    <w:p>
      <w:pPr>
        <w:pStyle w:val="Heading2"/>
      </w:pPr>
      <w:r>
        <w:t xml:space="preserve">Article 27.1 - Purpose and Relationship Principle</w:t>
      </w:r>
    </w:p>
    <w:p>
      <w:pPr>
        <w:pStyle w:val="Normal"/>
      </w:pPr>
      <w:r>
        <w:t>27.1.1 [STANDALONE LEGAL FORCE] NAAFTC derives its legal force from its own text, entry into force, and lawful acceptance by its Parties rather than from CUSMA or another external instrument. It operates alongside other applicable international obligations except where this Compact expressly provides a different relationship. This Chapter allocates relationships among legal instruments and does not create new substantive rights, obligations, remedies, or jurisdiction. Interpretation preserves the independent legal character of each instrument while giving compatible obligations practical effect.</w:t>
      </w:r>
    </w:p>
    <w:p>
      <w:pPr>
        <w:pStyle w:val="Normal"/>
      </w:pPr>
      <w:r>
        <w:t>27.1.2 [COEXISTENCE] The Parties perform NAAFTC and their other applicable international obligations in good faith and seek compatible operation where reasonably possible. Difference in wording, detail, procedure, institution, timing, or policy design does not by itself establish conflict. No agreement receives general hierarchical priority merely because it predates, postdates, or overlaps NAAFTC. Priority arises only from an express relationship rule or the bounded conflict analysis established by this Chapter.</w:t>
      </w:r>
    </w:p>
    <w:p>
      <w:pPr>
        <w:pStyle w:val="Normal"/>
      </w:pPr>
      <w:r>
        <w:t>27.1.3 [AGRICULTURAL SPECIFICITY] Within its defined agricultural scope, a NAAFTC provision may operate as the more specific rule where it governs the same conduct and legal question with greater particularity than an overlapping provision. Agricultural subject matter alone does not establish specificity. Specificity is determined provision by provision using subject, product, obligation, exception, procedure, temporal scope, and other materially relevant features. The more-specific rule affects only the matter for which its greater specificity is established.</w:t>
      </w:r>
    </w:p>
    <w:p>
      <w:pPr>
        <w:pStyle w:val="Normal"/>
      </w:pPr>
      <w:r>
        <w:t>27.1.4 [EXTERNAL SOVEREIGNTY] Each Party retains authority to negotiate, enter, modify, suspend, terminate, withdraw from, or rejoin other international arrangements subject to its obligations under this Compact and applicable law. NAAFTC does not claim authority over a non-Party or purport to regulate the contents of an agreement with a non-Party. A Party remains responsible for its own conduct implementing an external commitment where that conduct is subject to NAAFTC. External sovereignty does not become an excuse for non-performance of an operative Compact obligation.</w:t>
      </w:r>
    </w:p>
    <w:p>
      <w:pPr>
        <w:pStyle w:val="Normal"/>
      </w:pPr>
      <w:r>
        <w:t>27.1.5 [NO IMPLIED SUCCESSION] NAAFTC does not automatically replace, succeed to, merge with, or amend another agreement. An external agreement does not automatically replace, succeed to, merge with, or amend NAAFTC. Accrued treatment and completed legal events remain governed by their applicable preservation rules unless a lawful later instrument expressly provides otherwise. Functional continuity is addressed only through the successor rules in Article 27.18.</w:t>
      </w:r>
    </w:p>
    <w:p>
      <w:pPr>
        <w:pStyle w:val="Heading2"/>
      </w:pPr>
      <w:r>
        <w:t xml:space="preserve">Article 27.2 - Relationship to CUSMA/USMCA/T-MEC</w:t>
      </w:r>
    </w:p>
    <w:p>
      <w:pPr>
        <w:pStyle w:val="Normal"/>
      </w:pPr>
      <w:r>
        <w:t>27.2.1 [SEPARATE COEXISTING INSTRUMENTS] NAAFTC and CUSMA operate as separate instruments with overlapping but distinct coverage. CUSMA rights and obligations continue except to the extent an operative NAAFTC provision expressly establishes different treatment for the same matter among the NAAFTC Parties. NAAFTC does not convert its agricultural specialization into general priority over CUSMA. The Parties give both instruments effect wherever simultaneous compliance is reasonably possible.</w:t>
      </w:r>
    </w:p>
    <w:p>
      <w:pPr>
        <w:pStyle w:val="Normal"/>
      </w:pPr>
      <w:r>
        <w:t>27.2.2 [AGRICULTURAL OVERLAP] Where a NAAFTC agricultural provision and a CUSMA provision govern the same conduct, the interpreter first applies Articles 27.5 and 27.6 rather than assuming displacement. A more specific NAAFTC rule controls only within the scope for which specificity and genuine incompatibility are established. A CUSMA provision that is demonstrably more specific to the disputed legal question may remain controlling within its own scope. The analysis is recorded with the provisions and affected treatment identified.</w:t>
      </w:r>
    </w:p>
    <w:p>
      <w:pPr>
        <w:pStyle w:val="Normal"/>
      </w:pPr>
      <w:r>
        <w:t>27.2.3 [NONAGRICULTURAL PRESERVATION] NAAFTC does not modify CUSMA provisions concerning non-agricultural matters merely because agricultural trade is economically affected by them. Investment, services, digital trade, telecommunications, financial services, temporary entry, energy, procurement, competition, labor, environment, and other CUSMA disciplines retain their own legal scope. A NAAFTC cross-reference does not enlarge agricultural jurisdiction into those fields. A genuinely overlapping agricultural application remains subject to this Chapter's ordinary compatibility analysis.</w:t>
      </w:r>
    </w:p>
    <w:p>
      <w:pPr>
        <w:pStyle w:val="Normal"/>
      </w:pPr>
      <w:r>
        <w:t>27.2.4 [DUAL COMPLIANCE] A Party complies with both NAAFTC and CUSMA where the obligations can operate together. Administrative duplication or the availability of a more convenient route under one agreement does not excuse performance under the other. Where one act can satisfy compatible requirements under both instruments, unnecessary duplicate performance is avoided to the extent legally permitted. Procedural coordination does not merge the underlying obligations.</w:t>
      </w:r>
    </w:p>
    <w:p>
      <w:pPr>
        <w:pStyle w:val="Normal"/>
      </w:pPr>
      <w:r>
        <w:t>27.2.5 [WITHDRAWAL OR CHANGE] Withdrawal from, amendment of, or other material change to CUSMA does not by itself terminate or amend NAAFTC. A CUSMA change materially affecting a NAAFTC cross-reference or shared function is notified through the Chapter 22 Registry. The Parties assess continuity under Articles 27.18 and 27.19 without suspending unaffected NAAFTC treatment. Rights and obligations under NAAFTC continue according to its own terms unless lawfully changed under this Compact.</w:t>
      </w:r>
    </w:p>
    <w:p>
      <w:pPr>
        <w:pStyle w:val="Heading2"/>
      </w:pPr>
      <w:r>
        <w:t xml:space="preserve">Article 27.3 - No Implied Amendment of CUSMA</w:t>
      </w:r>
    </w:p>
    <w:p>
      <w:pPr>
        <w:pStyle w:val="Normal"/>
      </w:pPr>
      <w:r>
        <w:t>27.3.1 [NO IMPLIED CUSMA AMENDMENT] Nothing in NAAFTC amends CUSMA by implication. A NAAFTC provision affects CUSMA treatment only where the Parties have expressly given it that legal effect through language sufficient to identify the affected relationship. Similar terminology, overlapping subject matter, or shared policy purpose is insufficient. The same rule applies to claims that CUSMA implicitly amends NAAFTC.</w:t>
      </w:r>
    </w:p>
    <w:p>
      <w:pPr>
        <w:pStyle w:val="Normal"/>
      </w:pPr>
      <w:r>
        <w:t>27.3.2 [CROSSREFERENCE LIMIT] A reference to a CUSMA definition, procedure, institution, schedule, standard, or record incorporates only the function expressly identified by NAAFTC. Incidental provisions necessary to make that function operate may be used only to the minimum extent objectively required and consistent with this Compact. A cross-reference does not import unrelated powers, exceptions, remedies, or future amendments automatically. Article 27.10 governs procedural incorporation.</w:t>
      </w:r>
    </w:p>
    <w:p>
      <w:pPr>
        <w:pStyle w:val="Normal"/>
      </w:pPr>
      <w:r>
        <w:t>27.3.3 [NO AMENDMENT BY PRACTICE] Repeated coordination, administrative convenience, shared forms, common personnel, or consistent Party practice does not amend either instrument absent the legal process required for amendment. Practice may inform interpretation only where applicable interpretive law permits and cannot contradict express text. Non-objection does not create an amendment. Chapter 29 remains the NAAFTC route for modernization or technical amendment.</w:t>
      </w:r>
    </w:p>
    <w:p>
      <w:pPr>
        <w:pStyle w:val="Normal"/>
      </w:pPr>
      <w:r>
        <w:t>27.3.4 [NO AMENDMENT BY DECISION] A CUSMA commission decision, committee recommendation, panel report, administrative interpretation, or other external act does not amend NAAFTC unless NAAFTC expressly gives that act amendment effect. A NAAFTC decision likewise does not amend CUSMA by its own force. Relevant external material may be considered under Article 27.15. Legal effect remains traceable to the instrument that authorizes it.</w:t>
      </w:r>
    </w:p>
    <w:p>
      <w:pPr>
        <w:pStyle w:val="Normal"/>
      </w:pPr>
      <w:r>
        <w:t>27.3.5 [NO RETROACTIVE IMPAIRMENT] A relationship determination does not retroactively impair an accrued right, completed liberalization, vested treatment, or final legal event merely by recharacterizing the interaction between instruments. A lawful express provision may govern prospective treatment according to its terms. Retroactive consequence requires clear legal authority rather than inference from overlap. Article 27.8 supplies additional preservation rules.</w:t>
      </w:r>
    </w:p>
    <w:p>
      <w:pPr>
        <w:pStyle w:val="Heading2"/>
      </w:pPr>
      <w:r>
        <w:t xml:space="preserve">Article 27.4 - More-Specific-Rule Principle</w:t>
      </w:r>
    </w:p>
    <w:p>
      <w:pPr>
        <w:pStyle w:val="Normal"/>
      </w:pPr>
      <w:r>
        <w:t>27.4.1 [SPECIFICITY TEST] Specificity is assessed by comparing the provisions actually applicable to the same legal question. Relevant factors include subject matter, product coverage, affected persons, geographic scope, temporal scope, obligation type, exception, threshold, procedure, remedy, and expressly stated purpose. No single factor is automatically decisive. The analysis explains why the selected provision is materially more specific for the disputed point.</w:t>
      </w:r>
    </w:p>
    <w:p>
      <w:pPr>
        <w:pStyle w:val="Normal"/>
      </w:pPr>
      <w:r>
        <w:t>27.4.2 [NO AGRICULTURAL BULLDOZER] A NAAFTC provision does not become more specific merely because the dispute involves an agricultural good. The provision governs the same conduct or legal requirement at a materially finer level than the competing rule. A broad NAAFTC principle does not displace a narrowly tailored external obligation through sectoral labeling alone. The inverse rule applies to broad external provisions asserted against a specific NAAFTC bargain.</w:t>
      </w:r>
    </w:p>
    <w:p>
      <w:pPr>
        <w:pStyle w:val="Normal"/>
      </w:pPr>
      <w:r>
        <w:t>27.4.3 [LIMITED EFFECT] Application of a more-specific rule is limited to the precise subject and incompatibility for which specificity matters. It does not displace neighboring provisions that can continue operating. Rights, exceptions, procedures, and remedies outside the affected overlap remain governed by their own legal sources. Specificity therefore narrows conflict rather than creating general hierarchy.</w:t>
      </w:r>
    </w:p>
    <w:p>
      <w:pPr>
        <w:pStyle w:val="Normal"/>
      </w:pPr>
      <w:r>
        <w:t>27.4.4 [TEMPORAL PRIORITY LIMIT] Later-in-time status alone does not override a more specific earlier bargain, and earlier-in-time status alone does not immunize a provision from an express later modification. Temporal sequence is considered only where applicable law and the instruments make it relevant. A later external agreement does not silently rewrite NAAFTC. An express NAAFTC amendment follows Chapter 29 or another lawfully designated amendment route.</w:t>
      </w:r>
    </w:p>
    <w:p>
      <w:pPr>
        <w:pStyle w:val="Normal"/>
      </w:pPr>
      <w:r>
        <w:t>27.4.5 [DOCUMENTED SPECIFICITY] A Party invoking specificity identifies the competing provisions, same subject matter, relevant specificity factors, and exact legal consequence claimed. The burden of establishing a displacement-producing specificity claim rests on the Party asserting it. The analysis is recorded through Chapter 22 without the Registry itself determining legal effect. A contested determination proceeds under Article 27.19.</w:t>
      </w:r>
    </w:p>
    <w:p>
      <w:pPr>
        <w:pStyle w:val="Heading2"/>
      </w:pPr>
      <w:r>
        <w:t xml:space="preserve">Article 27.5 - Compatible Interpretation Before Conflict</w:t>
      </w:r>
    </w:p>
    <w:p>
      <w:pPr>
        <w:pStyle w:val="Normal"/>
      </w:pPr>
      <w:r>
        <w:t>27.5.1 [HARMONIOUS OPERATION FIRST] Before finding conflict, an interpreter determines whether the applicable provisions can be performed together in good faith. A reasonable interpretation that gives practical effect to both is preferred over an interpretation that unnecessarily disables one. Compatibility does not permit rewriting clear text or manufacturing an exception. The exercise remains bounded by the ordinary meaning, context, object, purpose, and applicable interpretive rules of each instrument.</w:t>
      </w:r>
    </w:p>
    <w:p>
      <w:pPr>
        <w:pStyle w:val="Normal"/>
      </w:pPr>
      <w:r>
        <w:t>27.5.2 [DIFFERENCE NOT CONFLICT] Different procedures, institutions, timelines, remedies, evidentiary methods, levels of detail, or administrative techniques do not establish conflict where both obligations can still be performed. Additional requirements are not inherently inconsistent with baseline requirements. Greater protection or facilitation is not inherently inconsistent with a lower floor unless an instrument expressly makes the lower treatment exclusive. Cost or inconvenience does not convert compatibility into impossibility.</w:t>
      </w:r>
    </w:p>
    <w:p>
      <w:pPr>
        <w:pStyle w:val="Normal"/>
      </w:pPr>
      <w:r>
        <w:t>27.5.3 [NO CHERRY PICKING] A Party does not combine favorable fragments from different instruments while disregarding corresponding conditions, limitations, or obligations that give those fragments legal meaning. A provision relied upon is considered with its applicable exceptions, definitions, scope, and conditions. Cross-instrument interpretation does not create a hybrid rule found in neither agreement. Legitimate cumulative rights remain available where the instruments independently provide them.</w:t>
      </w:r>
    </w:p>
    <w:p>
      <w:pPr>
        <w:pStyle w:val="Normal"/>
      </w:pPr>
      <w:r>
        <w:t>27.5.4 [NO UNILATERAL RECHARACTERIZATION] A Party does not escape an operative NAAFTC obligation merely by characterizing the same conduct as governed exclusively by another agreement. The legal relationship follows the applicable texts rather than the invoking Party's label. An external authorization does not establish a NAAFTC exception unless the Compact gives it that effect. Genuine incompatibility is tested under Article 27.6.</w:t>
      </w:r>
    </w:p>
    <w:p>
      <w:pPr>
        <w:pStyle w:val="Normal"/>
      </w:pPr>
      <w:r>
        <w:t>27.5.5 [REASONED COMPATIBILITY] A material relationship determination identifies the provisions considered, the interpretation permitting simultaneous operation, and any remaining point of incompatibility. The analysis distinguishes legal necessity from policy preference and administrative convenience. Where compatible operation requires coordination rather than displacement, the responsible institutions use only authority already assigned to them. Documentation does not itself create binding precedent.</w:t>
      </w:r>
    </w:p>
    <w:p>
      <w:pPr>
        <w:pStyle w:val="Heading2"/>
      </w:pPr>
      <w:r>
        <w:t xml:space="preserve">Article 27.6 - Genuine Conflict Test</w:t>
      </w:r>
    </w:p>
    <w:p>
      <w:pPr>
        <w:pStyle w:val="Normal"/>
      </w:pPr>
      <w:r>
        <w:t>27.6.1 [NECESSARY NONCOMPLIANCE] A genuine conflict exists only where compliance with one applicable obligation necessarily causes non-compliance with another applicable obligation, or where one applicable rule expressly requires conduct that another expressly prohibits. The incompatibility is current and concrete rather than hypothetical, speculative, or theoretical. Practical difficulty qualifies only where simultaneous legal performance is objectively impossible rather than merely costly or inconvenient. The Party asserting conflict establishes the necessary incompatibility.</w:t>
      </w:r>
    </w:p>
    <w:p>
      <w:pPr>
        <w:pStyle w:val="Normal"/>
      </w:pPr>
      <w:r>
        <w:t>27.6.2 [SAME SUBJECT MATTER] Conflict analysis first determines whether the provisions govern the same conduct, treatment, decision, or legal requirement. Economic interaction alone does not establish the same subject matter. Provisions may concern the same product while regulating distinct legal questions and therefore remain simultaneously applicable. The analysis identifies the precise overlap before testing impossibility.</w:t>
      </w:r>
    </w:p>
    <w:p>
      <w:pPr>
        <w:pStyle w:val="Normal"/>
      </w:pPr>
      <w:r>
        <w:t>27.6.3 [PARTIAL CONFLICT] Where incompatibility affects only part of a measure, product set, period, procedure, or obligation, the conflict is limited to that severable portion. Compatible portions continue operating. Temporary or conditional impossibility is treated according to the duration and condition actually established. A partial conflict does not justify whole-instrument displacement.</w:t>
      </w:r>
    </w:p>
    <w:p>
      <w:pPr>
        <w:pStyle w:val="Normal"/>
      </w:pPr>
      <w:r>
        <w:t>27.6.4 [NONCONFLICT FACTORS] Preference, convenience, efficiency, cost, duplication, complexity, administrative burden, different institutional design, or different enforcement style does not by itself establish genuine conflict. Different standards may coexist where each can be satisfied. Different timelines may coexist where performance of one does not make the other legally impossible. A Party identifies more than practical dissatisfaction before invoking displacement.</w:t>
      </w:r>
    </w:p>
    <w:p>
      <w:pPr>
        <w:pStyle w:val="Normal"/>
      </w:pPr>
      <w:r>
        <w:t>27.6.5 [CONFLICT RECORD] A conflict assertion identifies the provisions, same subject matter, facts establishing necessary incompatibility, expected duration, affected treatment, and proposed minimum displacement. Evidence is proportionate to the claimed consequence and sufficiently reliable to permit review. The Registry records the assertion and status without validating it. Disputed conflict claims use Article 27.19 and Chapters 25 and 26 as applicable.</w:t>
      </w:r>
    </w:p>
    <w:p>
      <w:pPr>
        <w:pStyle w:val="Heading2"/>
      </w:pPr>
      <w:r>
        <w:t xml:space="preserve">Article 27.7 - Conflict Scope and Minimum Displacement</w:t>
      </w:r>
    </w:p>
    <w:p>
      <w:pPr>
        <w:pStyle w:val="Normal"/>
      </w:pPr>
      <w:r>
        <w:t>27.7.1 [MINIMUM DISPLACEMENT] Where a genuine conflict cannot be resolved through compatible interpretation, only the minimum portion necessary to resolve the established incompatibility is displaced or adjusted. The determination identifies the exact provision, treatment, product, period, or function affected. Unrelated rights and obligations continue. Displacement is a conflict-management tool rather than a license to rebalance the bargain.</w:t>
      </w:r>
    </w:p>
    <w:p>
      <w:pPr>
        <w:pStyle w:val="Normal"/>
      </w:pPr>
      <w:r>
        <w:t>27.7.2 [PRESERVATION OF UNAFFECTED RULES] Every provision capable of operating consistently with the conflict determination remains fully operative. An exception or procedural adjustment does not spread to matters outside its legal rationale. Institutional functions continue unless the conflict specifically prevents their exercise. Severability is applied wherever legally and operationally practicable.</w:t>
      </w:r>
    </w:p>
    <w:p>
      <w:pPr>
        <w:pStyle w:val="Normal"/>
      </w:pPr>
      <w:r>
        <w:t>27.7.3 [TEMPORARY CONFLICT] Where the incompatibility is temporary, the displacement lasts only while the established conflict persists, and the responsible implementing authority records an objective restoration condition and a dated review point proportionate to the expected duration. At that review point, continuation requires a current particularized record showing that the same legal incompatibility remains operative, and failure to make that record does not extend displacement by administrative inertia. Resolution of the incompatibility restores ordinary treatment automatically without a second political approval, while a genuine dispute over continued incompatibility proceeds promptly through Chapter 25 and, where necessary, Chapter 26 without suspending treatment already due under an independently ascertainable restoration condition. Temporary displacement does not become a new baseline, and Chapter 22 records the review, continuation, expiry, and restoration status without itself determining legal effect.</w:t>
      </w:r>
    </w:p>
    <w:p>
      <w:pPr>
        <w:pStyle w:val="Normal"/>
      </w:pPr>
      <w:r>
        <w:t>27.7.4 [NO ESCALATION BY CONFLICT CLAIM] Assertion of conflict does not authorize unilateral retaliation, tariff escalation, suspension of unrelated benefits, or withholding of treatment absent independent Compact authority. Interim preservation follows the specialized provisions that authorize it. Undisputed treatment continues during analysis to the extent legally possible. A Party cannot manufacture leverage merely by filing a relationship objection.</w:t>
      </w:r>
    </w:p>
    <w:p>
      <w:pPr>
        <w:pStyle w:val="Normal"/>
      </w:pPr>
      <w:r>
        <w:t>27.7.5 [DISPLACEMENT RECORD] A displacement record states the legal basis, affected scope, start condition, objective end condition, responsible implementing functions, and relationship to accrued treatment. Chapter 22 records legal and operational status separately where necessary. Administrative delay does not extend displacement after its legal predicate ends. A contested continuation may proceed under Article 27.19.</w:t>
      </w:r>
    </w:p>
    <w:p>
      <w:pPr>
        <w:pStyle w:val="Heading2"/>
      </w:pPr>
      <w:r>
        <w:t xml:space="preserve">Article 27.8 - Existing CUSMA Rights and Accrued Treatment</w:t>
      </w:r>
    </w:p>
    <w:p>
      <w:pPr>
        <w:pStyle w:val="Normal"/>
      </w:pPr>
      <w:r>
        <w:t>27.8.1 [ACCRUED RIGHTS] A relationship determination does not erase a right or treatment that accrued under NAAFTC or CUSMA before the determination unless an express applicable provision authorizes that consequence. Accrual is assessed under the instrument that created the right. Later interpretive disagreement does not re-age a completed legal event. A genuinely conditional benefit remains subject to its original conditions.</w:t>
      </w:r>
    </w:p>
    <w:p>
      <w:pPr>
        <w:pStyle w:val="Normal"/>
      </w:pPr>
      <w:r>
        <w:t>27.8.2 [COMPLETED LIBERALIZATION] Completed liberalization milestones remain completed and are not reopened merely because another instrument later overlaps the same sector. A temporary authorized overlay is recorded separately from the underlying milestone. Expiry of the overlay restores the current legal position. Chapter 9 protections remain controlling within their assigned scope.</w:t>
      </w:r>
    </w:p>
    <w:p>
      <w:pPr>
        <w:pStyle w:val="Normal"/>
      </w:pPr>
      <w:r>
        <w:t>27.8.3 [VESTED MARKET ACCESS] A Vested Market-Access Right retains its status through relationship analysis unless an express Compact provision authorizes a defined temporary treatment. External obligations do not silently convert vested access into discretionary access. Administrative implementation preserves the record needed to restore the vested position. Chapter 7 controls the creation and vesting of those rights.</w:t>
      </w:r>
    </w:p>
    <w:p>
      <w:pPr>
        <w:pStyle w:val="Normal"/>
      </w:pPr>
      <w:r>
        <w:t>27.8.4 [ZERO LINE STATUS] Zero-Line Status is not deleted, re-aged, rebased, or converted into a tariff entitlement by a relationship determination. Any temporary tariff treatment requires independent express authority and remains an overlay rather than a new baseline. When that authority ends, the current Zero-Line position resumes automatically. Chapter 9 and applicable remedy chapters remain controlling.</w:t>
      </w:r>
    </w:p>
    <w:p>
      <w:pPr>
        <w:pStyle w:val="Normal"/>
      </w:pPr>
      <w:r>
        <w:t>27.8.5 [NO RELATIONSHIP CLAWBACK] Chapter 27 is not used to claw back treatment merely because another agreement would have permitted a less favorable bargain. A Party receives the treatment legally due under each applicable instrument subject to genuine conflict rules. Double recovery for the same legally compensable consequence may be prevented without erasing distinct rights. Preservation does not create treatment that never accrued.</w:t>
      </w:r>
    </w:p>
    <w:p>
      <w:pPr>
        <w:pStyle w:val="Heading2"/>
      </w:pPr>
      <w:r>
        <w:t xml:space="preserve">Article 27.9 - CUSMA Institutions and Shared Machinery</w:t>
      </w:r>
    </w:p>
    <w:p>
      <w:pPr>
        <w:pStyle w:val="Normal"/>
      </w:pPr>
      <w:r>
        <w:t>27.9.1 [EXPRESS FUNCTION ASSIGNMENT] A CUSMA institution performs a NAAFTC function only where NAAFTC expressly assigns or incorporates that function. Shared use does not merge the institutions or transfer their full mandates. The institution acts within the narrower of the authority applicable to the assigned task. Chapter 24 administrative-restraint rules apply to NAAFTC functions.</w:t>
      </w:r>
    </w:p>
    <w:p>
      <w:pPr>
        <w:pStyle w:val="Normal"/>
      </w:pPr>
      <w:r>
        <w:t>27.9.2 [NO POWER LAUNDERING] An institution does not acquire NAAFTC authority through staffing, funding, hosting, expertise, data possession, technological capability, repeated practice, consensus, acquiescence, non-objection, necessity, or convenience. Unauthorized delegation or subdelegation does not cure the defect. Functional equivalence to an assigned body does not itself create authority. Every consequential NAAFTC act remains traceable to an operative assignment.</w:t>
      </w:r>
    </w:p>
    <w:p>
      <w:pPr>
        <w:pStyle w:val="Normal"/>
      </w:pPr>
      <w:r>
        <w:t>27.9.3 [INFORMATION SHARING] CUSMA and NAAFTC bodies may share information where an assigned function, applicable law, and Chapter 22 protections permit. Information sharing does not transfer decision authority. Provenance and confidentiality status travel with the information. A recipient uses the information only for legally authorized purposes.</w:t>
      </w:r>
    </w:p>
    <w:p>
      <w:pPr>
        <w:pStyle w:val="Normal"/>
      </w:pPr>
      <w:r>
        <w:t>27.9.4 [JOINT COORDINATION] Joint meetings, coordinated calendars, common technical sessions, training, or administrative support may be used to reduce duplication where lawful. A joint setting does not convert a recommendation into a decision or a technical view into a Legal Finding. Each institution records which legal capacity it exercised. Coordination ends or narrows where it would blur accountability or exceed assigned authority.</w:t>
      </w:r>
    </w:p>
    <w:p>
      <w:pPr>
        <w:pStyle w:val="Normal"/>
      </w:pPr>
      <w:r>
        <w:t>27.9.5 [INSTITUTIONAL DISPUTE] A dispute over whether a shared institution possesses a claimed NAAFTC function is treated as a relationship question under Article 27.19. The challenged institution does not bootstrap the disputed power merely by continuing to exercise it. Necessary ministerial preservation may continue only where independently authorized. Final authority remains governed by the Compact text.</w:t>
      </w:r>
    </w:p>
    <w:p>
      <w:pPr>
        <w:pStyle w:val="Heading2"/>
      </w:pPr>
      <w:r>
        <w:t xml:space="preserve">Article 27.10 - Incorporation of CUSMA Procedures</w:t>
      </w:r>
    </w:p>
    <w:p>
      <w:pPr>
        <w:pStyle w:val="Normal"/>
      </w:pPr>
      <w:r>
        <w:t>27.10.1 [EXPRESS INCORPORATION] A CUSMA procedure applies within NAAFTC only where a NAAFTC provision expressly identifies it for incorporation or use. The incorporation states the function and any necessary adaptation. General similarity does not constitute incorporation. Chapter 28 governs broader incorporation architecture.</w:t>
      </w:r>
    </w:p>
    <w:p>
      <w:pPr>
        <w:pStyle w:val="Normal"/>
      </w:pPr>
      <w:r>
        <w:t>27.10.2 [MINIMUM NECESSARY ADAPTATION] An incorporated procedure is adapted only to the extent necessary to make it function within NAAFTC's Parties, terminology, institutions, scope, and clocks. Adaptation does not alter substantive rights or create a remedy absent express authority. Where the original procedure contains an inapplicable institutional reference, the designated NAAFTC equivalent performs only the corresponding function. The adaptation is documented.</w:t>
      </w:r>
    </w:p>
    <w:p>
      <w:pPr>
        <w:pStyle w:val="Normal"/>
      </w:pPr>
      <w:r>
        <w:t>27.10.3 [NO PACKAGE IMPORTATION] Incorporating one procedure does not import every definition, exception, remedy, precedent rule, institutional power, or future amendment associated with its source chapter. A supporting provision follows only where it is objectively necessary to operate the identified procedure and consistent with NAAFTC. Material doubt is resolved through relationship analysis rather than administrative assumption. The Registry records the incorporated source version where relevant.</w:t>
      </w:r>
    </w:p>
    <w:p>
      <w:pPr>
        <w:pStyle w:val="Normal"/>
      </w:pPr>
      <w:r>
        <w:t>27.10.4 [VERSION CONTROL] Where NAAFTC incorporates a CUSMA procedure by reference, the applicable version is the version identified by NAAFTC or otherwise fixed under Chapter 28. A later CUSMA amendment does not automatically alter the incorporated NAAFTC procedure unless the Compact expressly provides dynamic incorporation. The Parties may review a materially improved successor procedure under Chapter 29. Existing cases retain the version governing them unless a lawful transition rule provides otherwise.</w:t>
      </w:r>
    </w:p>
    <w:p>
      <w:pPr>
        <w:pStyle w:val="Normal"/>
      </w:pPr>
      <w:r>
        <w:t>27.10.5 [PROCEDURAL CREDIT] A procedural act validly completed under an incorporated CUSMA procedure receives NAAFTC credit only to the extent the NAAFTC requirement is functionally satisfied. Credit avoids pointless repetition without merging legal claims or forums. A CUSMA merits finding does not become a NAAFTC Legal Finding through procedural credit. Article 27.15 governs external decisions.</w:t>
      </w:r>
    </w:p>
    <w:p>
      <w:pPr>
        <w:pStyle w:val="Heading2"/>
      </w:pPr>
      <w:r>
        <w:t xml:space="preserve">Article 27.11 - Relationship to WTO Agreements</w:t>
      </w:r>
    </w:p>
    <w:p>
      <w:pPr>
        <w:pStyle w:val="Normal"/>
      </w:pPr>
      <w:r>
        <w:t>27.11.1 [WTO COEXISTENCE] NAAFTC operates consistently with the Parties' applicable WTO obligations to the extent simultaneous performance is legally possible. WTO rights and obligations are neither extinguished nor incorporated into NAAFTC merely because the same agricultural trade is covered. NAAFTC may provide additional or more favorable treatment among its Parties where lawful. A WTO obligation does not become a NAAFTC cause of action absent a Compact textual hook.</w:t>
      </w:r>
    </w:p>
    <w:p>
      <w:pPr>
        <w:pStyle w:val="Normal"/>
      </w:pPr>
      <w:r>
        <w:t>27.11.2 [WTO AGRICULTURAL DISCIPLINES] WTO disciplines concerning agriculture, SPS measures, technical barriers, subsidies, customs valuation, origin, licensing, safeguards, trade remedies, transparency, and related matters retain their own legal effect. NAAFTC provisions governing the same factual setting are analyzed under Articles 27.5 and 27.6. Different legal standards do not establish conflict if both can be satisfied. Specialized NAAFTC provisions remain controlling for NAAFTC rights within their lawful scope.</w:t>
      </w:r>
    </w:p>
    <w:p>
      <w:pPr>
        <w:pStyle w:val="Normal"/>
      </w:pPr>
      <w:r>
        <w:t>27.11.3 [WTO NOTIFICATIONS] A NAAFTC measure requiring WTO notification is notified through the responsible WTO process without converting that process into NAAFTC approval. Chapter 22 may record the existence and status of a relevant notification. Failure of an external body to act does not create or extinguish NAAFTC authority unless this Compact expressly conditions treatment on that act. Duplicate reporting is coordinated where lawful.</w:t>
      </w:r>
    </w:p>
    <w:p>
      <w:pPr>
        <w:pStyle w:val="Normal"/>
      </w:pPr>
      <w:r>
        <w:t>27.11.4 [WTO DISPUTES] A WTO proceeding concerning related conduct does not automatically stay a NAAFTC proceeding or bind a NAAFTC panel. Forum coordination under Article 27.19 prevents contradictory remedial administration and double recovery while preserving legally distinct claims. WTO findings may be considered under Article 27.15. WTO authorization to suspend concessions does not itself create NAAFTC remedial authority.</w:t>
      </w:r>
    </w:p>
    <w:p>
      <w:pPr>
        <w:pStyle w:val="Normal"/>
      </w:pPr>
      <w:r>
        <w:t>27.11.5 [WTO CHANGE] WTO amendment, waiver, institutional reform, membership change, withdrawal, or successor arrangement does not automatically amend NAAFTC. A material effect on an incorporated reference or shared assumption is assessed under Articles 27.18 and 27.19. Unaffected NAAFTC obligations continue. Chapter 29 remains available for deliberate modernization.</w:t>
      </w:r>
    </w:p>
    <w:p>
      <w:pPr>
        <w:pStyle w:val="Heading2"/>
      </w:pPr>
      <w:r>
        <w:t xml:space="preserve">Article 27.12 - Relationship to Other International Agreements</w:t>
      </w:r>
    </w:p>
    <w:p>
      <w:pPr>
        <w:pStyle w:val="Normal"/>
      </w:pPr>
      <w:r>
        <w:t>27.12.1 [GENERAL EXTERNAL AGREEMENTS] Bilateral, regional, plurilateral, multilateral, sectoral, environmental, health, labor, human-rights, customs, standards, and other international arrangements retain their independent legal effect. NAAFTC neither supersedes nor incorporates them except as expressly provided. Where both apply to Party conduct, compatible performance is sought first. Genuine incompatibility follows Articles 27.6 and 27.7.</w:t>
      </w:r>
    </w:p>
    <w:p>
      <w:pPr>
        <w:pStyle w:val="Normal"/>
      </w:pPr>
      <w:r>
        <w:t>27.12.2 [STANDARDS ORGANIZATIONS] Codex Alimentarius, WOAH, IPPC, ISO, FAO, WHO, OECD, and other relevant standards or technical bodies may inform NAAFTC where a substantive chapter gives their work legal or evidentiary relevance. Their standards do not acquire automatic binding force merely by publication or institutional prestige. The assigned NAAFTC provision determines weight and effect. Chapter 17 and Chapter 18 technical firewalls remain intact.</w:t>
      </w:r>
    </w:p>
    <w:p>
      <w:pPr>
        <w:pStyle w:val="Normal"/>
      </w:pPr>
      <w:r>
        <w:t>27.12.3 [ENVIRONMENTAL AND SOCIAL COMMITMENTS] Environmental, climate, labor, Indigenous, public-health, animal-welfare, and other social commitments are not displaced merely because compliance affects agricultural trade. NAAFTC does not create jurisdiction to adjudicate those external instruments unless an operative Compact provision expressly requires their consideration. A Party may rely on a lawful NAAFTC exception or specialized provision where applicable. External purpose alone does not excuse a Compact breach.</w:t>
      </w:r>
    </w:p>
    <w:p>
      <w:pPr>
        <w:pStyle w:val="Normal"/>
      </w:pPr>
      <w:r>
        <w:t>27.12.4 [SANCTIONS AND SECURITY] An external sanctions regime, security commitment, or international decision affects NAAFTC treatment only through applicable law and a Compact provision capable of giving that circumstance legal effect. Chapter 27 does not create a free-standing security or sanctions exception. A Party identifies the legal source relied upon. Unrelated agricultural treatment remains protected from relationship-based expansion.</w:t>
      </w:r>
    </w:p>
    <w:p>
      <w:pPr>
        <w:pStyle w:val="Normal"/>
      </w:pPr>
      <w:r>
        <w:t>27.12.5 [NO INTERNATIONAL LAW PHONE BOOK] The legal effect of an external instrument turns on applicable text and assigned NAAFTC rules rather than on whether that instrument is individually named in this Chapter. Omission of an agreement from an illustrative category does not imply exclusion where the general rule applies. Naming an organization does not confer authority upon it. General relationship rules are preferred over proliferating instrument-specific exceptions.</w:t>
      </w:r>
    </w:p>
    <w:p>
      <w:pPr>
        <w:pStyle w:val="Heading2"/>
      </w:pPr>
      <w:r>
        <w:t xml:space="preserve">Article 27.13 - Third-Country Agreements and Trade Freedom</w:t>
      </w:r>
    </w:p>
    <w:p>
      <w:pPr>
        <w:pStyle w:val="Normal"/>
      </w:pPr>
      <w:r>
        <w:t>27.13.1 [THIRD COUNTRY FREEDOM] Each Party remains free to negotiate and maintain trade, customs, regulatory, SPS, investment, tax, standards, and other arrangements with third countries subject to its NAAFTC obligations and applicable law. NAAFTC does not require permission from another Party before such negotiations. Notification is required only where an operative Compact provision establishes a material notification duty. Third-country policy remains a sovereign function.</w:t>
      </w:r>
    </w:p>
    <w:p>
      <w:pPr>
        <w:pStyle w:val="Normal"/>
      </w:pPr>
      <w:r>
        <w:t>27.13.2 [NO THIRD COUNTRY VETO] A NAAFTC Party does not acquire a general veto over another Party's third-country agreement because agricultural competition, preference erosion, or commercial diversion may result. A claim requires an identified NAAFTC obligation and Party conduct within its scope. Competitive disadvantage alone is not non-performance. Lawful third-country preferences remain outside Chapter 27 unless they cause a specific Compact breach.</w:t>
      </w:r>
    </w:p>
    <w:p>
      <w:pPr>
        <w:pStyle w:val="Normal"/>
      </w:pPr>
      <w:r>
        <w:t>27.13.3 [ORIGIN AND CIRCUMVENTION] Third-country arrangements do not alter NAAFTC origin status, cumulation, anti-circumvention, transshipment, or traceability rules except where the Compact expressly permits that result. Origin is determined under Chapter 10 and related provisions rather than political characterization of a trading partner. Back-to-back, tolling, swap, processing, or assembly arrangements are assessed by their actual operation under those rules. Chapter 27 does not invent additional origin restrictions.</w:t>
      </w:r>
    </w:p>
    <w:p>
      <w:pPr>
        <w:pStyle w:val="Normal"/>
      </w:pPr>
      <w:r>
        <w:t>27.13.4 [IMPLEMENTATION RESPONSIBILITY] A Party cannot defend its own NAAFTC non-performance solely by pointing to an obligation it voluntarily undertook toward a third country after NAAFTC entered into force. Genuine legal incompatibility remains subject to Article 27.6 and applicable international law. The external agreement itself is not adjudicated as though the third country were a NAAFTC Party. The panel addresses the NAAFTC legality of the Party's conduct.</w:t>
      </w:r>
    </w:p>
    <w:p>
      <w:pPr>
        <w:pStyle w:val="Normal"/>
      </w:pPr>
      <w:r>
        <w:t>27.13.5 [TARGETED TRANSPARENCY] A Party notifies the other Parties of a concluded third-country arrangement only where it materially changes administration of a NAAFTC obligation, an incorporated procedure, origin treatment, or another matter for which the Compact requires notice. Notification does not create approval power. Protected negotiating material remains protected. Chapter 22 governs the resulting record.</w:t>
      </w:r>
    </w:p>
    <w:p>
      <w:pPr>
        <w:pStyle w:val="Heading2"/>
      </w:pPr>
      <w:r>
        <w:t xml:space="preserve">Article 27.14 - No Automatic Importation of External Obligations</w:t>
      </w:r>
    </w:p>
    <w:p>
      <w:pPr>
        <w:pStyle w:val="Normal"/>
      </w:pPr>
      <w:r>
        <w:t>27.14.1 [NO AUTOMATIC IMPORTATION] An obligation contained in another agreement does not become a NAAFTC obligation merely because one, two, or all NAAFTC Parties are bound by it. Incorporation requires an express NAAFTC textual hook or a lawful Chapter 28 mechanism. Parallel wording alone is insufficient. NAAFTC enforcement remains limited to NAAFTC law.</w:t>
      </w:r>
    </w:p>
    <w:p>
      <w:pPr>
        <w:pStyle w:val="Normal"/>
      </w:pPr>
      <w:r>
        <w:t>27.14.2 [NO IMPORTED EXCEPTIONS] An exception, waiver, defense, reservation, derogation, or limitation in another agreement does not automatically qualify a NAAFTC obligation. A Party relying on an external circumstance identifies the NAAFTC provision that makes it relevant. External legal permission is not identical to NAAFTC authorization. Genuine conflicts remain subject to this Chapter.</w:t>
      </w:r>
    </w:p>
    <w:p>
      <w:pPr>
        <w:pStyle w:val="Normal"/>
      </w:pPr>
      <w:r>
        <w:t>27.14.3 [NO IMPORTED REMEDIES] Retaliation, suspension, compensation, restitution, arbitration, or another remedy authorized by an external instrument does not become available under NAAFTC by analogy. Chapter 26 requires a textual hook for NAAFTC remedies. External remedial action retains its own legal basis and consequences. Coordination prevents double recovery without importing authority.</w:t>
      </w:r>
    </w:p>
    <w:p>
      <w:pPr>
        <w:pStyle w:val="Normal"/>
      </w:pPr>
      <w:r>
        <w:t>27.14.4 [NO IMPORTED JURISDICTION] An external court, tribunal, committee, commission, secretariat, standards body, or regulatory network does not acquire NAAFTC jurisdiction merely because it addresses related subject matter. NAAFTC institutions likewise do not acquire external jurisdiction through overlap. Cooperation remains function-specific and lawfully assigned. Article 27.9 prevents power laundering.</w:t>
      </w:r>
    </w:p>
    <w:p>
      <w:pPr>
        <w:pStyle w:val="Normal"/>
      </w:pPr>
      <w:r>
        <w:t>27.14.5 [NO IMPORTATION BY PRACTICE] Repeated citation, administrative reliance, training, shared databases, forms, technical alignment, or Party acquiescence does not transform an external rule into Compact law. Such practice may be evidence where the Compact permits it. Legal incorporation remains traceable to text. Chapter 29 governs deliberate amendment.</w:t>
      </w:r>
    </w:p>
    <w:p>
      <w:pPr>
        <w:pStyle w:val="Heading2"/>
      </w:pPr>
      <w:r>
        <w:t xml:space="preserve">Article 27.15 - External Decisions, Reports, and Interpretations</w:t>
      </w:r>
    </w:p>
    <w:p>
      <w:pPr>
        <w:pStyle w:val="Normal"/>
      </w:pPr>
      <w:r>
        <w:t>27.15.1 [NO AUTOMATIC BINDING EFFECT] A decision, report, interpretation, recommendation, standard, arbitral award, committee act, or other external output does not automatically bind a NAAFTC panel or institution. Its legal status under its own regime remains unaffected. NAAFTC effect arises only from a Compact provision that assigns effect or from persuasive consideration consistent with this Article. External finality does not equal NAAFTC precedential force.</w:t>
      </w:r>
    </w:p>
    <w:p>
      <w:pPr>
        <w:pStyle w:val="Normal"/>
      </w:pPr>
      <w:r>
        <w:t>27.15.2 [PERSUASIVE WEIGHT] A NAAFTC decision-maker may consider relevant external reasoning according to its textual relevance, factual similarity, methodology, evidentiary quality, institutional competence, transparency, finality, and consistency with NAAFTC. Weight is proportionate rather than categorical. Institutional prestige does not replace analysis. Material reliance is explained.</w:t>
      </w:r>
    </w:p>
    <w:p>
      <w:pPr>
        <w:pStyle w:val="Normal"/>
      </w:pPr>
      <w:r>
        <w:t>27.15.3 [NO STATUS LAUNDERING] An external factual or technical finding does not become a NAAFTC Legal Finding merely through citation, repetition, or incorporation into a record. A NAAFTC panel independently applies the Compact to the dispute within its jurisdiction. Chapter 17 and Chapter 18 status distinctions continue. External material cannot retroactively confer adjudicative authority on its author.</w:t>
      </w:r>
    </w:p>
    <w:p>
      <w:pPr>
        <w:pStyle w:val="Normal"/>
      </w:pPr>
      <w:r>
        <w:t>27.15.4 [NO AMENDMENT OR REMEDIAL EFFECT] An external decision does not amend NAAFTC, expand its jurisdiction, create a NAAFTC remedy, or displace an accrued right unless the Compact expressly gives that decision such effect. A Party may comply independently with an external decision according to its external obligations. That compliance remains subject to NAAFTC where Party conduct falls within this Compact. Article 27.6 governs any genuine resulting conflict.</w:t>
      </w:r>
    </w:p>
    <w:p>
      <w:pPr>
        <w:pStyle w:val="Normal"/>
      </w:pPr>
      <w:r>
        <w:t>27.15.5 [REASONED DIVERGENCE] Where a NAAFTC decision materially considers a closely relevant external interpretation and reaches a different result, it explains the NAAFTC textual or contextual basis for the divergence. Explanation promotes coherence without creating external precedent. A later reversal or evolution of external reasoning does not automatically reopen a final NAAFTC decision. New conduct is assessed under the law then applicable.</w:t>
      </w:r>
    </w:p>
    <w:p>
      <w:pPr>
        <w:pStyle w:val="Heading2"/>
      </w:pPr>
      <w:r>
        <w:t xml:space="preserve">Article 27.16 - SPS, Safety, Environmental, and Public-Interest Obligations</w:t>
      </w:r>
    </w:p>
    <w:p>
      <w:pPr>
        <w:pStyle w:val="Normal"/>
      </w:pPr>
      <w:r>
        <w:t>27.16.1 [SPECIALIZED RULES CONTROL] SPS, food safety, animal health, plant health, environmental, public-health, emergency, and other specialized NAAFTC provisions control the questions assigned to them. Chapter 27 does not dilute their evidentiary standards, emergency authority, sovereignty protections, or procedural safeguards. Relationship analysis coordinates overlapping instruments without substituting a general trade preference for the specialized rule. Chapter 14 remains controlling within its SPS scope.</w:t>
      </w:r>
    </w:p>
    <w:p>
      <w:pPr>
        <w:pStyle w:val="Normal"/>
      </w:pPr>
      <w:r>
        <w:t>27.16.2 [NO SAFETY DISPLACEMENT BY CONVENIENCE] Commercial urgency, lower cost, administrative simplicity, or external market access does not establish a conflict requiring displacement of a lawful safety requirement. A Party invoking a specialized measure remains subject to the substantive and procedural limits of the controlling NAAFTC provision. An external standard may inform the analysis only to the extent assigned. Safety language does not authorize unrelated economic restriction.</w:t>
      </w:r>
    </w:p>
    <w:p>
      <w:pPr>
        <w:pStyle w:val="Normal"/>
      </w:pPr>
      <w:r>
        <w:t>27.16.3 [LEVEL OF PROTECTION] Nothing in Chapter 27 independently determines a Party's appropriate level of sanitary, phytosanitary, health, environmental, or safety protection. The controlling substantive chapter governs that question. Different levels of protection across instruments or Parties do not by themselves establish conflict. Relationship analysis focuses on legal compatibility rather than policy homogenization.</w:t>
      </w:r>
    </w:p>
    <w:p>
      <w:pPr>
        <w:pStyle w:val="Normal"/>
      </w:pPr>
      <w:r>
        <w:t>27.16.4 [EXTERNAL STANDARDS] International standards may serve as benchmarks, evidence, presumptions, or reference points only where the controlling Compact provision gives them that role. A revised external standard does not automatically amend NAAFTC. A Party may adopt a different lawful measure where the substantive chapter permits it. The reason for material reliance or departure is documented where required.</w:t>
      </w:r>
    </w:p>
    <w:p>
      <w:pPr>
        <w:pStyle w:val="Normal"/>
      </w:pPr>
      <w:r>
        <w:t>27.16.5 [PUBLIC INTEREST FIREWALL] Chapter 27 does not convert public-interest objectives into free-standing exceptions and does not convert trade obligations into authority to invalidate lawful public-interest regulation outside NAAFTC's scope. Each claimed justification remains anchored to an operative legal provision. Panels do not conduct general policy balancing without textual authority. Minimum-displacement analysis applies only after genuine legal conflict is established.</w:t>
      </w:r>
    </w:p>
    <w:p>
      <w:pPr>
        <w:pStyle w:val="Heading2"/>
      </w:pPr>
      <w:r>
        <w:t xml:space="preserve">Article 27.17 - Indigenous Rights, Constitutional Structures, and Domestic Allocation</w:t>
      </w:r>
    </w:p>
    <w:p>
      <w:pPr>
        <w:pStyle w:val="Normal"/>
      </w:pPr>
      <w:r>
        <w:t>27.17.1 [INDIGENOUS RIGHTS PRESERVATION] Nothing in Chapter 27 is interpreted to displace Indigenous, Aboriginal, treaty, constitutional, or other protected rights recognized by the applicable law of a Party unless a valid legal instrument expressly requires that result. NAAFTC does not determine the existence or content of such domestic rights beyond what is necessary to apply an operative Compact provision. Relevant Compact protections and exceptions remain fully available. Relationship analysis avoids implied impairment.</w:t>
      </w:r>
    </w:p>
    <w:p>
      <w:pPr>
        <w:pStyle w:val="Normal"/>
      </w:pPr>
      <w:r>
        <w:t>27.17.2 [DOMESTIC CONSTITUTIONAL ALLOCATION] NAAFTC does not reallocate constitutional authority among federal, national, provincial, state, territorial, Indigenous, local, or other domestic governments. Each Party remains responsible internationally for performing its Compact obligations according to the legal rules applicable to that responsibility. Domestic allocation may determine implementation method but does not by itself erase an international obligation. A panel does not order a domestic constitutional restructuring.</w:t>
      </w:r>
    </w:p>
    <w:p>
      <w:pPr>
        <w:pStyle w:val="Normal"/>
      </w:pPr>
      <w:r>
        <w:t>27.17.3 [SUBNATIONAL IMPLEMENTATION] Where subnational action is relevant to a NAAFTC obligation, the Compact provision governing that obligation determines the Party's responsibility and available implementation path. Chapter 27 does not create new direct obligations for a subnational entity. Coordination with subnational authorities remains a domestic implementation function unless expressly assigned otherwise. Evidence of legal competence may be relevant to cure timing without becoming a permanent excuse.</w:t>
      </w:r>
    </w:p>
    <w:p>
      <w:pPr>
        <w:pStyle w:val="Normal"/>
      </w:pPr>
      <w:r>
        <w:t>27.17.4 [NO FEDERALISM BOOTSTRAP] A Party does not invoke federalism or another domestic allocation rule to create a NAAFTC exception absent textual authority. Equally, a NAAFTC institution does not claim domestic powers that the Party itself lacks merely because Compact performance is required. The obligation and the implementation competence remain analytically distinct. Chapter 25 cure may accommodate lawful implementation pathways without rewriting the bargain.</w:t>
      </w:r>
    </w:p>
    <w:p>
      <w:pPr>
        <w:pStyle w:val="Normal"/>
      </w:pPr>
      <w:r>
        <w:t>27.17.5 [EXTERNAL INDIGENOUS AND SOCIAL INSTRUMENTS] UNDRIP, ILO instruments, Indigenous cooperation agreements, human-rights instruments, and related external materials retain the legal status they possess under applicable law. They do not become NAAFTC obligations automatically. A NAAFTC provision may expressly preserve, reference, or require consideration of such material. Chapter 27 prevents unintended displacement without manufacturing new jurisdiction.</w:t>
      </w:r>
    </w:p>
    <w:p>
      <w:pPr>
        <w:pStyle w:val="Heading2"/>
      </w:pPr>
      <w:r>
        <w:t xml:space="preserve">Article 27.18 - Successor Agreements, Renaming, and Legal Continuity</w:t>
      </w:r>
    </w:p>
    <w:p>
      <w:pPr>
        <w:pStyle w:val="Normal"/>
      </w:pPr>
      <w:r>
        <w:t>27.18.1 [SUCCESSOR DETERMINATION] An agreement is treated as a successor to a referenced external instrument where succession is express or where the Parties make an affirmative functional determination supported by continuity of parties, subject matter, legal function, and relevant institutional role. Pending resolution of a disputed functional succession, a renamed, renumbered, relocated, or reorganized body continues performing only a previously assigned ministerial or administrative NAAFTC function where the legal function and governing authority are materially unchanged, while no new substantive, adjudicative, remedial, or discretionary authority arises from interim continuity. A Party contesting succession identifies the material legal change and uses Article 27.19, and mere refusal to agree does not disable an unchanged function or establish succession where the function materially changed. Partial succession is recognized only for functions actually continued, and the final determination and any interim continuity are recorded through Chapter 22.</w:t>
      </w:r>
    </w:p>
    <w:p>
      <w:pPr>
        <w:pStyle w:val="Normal"/>
      </w:pPr>
      <w:r>
        <w:t>27.18.2 [NO AUTOMATIC FUTURE IMPORT] A future successor agreement does not automatically import all of its definitions, institutions, procedures, remedies, amendments, or policy choices into NAAFTC. Existing NAAFTC cross-references continue according to their version-control rules until lawfully updated. A successor may perform a referenced function only where continuity is legally established and compatible with the original assignment. Chapter 28 or Chapter 29 governs broader incorporation or amendment.</w:t>
      </w:r>
    </w:p>
    <w:p>
      <w:pPr>
        <w:pStyle w:val="Normal"/>
      </w:pPr>
      <w:r>
        <w:t>27.18.3 [RENAMING CONTINUITY] A mere renaming, renumbering, administrative relocation, or formal reorganization of an external instrument or institution does not break a NAAFTC cross-reference where the same legal function continues without material change. The Registry may record the updated identifier ministerially. A material change in authority, scope, or legal effect requires substantive review. Administrative continuity does not become substantive succession.</w:t>
      </w:r>
    </w:p>
    <w:p>
      <w:pPr>
        <w:pStyle w:val="Normal"/>
      </w:pPr>
      <w:r>
        <w:t>27.18.4 [WITHDRAWAL AND TERMINATION] If an external instrument referenced by NAAFTC terminates or ceases to bind a Party, unaffected NAAFTC obligations continue. A cross-referenced function that becomes unavailable uses only a fallback expressly supplied by NAAFTC or lawfully adopted under Chapter 28 or Chapter 29. Institutional disappearance does not create authority by necessity. Accrued rights and completed NAAFTC treatment remain preserved.</w:t>
      </w:r>
    </w:p>
    <w:p>
      <w:pPr>
        <w:pStyle w:val="Normal"/>
      </w:pPr>
      <w:r>
        <w:t>27.18.5 [TRANSITION RECORD] A successor determination identifies the old reference, successor function, effective date, material differences, affected NAAFTC provisions, and any transitional treatment. The determination does not reopen unrelated provisions. Existing proceedings use the legally applicable version unless a lawful transition rule provides otherwise. A disputed succession question proceeds under Article 27.19.</w:t>
      </w:r>
    </w:p>
    <w:p>
      <w:pPr>
        <w:pStyle w:val="Heading2"/>
      </w:pPr>
      <w:r>
        <w:t xml:space="preserve">Article 27.19 - Disagreement About Treaty Relationship</w:t>
      </w:r>
    </w:p>
    <w:p>
      <w:pPr>
        <w:pStyle w:val="Normal"/>
      </w:pPr>
      <w:r>
        <w:t>27.19.1 [RELATIONSHIP NOTICE] A Party asserting that another agreement changes the operation of NAAFTC identifies the competing provisions, conduct, claimed conflict or specificity, affected treatment, and proposed legal consequence. The notice uses Chapter 22 channels and receives prompt acknowledgment. A deficient notice may be corrected without strategic clock resetting. Mere invocation of another treaty does not alter treatment.</w:t>
      </w:r>
    </w:p>
    <w:p>
      <w:pPr>
        <w:pStyle w:val="Normal"/>
      </w:pPr>
      <w:r>
        <w:t>27.19.2 [CHAPTER 25 ROUTE] A relationship disagreement capable of correction, clarification, or negotiated cure enters Chapter 25 consultation before Chapter 26 adjudication unless an operative Compact provision expressly authorizes an earlier or specialized adjudicative route. Consultation focuses on the legal relationship and any practical cure without requiring either Party to concede its interpretation, and a Party does not bypass the prerequisite merely by characterizing the dispute as exceptional, urgent, politically important, or unlikely to settle. Independently authorized urgent, emergency, SPS, or preservation procedures remain available according to their own terms and do not erase Chapter 25 steps that remain legally applicable to the unresolved relationship claim. Completion, expiry, refusal, or other satisfaction of the applicable Chapter 25 prerequisite permits Chapter 26 handoff according to Article 26.2 and does not create an additional discretionary gate.</w:t>
      </w:r>
    </w:p>
    <w:p>
      <w:pPr>
        <w:pStyle w:val="Normal"/>
      </w:pPr>
      <w:r>
        <w:t>27.19.3 [CHAPTER 26 JURISDICTION] A Chapter 26 panel may decide a NAAFTC relationship question only where jurisdiction is traceable to an operative Compact obligation and the defined dispute requires that decision. The panel may consider external law as relevant material without adjudicating the rights of a non-Party. Its remedy remains limited to NAAFTC authority. An external instrument cannot supply missing NAAFTC jurisdiction.</w:t>
      </w:r>
    </w:p>
    <w:p>
      <w:pPr>
        <w:pStyle w:val="Normal"/>
      </w:pPr>
      <w:r>
        <w:t>27.19.4 [PARALLEL PROCEEDINGS AND DOUBLE RECOVERY] Proceedings under CUSMA, the WTO, or another agreement do not automatically exclude a legally distinct NAAFTC claim concerning related conduct. The Parties and panels coordinate where the same measure, materially same legal injury, and overlapping requested consequence create a risk of contradictory implementation or double recovery. Coordination may sequence or narrow relief but does not waive distinct rights without legal authority. An external forum's result receives only the effect assigned under Article 27.15.</w:t>
      </w:r>
    </w:p>
    <w:p>
      <w:pPr>
        <w:pStyle w:val="Normal"/>
      </w:pPr>
      <w:r>
        <w:t>27.19.5 [UNDISPUTED TREATMENT CONTINUES] A relationship dispute does not suspend unrelated or undisputed Compact treatment. Temporary preservation or adjustment requires independent legal authority and remains subject to its own limits. A Party cannot freeze agricultural access merely by alleging treaty conflict. Resolution restores any lawfully displaced treatment according to Article 27.7 and applicable Restoration rules.</w:t>
      </w:r>
    </w:p>
    <w:p>
      <w:pPr>
        <w:pStyle w:val="Heading2"/>
      </w:pPr>
      <w:r>
        <w:t xml:space="preserve">Article 27.20 - Anti-Bootstrap, Preservation, and Final Boundary</w:t>
      </w:r>
    </w:p>
    <w:p>
      <w:pPr>
        <w:pStyle w:val="Normal"/>
      </w:pPr>
      <w:r>
        <w:t>27.20.1 [ANTI BOOTSTRAP] No external agreement, institution, decision, interpretation, practice, coordination arrangement, technology, database, funding stream, staffing pattern, silence, acquiescence, or functional equivalent expands NAAFTC jurisdiction or authority without an operative Compact provision giving it that effect. Repetition does not cure missing authority. Administrative usefulness does not create legal power. Every consequential exercise remains traceable to NAAFTC.</w:t>
      </w:r>
    </w:p>
    <w:p>
      <w:pPr>
        <w:pStyle w:val="Normal"/>
      </w:pPr>
      <w:r>
        <w:t>27.20.2 [NO EXTERNAL AMENDMENT] An external amendment, side letter, memorandum, protocol, committee act, tribunal decision, or successor instrument does not amend NAAFTC by its own force. Chapter 28 governs deliberate incorporation by reference and Chapter 29 governs modernization or amendment. An express NAAFTC provision may assign a bounded effect to an external event. That assignment does not expand beyond its text.</w:t>
      </w:r>
    </w:p>
    <w:p>
      <w:pPr>
        <w:pStyle w:val="Normal"/>
      </w:pPr>
      <w:r>
        <w:t>27.20.3 [PRESERVATION LOCK] Accrued rights, completed liberalization, Vested Market-Access Rights, Zero-Line Status, completed transition milestones, and other protected treatment survive relationship determinations except to the extent an express lawful provision authorizes a defined consequence. Temporary overlays remain separate from the underlying baseline. Resolution of their legal predicate restores the current legal position automatically. Relationship analysis does not re-age or rebase protected treatment.</w:t>
      </w:r>
    </w:p>
    <w:p>
      <w:pPr>
        <w:pStyle w:val="Normal"/>
      </w:pPr>
      <w:r>
        <w:t>27.20.4 [NO NEW SUBSTANTIVE RIGHTS] Chapter 27 coordinates legal relationships and does not itself create a new market-access entitlement, exception, tariff authority, private cause of action, regulatory mandate, or remedy. A substantive consequence is traceable to the Compact provision governing that subject. Conflict rules determine operation rather than manufacture content. Chapter 26 applies the same textual-hook discipline to adjudication.</w:t>
      </w:r>
    </w:p>
    <w:p>
      <w:pPr>
        <w:pStyle w:val="Normal"/>
      </w:pPr>
      <w:r>
        <w:t>27.20.5 [FINAL BOUNDARY] Chapter 27 answers how NAAFTC coexists with other legal instruments and ends when that relationship question is resolved. Chapter 28 governs incorporation by reference, Chapter 29 governs deliberate modernization and technical amendment, and Chapter 30 governs final treaty operation. No institution uses Chapter 27 to bypass those allocated functions. Compatible obligations continue, genuine conflicts are narrowed, protected treatment survives, and jurisdiction then exits.</w:t>
      </w:r>
    </w:p>
    <w:p>
      <w:pPr>
        <w:pStyle w:val="Heading1"/>
      </w:pPr>
      <w:r>
        <w:t>Chapter 28 - Incorporation by Reference and Optional Future Integration</w:t>
      </w:r>
    </w:p>
    <w:p>
      <w:pPr>
        <w:pStyle w:val="Heading2"/>
      </w:pPr>
      <w:r>
        <w:t xml:space="preserve">Article 28.1 - Purpose and Integration Principle</w:t>
      </w:r>
    </w:p>
    <w:p>
      <w:pPr/>
      <w:r>
        <w:t>28.1.1 [STANDALONE BASELINE] This Compact operates on a standalone basis unless a legally effective incorporating instrument expressly provides otherwise. Integration into another agreement is optional and deliberate, and non-integration creates no adverse inference, penalty, suspension, or diminution of treatment under this Compact. Chapter 28 governs the legal placement of identified NAAFTC text in another instrument and does not by itself create, enlarge, extinguish, or transfer substantive rights or authority. Chapter 27 continues to govern coexistence between instruments except to the extent a valid incorporation expressly establishes a different relationship for incorporated text.</w:t>
      </w:r>
    </w:p>
    <w:p>
      <w:pPr/>
      <w:r>
        <w:t>28.1.2 [INCORPORATION DEFINITION] For this Chapter, incorporation means the legally effective adoption of specifically identified NAAFTC text into a host instrument through an authorized written act. The host instrument is the agreement, protocol, annex, schedule, or other legally recognized instrument into which that text is placed. Incorporated text means only the provisions and dependencies expressly identified in the incorporating instrument. Administrative use, reference, consultation, similarity, or coordinated performance does not constitute incorporation.</w:t>
      </w:r>
    </w:p>
    <w:p>
      <w:pPr/>
      <w:r>
        <w:t>28.1.3 [VOLUNTARY INTEGRATION] A Party may propose incorporation and the Parties may consider the proposal in good faith without assuming a duty to accept it. Refusal, delay, silence, or a decision to preserve standalone operation does not establish breach or justify adverse treatment. No institution infers consent to integration from participation in technical work, negotiations, consultations, or implementation planning. A proposal has no operative effect until every condition required by this Chapter and the applicable incorporating authority is satisfied.</w:t>
      </w:r>
    </w:p>
    <w:p>
      <w:pPr/>
      <w:r>
        <w:t>28.1.4 [LEGAL ADDRESS PRINCIPLE] Every incorporation has a traceable legal address identifying what text is incorporated, which version applies, where the text is placed, who authorized the incorporation, when it takes effect, which dependencies accompany it, who administers it, and which dispute route governs it. An incorporation lacking a required address element does not acquire that missing element by implication or practice. Ambiguity is resolved by the written incorporation record and the valid authority of the host instrument rather than by administrative convenience. The Party asserting incorporation bears the burden of establishing the legal address and operative scope.</w:t>
      </w:r>
    </w:p>
    <w:p>
      <w:pPr/>
      <w:r>
        <w:t>28.1.5 [NO ADVERSE INFERENCE] The continued standalone operation of NAAFTC is legally complete and does not depend on later integration. A Party does not treat another Party's refusal to incorporate additional NAAFTC text as non-performance of the Compact. Negotiation history concerning possible integration does not alter an existing obligation unless incorporated through a legally effective instrument. Chapter 28 therefore supplies an option for future legal placement without creating a presumption in favor of integration.</w:t>
      </w:r>
    </w:p>
    <w:p>
      <w:pPr>
        <w:pStyle w:val="Heading2"/>
      </w:pPr>
      <w:r>
        <w:t xml:space="preserve">Article 28.2 - Authorized Forms of Incorporation</w:t>
      </w:r>
    </w:p>
    <w:p>
      <w:pPr/>
      <w:r>
        <w:t>28.2.1 [CLOSED FORMS] Incorporation uses a form expressly recognized by the incorporating instrument and capable of identifying its legal effect with precision. Authorized forms include incorporation of the whole Compact, a chapter, an article, a clause, an annex or schedule, or an expressly identified combination of those units. A protocol or side instrument may serve as the incorporating vehicle where the governing legal framework authorizes that vehicle and states its effect. A novel form is effective only where it satisfies the same legal-address, authority, version, dependency, and dispute-route requirements imposed by this Chapter.</w:t>
      </w:r>
    </w:p>
    <w:p>
      <w:pPr/>
      <w:r>
        <w:t>28.2.2 [WHOLE COMPACT] Whole-Compact incorporation identifies the NAAFTC version, all exclusions or reservations, the effective date, institutional assignments, and the legal status of the incorporated Compact within the host instrument. An instrument does not achieve whole-Compact incorporation merely by describing NAAFTC as relevant, complementary, applicable, or guiding. Any excluded provision remains outside the incorporation unless separately incorporated. Standalone NAAFTC operation continues according to Article 28.13 unless legally effective text expressly provides otherwise.</w:t>
      </w:r>
    </w:p>
    <w:p>
      <w:pPr/>
      <w:r>
        <w:t>28.2.3 [PARTIAL UNITS] Chapter-level, article-level, clause-level, annex-level, and schedule-level incorporation identifies each incorporated unit by stable citation and version. Incorporation of a larger unit includes its subordinate text only to the extent the cited unit legally contains that text at the locked version. Cross-references inside incorporated text do not automatically incorporate the referenced provision unless Article 28.8 identifies it as a necessary dependency or the incorporating instrument expressly includes it. The incorporation record distinguishes operative text from contextual citations.</w:t>
      </w:r>
    </w:p>
    <w:p>
      <w:pPr/>
      <w:r>
        <w:t>28.2.4 [COMBINED FORMS] An incorporating instrument may combine authorized forms where each component is expressly enumerated and its legal effect is stated. Different components may receive different effective dates, institutional assignments, or dispute routes only where those differences are expressly identified and legally valid. A combination does not merge distinct provisions into an undefined package. The Registry records each component sufficiently to reconstruct the incorporated set without inference.</w:t>
      </w:r>
    </w:p>
    <w:p>
      <w:pPr/>
      <w:r>
        <w:t>28.2.5 [VAGUE REFERENCES] A reference to relevant, appropriate, applicable, related, corresponding, or similar NAAFTC provisions does not incorporate unidentified text. A general statement of policy alignment, consistency, cooperation, or intent likewise does not satisfy this Chapter. Where a host instrument uses a shorthand reference, the incorporation record supplies the exact closed list before operative effect begins. No Party or institution expands that list through later interpretation alone.</w:t>
      </w:r>
    </w:p>
    <w:p>
      <w:pPr>
        <w:pStyle w:val="Heading2"/>
      </w:pPr>
      <w:r>
        <w:t xml:space="preserve">Article 28.3 - Express Incorporation Requirement</w:t>
      </w:r>
    </w:p>
    <w:p>
      <w:pPr/>
      <w:r>
        <w:t>28.3.1 [WRITTEN ACT] Incorporation requires a written legally authorized instrument identifying the incorporated text and its intended legal effect, including the exact textual citation, version or stable identifier, scope, effective date, authority, dependencies, institutional assignments, and dispute route. Where an element is intentionally inapplicable, the instrument states that fact and its legal basis rather than leaving the element to implication, and publication or other legally required promulgation occurs before reliance on the incorporation against a participant. A missing element that prevents reliable identification of operative scope, authority, legal effect, administration, or dispute treatment bars reliance on the affected incorporation until corrected, while a defect confined to a severable feature does not invalidate independently ascertainable incorporated text or supply the missing feature by implication. The incorporation record identifies any severable defect and correction, and no authority uses the defect to enlarge incorporation beyond the legally complete portion.</w:t>
      </w:r>
    </w:p>
    <w:p>
      <w:pPr/>
      <w:r>
        <w:t>28.3.2 [VERSION AND SCOPE] The incorporating instrument identifies the applicable NAAFTC version and the exact boundaries of incorporated text. Scope includes any territorial, sectoral, product, temporal, participant, or functional limitation attached to incorporation. A limitation not stated in the legally effective record is not supplied by informal understandings or later administrative practice. Corrections to citations follow Article 28.10 and do not silently alter substantive scope.</w:t>
      </w:r>
    </w:p>
    <w:p>
      <w:pPr/>
      <w:r>
        <w:t>28.3.3 [AUTHORITY AND DEPENDENCIES] The incorporating instrument identifies the legal authority supporting incorporation and each dependency necessary for operation. Dependency identification follows Articles 28.8 and 28.9 and distinguishes substantive text from supporting machinery. An assertion that a dependency is obvious, customary, convenient, or technologically necessary does not substitute for the required mapping. Missing authority cannot be cured by complete dependency mapping, and missing dependencies cannot be cured by broad claims of authority.</w:t>
      </w:r>
    </w:p>
    <w:p>
      <w:pPr/>
      <w:r>
        <w:t>28.3.4 [DISPUTE AND ADMINISTRATION] The incorporating instrument identifies the institution responsible for each assigned administrative function and the dispute mechanism governing the incorporated obligation. Administrative assignment does not confer adjudicative, remedial, legislative, or amendment authority unless that authority is separately and expressly established. Where multiple dispute routes remain available for distinct legal claims, the record identifies their boundaries and the coordination rule. Silence does not import the dispute or remedy architecture of either instrument as a package.</w:t>
      </w:r>
    </w:p>
    <w:p>
      <w:pPr/>
      <w:r>
        <w:t>28.3.5 [BURDEN AND NONINCORPORATION] A Party asserting that NAAFTC text has been incorporated establishes compliance with the express requirements of this Article. Silence, non-objection, consistent practice, technical cooperation, shared staffing, budget support, data exchange, or administrative implementation does not independently satisfy that burden. A defective assertion of incorporation leaves the relevant instruments operating according to their otherwise applicable terms. Rejection of the assertion does not prevent later valid incorporation through a compliant instrument.</w:t>
      </w:r>
    </w:p>
    <w:p>
      <w:pPr>
        <w:pStyle w:val="Heading2"/>
      </w:pPr>
      <w:r>
        <w:t xml:space="preserve">Article 28.4 - Domestic Approval and Constitutional Authority</w:t>
      </w:r>
    </w:p>
    <w:p>
      <w:pPr/>
      <w:r>
        <w:t>28.4.1 [LAWFUL APPROVAL] Incorporation takes effect for a Party only through the domestic approval and constitutional authority required for the chosen legal form. Legislative, executive, subnational, or other approval is obtained where applicable domestic law requires it. This Compact does not determine which domestic organ possesses authority that domestic law assigns elsewhere. The incorporation record identifies the approval relied upon without treating Registry entry as a substitute for lawful approval.</w:t>
      </w:r>
    </w:p>
    <w:p>
      <w:pPr/>
      <w:r>
        <w:t>28.4.2 [NO AUTHORITY CURE] A treaty body, Secretariat, panel, committee, working group, or administrator cannot cure missing domestic authority by practice, declaration, certification, or institutional necessity. Participation by officials does not establish authority beyond powers lawfully held by those officials. A defect in domestic approval is addressed under the applicable domestic and international legal framework rather than concealed through administrative implementation. Chapter 28 supplies no independent power to bypass constitutional allocation.</w:t>
      </w:r>
    </w:p>
    <w:p>
      <w:pPr/>
      <w:r>
        <w:t>28.4.3 [EFFECTIVE DATE] The effective date for a Party does not precede completion of approval conditions legally required for operative effect. Provisional application is available only where the governing legal framework and the Party's domestic law authorize it and the incorporating instrument states its scope and duration. Retroactive effect exists only where valid legal authority expressly permits and defines it. The record distinguishes signature, approval, provisional application, entry into force, and operational implementation dates.</w:t>
      </w:r>
    </w:p>
    <w:p>
      <w:pPr/>
      <w:r>
        <w:t>28.4.4 [SUBNATIONAL COMPETENCE] Where implementation concerns a matter within subnational competence, the incorporating instrument identifies the applicable allocation of responsibility without enlarging federal or subnational authority. A Party remains responsible internationally to the extent established by the operative legal instrument while domestic implementation follows its constitutional structure. Cooperation with a province, state, territory, Indigenous government, or other competent authority does not itself constitute incorporation. Required subnational approvals or implementing steps are recorded where legally relevant.</w:t>
      </w:r>
    </w:p>
    <w:p>
      <w:pPr/>
      <w:r>
        <w:t>28.4.5 [APPROVAL CHANGE] Withdrawal, expiry, invalidation, or material conditioning of a required domestic approval is notified through Chapter 22 where it affects operative incorporation. Such a change does not automatically rewrite standalone NAAFTC obligations or unrelated portions of the host instrument. The responsible authorities identify the legal consequence, effective date, transition treatment, and any accrued interests affected by the change. A dispute about those consequences follows the route identified under Articles 28.17 and 28.18.</w:t>
      </w:r>
    </w:p>
    <w:p>
      <w:pPr>
        <w:pStyle w:val="Heading2"/>
      </w:pPr>
      <w:r>
        <w:t xml:space="preserve">Article 28.5 - Incorporation into CUSMA</w:t>
      </w:r>
    </w:p>
    <w:p>
      <w:pPr/>
      <w:r>
        <w:t>28.5.1 [OPTIONAL CUSMA INTEGRATION] NAAFTC text may be incorporated into CUSMA only through an express legally effective CUSMA instrument authorized by the applicable CUSMA and domestic procedures. Chapter 27's rule against implied amendment remains fully applicable before and after any partial incorporation. The incorporating instrument identifies each affected CUSMA provision or location and each NAAFTC provision receiving legal effect there. Incorporation of agricultural text does not alter unrelated CUSMA disciplines.</w:t>
      </w:r>
    </w:p>
    <w:p>
      <w:pPr/>
      <w:r>
        <w:t>28.5.2 [CUSMA LEGAL ADDRESS] A CUSMA incorporation record identifies the NAAFTC version, incorporated text, affected CUSMA location, effective date, approving authority, dependencies, institutional assignments, and dispute route. It also identifies any tariff schedule, annex, side letter, protocol, committee function, or implementation instrument materially affected by the incorporation. A general reference to CUSMA machinery does not import all CUSMA procedures or remedies. Each imported function remains bounded by express authority.</w:t>
      </w:r>
    </w:p>
    <w:p>
      <w:pPr/>
      <w:r>
        <w:t>28.5.3 [CUSMA INSTITUTIONS] A CUSMA institution performs a function concerning incorporated NAAFTC text only where the incorporating instrument or another valid legal source assigns that function. Existing CUSMA competence does not expand merely because incorporated text concerns a related subject. Shared administration may use existing staffing, records, expertise, or facilities without creating new substantive authority. Chapter 27.9 continues to prevent institutional power laundering.</w:t>
      </w:r>
    </w:p>
    <w:p>
      <w:pPr/>
      <w:r>
        <w:t>28.5.4 [CUSMA CHANGE] A later CUSMA amendment, withdrawal, suspension, renaming, or institutional change does not automatically amend the standalone NAAFTC or the locked incorporated NAAFTC text. Article 28.18 governs the consequences for incorporated text, and Chapter 27 governs continuing coexistence where instruments diverge. Where the Parties intend a CUSMA change to update incorporated NAAFTC text, they use an express mechanism permitted by Articles 28.10 or 28.11. Accrued treatment is preserved according to Article 28.15.</w:t>
      </w:r>
    </w:p>
    <w:p>
      <w:pPr/>
      <w:r>
        <w:t>28.5.5 [TRILATERAL PARTICIPATION] CUSMA incorporation affecting rights or obligations of all three NAAFTC Parties uses a legal form capable of binding each affected Party according to the governing approval rules. A bilateral arrangement does not purport to amend the CUSMA rights of the third Party or impose NAAFTC obligations on a nonconsenting Party. Bilateral implementation may operate within its lawful scope where it does not mischaracterize trilateral legal effect. The incorporation record identifies the participating Parties and any lawful limitation in coverage.</w:t>
      </w:r>
    </w:p>
    <w:p>
      <w:pPr>
        <w:pStyle w:val="Heading2"/>
      </w:pPr>
      <w:r>
        <w:t xml:space="preserve">Article 28.6 - Incorporation into a Successor North American Agreement</w:t>
      </w:r>
    </w:p>
    <w:p>
      <w:pPr/>
      <w:r>
        <w:t>28.6.1 [SUCCESSOR OPTION] NAAFTC text may be incorporated into a future North American agreement without presuming the name, architecture, institutions, membership, or legal character of that agreement. Incorporation remains optional and requires an express legally effective instrument. A successor relationship under Chapter 27.18 does not itself incorporate NAAFTC text into the successor agreement. Standalone NAAFTC obligations continue unless legally effective action expressly changes their status.</w:t>
      </w:r>
    </w:p>
    <w:p>
      <w:pPr/>
      <w:r>
        <w:t>28.6.2 [SUCCESSOR IDENTIFICATION] The incorporation instrument identifies the host successor agreement and the basis on which it has legal capacity to receive the incorporated text. Renaming alone does not require substantive re-incorporation where the same host instrument continues legally, but a new agreement requires its own valid legal address. Membership changes are identified where they affect the scope or administration of incorporated obligations. No non-Party acquires NAAFTC rights or obligations merely by joining the host agreement.</w:t>
      </w:r>
    </w:p>
    <w:p>
      <w:pPr/>
      <w:r>
        <w:t>28.6.3 [INSTITUTIONAL SUCCESSION] A successor agreement may assign incorporated functions to its institutions only through traceable authority. Functional succession under Chapter 27.18 may preserve unchanged ministerial or administrative functions but does not create new substantive, adjudicative, remedial, or discretionary powers. The incorporation record maps each continuing or reassigned function. A material institutional change triggers review of the affected assignment rather than automatic package succession.</w:t>
      </w:r>
    </w:p>
    <w:p>
      <w:pPr/>
      <w:r>
        <w:t>28.6.4 [SUCCESSOR DISPUTES] The incorporation instrument identifies the dispute mechanism governing incorporated text within the successor agreement and its relationship to standalone NAAFTC dispute settlement. Succession of a dispute body does not automatically expand the claims or remedies that body may hear or award. Pending matters receive transition treatment under Articles 28.17 and 28.18. Parallel proceedings remain subject to the anti-double-recovery rules of this Chapter and Chapter 27.</w:t>
      </w:r>
    </w:p>
    <w:p>
      <w:pPr/>
      <w:r>
        <w:t>28.6.5 [SUCCESSOR TRANSITION] Withdrawal from, amendment of, or partial incorporation into a successor agreement affects only the legal relationships actually changed. The transition record identifies surviving incorporated text, terminated text, accrued treatment, pending matters, institutional handoffs, and effective dates. Accession by another jurisdiction to the successor does not automatically make that jurisdiction a NAAFTC Party. Any broader integration requires a separately valid legal instrument.</w:t>
      </w:r>
    </w:p>
    <w:p>
      <w:pPr>
        <w:pStyle w:val="Heading2"/>
      </w:pPr>
      <w:r>
        <w:t xml:space="preserve">Article 28.7 - Partial Incorporation</w:t>
      </w:r>
    </w:p>
    <w:p>
      <w:pPr/>
      <w:r>
        <w:t>28.7.1 [PARTIAL PERMISSION] An incorporating instrument may adopt less than the whole Compact where it precisely identifies the incorporated portion. Partial incorporation does not imply acceptance of neighboring articles, chapters, annexes, schedules, definitions, remedies, institutions, or future amendments. The incorporated portion operates with only the dependencies expressly included under Article 28.8. Unincorporated NAAFTC text retains its standalone status and any independent legal effect it otherwise possesses.</w:t>
      </w:r>
    </w:p>
    <w:p>
      <w:pPr/>
      <w:r>
        <w:t>28.7.2 [SEVERABLE SCOPE] Each partially incorporated component is interpreted within its stated scope and remains severable from components not legally necessary to its operation. A drafting cross-reference does not by itself erase severability or expand incorporation. Where removal of an omitted provision makes the incorporated component legally inoperable, the Parties correct the dependency map rather than deeming the entire surrounding package incorporated. Until correction, no institution invents the missing authority or obligation.</w:t>
      </w:r>
    </w:p>
    <w:p>
      <w:pPr/>
      <w:r>
        <w:t>28.7.3 [PARTIAL DATES] Different incorporated components may have different effective dates only where the incorporating instrument states those dates and any necessary transition rule. A later effective date for one component does not postpone an independently operable component unless the legal address expressly links them. Partial withdrawal or suspension likewise affects only the identified component and legally dependent functions. The Registry preserves the timeline of each component.</w:t>
      </w:r>
    </w:p>
    <w:p>
      <w:pPr/>
      <w:r>
        <w:t>28.7.4 [PARTIAL DISPUTES AND REMEDIES] Partial incorporation identifies the dispute coverage and authorized remedies associated with each incorporated obligation. Incorporation of a substantive rule does not automatically import every NAAFTC or host-instrument remedy. Incorporation of a dispute procedure does not automatically import substantive obligations outside its identified jurisdiction. A tribunal or panel verifies the incorporation record before exercising authority over a partially incorporated provision.</w:t>
      </w:r>
    </w:p>
    <w:p>
      <w:pPr/>
      <w:r>
        <w:t>28.7.5 [NO PRACTICE EXPANSION] Repeated administration of unincorporated neighboring text does not enlarge partial incorporation. A Party may rely on such practice as factual context only to the extent otherwise permitted by applicable interpretive rules. Non-objection to administrative convenience does not waive the express-scope requirement. Expansion requires a new or amended incorporating instrument satisfying this Chapter.</w:t>
      </w:r>
    </w:p>
    <w:p>
      <w:pPr>
        <w:pStyle w:val="Heading2"/>
      </w:pPr>
      <w:r>
        <w:t xml:space="preserve">Article 28.8 - Dependency Mapping</w:t>
      </w:r>
    </w:p>
    <w:p>
      <w:pPr/>
      <w:r>
        <w:t>28.8.1 [MANDATORY MAP] Every incorporation includes a dependency map identifying supporting NAAFTC provisions required for the incorporated text to operate as intended. The map considers definitions, procedures, verification machinery, remedies, annexes, schedules, institutions, data functions, clocks, reporting duties, and dispute routes. Each dependency is linked to the incorporated provision it supports. The map is part of the incorporation record and is sufficiently specific to permit independent reconstruction.</w:t>
      </w:r>
    </w:p>
    <w:p>
      <w:pPr/>
      <w:r>
        <w:t>28.8.2 [OPERATIONAL JUSTIFICATION] Each mapped dependency has a traceable operational reason explaining why the incorporated text cannot perform its assigned legal function without that dependency or why the incorporating instrument expressly chooses to include it. Convenience, thematic relationship, drafting proximity, shared terminology, institutional preference, or administrative necessity alone is insufficient, and where a narrower dependency can perform the necessary function the map does not use necessity to import a broader package. A disputed dependency supplies no additional authority, remedy, jurisdiction, institutional power, or substantive obligation while its inclusion remains unestablished, although undisputed incorporated text continues to operate to the extent it is independently operable under its complete legal address. The dispute follows the designated route, and any later determination establishing the dependency takes effect according to the governing legal instrument without retroactively validating unauthorized interim exercise.</w:t>
      </w:r>
    </w:p>
    <w:p>
      <w:pPr/>
      <w:r>
        <w:t>28.8.3 [DIRECTIONAL DEPENDENCY] A dependency operates only in the direction and for the purpose stated in the map. Incorporation of a substantive provision may expressly carry a definition or procedure necessary to operate that provision, but incorporation of the supporting definition or procedure does not work backward to incorporate the substantive provision. A dependency does not acquire independent scope merely because it supports multiple NAAFTC provisions in the standalone Compact. Any broader use requires its own express incorporation.</w:t>
      </w:r>
    </w:p>
    <w:p>
      <w:pPr/>
      <w:r>
        <w:t>28.8.4 [INSTITUTIONAL AND REMEDIAL DEPENDENCIES] Institutional, verification, dispute, and remedial machinery receives especially precise dependency mapping because those functions can alter legal consequences. The map identifies the function, actor, trigger, scope, evidentiary basis, clock, and exit condition where applicable. Importing an institution's name does not import its powers, and importing a remedy label does not import authority to impose that remedy. Chapter 26 authority remains unavailable unless expressly incorporated or independently applicable.</w:t>
      </w:r>
    </w:p>
    <w:p>
      <w:pPr/>
      <w:r>
        <w:t>28.8.5 [DEPENDENCY CHANGE] A later change to an incorporated dependency does not automatically update the locked incorporation unless Articles 28.10 or 28.11 authorize that update. Where a dependency becomes unavailable or materially altered, the Parties identify a lawful substitute, amend the incorporation, or apply any express fallback already contained in the legal address. Administrative necessity does not authorize unilateral substitution. Chapter 22 records the change and its effective treatment.</w:t>
      </w:r>
    </w:p>
    <w:p>
      <w:pPr>
        <w:pStyle w:val="Heading2"/>
      </w:pPr>
      <w:r>
        <w:t xml:space="preserve">Article 28.9 - No Package Importation by Necessity</w:t>
      </w:r>
    </w:p>
    <w:p>
      <w:pPr/>
      <w:r>
        <w:t>28.9.1 [NO NECESSITY PACKAGE] A claim of necessity does not incorporate the Compact, a chapter, an institutional architecture, or a remedial system as an undifferentiated package. Each additional component requires express identification and an operational justification under Article 28.8. The minimum set capable of performing the intended legal function is used where incorporation rests on dependency. A broader policy preference is implemented by express broader incorporation rather than by stretching necessity.</w:t>
      </w:r>
    </w:p>
    <w:p>
      <w:pPr/>
      <w:r>
        <w:t>28.9.2 [NO INSTITUTIONAL PACKAGE] Incorporation of one administrative function does not import the institution's unrelated powers, membership rules, budgets, procedures, adjudicative functions, or policy mandate. Staffing, hosting, expertise, technological integration, or shared records likewise does not import an institutional package. Each assigned function traces to its own valid authority. Unassigned powers remain unavailable even where their use would be efficient.</w:t>
      </w:r>
    </w:p>
    <w:p>
      <w:pPr/>
      <w:r>
        <w:t>28.9.3 [NO REMEDIAL PACKAGE] Incorporation of an obligation does not automatically import suspension, compensation, retaliation, tariff action, monetary relief, restoration, or another remedial consequence. A remedy operates only where the host instrument, incorporated text, or another applicable legal source expressly authorizes it. Necessary enforcement does not mean every remedy available elsewhere becomes necessary. Ambiguity is not resolved by selecting the most coercive available mechanism.</w:t>
      </w:r>
    </w:p>
    <w:p>
      <w:pPr/>
      <w:r>
        <w:t>28.9.4 [NO FUTURE PACKAGE] Incorporation of current NAAFTC text does not incorporate future amendments, technical changes, budgets, datasets, institutional reorganizations, or dispute developments merely because they relate to the incorporated material. Article 28.11 governs any expressly authorized dynamic mechanism. A later development may prompt an amendment to the incorporation record but does not rewrite it automatically. Version lock remains the default.</w:t>
      </w:r>
    </w:p>
    <w:p>
      <w:pPr/>
      <w:r>
        <w:t>28.9.5 [ANTI CREEP RECORD] A material expansion of dependencies is documented as an amendment to the incorporation rather than treated as routine administration. The record identifies the newly included component, authority, justification, version, effective date, and resulting institutional or dispute effects. Periodic operational review may identify dependency problems but cannot itself enlarge legal scope. A challenge to dependency creep follows the designated dispute route.</w:t>
      </w:r>
    </w:p>
    <w:p>
      <w:pPr>
        <w:pStyle w:val="Heading2"/>
      </w:pPr>
      <w:r>
        <w:t xml:space="preserve">Article 28.10 - Version Control</w:t>
      </w:r>
    </w:p>
    <w:p>
      <w:pPr/>
      <w:r>
        <w:t>28.10.1 [DEFAULT VERSION LOCK] Every incorporation is locked by default to the exact NAAFTC text identified at the time of incorporation. The incorporating instrument uses a version number, date, stable textual identifier, cryptographic hash where useful, or another reproducible method sufficient to identify the operative text. A later amendment to standalone NAAFTC does not automatically alter locked incorporated text. The Registry preserves the identifier and accessible provenance of the incorporated version.</w:t>
      </w:r>
    </w:p>
    <w:p>
      <w:pPr/>
      <w:r>
        <w:t>28.10.2 [EXPRESS UPDATE] Locked incorporated text changes only through a legally effective update authorized by the host instrument or through an express dynamic mechanism under Article 28.11. An update identifies the old version, new version, provisions changed, effective date, approvals, dependencies, and transition consequences. Continued use of revised administrative forms does not prove a substantive textual update. The Party asserting an update bears the burden of establishing it.</w:t>
      </w:r>
    </w:p>
    <w:p>
      <w:pPr/>
      <w:r>
        <w:t>28.10.3 [TECHNICAL CORRECTION] A non-substantive correction to citation, numbering, typography, formatting, or concordance may be recorded without reopening substantive approval where the governing legal framework permits that treatment. A correction does not alter rights, obligations, scope, authority, remedies, clocks, or conditions. If a purported correction changes legal effect, it is treated as an amendment or update requiring the applicable authority. The record distinguishes correction from substantive revision.</w:t>
      </w:r>
    </w:p>
    <w:p>
      <w:pPr/>
      <w:r>
        <w:t>28.10.4 [SUPERSEDED TEXT] Supersession of standalone NAAFTC text does not erase the legal history of a locked incorporated version. The incorporation record marks whether the host instrument continues using the older text, adopts replacement text, or terminates the incorporation. Participants can identify which version governed conduct at any relevant time. No institution substitutes a newer text merely because the older text is no longer current in standalone NAAFTC.</w:t>
      </w:r>
    </w:p>
    <w:p>
      <w:pPr/>
      <w:r>
        <w:t>28.10.5 [VERSION DISPUTE] A dispute over version identity begins with the written incorporation instrument, Registry provenance, official publication, and any stable identifier attached to the record. Clerical inconsistency is resolved to reproduce the legally approved text rather than to select a substantively preferred version. A genuine dispute over what was approved follows the designated dispute route. Pending resolution does not authorize an administrator to create a hybrid version from multiple texts.</w:t>
      </w:r>
    </w:p>
    <w:p>
      <w:pPr>
        <w:pStyle w:val="Heading2"/>
      </w:pPr>
      <w:r>
        <w:t xml:space="preserve">Article 28.11 - Dynamic Incorporation</w:t>
      </w:r>
    </w:p>
    <w:p>
      <w:pPr/>
      <w:r>
        <w:t>28.11.1 [EXCEPTIONAL DYNAMIC FORM] Dynamic incorporation exists only where a legally effective instrument expressly authorizes specified future NAAFTC changes to flow into the host instrument. The authorization identifies the provisions covered, categories of eligible change, approval controls, notice process, effective-date mechanism, version history, suspension rule, and exit rule. Silence, delay, repeated updating, or administrative expectation does not create dynamic incorporation. Version lock applies to every provision outside the express dynamic scope.</w:t>
      </w:r>
    </w:p>
    <w:p>
      <w:pPr/>
      <w:r>
        <w:t>28.11.2 [BOUNDED FUTURE CHANGES] A dynamic mechanism distinguishes technical or administrative updates from substantive changes where the governing authority treats those categories differently, and the incorporating instrument identifies the actor or procedure legally authorized to make that classification. A technical update channel does not import new substantive obligations, remedies, institutional powers, jurisdiction, material scope, or legal conditions, and any excluded category remains subject to ordinary express update procedures. Classification is documented before operative effect, with reasons sufficient to trace the change to the authorized category, and an administrator does not obtain classification authority merely by implementing or recording the update. Where classification is timely disputed on particularized grounds, the disputed change supplies no additional substantive effect beyond the last undisputed incorporated version until the authorized procedure resolves the classification, without suspending independently valid technical changes or existing obligations.</w:t>
      </w:r>
    </w:p>
    <w:p>
      <w:pPr/>
      <w:r>
        <w:t>28.11.3 [DOMESTIC APPROVAL CONTROL] Dynamic incorporation operates only within the domestic authority legally available to each participating Party. Where a future change requires additional legislative, executive, subnational, or other approval, the dynamic mechanism does not bypass that requirement. The effective date for that Party follows satisfaction of the required approval or an expressly lawful provisional arrangement. The record identifies any Party-specific delay or limitation without treating it as consent by silence.</w:t>
      </w:r>
    </w:p>
    <w:p>
      <w:pPr/>
      <w:r>
        <w:t>28.11.4 [TRACKING AND NOTICE] Each dynamic update receives a traceable version entry identifying the changed text, source, authority, approval status, effective date, dependencies, and transition treatment. Notice is provided before operative effect where the governing instrument requires advance notice. Participants can determine the text applicable on any date without reconstructing informal administrative history. Failure to maintain version tracking prevents reliance on an untraceable update against an affected participant.</w:t>
      </w:r>
    </w:p>
    <w:p>
      <w:pPr/>
      <w:r>
        <w:t>28.11.5 [SUSPENSION AND EXIT] The dynamic mechanism states how future flow-through may be suspended or terminated without disturbing already accrued treatment except where valid law expressly provides otherwise. Suspension stops later updates within its scope but does not retroactively erase text already incorporated. Exit identifies the version remaining in force, if any, and the effective date of the lock. A dispute over exit follows the designated route and does not create an implied power to continue importing updates.</w:t>
      </w:r>
    </w:p>
    <w:p>
      <w:pPr>
        <w:pStyle w:val="Heading2"/>
      </w:pPr>
      <w:r>
        <w:t xml:space="preserve">Article 28.12 - Legal Effect in the Host Instrument</w:t>
      </w:r>
    </w:p>
    <w:p>
      <w:pPr/>
      <w:r>
        <w:t>28.12.1 [EFFECT CLASSIFICATION] The incorporating instrument classifies the legal effect of incorporated text within the host instrument. Recognized forms may include host-treaty text, an annex, protocol, schedule, incorporated obligation, interpretive rule, or administrative procedure where the host legal framework recognizes that form. Different incorporated components may receive different classifications only where each classification is express. The classification does not enlarge the underlying text beyond its incorporated scope.</w:t>
      </w:r>
    </w:p>
    <w:p>
      <w:pPr/>
      <w:r>
        <w:t>28.12.2 [HOST LOCATION] The legal address identifies where incorporated text sits within the host instrument and how an authorized reader locates it. Publication preserves the incorporated wording or provides an authoritative reproducible reference to it. A relocation, renumbering, or formatting change that leaves legal effect unchanged is recorded as a technical continuity event. A change in legal status or hierarchy requires valid substantive authority rather than administrative relabeling.</w:t>
      </w:r>
    </w:p>
    <w:p>
      <w:pPr/>
      <w:r>
        <w:t>28.12.3 [RELATIONSHIP RULE] The incorporating instrument states any relationship rule needed between incorporated text and other host provisions, subject to Chapter 27 and the host instrument's valid legal framework. Chapter 28 does not invent a general hierarchy merely because incorporation occurs. Where both texts can operate compatibly, both continue according to their terms. Genuine conflict is confined and addressed through the applicable relationship rule rather than assumed from difference.</w:t>
      </w:r>
    </w:p>
    <w:p>
      <w:pPr/>
      <w:r>
        <w:t>28.12.4 [DOMESTIC EFFECT] Any domestic legal effect of incorporated text follows the constitutional and statutory rules applicable in each Party. Chapter 28 does not declare text self-executing, directly effective, supreme, or privately enforceable where the governing domestic law does not provide that result. Implementing legislation or regulation is identified where legally required. The incorporation record distinguishes international legal effect from domestic implementation status.</w:t>
      </w:r>
    </w:p>
    <w:p>
      <w:pPr/>
      <w:r>
        <w:t>28.12.5 [NO EFFECT BY AMBIGUITY] An ambiguous legal-effect designation is not interpreted to create the broadest available obligation, remedy, jurisdiction, or domestic consequence. Authorities first use the express text, legal address, approval record, host framework, and Chapter 27 compatibility rules to identify the lawful effect. Missing substantive authority cannot be supplied by an interpretive presumption favoring integration. Necessary clarification proceeds through the designated consultation, amendment, or dispute route.</w:t>
      </w:r>
    </w:p>
    <w:p>
      <w:pPr>
        <w:pStyle w:val="Heading2"/>
      </w:pPr>
      <w:r>
        <w:t xml:space="preserve">Article 28.13 - Standalone NAAFTC Obligations After Incorporation</w:t>
      </w:r>
    </w:p>
    <w:p>
      <w:pPr/>
      <w:r>
        <w:t>28.13.1 [CONTINUED STANDALONE FORCE] Incorporation into a host instrument does not extinguish, merge, replace, suspend, or amend standalone NAAFTC obligations unless legally effective text expressly produces that result. The standalone Compact and incorporated text may therefore operate concurrently. Performance of one may receive credit under Article 28.14 where the legal requirements are equivalent. Distinct rights and obligations remain independently enforceable according to their applicable instruments.</w:t>
      </w:r>
    </w:p>
    <w:p>
      <w:pPr/>
      <w:r>
        <w:t>28.13.2 [NO IMPLIED MERGER] Common wording, shared institutions, coordinated implementation, identical performance, or incorporation of the whole Compact does not by itself merge the legal identity of NAAFTC into the host instrument. A merger requires express legally effective treatment of the standalone Compact's status. Institutional consolidation does not equal legal consolidation. The Registry records any express merger, replacement, or termination event without creating it.</w:t>
      </w:r>
    </w:p>
    <w:p>
      <w:pPr/>
      <w:r>
        <w:t>28.13.3 [DIVERGENT TEXT] Where standalone NAAFTC and incorporated text later diverge because one is amended and the other remains version-locked, each text continues according to its legal status. Chapter 27 governs coexistence and genuine conflict unless the incorporating instrument supplies a valid specific relationship rule. Divergence does not automatically update either instrument. Participants can rely on the recorded version history to identify the applicable obligation.</w:t>
      </w:r>
    </w:p>
    <w:p>
      <w:pPr/>
      <w:r>
        <w:t>28.13.4 [COORDINATED ADMINISTRATION] The Parties may coordinate administration of standalone and incorporated obligations to reduce duplication while preserving legal boundaries. Shared forms, datasets, inspections, verification, or reporting may satisfy both systems where their legal requirements are met. Administrative consolidation does not waive a distinct substantive condition or dispute right. The responsible authority records material differences where a single process cannot lawfully satisfy both.</w:t>
      </w:r>
    </w:p>
    <w:p>
      <w:pPr/>
      <w:r>
        <w:t>28.13.5 [STATUS RECORD] The incorporation record states whether standalone NAAFTC continues unchanged, is partially modified through separate valid action, or is expressly replaced or terminated according to applicable law. Silence means standalone status continues according to this Article. A later status change receives its own authority, effective date, transition rule, and accrued-treatment analysis. Chapter 22 records the status without constituting the change.</w:t>
      </w:r>
    </w:p>
    <w:p>
      <w:pPr>
        <w:pStyle w:val="Heading2"/>
      </w:pPr>
      <w:r>
        <w:t xml:space="preserve">Article 28.14 - Duplicate Obligations and Performance Credit</w:t>
      </w:r>
    </w:p>
    <w:p>
      <w:pPr/>
      <w:r>
        <w:t>28.14.1 [EQUIVALENT PERFORMANCE] A single act, filing, inspection, payment, verification, correction, or other performance may satisfy obligations in both NAAFTC and a host instrument where the legal requirements relevant to that performance are equivalent. Equivalence requires matching substantive function and any material scope, timing, evidentiary, and procedural conditions. Similar purpose alone is insufficient. The Party claiming performance credit identifies the performance and the obligations it satisfies.</w:t>
      </w:r>
    </w:p>
    <w:p>
      <w:pPr/>
      <w:r>
        <w:t>28.14.2 [NO DOUBLE PERFORMANCE] An authority does not require duplicative performance solely because legally equivalent obligations appear in two instruments. Where material requirements differ, the participant performs the additional requirement only to the extent necessary to satisfy the distinct obligation. Administrative systems recognize valid prior performance where the governing law permits. Performance credit does not amend either underlying obligation.</w:t>
      </w:r>
    </w:p>
    <w:p>
      <w:pPr/>
      <w:r>
        <w:t>28.14.3 [EVIDENCE AND BURDEN] The claimant for performance credit provides evidence sufficient to trace the prior act to the relevant legal requirements. An authority challenging credit identifies the material requirement not satisfied rather than rejecting credit solely because the act occurred under another instrument. Records may be shared subject to confidentiality and provenance rules. A dispute over credit follows the applicable consultation or dispute route.</w:t>
      </w:r>
    </w:p>
    <w:p>
      <w:pPr/>
      <w:r>
        <w:t>28.14.4 [NO DOUBLE RECOVERY] The same legally compensable injury does not produce duplicative recovery merely because overlapping obligations exist in multiple instruments. Distinct legal injuries, participants, periods, or authorized consequences remain distinct where the governing law treats them separately. Forums coordinate relief where necessary to prevent duplication without extinguishing an independent claim by implication. Prior relief is credited only to the extent it addresses the same injury and consequence.</w:t>
      </w:r>
    </w:p>
    <w:p>
      <w:pPr/>
      <w:r>
        <w:t>28.14.5 [NO IMPLIED WAIVER] Use of performance credit, procedural coordination, or a single forum does not waive a distinct right or obligation unless valid law expressly provides that result. A participant may preserve a separate claim where the legal elements materially differ. Authorities record any credit applied sufficiently to prevent later duplicate demands. Coordination reduces duplication without merging the instruments.</w:t>
      </w:r>
    </w:p>
    <w:p>
      <w:pPr>
        <w:pStyle w:val="Heading2"/>
      </w:pPr>
      <w:r>
        <w:t xml:space="preserve">Article 28.15 - Rights, Benefits, and Accrued Treatment</w:t>
      </w:r>
    </w:p>
    <w:p>
      <w:pPr/>
      <w:r>
        <w:t>28.15.1 [ACCRUED TREATMENT] Incorporation does not retroactively extinguish treatment, rights, benefits, approvals, or legal consequences accrued under NAAFTC before the incorporation effective date. The incorporation instrument identifies any lawful transition affecting future performance while preserving completed legal effects unless valid authority expressly provides otherwise. Pending claims remain governed by the applicable transition rule. No Party uses incorporation alone as a basis to re-age or rebase an accrued entitlement.</w:t>
      </w:r>
    </w:p>
    <w:p>
      <w:pPr/>
      <w:r>
        <w:t>28.15.2 [VESTED ACCESS] A Vested Market-Access Right, Zero-Line Status, or Completed Liberalization Milestone retains the protection assigned to it by the Compact unless a legally effective instrument expressly and lawfully changes that protection. Incorporation into a host instrument does not reset vesting dates, tariff baselines, utilization history, or completed transition stages. Equivalent host treatment may operate concurrently or replace future administration only where expressly provided. The record identifies the continuity treatment.</w:t>
      </w:r>
    </w:p>
    <w:p>
      <w:pPr/>
      <w:r>
        <w:t>28.15.3 [PENDING CURE] A pending Chapter 25 cure, verification, restoration process, or accrued restoration entitlement is not terminated merely because the underlying provision is incorporated elsewhere. The transition rule identifies which authority completes the pending process and how equivalent performance is credited. Incorporation does not require a participant to restart a completed or materially advanced cure without express lawful reason. Any change in procedural venue preserves the substantive condition already satisfied.</w:t>
      </w:r>
    </w:p>
    <w:p>
      <w:pPr/>
      <w:r>
        <w:t>28.15.4 [TEMPORARY OVERLAYS] A temporary emergency, shortage, SPS, safeguard, or other exceptional overlay remains legally distinct from incorporation. Incorporation does not convert a temporary overlay into a baseline, permanent exception, or new version of the incorporated text. Expiry or restoration follows the overlay's own governing rules. The incorporation record notes a material active overlay where necessary to prevent confusion about current treatment.</w:t>
      </w:r>
    </w:p>
    <w:p>
      <w:pPr/>
      <w:r>
        <w:t>28.15.5 [SUCCESSOR MAPPING] Where incorporation changes the institution or instrument administering an accrued interest, the record maps that interest to its successor administrator without altering its substance. A successor cannot require requalification merely because administration moved to a host instrument. Disputes over continuity use the designated route and Chapter 27.18 where relevant. Chapter 22 records the mapping and any correction.</w:t>
      </w:r>
    </w:p>
    <w:p>
      <w:pPr>
        <w:pStyle w:val="Heading2"/>
      </w:pPr>
      <w:r>
        <w:t xml:space="preserve">Article 28.16 - Institutions and Administrative Functions</w:t>
      </w:r>
    </w:p>
    <w:p>
      <w:pPr/>
      <w:r>
        <w:t>28.16.1 [TRACEABLE FUNCTION] Every institution performing a function under incorporated text traces that function to express authority in the incorporating instrument, incorporated text, host instrument, or another applicable legal source. Incorporation of subject matter does not transfer institutional powers automatically. Each function is bounded by its trigger, scope, procedure, evidentiary basis, clock, and legal consequence where those elements are relevant. Administrative convenience cannot expand the assignment.</w:t>
      </w:r>
    </w:p>
    <w:p>
      <w:pPr/>
      <w:r>
        <w:t>28.16.2 [SUPPORT FUNCTIONS] Administrative support may include staffing, records management, data processing, translation, scheduling, publication, technical hosting, and other ministerial services within assigned authority. Support does not confer policymaking, adjudicative, remedial, amendment, or interpretive supremacy. Contractors and service providers act only within delegated support functions and applicable confidentiality requirements. Their acts do not create treaty authority by functional necessity.</w:t>
      </w:r>
    </w:p>
    <w:p>
      <w:pPr/>
      <w:r>
        <w:t>28.16.3 [DATA AND CONFIDENTIALITY] Institutional data access follows the incorporated legal requirements, Chapter 22 where applicable, and the host instrument's valid confidentiality protections. Shared access does not authorize secondary use outside the assigned function. Provenance is preserved where data support a legal finding, verification, or participant decision. A conflict between disclosure duties and protected information is handled through the applicable bounded procedure rather than informal release.</w:t>
      </w:r>
    </w:p>
    <w:p>
      <w:pPr/>
      <w:r>
        <w:t>28.16.4 [FUNDING AND STAFFING] Funding, staffing, office space, technological integration, or budget administration does not establish substantive authority absent a traceable legal assignment. An institution may receive resources necessary to perform an assigned function without acquiring unrelated powers. Budget interruption does not enlarge emergency authority or permit another body to assume the function unless an express fallback applies. Material reassignment is recorded before operative reliance.</w:t>
      </w:r>
    </w:p>
    <w:p>
      <w:pPr/>
      <w:r>
        <w:t>28.16.5 [FUNCTION CHANGE] A material addition, removal, transfer, or expansion of an incorporated institutional function requires authority equivalent to that required by the governing legal framework. Renaming or internal reorganization may preserve an unchanged function under Chapter 27.18 but does not expand it. The transition record identifies pending matters, records custody, clocks, and responsible officials. A dispute about functional authority follows Article 28.17 without creating authority during the dispute.</w:t>
      </w:r>
    </w:p>
    <w:p>
      <w:pPr>
        <w:pStyle w:val="Heading2"/>
      </w:pPr>
      <w:r>
        <w:t xml:space="preserve">Article 28.17 - Dispute Settlement and Remedies</w:t>
      </w:r>
    </w:p>
    <w:p>
      <w:pPr/>
      <w:r>
        <w:t>28.17.1 [DESIGNATED ROUTE] Every incorporation identifies the dispute route governing the incorporated obligation and any relationship to standalone Chapter 25 or Chapter 26 procedures. A dispute body exercises only jurisdiction conferred by the applicable legal source. Incorporation of substantive text does not import a dispute forum by implication, and incorporation of a forum does not import unidentified substantive claims. The incorporation record permits a reviewer to trace claim, forum, authority, and remedy.</w:t>
      </w:r>
    </w:p>
    <w:p>
      <w:pPr/>
      <w:r>
        <w:t>28.17.2 [PARALLEL PROCEEDINGS] Where the same measure gives rise to claims under NAAFTC and the host instrument, parallel proceedings are coordinated to prevent contradictory administration and duplicative recovery while preserving materially distinct legal claims. Coordination considers whether the proceedings concern the same measure, materially the same legal injury, and overlapping requested consequences. A first filing does not automatically extinguish a distinct claim unless the governing instruments expressly establish that result. Any sequencing or narrowing of relief remains within the authority of the relevant forum.</w:t>
      </w:r>
    </w:p>
    <w:p>
      <w:pPr/>
      <w:r>
        <w:t>28.17.3 [AUTHORIZED REMEDIES] A forum applies only remedies authorized for the claim before it. Incorporation does not create a remedy merely because another instrument contains a remedy for similar conduct. Interim measures, compliance directions, restoration, suspension, compensation, or other consequences require their own legal basis and remain bounded by that basis. Ambiguity about incorporation is not a source of remedial authority.</w:t>
      </w:r>
    </w:p>
    <w:p>
      <w:pPr/>
      <w:r>
        <w:t>28.17.4 [EXTERNAL DECISIONS] A decision under the host instrument has the effect assigned by that instrument and the valid incorporation arrangement. It does not automatically bind standalone NAAFTC adjudication unless a legally effective rule expressly provides that effect. Prior findings may receive persuasive or evidentiary treatment according to Chapter 27.15 and applicable procedure. No forum converts persuasive material into jurisdiction or remedy.</w:t>
      </w:r>
    </w:p>
    <w:p>
      <w:pPr/>
      <w:r>
        <w:t>28.17.5 [PENDING AND COMPLIANCE] The incorporation arrangement identifies treatment of disputes, cures, compliance reviews, and restoration processes pending when incorporation begins, changes, or ends. A transfer of forum preserves completed procedural steps where legally compatible and does not require unnecessary repetition. Compliance under one instrument receives appropriate credit under Article 28.14 without erasing a distinct unsatisfied obligation. The transition record identifies the forum responsible for each pending matter.</w:t>
      </w:r>
    </w:p>
    <w:p>
      <w:pPr>
        <w:pStyle w:val="Heading2"/>
      </w:pPr>
      <w:r>
        <w:t xml:space="preserve">Article 28.18 - Withdrawal, Termination, and Host-Treaty Change</w:t>
      </w:r>
    </w:p>
    <w:p>
      <w:pPr/>
      <w:r>
        <w:t>28.18.1 [HOST WITHDRAWAL] Withdrawal from a host instrument does not silently withdraw the Party from NAAFTC or rewrite standalone NAAFTC obligations. The legal consequence for incorporated text follows the host instrument, incorporating instrument, and any express transition rule. The Party records the effective date, affected text, surviving obligations, accrued treatment, pending matters, and institutional handoff. Chapter 27 governs continuing coexistence among surviving instruments.</w:t>
      </w:r>
    </w:p>
    <w:p>
      <w:pPr/>
      <w:r>
        <w:t>28.18.2 [HOST TERMINATION] Termination or suspension of the host instrument does not automatically terminate standalone NAAFTC or convert incorporated text into standalone text beyond its existing NAAFTC status. The transition record identifies any incorporated obligation that survives under an express clause and any function that ends with the host authority. No institution preserves expired host powers through necessity alone. Accrued treatment and pending matters receive the protection legally assigned to them.</w:t>
      </w:r>
    </w:p>
    <w:p>
      <w:pPr/>
      <w:r>
        <w:t>28.18.3 [HOST AMENDMENT] A host amendment affects incorporated NAAFTC text only to the extent the valid amendment legally reaches that text. An amendment to neighboring host provisions does not automatically alter version-locked incorporation. Where the amendment creates a genuine relationship issue, Chapter 27 applies unless a specific valid rule governs. The record identifies the changed legal address, dependencies, institutional assignments, and dispute consequences.</w:t>
      </w:r>
    </w:p>
    <w:p>
      <w:pPr/>
      <w:r>
        <w:t>28.18.4 [SUCCESSION AND TRANSITION] Host succession, renaming, consolidation, division, or institutional replacement follows Chapter 27.18 and the express incorporation terms. Unchanged ministerial functions may continue where legally authorized, but substantive authority does not migrate by administrative necessity. Pending matters are mapped to a lawful successor or remain with the existing competent authority until a valid transition occurs. The transition does not restart accrued clocks or conditions without express authority.</w:t>
      </w:r>
    </w:p>
    <w:p>
      <w:pPr/>
      <w:r>
        <w:t>28.18.5 [NO IMPLIED CONSEQUENCE] A change in the host instrument has no consequence for standalone NAAFTC beyond consequences established by applicable legal text. Political statements, implementation convenience, institutional expectation, or a desire for uniformity do not supply missing legal effect. Any broader consequence requires valid amendment, incorporation, withdrawal, or termination action as appropriate. A dispute about the consequence follows the designated relationship and dispute routes.</w:t>
      </w:r>
    </w:p>
    <w:p>
      <w:pPr>
        <w:pStyle w:val="Heading2"/>
      </w:pPr>
      <w:r>
        <w:t xml:space="preserve">Article 28.19 - Incorporation Record and Verification</w:t>
      </w:r>
    </w:p>
    <w:p>
      <w:pPr/>
      <w:r>
        <w:t>28.19.1 [MANDATORY RECORD] Each incorporation receives a Chapter 22 Registry record identifying the incorporating instrument, exact incorporated provisions, version, dependencies, approvals, effective date, institutional assignments, dispute route, and legal-effect classification. The record also identifies amendments, corrections, suspensions, dynamic updates, withdrawals, termination events, and material transitions. Entries use stable identifiers and provenance sufficient to reconstruct the operative text at a relevant time. The record is maintained for the life of the incorporation and applicable archival period.</w:t>
      </w:r>
    </w:p>
    <w:p>
      <w:pPr/>
      <w:r>
        <w:t>28.19.2 [PUBLICATION] The incorporation record and operative text are published to the extent required by this Compact and applicable law, subject to lawful confidentiality protections. A participant receives access sufficient to determine obligations and procedures applicable to that participant. Confidential material does not conceal the existence, scope, authority, effective date, or legal consequence of an incorporation where disclosure of those elements is legally required. Publication defects are corrected promptly and recorded.</w:t>
      </w:r>
    </w:p>
    <w:p>
      <w:pPr/>
      <w:r>
        <w:t>28.19.3 [NONCONSTITUTIVE REGISTRY] The Registry records incorporation but does not create, validate, amend, expand, suspend, or terminate it. A legally defective incorporation does not become valid because it appears in the Registry, and a legally valid incorporation is not substantively enlarged by an erroneous entry. Corrections preserve the authoritative legal source and provenance. A dispute over legal effect is resolved through the designated legal process rather than by treating database status as dispositive.</w:t>
      </w:r>
    </w:p>
    <w:p>
      <w:pPr/>
      <w:r>
        <w:t>28.19.4 [VERIFICATION] An authority relying on incorporation can verify the legal address from the incorporating instrument, approval record, version identifier, dependency map, institutional assignment, and dispute-route record. Where records conflict, the authority identifies the discrepancy and the legally controlling source before imposing an adverse consequence. Verification does not authorize rewriting incomplete legal text. Chapter 22 provenance rules apply to evidentiary records used in the verification.</w:t>
      </w:r>
    </w:p>
    <w:p>
      <w:pPr/>
      <w:r>
        <w:t>28.19.5 [RECORD CORRECTION] A clerical or metadata error in the incorporation record is corrected with an audit trail identifying the prior entry, corrected entry, reason, authority, and date. A correction that would alter substantive legal effect is not treated as clerical. Participants affected by a material correction receive notice through the applicable Chapter 22 mechanism. The correction process cannot be used to backdate authority or manufacture consent.</w:t>
      </w:r>
    </w:p>
    <w:p>
      <w:pPr>
        <w:pStyle w:val="Heading2"/>
      </w:pPr>
      <w:r>
        <w:t xml:space="preserve">Article 28.20 - Anti-Bootstrap and Final Boundary</w:t>
      </w:r>
    </w:p>
    <w:p>
      <w:pPr/>
      <w:r>
        <w:t>28.20.1 [ANTI BOOTSTRAP] NAAFTC text is not incorporated by implication, necessity, similarity, precedent, institutional practice, administrative action, external decision, failure to object, technical integration, shared personnel, funding, data exchange, or repeated performance. None of those circumstances substitutes for a valid legal address and authorized incorporating instrument. Functional convenience does not create substantive rights, obligations, jurisdiction, remedies, or institutional powers. A Party asserting incorporation proves the express legal basis.</w:t>
      </w:r>
    </w:p>
    <w:p>
      <w:pPr/>
      <w:r>
        <w:t>28.20.2 [NO EXPANSION THROUGH INCORPORATION] The mechanics or interpretation of incorporation do not create substantive rights, obligations, remedies, jurisdiction, or powers beyond those contained in the incorporated text and valid host authority. Deliberate incorporation may give incorporated substantive text legal effect within the host instrument according to its terms. It does not authorize an interpreter to enlarge that text merely because integration occurred. Additional substantive change uses the lawful amendment or incorporation mechanism applicable to that change.</w:t>
      </w:r>
    </w:p>
    <w:p>
      <w:pPr/>
      <w:r>
        <w:t>28.20.3 [ADDRESS TEST] An incorporation is operationally complete only where its record answers what text, which version, incorporated where, by whom, under what authority, from what date, with which dependencies, administered by whom, and under which dispute mechanism. An element may be identified as legally inapplicable only where the incorporating instrument or governing framework supports that conclusion. Missing information is not supplied by presumption against standalone operation. The address test is applied before an authority relies on incorporation to impose an adverse legal consequence.</w:t>
      </w:r>
    </w:p>
    <w:p>
      <w:pPr/>
      <w:r>
        <w:t>28.20.4 [CHAPTER BOUNDARIES] Chapter 27 governs coexistence and relationship allocation among NAAFTC and other instruments. Chapter 28 governs deliberate incorporation of identified NAAFTC text into a host instrument, while Chapter 29 governs amendment and Chapter 30 governs final operation. A Party or institution does not use one Chapter to bypass the conditions assigned to another. Cross-references coordinate those functions without merging them.</w:t>
      </w:r>
    </w:p>
    <w:p>
      <w:pPr/>
      <w:r>
        <w:t>28.20.5 [FINAL PRESERVATION] Where incorporation is valid, the incorporated text operates only within its established legal address and the standalone Compact continues according to Article 28.13. Where incorporation is not established, the relevant instruments continue according to their independent terms and Chapter 27. A failed, expired, or disputed incorporation attempt does not erase accrued treatment or manufacture interim authority. Chapter 28 therefore enables deliberate future integration while preserving traceability, consent, version integrity, institutional boundaries, and legal continuity.</w:t>
      </w:r>
    </w:p>
    <w:p>
      <w:pPr>
        <w:pStyle w:val="Heading1"/>
      </w:pPr>
      <w:r>
        <w:t>Chapter 29 - Review, Acceleration, and Technical Amendment</w:t>
      </w:r>
    </w:p>
    <w:p>
      <w:pPr>
        <w:pStyle w:val="Heading2"/>
      </w:pPr>
      <w:r>
        <w:t xml:space="preserve">Article 29.1 - Purpose and Amendment Boundary</w:t>
      </w:r>
    </w:p>
    <w:p>
      <w:pPr/>
      <w:r>
        <w:t>29.1.1 [THREE LANE ARCHITECTURE] Chapter 29 establishes three legally distinct functions: Review, Acceleration, and Technical Amendment. Review examines implementation and evidence without changing legal treatment, Acceleration moves an already authorized destination earlier without changing that destination, and Technical Amendment maintains text or references without altering legal effect. No lane supplies authority assigned to another lane, and multiple lanes cannot be aggregated to evade a substantive amendment requirement. Chapter 29 creates no residual amendment power merely because a proposed action is useful, efficient, urgent, or not expressly prohibited.</w:t>
      </w:r>
    </w:p>
    <w:p>
      <w:pPr/>
      <w:r>
        <w:t>29.1.2 [SUBSTANTIVE CHANGE TEST] A change is substantive where it alters a right, obligation, tariff treatment, access quantity, remedy, jurisdiction, institutional power, eligibility rule, evidentiary burden, material clock, exception, condition, or other material legal effect. Classification follows actual legal effect rather than the label, drafting form, administrative description, or institution proposing the change. A change may be substantive even where its wording appears technical or its economic effect is expected to be small. Substantive change proceeds only through authority legally capable of making that change.</w:t>
      </w:r>
    </w:p>
    <w:p>
      <w:pPr/>
      <w:r>
        <w:t>29.1.3 [NO CROSS LANE BOOTSTRAP] A review recommendation does not become an acceleration authority, an acceleration decision does not become a technical amendment authority, and a technical maintenance power does not become a substantive amendment power. Repetition, silence, non-objection, practice, urgency, necessity, administrative convenience, or institutional custom does not bridge a missing authority between lanes. An actor relying on a Chapter 29 lane identifies the lane and the legal source authorizing the proposed action. Failure to establish that source leaves existing legal treatment unchanged.</w:t>
      </w:r>
    </w:p>
    <w:p>
      <w:pPr/>
      <w:r>
        <w:t>29.1.4 [ACCRUED TREATMENT PRESERVATION] Review, Acceleration, and Technical Amendment do not retroactively impair accrued treatment, completed liberalization, Vested Market-Access Rights, Zero-Line Status, or other protected legal consequences unless valid substantive amendment authority expressly provides otherwise. Acceleration may improve the timing of treatment where authorized but does not re-age completed treatment. Technical maintenance preserves legal effect rather than reopening settled entitlements. Any transition affecting accrued treatment is expressly identified and supported by the authority capable of producing that effect.</w:t>
      </w:r>
    </w:p>
    <w:p>
      <w:pPr/>
      <w:r>
        <w:t>29.1.5 [CHANGE ANCESTRY] Every Chapter 29 action has a traceable ancestry identifying the prior text or timetable, proposed action, applicable lane, legal authority, classification, supporting evidence, approval, effective date, dependencies, and resulting version or timetable. The ancestry is sufficient for an independent reviewer to reconstruct what changed and why the selected lane was lawful. No later link in the ancestry supplies authority absent from the legal source on which the action depends. Chapter 22 records the ancestry without creating the action or its authority.</w:t>
      </w:r>
    </w:p>
    <w:p>
      <w:pPr>
        <w:pStyle w:val="Heading2"/>
      </w:pPr>
      <w:r>
        <w:t xml:space="preserve">Article 29.2 - Periodic Review</w:t>
      </w:r>
    </w:p>
    <w:p>
      <w:pPr/>
      <w:r>
        <w:t>29.2.1 [BOUNDED REVIEW] The Parties conduct periodic review at intervals established by this Compact or by a valid review mandate, with frequency proportionate to the transition or implementation question under examination. A review examines implementation performance, administrative burden, commercial usability, verification performance, market conditions where legally relevant, and unresolved operational problems within its defined mandate. Review initiation does not suspend, toll, reauthorize, condition, or postpone an operative obligation. Continued operation of the Compact does not depend on an affirmative review outcome.</w:t>
      </w:r>
    </w:p>
    <w:p>
      <w:pPr/>
      <w:r>
        <w:t>29.2.2 [REVIEW TRIGGER] A review begins on a calendar or milestone trigger stated in this Compact, or on a Party request that identifies an authorized review subject and material implementation question. The initiating record identifies the trigger, scope, responsible review body, start date, expected milestones, and completion target. A Party-requested review is not a treaty-wide reopening merely because the requesting Party identifies several related facts. The review body remains confined to the authority and subject matter assigned to it.</w:t>
      </w:r>
    </w:p>
    <w:p>
      <w:pPr/>
      <w:r>
        <w:t>29.2.3 [REVIEW BODY] A review body gathers, organizes, evaluates, and reports information within its assigned mandate. Membership, technical support, stakeholder input, and institutional coordination do not confer amendment, adjudicative, remedial, or acceleration authority unless separately assigned. A temporary review body expires or concludes according to its mandate and does not become permanent through repeated use. Chapter 24 institutional-restraint rules apply to review administration.</w:t>
      </w:r>
    </w:p>
    <w:p>
      <w:pPr/>
      <w:r>
        <w:t>29.2.4 [REVIEW CLOCK] A review record identifies a reasonable completion target and any intermediate milestones necessary for orderly evidence collection and response. An extension requires written reasons tied to the review task and does not suspend underlying obligations or create an indefinite pending status. Each review reaches a recorded closure, referral, or expressly authorized follow-up rather than remaining open by administrative inertia. Delay in review completion does not create a waiting period for otherwise due treatment.</w:t>
      </w:r>
    </w:p>
    <w:p>
      <w:pPr/>
      <w:r>
        <w:t>29.2.5 [PROPORTIONATE BURDEN] Review information requests are relevant, proportionate, and limited to information reasonably necessary to answer defined review questions. Existing reliable government or Registry information is reused where practicable rather than demanded again from a Party or participant. Participation in review does not create an adverse inference beyond the legal effect of evidence actually provided or lawfully required. Chapter 22 confidentiality, provenance, and access rules govern review records.</w:t>
      </w:r>
    </w:p>
    <w:p>
      <w:pPr>
        <w:pStyle w:val="Heading2"/>
      </w:pPr>
      <w:r>
        <w:t xml:space="preserve">Article 29.3 - Review Scope and Evidence</w:t>
      </w:r>
    </w:p>
    <w:p>
      <w:pPr/>
      <w:r>
        <w:t>29.3.1 [WRITTEN SCOPE] Each review begins with a written scope identifying the provisions, functions, sectors or products where relevant, and neutral questions under examination. Evidence outside that scope may inform a recommendation to open a separately authorized review but does not expand the current mandate by implication. The scope distinguishes implementation analysis from reconsideration of the underlying policy bargain. A review does not become a general policy forum merely because broader evidence is available.</w:t>
      </w:r>
    </w:p>
    <w:p>
      <w:pPr/>
      <w:r>
        <w:t>29.3.2 [EVIDENCE QUALITY] Material review findings rely on evidence that is relevant, sufficiently reliable for the stated use, and proportionate to the question being answered. Provenance identifies source, date, method, limitations, and any material transformation or aggregation. Data gaps and uncertainty are stated rather than converted into unsupported certainty. Missing information that was not lawfully required does not by itself support an adverse inference.</w:t>
      </w:r>
    </w:p>
    <w:p>
      <w:pPr/>
      <w:r>
        <w:t>29.3.3 [RESPONSE AND CONFIDENTIALITY] A Party receives a reasonable opportunity to address material evidence relied upon for a review finding before that finding is finalized. Confidential and protected information is handled under Chapter 22 and any applicable specialized rule. A non-confidential summary is used where disclosure of protected details is not permitted but meaningful participation requires notice of the issue. Confidentiality does not convert undisclosed material into self-proving evidence.</w:t>
      </w:r>
    </w:p>
    <w:p>
      <w:pPr/>
      <w:r>
        <w:t>29.3.4 [NO EVIDENCE LAUNDERING] Technical, administrative, stakeholder, market, or review evidence retains the legal status assigned by its source and does not become a Legal Finding merely because a review body relies on it. Evidence from Chapters 17, 18, 22, or another mechanism is used consistently with its provenance and legal function. Review findings do not transform advisory material into adjudicated fact or create a burden unavailable under the governing substantive provision. Any later adjudicative use follows Chapter 26 and the applicable evidentiary rules.</w:t>
      </w:r>
    </w:p>
    <w:p>
      <w:pPr/>
      <w:r>
        <w:t>29.3.5 [DEFINED REVIEW ELEMENTS] A review may separately examine administrative burden, commercial usability, verification performance, acceleration readiness, implementation delay, and other elements expressly within its mandate. Each element is framed as an answerable implementation question and supported by evidence appropriate to that question. Trivial, speculative, or immaterial observations do not support a material review conclusion. Distinct elements remain separately traceable where they support different outcomes.</w:t>
      </w:r>
    </w:p>
    <w:p>
      <w:pPr>
        <w:pStyle w:val="Heading2"/>
      </w:pPr>
      <w:r>
        <w:t xml:space="preserve">Article 29.4 - Review Outcomes</w:t>
      </w:r>
    </w:p>
    <w:p>
      <w:pPr/>
      <w:r>
        <w:t>29.4.1 [CLOSED OUTCOMES] A review concludes with one or more separately recorded outcomes from a closed set: no change, implementation guidance within existing authority, a technical-amendment proposal, a substantive-amendment proposal, an acceleration proposal, a bounded request for further evidence, or referral to an already competent mechanism. No change is a complete outcome requiring no additional legal action. Each other outcome proceeds only through the authority assigned to its lane or referred mechanism. Review itself does not execute the recommended legal change.</w:t>
      </w:r>
    </w:p>
    <w:p>
      <w:pPr/>
      <w:r>
        <w:t>29.4.2 [IMPLEMENTATION GUIDANCE] Implementation guidance explains existing requirements within authority already assigned to the issuing body and does not amend, expand, suspend, or replace the Compact. Guidance identifies its legal basis and distinguishes mandatory treaty text from administrative explanation. A participant's failure to follow guidance is not independently a breach where the underlying Compact does not require the stated conduct. Guidance may be corrected or withdrawn without altering the treaty text it explains.</w:t>
      </w:r>
    </w:p>
    <w:p>
      <w:pPr/>
      <w:r>
        <w:t>29.4.3 [CHANGE PROPOSALS] A technical-amendment outcome proceeds through Articles 29.11 through 29.18, and an acceleration outcome proceeds through Articles 29.6 through 29.10. A substantive-amendment recommendation proceeds through the formal legal authority capable of making the proposed substantive change. No proposal has interim operative effect merely because a review body reached consensus or published it. Participation in review does not waive a Party's right to accept, reject, or modify a later proposal according to the applicable procedure.</w:t>
      </w:r>
    </w:p>
    <w:p>
      <w:pPr/>
      <w:r>
        <w:t>29.4.4 [REFERRAL AND EVIDENCE] A referral identifies the already competent mechanism, issue referred, supporting record, and reason the issue falls within that mechanism's authority. A request for further evidence identifies the missing question, information sought, relevance, lawful basis, and bounded response period. Neither device expands the review body's own authority. Referral to Chapters 18, 25, or 26 follows the receiving Chapter's jurisdiction and prerequisites.</w:t>
      </w:r>
    </w:p>
    <w:p>
      <w:pPr/>
      <w:r>
        <w:t>29.4.5 [REASONED CLOSURE] Each review outcome states its evidentiary basis, classification, legal effect, and any required next step. Minority or differing views may be recorded without converting disagreement into an additional operative outcome. Chapter 22 records review outcomes and follow-up status without making them precedent or legal amendment. A review closes when its outcomes are recorded or validly referred, and administrative tracking does not keep the review legally pending.</w:t>
      </w:r>
    </w:p>
    <w:p>
      <w:pPr>
        <w:pStyle w:val="Heading2"/>
      </w:pPr>
      <w:r>
        <w:t xml:space="preserve">Article 29.5 - No Review-Based Amendment</w:t>
      </w:r>
    </w:p>
    <w:p>
      <w:pPr/>
      <w:r>
        <w:t>29.5.1 [NO AMENDMENT BY REVIEW] A recommendation, report, finding, consensus statement, dissent, consultation record, or other review output does not amend the Compact. Repeated review outcomes do not create customary amendment authority or modify text through practice. Publication, Registry entry, administrative implementation, silence, or non-objection does not change that result. A proposed amendment takes effect only through the legal procedure authorized to make that amendment.</w:t>
      </w:r>
    </w:p>
    <w:p>
      <w:pPr/>
      <w:r>
        <w:t>29.5.2 [NO INTERIM EFFECT] A review-based amendment proposal has no provisional or interim legal effect unless an independent legal source expressly authorizes provisional application of that specific change. Pending consideration does not suspend existing text or create a temporary substitute. An administrator continues applying the last operative version until a valid change takes effect. Anticipated approval is not authority to implement early.</w:t>
      </w:r>
    </w:p>
    <w:p>
      <w:pPr/>
      <w:r>
        <w:t>29.5.3 [NO REVIEW REMEDY] A review outcome does not itself establish breach, non-breach, liability, jurisdiction, remedy, retaliation, compensation, suspension, or restoration. Failure to implement a recommendation is not independently a violation unless an operative provision separately requires the underlying action. Review material may enter another competent process only according to that process's evidentiary and jurisdictional rules. A review body does not enforce its recommendations.</w:t>
      </w:r>
    </w:p>
    <w:p>
      <w:pPr/>
      <w:r>
        <w:t>29.5.4 [NO ESTOPPEL OR WAIVER] A Party's participation, negotiating position, preliminary support, silence after publication, or earlier review statement does not waive the approval requirements governing a later legal change. A Party may revise its position before legally effective adoption subject to any binding procedural commitment already made. Review participation does not create estoppel against asserting the operative Compact text. Reliance interests are protected only to the extent recognized by applicable law.</w:t>
      </w:r>
    </w:p>
    <w:p>
      <w:pPr/>
      <w:r>
        <w:t>29.5.5 [VOLUNTARY DOMESTIC ACTION] Nothing in this Article prevents a Party from voluntarily implementing a review recommendation within authority it independently possesses. Such domestic action does not amend NAAFTC, bind another Party, or prove that the recommendation became treaty law. The Party identifies the domestic legal basis where the distinction is material to implementation. Chapter 22 records treaty changes only when the applicable treaty-change requirements are actually satisfied.</w:t>
      </w:r>
    </w:p>
    <w:p>
      <w:pPr>
        <w:pStyle w:val="Heading2"/>
      </w:pPr>
      <w:r>
        <w:t xml:space="preserve">Article 29.6 - Acceleration Eligibility</w:t>
      </w:r>
    </w:p>
    <w:p>
      <w:pPr/>
      <w:r>
        <w:t>29.6.1 [ACCELERABLE COMMITMENT] An accelerable commitment is a staged or time-dependent obligation for which the substantive Chapter, Annex, Schedule, or another legally competent provision expressly authorizes earlier implementation. Acceleration moves an already authorized legal destination earlier without changing that destination's substantive content. Chapter 29 supplies procedure for exercising an existing acceleration pathway but does not create eligibility. Absence of express eligibility means acceleration under this Chapter is unavailable.</w:t>
      </w:r>
    </w:p>
    <w:p>
      <w:pPr/>
      <w:r>
        <w:t>29.6.2 [STAGED TREATMENT] An authorized acceleration pathway may concern tariff phases, access vesting tranches, transition periods, administrative simplification stages, implementation milestones, or another expressly identified time-dependent commitment. Eligibility may extend to one stage, multiple stages, or the remaining trajectory only to the extent the substantive authority permits. A completed obligation is not accelerated because its destination has already been reached. An obligation without a relevant time dimension is not transformed into a staged obligation by Chapter 29.</w:t>
      </w:r>
    </w:p>
    <w:p>
      <w:pPr/>
      <w:r>
        <w:t>29.6.3 [NO IMPLIED ELIGIBILITY] Review findings, favorable performance, technical amendments, administrative readiness, market demand, political agreement, or repeated early compliance does not independently create acceleration eligibility. A review may identify readiness only where an acceleration pathway already exists. Technical amendment cannot add an acceleration pathway because doing so would alter substantive legal effect. Any new eligibility requires substantive authority capable of creating it.</w:t>
      </w:r>
    </w:p>
    <w:p>
      <w:pPr/>
      <w:r>
        <w:t>29.6.4 [PARTIAL ACCELERATION] Where the substantive authority permits stage-specific acceleration, a proposal may move one or more identified stages without automatically moving later stages. The proposal states how the accelerated stage affects the remaining timetable and dependencies. Partial acceleration does not create a presumption in favor of moving subsequent stages earlier. Later acceleration requires its own valid proposal and approval unless the original authority expressly provides a linked sequence.</w:t>
      </w:r>
    </w:p>
    <w:p>
      <w:pPr/>
      <w:r>
        <w:t>29.6.5 [NO RESTRICTION EXPANSION] Acceleration under this Chapter does not convert an increase in restriction, tariff, fee, burden, or adverse treatment into an accelerable commitment merely because the change has a timetable. Whether a particular protective, emergency, transitional, or other measure contains an acceleration pathway is determined solely by its governing substantive text. Chapter 29 neither creates nor removes such eligibility. The actor proposing acceleration identifies the express pathway relied upon.</w:t>
      </w:r>
    </w:p>
    <w:p>
      <w:pPr>
        <w:pStyle w:val="Heading2"/>
      </w:pPr>
      <w:r>
        <w:t xml:space="preserve">Article 29.7 - Acceleration Preconditions</w:t>
      </w:r>
    </w:p>
    <w:p>
      <w:pPr/>
      <w:r>
        <w:t>29.7.1 [OBJECTIVE READINESS] Before acceleration takes effect, the authorized decision-maker verifies the readiness conditions stated in the governing acceleration pathway. Relevant conditions may include implementation performance, verification capacity, administrative readiness, market conditions where legally relevant, affected obligations, and dependency status. Each condition is assessed against objective evidence appropriate to the commitment. Chapter 29 does not add substantive preconditions absent authority in the governing pathway.</w:t>
      </w:r>
    </w:p>
    <w:p>
      <w:pPr/>
      <w:r>
        <w:t>29.7.2 [VERIFICATION CAPACITY] Where verification capacity is a stated readiness condition, the assessment identifies the mechanism, data, personnel, systems, and response capability necessary to operate the accelerated stage. Existing Chapter 17 or other verification machinery is credited where it satisfies the applicable condition. A generalized concern about capacity does not defeat acceleration without connection to a stated requirement. Conversely, administrative optimism does not substitute for an unmet verification condition.</w:t>
      </w:r>
    </w:p>
    <w:p>
      <w:pPr/>
      <w:r>
        <w:t>29.7.3 [DEPENDENCY CHECK] Acceleration does not take effect where an unresolved dependency identified by the governing pathway would make early operation legally defective or incapable of delivering the authorized treatment. The proposal identifies each material dependency and its readiness status. A dependency concern is not used as a pretext to demand unrelated concessions or broader treaty changes. A curable dependency may be corrected and reassessed without extinguishing underlying acceleration eligibility.</w:t>
      </w:r>
    </w:p>
    <w:p>
      <w:pPr/>
      <w:r>
        <w:t>29.7.4 [RIGHTS AND BURDEN] Readiness assessment considers whether the proposed timing would impair another Party's accrued treatment or create an implementation burden inconsistent with an express condition of acceleration. Ordinary adjustment effort inherent in authorized earlier implementation does not by itself defeat readiness. Any claimed burden is particularized and tied to a governing precondition. The assessment does not rewrite the destination to accommodate implementation preference.</w:t>
      </w:r>
    </w:p>
    <w:p>
      <w:pPr/>
      <w:r>
        <w:t>29.7.5 [PRECONDITION RECORD] The acceleration record identifies each applicable precondition, evidence relied upon, finding, responsible authority, and any cure of an unmet condition. Preconditions are assessed for the stage actually proposed where the governing pathway permits partial acceleration. An unmet condition delays operative acceleration only to the extent required by the governing authority and does not erase eligibility. Chapter 22 preserves the record and provenance.</w:t>
      </w:r>
    </w:p>
    <w:p>
      <w:pPr>
        <w:pStyle w:val="Heading2"/>
      </w:pPr>
      <w:r>
        <w:t xml:space="preserve">Article 29.8 - Acceleration Proposal</w:t>
      </w:r>
    </w:p>
    <w:p>
      <w:pPr/>
      <w:r>
        <w:t>29.8.1 [WRITTEN PROPOSAL] Acceleration begins with a written proposal identifying the proposer, exact provision, existing timetable or stage, proposed accelerated timetable or stage, and express eligibility authority. The proposal identifies supporting evidence, dependencies, affected Parties and participants, implementation consequences, and proposed effective date. It contains sufficient information for meaningful assessment under Articles 29.7 and 29.9. A proposal does not alter the existing timetable before valid approval.</w:t>
      </w:r>
    </w:p>
    <w:p>
      <w:pPr/>
      <w:r>
        <w:t>29.8.2 [PROPOSAL SCOPE] The proposal identifies every stage affected and does not rely on generalized language such as earlier implementation or accelerated liberalization to move unidentified obligations. A proposed change outside the express acceleration pathway is separated and handled through the legally appropriate amendment mechanism. Dependencies are stated rather than inferred from the desirability of acceleration. The proposed legal effect is therefore reconstructable without policy assumptions.</w:t>
      </w:r>
    </w:p>
    <w:p>
      <w:pPr/>
      <w:r>
        <w:t>29.8.3 [NOTICE AND RESPONSE] The proposal is notified to each affected Party through the applicable Chapter 22 mechanism. An affected Party receives the response period and consultation opportunity required by the governing acceleration pathway or approval procedure. Technical clarification may correct factual or drafting defects without changing the substantive scope of the proposal. Material expansion of scope requires an amended proposal and any renewed notice necessary for meaningful consideration.</w:t>
      </w:r>
    </w:p>
    <w:p>
      <w:pPr/>
      <w:r>
        <w:t>29.8.4 [WITHDRAWAL AND CORRECTION] The proposer may withdraw an unapproved acceleration proposal without prejudice to a later proposal unless the governing pathway provides otherwise. Curable defects may be corrected with an audit trail identifying the change and date. Withdrawal, correction, or amendment does not create provisional acceleration. The last operative timetable continues until a valid acceleration takes effect.</w:t>
      </w:r>
    </w:p>
    <w:p>
      <w:pPr/>
      <w:r>
        <w:t>29.8.5 [NO UNAUTHORIZED PROPOSER] The Secretariat may transmit, publish, or administratively process an acceleration proposal but does not originate one unless expressly authorized. A committee or institution likewise proposes acceleration only within authority assigned by the governing pathway. Stakeholder submissions may inform an authorized proposer without becoming treaty proposals themselves. The record identifies the actor legally responsible for the proposal.</w:t>
      </w:r>
    </w:p>
    <w:p>
      <w:pPr>
        <w:pStyle w:val="Heading2"/>
      </w:pPr>
      <w:r>
        <w:t xml:space="preserve">Article 29.9 - Acceleration Approval</w:t>
      </w:r>
    </w:p>
    <w:p>
      <w:pPr/>
      <w:r>
        <w:t>29.9.1 [AUTHORIZED APPROVAL] Acceleration occurs only through the authority specified by the substantive commitment or another legal source capable of approving that acceleration. A committee, Secretariat, administrator, panel, or working group does not acquire approval power merely because it reviewed readiness or processed the proposal. Approval is in writing and identifies the provision, accelerated stage, effective date, conditions, and approving authority. Registry entry records approval but does not create it.</w:t>
      </w:r>
    </w:p>
    <w:p>
      <w:pPr/>
      <w:r>
        <w:t>29.9.2 [AFFECTED PARTY CONSENT] Where the governing pathway requires agreement of affected Parties, each required approval is affirmative and traceable, and silence, non-response, absence of objection, administrative practice, or implementation planning does not constitute approval. A bilateral acceleration binds only the approving Parties and legal relationships lawfully covered by that bilateral authority, and it does not alter a trilateral dependency, common administrative baseline, shared condition, or another Party's legal treatment unless the accelerated element is legally severable from those effects or the additionally affected Party gives the approval required by the governing authority. A purported bilateral acceleration that cannot operate without changing a non-approving Party's rights, obligations, treatment, dependencies, or shared administrative conditions does not produce that additional effect by necessity or implementation convenience. A trilateral acceleration follows the approval requirements applicable to all three Parties.</w:t>
      </w:r>
    </w:p>
    <w:p>
      <w:pPr/>
      <w:r>
        <w:t>29.9.3 [SCOPE AND CONDITIONS] Approval does not extend beyond the acceleration proposed and lawfully considered. Conditional approval identifies each condition, the authority for imposing it, the method for establishing satisfaction, and the consequence of non-satisfaction. Conditions do not introduce unrelated concessions or change the substantive destination. Satisfaction is recorded before any condition-dependent acceleration takes effect.</w:t>
      </w:r>
    </w:p>
    <w:p>
      <w:pPr/>
      <w:r>
        <w:t>29.9.4 [EFFECTIVE DATE] The approval states an effective date consistent with the governing acceleration authority and any required domestic implementation. Retroactive acceleration occurs only where express legal authority permits and defines it. Publication and operational notice occur sufficiently to allow affected administrators and participants to identify the new timetable. Before the effective date, the existing timetable remains controlling.</w:t>
      </w:r>
    </w:p>
    <w:p>
      <w:pPr/>
      <w:r>
        <w:t>29.9.5 [APPROVAL RECORD] Chapter 22 records the proposal, evidence, precondition findings, approvals, conditions, effective date, affected timetable, and resulting treatment. The record distinguishes approval from implementation and identifies any Party-specific limitation. An erroneous Registry entry does not substitute for missing approval. A dispute over approval authority follows the applicable dispute route without creating acceleration by assumption.</w:t>
      </w:r>
    </w:p>
    <w:p>
      <w:pPr>
        <w:pStyle w:val="Heading2"/>
      </w:pPr>
      <w:r>
        <w:t xml:space="preserve">Article 29.10 - Acceleration Effect and No Re-Aging</w:t>
      </w:r>
    </w:p>
    <w:p>
      <w:pPr/>
      <w:r>
        <w:t>29.10.1 [OPERATIVE ACCELERATION] Once valid acceleration takes effect, the accelerated stage becomes the operative timetable according to the governing substantive commitment. Acceleration changes timing only and does not rewrite the destination, eligibility, scope, substantive obligation, or unrelated stages beyond the authority granted. Administrators apply the accelerated timetable from its effective date. The prior timetable remains part of the historical record but does not delay treatment already accelerated.</w:t>
      </w:r>
    </w:p>
    <w:p>
      <w:pPr/>
      <w:r>
        <w:t>29.10.2 [NO RE AGING] Completed accelerated liberalization, access vesting, or implementation is not re-aged, rebased, or returned to the original later date merely because that date remains visible in historical text. Acceleration does not reset transition clocks or extend another deadline unless the governing authority expressly establishes that consequence. A later review does not reopen a completed accelerated milestone. Accrued treatment continues according to its applicable protection.</w:t>
      </w:r>
    </w:p>
    <w:p>
      <w:pPr/>
      <w:r>
        <w:t>29.10.3 [NO CLAWBACK BY ACCELERATION] Acceleration itself does not create authority to reverse, suspend, or claw back the accelerated treatment. Any later adverse change requires independent legal authority capable of producing that result. Prior acceleration does not create a special vulnerability to restoration of the old timetable. Zero-Line Status and Vested Market-Access Rights retain their governing protections.</w:t>
      </w:r>
    </w:p>
    <w:p>
      <w:pPr/>
      <w:r>
        <w:t>29.10.4 [CONTINUING TRAJECTORY] Where the governing pathway provides a continuing staged trajectory, later stages proceed from the accelerated position according to the approved timetable. Acceleration of one stage does not imply further acceleration beyond the approved scope. Prior willingness to accelerate does not create estoppel, precedent, or entitlement to another acceleration. Each later proposal satisfies the authority and readiness requirements applicable to it.</w:t>
      </w:r>
    </w:p>
    <w:p>
      <w:pPr/>
      <w:r>
        <w:t>29.10.5 [ACCELERATION RECORD] The Registry maintains the operative accelerated timetable, prior timetable, authority, effective date, affected stages, and transition treatment. Notifications permit administrators and affected participants to determine which timetable governs a transaction or period. Post-acceleration assessment may examine implementation performance where expressly authorized but does not reauthorize the acceleration. Correction of a record does not change the legally approved timetable unless valid authority separately changes it.</w:t>
      </w:r>
    </w:p>
    <w:p>
      <w:pPr>
        <w:pStyle w:val="Heading2"/>
      </w:pPr>
      <w:r>
        <w:t xml:space="preserve">Article 29.11 - Technical Amendment Definition</w:t>
      </w:r>
    </w:p>
    <w:p>
      <w:pPr/>
      <w:r>
        <w:t>29.11.1 [NON SUBSTANTIVE DEFINITION] A Technical Amendment is a legally authorized non-substantive change that preserves the legal effect of the text or reference being maintained. Potential examples include numbering, cross-references, nomenclature, formatting, transcription, tariff-code concordance, institutional renaming, and comparable maintenance only where legal effect remains unchanged. The category depends on effect rather than subject matter. A change that alters legal effect is substantive regardless of how routine its subject appears.</w:t>
      </w:r>
    </w:p>
    <w:p>
      <w:pPr/>
      <w:r>
        <w:t>29.11.2 [LEGAL EFFECT TEST] Classification asks whether the proposed change alters rights, obligations, treatment, coverage, authority, jurisdiction, remedies, eligibility, evidentiary burdens, material clocks, exceptions, conditions, or another material legal consequence. If it does, the change is not technical. Expected economic magnitude, administrative ease, drafting length, or consensus about desirability does not override that test. The proposing actor documents why legal effect remains unchanged.</w:t>
      </w:r>
    </w:p>
    <w:p>
      <w:pPr/>
      <w:r>
        <w:t>29.11.3 [CONCORDANCE AND RENAMING] Tariff-code concordance is technical only where product coverage and substantive treatment remain unchanged across the mapping. Institutional renaming is technical only where legal identity or authorized functional continuity permits the same powers and limits to continue. Scientific or standards nomenclature updates are technical only where scope and legal consequence remain unchanged. A change that shifts coverage, authority, or treatment uses the substantive route appropriate to that effect.</w:t>
      </w:r>
    </w:p>
    <w:p>
      <w:pPr/>
      <w:r>
        <w:t>29.11.4 [TEXTUAL MAINTENANCE] Formatting, transcription, punctuation, numbering, and cross-reference corrections are technical only where they reproduce the legally intended text without changing meaning or effect. An apparent typographical error whose correction would resolve a genuine substantive ambiguity is not treated as clerical merely because the error is obvious to one actor. Deletion, addition, substitution, or reordering is classified by effect rather than physical form. Defined terms may be technically corrected only where the correction unquestionably preserves their existing legal meaning.</w:t>
      </w:r>
    </w:p>
    <w:p>
      <w:pPr/>
      <w:r>
        <w:t>29.11.5 [CLASSIFICATION CHALLENGE] A proposed Technical Amendment remains subject to Article 29.15 regardless of the label used by its proposer. Repeated use of a classification does not make that classification binding for a later change. The actor relying on technical authority establishes that the proposed action falls within the assigned technical scope. A classification record accompanies every adopted Technical Amendment.</w:t>
      </w:r>
    </w:p>
    <w:p>
      <w:pPr>
        <w:pStyle w:val="Heading2"/>
      </w:pPr>
      <w:r>
        <w:t xml:space="preserve">Article 29.12 - Substantive-Change Firewall</w:t>
      </w:r>
    </w:p>
    <w:p>
      <w:pPr/>
      <w:r>
        <w:t>29.12.1 [PROTECTED LEGAL EFFECTS] A change affecting a right, obligation, tariff treatment, access quantity, remedy, jurisdiction, institutional power, eligibility rule, evidentiary burden, material clock, exception, condition, or equivalent material legal effect is substantive. Technical authority does not reach such a change unless a separate substantive legal source independently authorizes it. The firewall applies whether the effect arises directly or through a changed cross-reference, definition, threshold, schedule, or procedural dependency. A drafting label cannot defeat the firewall.</w:t>
      </w:r>
    </w:p>
    <w:p>
      <w:pPr/>
      <w:r>
        <w:t>29.12.2 [AGGREGATE EFFECT] Technical classification is assessed both for each proposed change individually and for the combined legal effect of technical changes adopted together or as a coordinated package. Multiple individually harmless edits cannot be aggregated to shift product coverage, authority, treatment, jurisdiction, timing, or another substantive consequence. Where the combined effect becomes substantive, the affected package leaves the technical lane to that extent. Separating a package into several instruments does not avoid aggregate-effect review where the changes are operationally linked.</w:t>
      </w:r>
    </w:p>
    <w:p>
      <w:pPr/>
      <w:r>
        <w:t>29.12.3 [OMISSION ADDITION SUBSTITUTION] Removal, addition, substitution, reordering, or relocation of text is technical only where legal effect is demonstrably preserved. An omission that narrows an obligation, an addition that creates a condition, or a substitution that changes coverage is substantive even if presented as cleanup. Moving text between provisions does not make the change technical where hierarchy, applicability, or interpretation changes. The classification record addresses any material structural effect.</w:t>
      </w:r>
    </w:p>
    <w:p>
      <w:pPr/>
      <w:r>
        <w:t>29.12.4 [NO TECHNICAL REMEDY OR POWER] Technical amendment authority does not create, expand, narrow, transfer, or terminate remedial, adjudicative, regulatory, verification, or institutional power. A change to the name or citation of a competent body preserves only authority that already exists and legally continues. A technical amendment cannot cure a missing grant of power. Necessary administration is not a substitute for substantive authority.</w:t>
      </w:r>
    </w:p>
    <w:p>
      <w:pPr/>
      <w:r>
        <w:t>29.12.5 [NO TECHNICAL ACCELERATION] A Technical Amendment does not create acceleration eligibility, move a substantive deadline earlier, postpone a material clock, or alter a transition destination. Correction of an erroneous citation to an already operative timetable may reproduce that timetable where legal effect is unquestionably unchanged. A disputed timetable change proceeds through Article 29.15 and the substantive mechanism capable of changing timing. The technical lane therefore repairs representation of the map without moving the legal destination.</w:t>
      </w:r>
    </w:p>
    <w:p>
      <w:pPr>
        <w:pStyle w:val="Heading2"/>
      </w:pPr>
      <w:r>
        <w:t xml:space="preserve">Article 29.13 - Technical Amendment Authority</w:t>
      </w:r>
    </w:p>
    <w:p>
      <w:pPr/>
      <w:r>
        <w:t>29.13.1 [EXPRESS AUTHORITY] Every Technical Amendment traces to an actor and procedure expressly authorized to make the class of non-substantive change proposed. Absence of express authority means Chapter 29 does not supply residual technical-amendment power. The authority source identifies or bounds the subject matter and procedure available to the actor. Chapter 24 institutional-restraint rules apply throughout.</w:t>
      </w:r>
    </w:p>
    <w:p>
      <w:pPr/>
      <w:r>
        <w:t>29.13.2 [NO AUTHORITY BY PRACTICE] Repeated technical corrections, institutional custom, urgency, necessity, convenience, silence, non-objection, Registry entry, publication, or external decision does not create amendment authority. A Secretariat or committee acts only within amendment functions expressly assigned to it. Administrative responsibility for maintaining a document does not equal authority to alter its legal text. Past unauthorized corrections do not become precedent for future authority.</w:t>
      </w:r>
    </w:p>
    <w:p>
      <w:pPr/>
      <w:r>
        <w:t>29.13.3 [DELEGATION LIMIT] An authorized actor delegates or subdelegates a technical maintenance function only where the governing legal source permits that delegation. Delegated authority cannot exceed the scope, conditions, or legal effect available to the delegator. Ministerial preparation of proposed text may be assigned without transferring approval authority. The record identifies the delegating source, recipient, function, and retained approval responsibility.</w:t>
      </w:r>
    </w:p>
    <w:p>
      <w:pPr/>
      <w:r>
        <w:t>29.13.4 [AUTHORITY DEFECT] A purported Technical Amendment adopted without the required authority does not acquire validity through continued application, reliance, non-objection, or later Registry maintenance. The last valid text remains controlling unless a legally competent authority subsequently adopts a valid change with the effective treatment that authority lawfully provides. Administrative records are corrected to distinguish invalid text from operative text. Reliance consequences, if any, are handled under applicable law without manufacturing retroactive amendment authority.</w:t>
      </w:r>
    </w:p>
    <w:p>
      <w:pPr/>
      <w:r>
        <w:t>29.13.5 [AUTHORITY CHALLENGE] A Party may challenge technical-amendment authority by identifying the amendment, asserted authority source, and particularized reason the actor or procedure exceeded that source. The challenge follows Article 29.15 where it concerns technical classification and the applicable dispute route where it concerns legal authority. Pending resolution, the challenged action supplies no additional substantive effect beyond the last undisputed valid text. The challenge record does not itself suspend unrelated valid amendments.</w:t>
      </w:r>
    </w:p>
    <w:p>
      <w:pPr>
        <w:pStyle w:val="Heading2"/>
      </w:pPr>
      <w:r>
        <w:t xml:space="preserve">Article 29.14 - Technical Amendment Procedure</w:t>
      </w:r>
    </w:p>
    <w:p>
      <w:pPr/>
      <w:r>
        <w:t>29.14.1 [WRITTEN PROPOSAL] A proposed Technical Amendment identifies the existing text or reference, proposed replacement, before-and-after comparison, authority source, classification rationale, affected cross-references, dependencies, and proposed effective date. The proposal states why legal effect remains unchanged. Where several changes are proposed together, the proposal identifies both individual and aggregate effect. No technical amendment occurs merely because corrected text has been prepared or circulated.</w:t>
      </w:r>
    </w:p>
    <w:p>
      <w:pPr/>
      <w:r>
        <w:t>29.14.2 [NOTICE AND REVIEW] The proposal receives the notice, response opportunity, consultation, and approval required by the governing technical-amendment authority. Affected Parties may identify classification, authority, dependency, concordance, or implementation concerns before adoption. A curable drafting defect may be corrected with an audit trail. A material expansion of the proposal receives any renewed process necessary for meaningful review.</w:t>
      </w:r>
    </w:p>
    <w:p>
      <w:pPr/>
      <w:r>
        <w:t>29.14.3 [APPROVAL AND EFFECTIVE DATE] The authorized actor adopts the Technical Amendment in the form required by its authority source and states the effective date. Approval does not extend to substantive effects outside the technical classification. Publication and Registry recording follow the applicable transparency rules. Before effective adoption, the last operative text remains controlling.</w:t>
      </w:r>
    </w:p>
    <w:p>
      <w:pPr/>
      <w:r>
        <w:t>29.14.4 [AUDIT TRAIL] The permanent audit trail preserves the proposal, prior text, adopted text, classification rationale, authority, approvals, comments or challenges material to classification, effective date, dependencies, and resulting version. An independent reviewer can reconstruct the change without relying on institutional memory. Corrections to the audit trail preserve prior entries and reasons. Chapter 22 supplies provenance and confidentiality rules.</w:t>
      </w:r>
    </w:p>
    <w:p>
      <w:pPr/>
      <w:r>
        <w:t>29.14.5 [NO PROCEDURAL BOOTSTRAP] Secretariat transmission, committee discussion, publication, Registry entry, administrative implementation, or repeated use does not substitute for a missing proposal or approval step required by the governing authority. A procedural defect is evaluated according to its legal significance rather than automatically treated as harmless or fatal. Missing substantive authority cannot be cured procedurally. Any valid correction follows the authority capable of curing the identified defect.</w:t>
      </w:r>
    </w:p>
    <w:p>
      <w:pPr>
        <w:pStyle w:val="Heading2"/>
      </w:pPr>
      <w:r>
        <w:t xml:space="preserve">Article 29.15 - Classification Challenge</w:t>
      </w:r>
    </w:p>
    <w:p>
      <w:pPr/>
      <w:r>
        <w:t>29.15.1 [PARTY CHALLENGE] A Party may challenge classification of a proposed or adopted change as technical by identifying the change and particularized grounds showing a possible substantive legal effect. Stakeholders and other affected actors may provide information through authorized channels but do not acquire Party treaty-challenge authority merely by participation. The challenger identifies the right, obligation, treatment, authority, or other legal effect materially implicated. A challenge is recorded without prejudicing the challenger for raising it.</w:t>
      </w:r>
    </w:p>
    <w:p>
      <w:pPr/>
      <w:r>
        <w:t>29.15.2 [PENDING EFFECT] While a particularized classification challenge brought within a period actually established by applicable law or the authorized amendment procedure remains unresolved, the contested change supplies no additional substantive effect beyond the last undisputed valid text. Where no such challenge period is legally established, a prompt particularized challenge after notice or reasonable discovery of the contested classification is not rejected as untimely on the basis of an administrator-created deadline, informal practice, or unpublished internal rule. Independently valid technical portions and existing obligations continue to operate to the extent severable, so the challenge prevents disputed classification from becoming temporary substantive amendment authority without creating a general stay of unrelated legal treatment. Any valid procedural limit on challenge timing remains governed by its actual legal source and does not arise from silence, Registry practice, or institutional convenience.</w:t>
      </w:r>
    </w:p>
    <w:p>
      <w:pPr/>
      <w:r>
        <w:t>29.15.3 [RESOLUTION ROUTE] The challenge proceeds through the consultation or dispute mechanism authorized for classification or amendment disputes, with a bounded process appropriate to the legal effect at issue. The decision-maker determines whether the challenged change preserves legal effect or requires a substantive route. It does not rewrite the proposed substantive change merely to keep it inside technical authority. The outcome identifies the operative text and effective treatment.</w:t>
      </w:r>
    </w:p>
    <w:p>
      <w:pPr/>
      <w:r>
        <w:t>29.15.4 [NO VALIDATION BY SILENCE] Failure to challenge immediately, silence, non-objection, prior implementation, or administrative reliance does not by itself transform a substantively unauthorized change into a valid Technical Amendment. Applicable procedural limits on bringing a challenge remain governed by valid law and are not invented by this Article. A later competent substantive adoption may establish prospective or other legally authorized effect but does not retroactively validate prior unauthorized exercise merely by relabeling it. The Registry preserves the chronology.</w:t>
      </w:r>
    </w:p>
    <w:p>
      <w:pPr/>
      <w:r>
        <w:t>29.15.5 [OUTCOME AND RECLASSIFICATION] If classification is upheld, the Technical Amendment operates according to its valid authority and effective-date rules. If classification is rejected, the proposed substantive effect proceeds only through a legally competent substantive mechanism and the Registry marks the technical classification as rejected. Withdrawal of a challenge does not expand the amendment beyond its independently valid scope. A prior classification outcome may inform later analysis but does not create amendment authority or binding precedent beyond the governing law.</w:t>
      </w:r>
    </w:p>
    <w:p>
      <w:pPr>
        <w:pStyle w:val="Heading2"/>
      </w:pPr>
      <w:r>
        <w:t xml:space="preserve">Article 29.16 - Corrections and Emergency Maintenance</w:t>
      </w:r>
    </w:p>
    <w:p>
      <w:pPr/>
      <w:r>
        <w:t>29.16.1 [OBVIOUS CLERICAL CORRECTION] An obvious clerical correction may use a simplified maintenance procedure only where objective comparison shows that the correction reproduces existing legal meaning without resolving a genuine substantive ambiguity. Examples may include duplicated numbering, broken internal citations, typographical transcription, or formatting errors whose intended form is independently ascertainable from authoritative text. The correction record identifies the error, corrected form, authority, and reason legal effect is unchanged. Where effect is uncertain, the ordinary technical or substantive route applies.</w:t>
      </w:r>
    </w:p>
    <w:p>
      <w:pPr/>
      <w:r>
        <w:t>29.16.2 [URGENT MAINTENANCE] Urgent maintenance needed to keep an assigned administrative system functioning may be performed only within pre-existing authority and without altering substantive legal effect. Urgency does not create amendment, acceleration, adjudicative, remedial, or institutional authority. Temporary operational measures identify their scope, reason, start, review point, and end condition where the governing framework permits such measures. A permanent textual change follows the ordinary applicable procedure.</w:t>
      </w:r>
    </w:p>
    <w:p>
      <w:pPr/>
      <w:r>
        <w:t>29.16.3 [NO EMERGENCY AMENDMENT] An emergency label does not permit a Technical Amendment to change tariffs, access, eligibility, remedies, jurisdiction, powers, material clocks, exceptions, conditions, or other substantive treatment. A measure requiring such effect uses the substantive emergency or amendment authority that actually governs it. Technical maintenance may support implementation of that measure without becoming its legal basis. Necessity and convenience do not cure missing authority.</w:t>
      </w:r>
    </w:p>
    <w:p>
      <w:pPr/>
      <w:r>
        <w:t>29.16.4 [REVIEW AND EXPIRY] A temporary urgent-maintenance action receives prompt review by the authority responsible for the underlying system where the governing framework requires continued operation beyond the initial period. The review verifies that legal effect remains unchanged and that the action remains within assigned authority. An expired temporary action does not continue by administrative inertia or repeated practice. Any replacement is separately authorized and recorded.</w:t>
      </w:r>
    </w:p>
    <w:p>
      <w:pPr/>
      <w:r>
        <w:t>29.16.5 [NOTICE AND CHALLENGE] Material urgent maintenance is recorded and published or notified as required by Chapter 22 and the governing system. A Party may particularize a concern that the action changes legal effect or exceeds authority and use the applicable classification or dispute route. Pending dispute does not create additional authority for the maintenance actor. Correction or withdrawal preserves an audit trail and does not create precedent for broader emergency power.</w:t>
      </w:r>
    </w:p>
    <w:p>
      <w:pPr>
        <w:pStyle w:val="Heading2"/>
      </w:pPr>
      <w:r>
        <w:t xml:space="preserve">Article 29.17 - Annexes, Schedules, Codes, and External References</w:t>
      </w:r>
    </w:p>
    <w:p>
      <w:pPr/>
      <w:r>
        <w:t>29.17.1 [CONCORDANCE DISCIPLINE] Maintenance of tariff codes, annex references, schedules, scientific nomenclature, standards references, institutional names, and electronic schemas uses the technical lane only where substantive coverage and legal treatment remain unchanged. A concordance identifies the old reference, new reference, mapping method, affected provisions, and evidence supporting continuity. Where one old code maps to several new codes or vice versa, the analysis verifies treatment at the product level rather than assuming equivalence from numbering. A coverage shift uses the substantive authority capable of making that shift.</w:t>
      </w:r>
    </w:p>
    <w:p>
      <w:pPr/>
      <w:r>
        <w:t>29.17.2 [TARIFF CODE FIREWALL] An HS or other tariff-code update does not add, remove, narrow, expand, or reclassify substantive market-access treatment through technical concordance. Where nomenclature revision changes the boundaries of a tariff line, the technical record maps affected goods sufficiently to preserve the prior legal treatment. An unresolved coverage question is not decided by choosing the code that produces the preferred tariff result. Substantive treatment changes require the appropriate substantive mechanism.</w:t>
      </w:r>
    </w:p>
    <w:p>
      <w:pPr/>
      <w:r>
        <w:t>29.17.3 [STANDARDS AND NOMENCLATURE] A scientific name, standard identifier, reference edition, or external technical designation may be updated technically only where the referenced legal requirement remains materially the same and the governing text does not otherwise require a substantive route. An external reference is fixed to the legally operative edition, version, publication date, or other reproducible state identified by the governing text or adoption record, and unchanged numbering or naming does not import later external content unless an express bounded dynamic-reference mechanism validly provides for that result. A newer or silently revised external standard is therefore not automatically incorporated merely because its identifier supersedes, retains the name of, or is administratively treated as continuing an older publication, and any dynamic mechanism remains subject to its stated scope, approval, notice, version, and exit controls. Where external-content change would alter obligations, eligibility, scope, treatment, or another substantive legal effect, Article 29.12 applies and Chapter 28 governs deliberate incorporation where new external text is being legally imported.</w:t>
      </w:r>
    </w:p>
    <w:p>
      <w:pPr/>
      <w:r>
        <w:t>29.17.4 [INSTITUTIONAL AND SCHEMA CHANGES] Institutional renaming is technical only where the legally authorized function continues without material expansion, contraction, or transfer. Electronic schema changes are technical only where required information, evidentiary burden, eligibility, deadlines, and legal consequences remain unchanged. A software or data-model change does not create new reporting duties by technical necessity. Material functional or obligation changes use the competent substantive route.</w:t>
      </w:r>
    </w:p>
    <w:p>
      <w:pPr/>
      <w:r>
        <w:t>29.17.5 [CONCORDANCE RECORD] Chapter 22 records each adopted concordance or reference update, its authority, mapping, classification rationale, effective date, affected provisions, and resulting version. A Party may challenge a concordance under Article 29.15 where it particularizes a possible substantive effect. Corrections preserve the prior mapping and reason for change. Concordance records support traceability but do not themselves create rights or obligations.</w:t>
      </w:r>
    </w:p>
    <w:p>
      <w:pPr>
        <w:pStyle w:val="Heading2"/>
      </w:pPr>
      <w:r>
        <w:t xml:space="preserve">Article 29.18 - Version Control and Registry</w:t>
      </w:r>
    </w:p>
    <w:p>
      <w:pPr/>
      <w:r>
        <w:t>29.18.1 [STABLE VERSION] Every adopted Chapter 29 change that alters operative text, timing, or an authoritative reference receives a stable version or equivalent reproducible identifier and effective date. The record identifies the applicable lane, authority, provenance, affected provisions, dependencies, approvals, and transition treatment. Superseded text remains preserved for historical reconstruction. Participants can identify the version governing conduct on a relevant date.</w:t>
      </w:r>
    </w:p>
    <w:p>
      <w:pPr/>
      <w:r>
        <w:t>29.18.2 [NONCONSTITUTIVE REGISTRY] The Chapter 22 Registry records review outcomes, accelerations, Technical Amendments, corrections, and version history but does not create, validate, expand, suspend, or terminate them. Registry omission does not erase a legally valid action, and Registry entry does not cure an invalid one. A discrepancy is corrected against the legally authoritative source with an audit trail. Database status is not a substitute for legal authority.</w:t>
      </w:r>
    </w:p>
    <w:p>
      <w:pPr/>
      <w:r>
        <w:t>29.18.3 [NO HYBRID VERSION] An administrator does not combine portions of different NAAFTC versions into an unadopted hybrid text merely because each portion has been used operationally. The operative version follows legally effective changes and any expressly authorized partial versioning. Where different provisions validly have different amendment dates, the Registry identifies that structure without inventing a consolidated legal text that was never adopted. Publication may provide a convenience consolidation clearly distinguished from authoritative amendment history.</w:t>
      </w:r>
    </w:p>
    <w:p>
      <w:pPr/>
      <w:r>
        <w:t>29.18.4 [VERSION ACCESS] Operative and superseded versions are published or otherwise made accessible to affected Parties and participants to the extent required by applicable transparency and confidentiality rules. Version history identifies corrections, accelerations, amendments, and effective dates sufficiently to avoid reliance on obsolete treatment. A participant is not expected to reconstruct legal text from undocumented administrative practice. Material access defects are corrected promptly.</w:t>
      </w:r>
    </w:p>
    <w:p>
      <w:pPr/>
      <w:r>
        <w:t>29.18.5 [VERSION DISPUTE] A dispute over operative version begins with authoritative amendment instruments, acceleration approvals, technical-amendment records, effective dates, and Registry provenance. Repeated use of an unadopted version does not make it valid through practice. A competent decision-maker identifies the legally operative text rather than creating a compromise hybrid. Pending resolution, Article 29.15 applies where the dispute concerns technical classification and other applicable Chapters govern distinct disputes.</w:t>
      </w:r>
    </w:p>
    <w:p>
      <w:pPr>
        <w:pStyle w:val="Heading2"/>
      </w:pPr>
      <w:r>
        <w:t xml:space="preserve">Article 29.19 - Relationship to Chapters 27 and 28</w:t>
      </w:r>
    </w:p>
    <w:p>
      <w:pPr/>
      <w:r>
        <w:t>29.19.1 [NO AUTOMATIC HOST CHANGE] An amendment or Technical Amendment to standalone NAAFTC does not automatically amend CUSMA, another external agreement, or version-locked NAAFTC text incorporated into a host instrument. Chapter 28 determines whether and how an updated NAAFTC version flows into incorporated text. Chapter 27 governs coexistence where standalone and host text diverge. External silence, non-objection, practice, or decision does not create automatic flow-through.</w:t>
      </w:r>
    </w:p>
    <w:p>
      <w:pPr/>
      <w:r>
        <w:t>29.19.2 [NO AUTOMATIC NAAFTC CHANGE] A host-instrument amendment, external decision, institutional practice, or successor development does not automatically amend standalone NAAFTC. Chapter 27 determines relationship consequences and Chapter 28 governs deliberate incorporation where relevant. A host change may create a reason to consider NAAFTC amendment but not authority to accomplish it. The NAAFTC change follows the lane and legal authority applicable to that change.</w:t>
      </w:r>
    </w:p>
    <w:p>
      <w:pPr/>
      <w:r>
        <w:t>29.19.3 [RELATIONSHIP NOTICE] Where a proposed Chapter 29 change materially affects text already incorporated into a host instrument, the change record identifies the affected incorporation and provides the notice required by Chapter 22 or the incorporation arrangement. The notice states whether the host text is version-locked, dynamically incorporated, or subject to another express update mechanism. Notice does not itself update the host instrument. Any required host action proceeds through Chapter 28 and the host's valid authority.</w:t>
      </w:r>
    </w:p>
    <w:p>
      <w:pPr/>
      <w:r>
        <w:t>29.19.4 [ACCRUED INCORPORATED TREATMENT] A Chapter 29 change does not retroactively impair accrued treatment under version-locked incorporated text merely because standalone NAAFTC changes. Any legally authorized transition affecting host treatment is identified through the applicable incorporation or amendment instrument. Chapter 28 performance-credit and continuity rules remain available where obligations overlap. A relationship dispute proceeds through Chapter 27 and the designated dispute route.</w:t>
      </w:r>
    </w:p>
    <w:p>
      <w:pPr/>
      <w:r>
        <w:t>29.19.5 [COORDINATED RECORD] Chapter 22 links a Chapter 29 change to any affected Chapter 28 incorporation record without merging the two legal acts. The linked record identifies standalone version, host version, update mechanism, effective dates, and any divergence. Administrative coordination can reduce duplication but cannot create amendment or incorporation authority. The record allows a reviewer to distinguish change to NAAFTC from change to the host instrument.</w:t>
      </w:r>
    </w:p>
    <w:p>
      <w:pPr>
        <w:pStyle w:val="Heading2"/>
      </w:pPr>
      <w:r>
        <w:t xml:space="preserve">Article 29.20 - Anti-Bootstrap and Final Boundary</w:t>
      </w:r>
    </w:p>
    <w:p>
      <w:pPr/>
      <w:r>
        <w:t>29.20.1 [NO AMENDMENT BY INFORMAL MEANS] No amendment occurs through review, recommendation, technical practice, urgency, necessity, administrative convenience, silence, non-objection, Registry entry, external decision, institutional custom, repeated implementation, or failure to challenge. None of those circumstances supplies substantive authority missing from the Compact or another valid legal source. An actor claiming legal change traces the change to the authority and procedure capable of producing it. Existing text continues where that showing cannot be made.</w:t>
      </w:r>
    </w:p>
    <w:p>
      <w:pPr/>
      <w:r>
        <w:t>29.20.2 [NO AGGREGATED EVASION] A Party or institution does not combine individually limited review, acceleration, technical-maintenance, correction, incorporation, administrative, or institutional powers to achieve a substantive result that no component authority permits. Aggregate legal effect is tested where coordinated actions operate together. Splitting one substantive change across several instruments, actors, dates, or labels does not move it into a lower-authority lane. Each operative consequence retains a traceable legal basis.</w:t>
      </w:r>
    </w:p>
    <w:p>
      <w:pPr/>
      <w:r>
        <w:t>29.20.3 [NO NEW SUBSTANTIVE AUTHORITY] Chapter 29 supplies procedures and boundaries for functions already authorized by the Compact but does not create new substantive obligations, remedies, jurisdiction, tariff powers, market-access restrictions, or institutional competence by implication. Deliberate substantive amendment requires the legal authority assigned to substantive change. Technical and acceleration powers remain confined to their defined effects. Administrative necessity does not enlarge them.</w:t>
      </w:r>
    </w:p>
    <w:p>
      <w:pPr/>
      <w:r>
        <w:t>29.20.4 [FINAL CHAPTER BOUNDARIES] Chapter 27 governs coexistence and relationship allocation, Chapter 28 governs deliberate incorporation, and Chapter 29 governs bounded review, authorized acceleration, and non-substantive technical maintenance of NAAFTC. Chapter 30 governs entry into force, withdrawal, survival, and final operation. A cross-reference coordinates those functions without transferring authority between Chapters. Where another Chapter supplies a specialized mechanism, Chapter 29 respects that mechanism's scope and prerequisites.</w:t>
      </w:r>
    </w:p>
    <w:p>
      <w:pPr/>
      <w:r>
        <w:t>29.20.5 [FINAL TRACEABILITY LOCK] Every operative Chapter 29 action remains traceable from prior legal state through authority, lane, evidence, approval, effective date, dependencies, and resulting legal state. A break in that chain does not receive missing authority from practice or institutional convenience. Chapter 22 preserves the record, Chapter 24 restrains administration, and Chapters 25 and 26 remain available according to their own jurisdiction for cure and dispute. Chapter 29 therefore permits adaptation without allowing maintenance machinery to become an unbounded amendment power.</w:t>
      </w:r>
    </w:p>
    <w:p>
      <w:pPr>
        <w:pStyle w:val="Heading1"/>
      </w:pPr>
      <w:r>
        <w:t>Chapter 30 - Entry into Force, Withdrawal, Survival, and Final Provisions</w:t>
      </w:r>
    </w:p>
    <w:p>
      <w:pPr>
        <w:pStyle w:val="Heading2"/>
      </w:pPr>
      <w:r>
        <w:t>Article 30.1 - Final-Provisions Architecture and Legal Continuity</w:t>
      </w:r>
    </w:p>
    <w:p>
      <w:r>
        <w:t>30.1.1 [FINAL PROVISIONS FUNCTION] This Chapter governs the Compact's entry into force, participation, withdrawal, termination, survival, amendment, and final legal continuity. It operates as lifecycle machinery for obligations created elsewhere and does not reopen, enlarge, diminish, or substitute the substantive bargains established by another Chapter or Annex. A lifecycle consequence arises only from a legally effective act traceable to authority under this Compact and any applicable domestic approval requirement. Signature, consent, deposit, entry into force, amendment, withdrawal, termination, and survival remain distinct legal events unless an express provision validly connects them.</w:t>
      </w:r>
    </w:p>
    <w:p>
      <w:r>
        <w:t>30.1.2 [NO IMPLIED AMENDMENT] No provision of this Chapter creates amendment authority through implication, administrative necessity, implementation convenience, silence, practice, acquiescence, or Registry treatment. A change that alters substantive legal effect follows the express amendment mechanism applicable to that change and remains subject to Chapter 29 where review, acceleration, or technical maintenance is involved. Final-provisions administration does not convert ministerial acts into lawmaking authority. An act lacking the required legal authority produces no additional Compact obligation merely because a Party or institution relies on it.</w:t>
      </w:r>
    </w:p>
    <w:p>
      <w:r>
        <w:t>30.1.3 [LEGAL EFFECTIVE ACT] For purposes of this Chapter, a legally effective act identifies the actor, legal authority, subject, scope, date, required consent, and operative consequence with sufficient precision to permit independent verification. Where deposit, notice, approval, or another procedural condition is legally required, the act becomes effective only according to that condition and the governing provision. Clerical recording, publication, or Registry entry evidences an act but does not independently constitute it unless the Compact expressly assigns that legal effect. A disputed act remains subject to the applicable consultation and dispute-settlement routes without acquiring validity from continued administrative use.</w:t>
      </w:r>
    </w:p>
    <w:p>
      <w:r>
        <w:t>30.1.4 [CONTINUITY WITHOUT REOPENING] Entry into force, withdrawal, termination, or another lifecycle event does not retroactively rewrite the legal character of conduct occurring before that event. Accrued treatment, completed acts, pending matters, and surviving functions receive only the continuity expressly supplied by this Chapter and the substantive provisions that created them. No Party obtains a new substantive right merely because Chapter 30 preserves an existing legal consequence. No Party loses an already accrued legal consequence merely because an institution later enters wind-down, except where the governing substantive rule expressly provides otherwise.</w:t>
      </w:r>
    </w:p>
    <w:p>
      <w:r>
        <w:t>30.1.5 [SURVIVAL FOLLOWS FUNCTION] Survival under this Chapter follows the legal function that remains to be completed rather than an assumption that all obligations either survive or expire together. A surviving authority continues only for the subject, duration, persons, records, and legal consequence necessary to complete that function. An authority ends when its surviving function is completed unless another Compact provision independently sustains it. Permanent survival applies only where the substantive Compact expressly creates a vested or completed legal consequence whose nature requires continuing recognition.</w:t>
      </w:r>
    </w:p>
    <w:p>
      <w:pPr>
        <w:pStyle w:val="Heading2"/>
      </w:pPr>
      <w:r>
        <w:t>Article 30.2 - Signature and Expression of Consent</w:t>
      </w:r>
    </w:p>
    <w:p>
      <w:r>
        <w:t>30.2.1 [SIGNATURE STATUS] Signature authenticates a Party's participation in the concluded text but does not by itself place the Compact into force for that Party unless an express provision states otherwise. Consent to be bound is expressed through ratification, acceptance, approval, or another legally recognized instrument completed under the Party's applicable constitutional process. Signature ad referendum has effect only where its conditional status is expressly recorded and later confirmed through the legally required process. Implementation planning, public statements, negotiations, or administrative preparation do not substitute for consent to be bound.</w:t>
      </w:r>
    </w:p>
    <w:p>
      <w:r>
        <w:t>30.2.2 [INSTRUMENT OF CONSENT] Each instrument expressing consent to be bound identifies the Party, the Compact, the form of consent, the issuing authority, and the date of execution. The instrument is authenticated according to the Party's applicable legal process and is transmitted to the depositary through an authorized channel. A reservation, declaration, limitation, or condition has legal effect only to the extent the Compact and applicable law permit it and the instrument states it expressly. An ambiguity affecting whether consent was validly expressed is recorded and addressed before the depositary represents that the relevant entry-into-force condition has been satisfied.</w:t>
      </w:r>
    </w:p>
    <w:p>
      <w:r>
        <w:t>30.2.3 [DOMESTIC AUTHORITY] Each Party determines and completes its own constitutionally required process for expressing consent to be bound. No Compact committee, Secretariat function, panel, depositary, or other institution cures a missing domestic authorization or reallocates constitutional authority within a Party. A Party may provide a statement identifying the domestic authority supporting its instrument, and that statement is recorded without substantive adjudication by the depositary. Questions concerning the international legal effect of an instrument remain distinct from questions allocated exclusively to domestic constitutional law.</w:t>
      </w:r>
    </w:p>
    <w:p>
      <w:r>
        <w:t>30.2.4 [NO CONSENT BY CONDUCT] Consent to be bound does not arise from conduct, implementation, expenditure, non-objection, silence, attendance at meetings, data submission, Registry participation, or performance undertaken in anticipation of entry into force. A Party may voluntarily align domestic practice with the Compact before entry into force without thereby activating Compact obligations. Another Party does not rely on such voluntary alignment as proof of consent unless the legally required instrument exists. Provisional application, where used, remains governed exclusively by Article 30.6 and does not become full consent by continued performance.</w:t>
      </w:r>
    </w:p>
    <w:p>
      <w:r>
        <w:t>30.2.5 [SEPARATE TREATY CONSENT] Consent to NAAFTC is legally distinct from consent to CUSMA, a successor North American agreement, or any host instrument incorporating NAAFTC text. Chapter 28 governs deliberate incorporation, and Chapter 27 governs coexistence with other international agreements. Approval of another instrument does not constitute NAAFTC consent unless that instrument expressly and validly produces that effect under the applicable incorporation and consent rules. The record identifies each legal instrument separately so that consent cannot migrate between agreements by inference.</w:t>
      </w:r>
    </w:p>
    <w:p>
      <w:pPr>
        <w:pStyle w:val="Heading2"/>
      </w:pPr>
      <w:r>
        <w:t>Article 30.3 - Deposit of Instruments and Depositary Functions</w:t>
      </w:r>
    </w:p>
    <w:p>
      <w:r>
        <w:t>30.3.1 [DEPOSITARY DESIGNATION] The Parties designate the depositary by an express written act recorded with the authentic text of the Compact. The depositary receives and preserves instruments of consent, accession where authorized, amendment, withdrawal, correction, and other notices that this Chapter assigns to it. A change of depositary follows an express written arrangement that preserves custody, chronology, authentication, and access to the existing record. No temporary vacancy or administrative interruption alters the legal status of an instrument already validly deposited.</w:t>
      </w:r>
    </w:p>
    <w:p>
      <w:r>
        <w:t>30.3.2 [MINISTERIAL FUNCTION] The depositary performs ministerial, evidentiary, custodial, and notification functions and does not exercise substantive interpretation, adjudication, amendment, waiver, or policy authority. It verifies facial completeness, identity, authentication, receipt, and date without deciding contested merits beyond the functions expressly assigned by the Compact. Where a facial defect prevents reliable processing, the depositary promptly identifies the defect to the submitting Party and records the communication. The depositary does not withhold a facially complete instrument because it disagrees with the policy or legal position expressed in it.</w:t>
      </w:r>
    </w:p>
    <w:p>
      <w:r>
        <w:t>30.3.3 [RECEIPT AND CIRCULATION] The depositary date-stamps each received instrument or notice using a reproducible receipt record and promptly circulates an authenticated copy to every Party entitled to receive it. The circulation identifies the sender, instrument type, receipt date, stated effective date where applicable, and any facial qualification recorded by the submitting Party. Delay in circulation does not erase a legally completed deposit, but a Party is not prejudiced by a depositary's failure to provide notice where another Compact rule conditions a response period on receipt. Corrected circulation preserves the original chronology and identifies the correction.</w:t>
      </w:r>
    </w:p>
    <w:p>
      <w:r>
        <w:t>30.3.4 [AUTHENTICATION AND RECORDS] The depositary preserves the authentic texts, originals or legally equivalent records of deposited instruments, certified copies, correction records, and chronological notices. Depositary records are maintained consistently with Chapter 22 requirements concerning provenance, integrity, access, confidentiality, and historical traceability. A certified copy states its source and certification basis and does not silently incorporate later amendments or corrections. Superseded records remain retrievable as historical versions and are not overwritten by a later operative text.</w:t>
      </w:r>
    </w:p>
    <w:p>
      <w:r>
        <w:t>30.3.5 [NO DEPOSITARY BOOTSTRAP] Deposit, registration, publication, circulation, certification, or inclusion in the Registry does not create substantive legal effect beyond the effect assigned by the governing provision. A depositary cannot cure missing Party consent, create an amendment, enlarge a withdrawal, waive a condition, or determine a disputed substantive entitlement. Emergency continuity arrangements preserve receipt and custody functions only and do not create residual substantive authority. Practice developed by the depositary does not become an additional source of Compact law.</w:t>
      </w:r>
    </w:p>
    <w:p>
      <w:pPr>
        <w:pStyle w:val="Heading2"/>
      </w:pPr>
      <w:r>
        <w:t>Article 30.4 - Entry Into Force</w:t>
      </w:r>
    </w:p>
    <w:p>
      <w:r>
        <w:t>30.4.1 [TRILATERAL ENTRY TRIGGER] The Compact enters into force among Canada, Mexico, and the United States on the first day of the second month following deposit of the third valid instrument expressing consent to be bound, unless the Parties adopt a different date through an express written agreement satisfying Article 30.20. Entry into force is trilateral by default and does not occur between only two original Parties merely because two instruments have been deposited. The depositary promptly records and circulates the date on which the third valid instrument is received and the resulting entry-into-force date. Provisional application under Article 30.6 remains legally distinct from entry into force.</w:t>
      </w:r>
    </w:p>
    <w:p>
      <w:r>
        <w:t>30.4.2 [DATE CALCULATION] For purposes of paragraph 30.4.1, the month following the month of the third deposit is the first month and the immediately following calendar month begins the second month. If an expressly agreed alternative entry date falls on a date that does not exist in the relevant month, the effective date is the last calendar day of that month unless the written agreement provides otherwise. Entry into force occurs at the beginning of the effective date in each Party's territory for domestic administration, while the depositary maintains one common legal date. A difference in time zones does not create a separate substantive day of entitlement.</w:t>
      </w:r>
    </w:p>
    <w:p>
      <w:r>
        <w:t>30.4.3 [NO RETROACTIVE FORCE] Entry into force does not retroactively impose Compact obligations on conduct completed before the effective date unless an express provision validly assigns a pre-entry legal consequence. Pre-entry planning, publication, administrative guidance, or voluntary compliance does not validate an otherwise defective pre-entry act by relation back. A transaction spanning the effective date receives treatment according to the substantive transition rule applicable to that transaction. In the absence of a specific transition rule, the legally relevant act or event determines whether the Compact applies.</w:t>
      </w:r>
    </w:p>
    <w:p>
      <w:r>
        <w:t>30.4.4 [COMMENCEMENT OF CLOCKS] A Compact period stated to run from entry into force begins on the common effective date established under this Article. A Chapter or Annex may establish a later effective date, staged date, or independent trigger, and that specific rule controls its own subject. Administrative unreadiness does not postpone a clock that has legally begun unless the Compact expressly authorizes postponement. The Registry records commencement dates as evidence and does not constitute them.</w:t>
      </w:r>
    </w:p>
    <w:p>
      <w:r>
        <w:t>30.4.5 [ENTRY RECORD] The depositary issues an entry-into-force notice identifying the instruments received, their receipt dates, the legal trigger, the effective date, and any provision with an expressly different commencement rule known from the authentic text. The notice is circulated to the Parties and made publicly accessible subject to lawful confidentiality limits. An error in the notice is corrected transparently without changing the underlying legal date unless the underlying legally effective act itself is corrected through an authorized process. A dispute concerning entry into force follows the applicable consultation and dispute-settlement provisions and is not decided by publication practice.</w:t>
      </w:r>
    </w:p>
    <w:p>
      <w:pPr>
        <w:pStyle w:val="Heading2"/>
      </w:pPr>
      <w:r>
        <w:t>Article 30.5 - Initial Implementation and Administrative Readiness</w:t>
      </w:r>
    </w:p>
    <w:p>
      <w:r>
        <w:t>30.5.1 [DAY ONE READINESS] Before entry into force, each Party identifies the authorities, contact points, communication channels, Registry access, and implementation acts reasonably necessary for administration beginning on Day One. Readiness planning prioritizes functions affecting perishable goods, time-sensitive market access, emergency communications, and legally fixed response periods. The Parties may test administrative systems before entry into force without creating substantive obligations or entitlements before the effective date. Readiness measures remain subordinate to the Compact and do not add eligibility conditions or documentary burdens.</w:t>
      </w:r>
    </w:p>
    <w:p>
      <w:r>
        <w:t>30.5.2 [AUTHORITY MAP] Each Party provides an Authority Map identifying the domestic office or function responsible for each material administrative task assigned to it by the Compact. The Authority Map distinguishes decision-making authority, ministerial processing, verification, contact functions, and record custody so that routing does not become a source of hidden discretion. A change in domestic organization is promptly reflected without altering the underlying Compact allocation of legal authority. The Authority Map is publicly accessible through the Chapter 22 information architecture except for security-sensitive contact details lawfully withheld.</w:t>
      </w:r>
    </w:p>
    <w:p>
      <w:r>
        <w:t>30.5.3 [ADMINISTRATIVE UNREADINESS] Failure to complete training, staffing, software deployment, data migration, internal routing, or another readiness task does not by itself postpone an obligation that has entered into force. A Party uses a reasonable fallback channel where the designated electronic or institutional channel is unavailable and accepts timely submissions made through that announced fallback. Administrative incapacity does not create a new substantive condition, shorten an entitlement, or convert a mandatory treatment into discretion. Any temporary operational measure remains subject to the Compact's applicable emergency, transparency, cure, and restoration disciplines.</w:t>
      </w:r>
    </w:p>
    <w:p>
      <w:r>
        <w:t>30.5.4 [TRANSITIONAL GUIDANCE] A Party may issue transitional guidance explaining how existing domestic forms, records, applications, or systems interface with the Compact at entry into force. Transitional guidance is explanatory and administrative unless an independent legal authority expressly gives it additional effect. It does not narrow substantive eligibility, create a new waiver, or postpone a Compact deadline through internal convenience. Material guidance and corrections are recorded with effective dates and provenance under Chapter 22.</w:t>
      </w:r>
    </w:p>
    <w:p>
      <w:r>
        <w:t>30.5.5 [PRE FORCE MATTERS] A matter initiated before entry into force receives Compact treatment only to the extent a substantive Chapter, Annex, transition rule, or legally effective provisional-application act expressly makes the Compact applicable. An administrator does not reject a post-entry entitlement merely because a preparatory step occurred before entry where the governing substantive rule permits reliance on that step. Existing records may be reused where they satisfy the Compact's evidentiary requirements and remain reliable. No Party requires duplication solely because the Compact entered into force after a valid underlying record was created.</w:t>
      </w:r>
    </w:p>
    <w:p>
      <w:pPr>
        <w:pStyle w:val="Heading2"/>
      </w:pPr>
      <w:r>
        <w:t>Article 30.6 - Provisional Application</w:t>
      </w:r>
    </w:p>
    <w:p>
      <w:r>
        <w:t>30.6.1 [EXPRESS PROVISIONAL AUTHORITY] A Party applies any part of the Compact provisionally only through an express written instrument identifying the legal authority, participating Parties, provisions covered, effective date, and conditions of application. Provisional application does not arise from conduct, planning, press releases, non-objection, voluntary implementation, or Registry notation. The instrument states whether provisional application is bilateral or trilateral and identifies any dependency that prevents severable operation. A provisional arrangement supplies no authority beyond the provisions and Parties expressly covered.</w:t>
      </w:r>
    </w:p>
    <w:p>
      <w:r>
        <w:t>30.6.2 [BOUNDED DURATION] A provisional-application instrument identifies an end date, conversion event, termination mechanism, or other objectively ascertainable outer condition. Continued administrative performance after that condition does not silently extend provisional application. The participating Parties may extend provisional application only through another legally effective act completed before or after expiry as permitted by applicable law, and no expired period is retroactively filled by administrative practice. The depositary records the operative period and any extension as separate legal events.</w:t>
      </w:r>
    </w:p>
    <w:p>
      <w:r>
        <w:t>30.6.3 [PROVISIONAL TREATMENT] Rights and obligations arising during valid provisional application have the legal effect assigned by the provisional instrument and the provisions made applicable. Completed treatment received under valid provisional application is not retroactively recharacterized as unauthorized merely because full entry into force does not later occur. A prospective entitlement extending beyond termination survives only where the provisional instrument or applicable substantive provision expressly supplies that consequence. Provisional application therefore does not automatically create permanent vested rights or erase completed legal consequences.</w:t>
      </w:r>
    </w:p>
    <w:p>
      <w:r>
        <w:t>30.6.4 [TERMINATION OF PROVISIONAL APPLICATION] A Party terminates its provisional application according to the notice, timing, and authority requirements stated in the provisional instrument or applicable law. Termination does not operate before its legally effective date and does not authorize anticipatory degradation of treatment. Pending matters and accrued consequences are handled according to the provisional instrument, the applicable substantive provisions, and the functional-survival principles of this Chapter. Termination of provisional application is not withdrawal from a Compact that has separately entered into force.</w:t>
      </w:r>
    </w:p>
    <w:p>
      <w:r>
        <w:t>30.6.5 [PROVISIONAL DISPUTES AND RECORD] Consultation, cure, verification, and dispute procedures apply during provisional application only to the extent the provisional instrument or provisions made applicable authorize them. Any surviving jurisdiction after provisional application ends is bounded to conduct and consequences arising while the relevant provisional obligation was operative. The record identifies the version, scope, dates, Parties, disputes, and termination status of the provisional arrangement. No provisional institution acquires continuing authority merely because a matter once fell within its temporary mandate.</w:t>
      </w:r>
    </w:p>
    <w:p>
      <w:pPr>
        <w:pStyle w:val="Heading2"/>
      </w:pPr>
      <w:r>
        <w:t>Article 30.7 - Geographic and Jurisdictional Application</w:t>
      </w:r>
    </w:p>
    <w:p>
      <w:r>
        <w:t>30.7.1 [TERRITORIAL SCOPE] The geographic and jurisdictional application of the Compact follows the definitions and Party-specific scope rules established in Chapter 2 and any expressly applicable Annex. This Chapter does not create a new customs territory, customs union, maritime boundary, territorial claim, or extraterritorial jurisdiction. A special territorial application is effective only through an express legally authorized instrument identifying the territory, provisions, date, and responsible Party. Administrative mapping or coding does not expand territorial application by implication.</w:t>
      </w:r>
    </w:p>
    <w:p>
      <w:r>
        <w:t>30.7.2 [SUBNATIONAL ADMINISTRATION] Where a Compact obligation applies to measures of a subnational authority under the substantive Chapters, the responsible Party administers that obligation consistently with its constitutional structure and the Compact's allocation of responsibility. Chapter 30 does not independently enlarge federal authority over a province, state, territory, municipality, Indigenous government, or other subnational body. Domestic allocation of implementation responsibility does not excuse non-performance where the Compact assigns international responsibility to the Party. A change in domestic allocation does not alter the international scope of the underlying obligation.</w:t>
      </w:r>
    </w:p>
    <w:p>
      <w:r>
        <w:t>30.7.3 [INDIGENOUS AND BOUNDARY PRESERVATION] Nothing in this Chapter determines or prejudices Indigenous rights, treaty rights, constitutional protections, land claims, maritime boundaries, or territorial disputes beyond the legal effects expressly established elsewhere in the Compact. Geographic administration is interpreted consistently with applicable substantive protections and exceptions. A lifecycle act under this Chapter does not silently extinguish or enlarge a protected status. Any special arrangement requiring distinct consent follows the legal authority applicable to that arrangement.</w:t>
      </w:r>
    </w:p>
    <w:p>
      <w:r>
        <w:t>30.7.4 [NON PARTY EFFECT] The Compact creates no right or obligation for a non-Party merely because goods, persons, data, facilities, standards, or supply chains associated with that non-Party interact with North American commerce. Third-country treatment remains governed by the substantive Chapters, Chapter 27, and other applicable law. A Party does not extend Compact participation to another jurisdiction through customs cooperation, mutual recognition, data exchange, or administrative practice alone. Later participation follows Article 30.8 where accession is authorized.</w:t>
      </w:r>
    </w:p>
    <w:p>
      <w:r>
        <w:t>30.7.5 [JURISDICTIONAL RECORD] A legally significant change in geographic or jurisdictional application is recorded with its authority, scope, effective date, and relationship to existing schedules or Annexes. Technical geographic corrections that preserve legal effect follow Chapter 29, while substantive changes follow the formal amendment or participation mechanism applicable to them. The Registry provides a current and historical view without constituting the change. A dispute concerning scope follows Chapters 25 and 26 as applicable.</w:t>
      </w:r>
    </w:p>
    <w:p>
      <w:pPr>
        <w:pStyle w:val="Heading2"/>
      </w:pPr>
      <w:r>
        <w:t>Article 30.8 - Participation and Later Accession</w:t>
      </w:r>
    </w:p>
    <w:p>
      <w:r>
        <w:t>30.8.1 [CLOSED ORIGINAL MEMBERSHIP] The original Parties to the Compact are Canada, Mexico, and the United States. No other State or customs territory becomes a Party by trade practice, customs cooperation, geographic proximity, participation in another agreement, institutional attendance, or Registry treatment. Later accession is available only under the express procedure in this Article. The existence of that procedure does not create an entitlement to accession.</w:t>
      </w:r>
    </w:p>
    <w:p>
      <w:r>
        <w:t>30.8.2 [ACCESSION ELIGIBILITY AND CONSENT] A State or separate customs territory capable of undertaking the Compact's obligations may request accession through a written application to the depositary. Accession requires unanimous written consent of all then-current Parties unless an amendment adopted under Article 30.19 validly establishes another rule. The Parties assess the applicant's ability to assume the relevant obligations, schedules, institutional responsibilities, and dependency relationships without converting that assessment into authority to rewrite existing rights outside an authorized amendment. Consent to negotiate accession is not consent to accession.</w:t>
      </w:r>
    </w:p>
    <w:p>
      <w:r>
        <w:t>30.8.3 [ACCESSION PACKAGE] An accession package identifies the applicant, negotiated schedules, Annex adaptations, effective dates, transition periods, institutional assignments, dependencies, and any authorized Party-specific terms. The package distinguishes technical conforming changes from substantive negotiated changes and routes each through the legally required process. Existing Parties' accrued and vested treatment is not reduced by implication through accession. Any alteration of existing substantive rights requires the consent and amendment authority otherwise required by the Compact.</w:t>
      </w:r>
    </w:p>
    <w:p>
      <w:r>
        <w:t>30.8.4 [ACCESSION INSTRUMENT AND FORCE] An approved applicant deposits an authenticated instrument of accession after completing its applicable domestic process. The accession package states the date or objective trigger on which the Compact enters into force for the acceding Party and identifies any staged provision with a different date. The depositary records and circulates the instrument without substantive gatekeeping. No accession obligation operates before the legally effective accession date except through valid provisional application.</w:t>
      </w:r>
    </w:p>
    <w:p>
      <w:r>
        <w:t>30.8.5 [ACCESSION DEPENDENCY TEST] Before accession takes effect, the Parties identify machinery that is bilateral, trilateral, or dependent on the number or identity of participating Parties and adopt only the conforming arrangements legally necessary for operation. Institutional adaptation does not supply a substantive amendment that the accession authority does not permit. Chapter 28 governs incorporation relationships and Chapter 27 governs coexistence with other agreements involving the acceding Party. The Registry records the resulting participation architecture and historical versions without creating it.</w:t>
      </w:r>
    </w:p>
    <w:p>
      <w:pPr>
        <w:pStyle w:val="Heading2"/>
      </w:pPr>
      <w:r>
        <w:t>Article 30.9 - Withdrawal Right and Notice</w:t>
      </w:r>
    </w:p>
    <w:p>
      <w:r>
        <w:t>30.9.1 [WITHDRAWAL RIGHT] A Party may withdraw from the Compact by delivering an unequivocal written notice of withdrawal to the depositary through an authorized channel. Withdrawal takes effect six months after the depositary receives the valid notice unless the withdrawing Party and all other then-current Parties agree in writing to another effective date. The notice period preserves the Compact's ordinary operation subject to Article 30.11. Withdrawal from NAAFTC is legally distinct from withdrawal from any other international agreement.</w:t>
      </w:r>
    </w:p>
    <w:p>
      <w:r>
        <w:t>30.9.2 [NOTICE CONTENT] A withdrawal notice identifies the withdrawing Party, the Compact, the domestic or international authority relied upon as appropriate, the date of execution, the intended effective date, and the scope of the act. Withdrawal applies to the Party's participation in the Compact as a whole unless the Compact expressly authorizes partial withdrawal from the identified subject. A notice does not create a broader termination effect merely because it refers to political, economic, or negotiating reasons. The depositary records the notice according to Article 30.3.</w:t>
      </w:r>
    </w:p>
    <w:p>
      <w:r>
        <w:t>30.9.3 [NO IMPLIED WITHDRAWAL] Political rhetoric, threats, negotiating positions, leaked intentions, domestic announcements, administrative non-performance, suspension of meetings, tariff action, litigation positions, or public statements do not constitute withdrawal. Persistent breach does not become withdrawal by accumulation. A Party remains bound until withdrawal becomes legally effective or another valid rule terminates the relevant obligation. Remedies for pre-withdrawal non-performance remain governed by the substantive Compact rather than an implied-exit theory.</w:t>
      </w:r>
    </w:p>
    <w:p>
      <w:r>
        <w:t>30.9.4 [RELATIONSHIP TO OTHER INSTRUMENTS] Withdrawal from NAAFTC does not itself withdraw the Party from CUSMA, a successor agreement, or another international instrument. Withdrawal from another instrument does not itself withdraw the Party from NAAFTC. Incorporated NAAFTC text remains governed by the host instrument and Chapter 28 rather than automatically following the standalone Compact's participation status. Chapter 27 continues to govern the legal relationship among instruments to the extent its provisions remain applicable.</w:t>
      </w:r>
    </w:p>
    <w:p>
      <w:r>
        <w:t>30.9.5 [WITHDRAWAL RECORD] The depositary promptly circulates the withdrawal notice and records the receipt date, stated effective date, corrected effective date if any, withdrawal or replacement of the notice, and final participation status. Registry publication is evidentiary and does not accelerate or postpone the legal effect of the notice. A dispute over notice validity or effect follows the applicable consultation and dispute-settlement route. The historical record remains accessible after withdrawal subject to lawful confidentiality and retention rules.</w:t>
      </w:r>
    </w:p>
    <w:p>
      <w:pPr>
        <w:pStyle w:val="Heading2"/>
      </w:pPr>
      <w:r>
        <w:t>Article 30.10 - Withdrawal Notice Integrity</w:t>
      </w:r>
    </w:p>
    <w:p>
      <w:r>
        <w:t>30.10.1 [UNEQUIVOCAL NOTICE] A withdrawal notice is effective only if a reasonable reader can identify an unequivocal present legal act of withdrawal rather than an intention to consider, negotiate, threaten, recommend, or seek withdrawal later. The notice is interpreted from its authenticated text and legally relevant context without converting political commentary into operative language. A defect that leaves the existence, actor, authority, or scope of the withdrawal legally indeterminate prevents reliance on the notice until corrected. Severable clerical defects that do not create such uncertainty are corrected transparently without restarting the notice period unless applicable law requires otherwise.</w:t>
      </w:r>
    </w:p>
    <w:p>
      <w:r>
        <w:t>30.10.2 [AUTHORIZED DELIVERY] The notice is executed or transmitted by an official or channel legally authorized to communicate the Party's withdrawal. The depositary records the authentication basis available on the face of the submission and does not adjudicate internal political disagreements beyond its ministerial function. A facially unauthorized communication is promptly referred back for confirmation or correction and is not treated as a valid withdrawal merely because it is public. Later valid confirmation states whether it adopts the earlier date where applicable law permits that result.</w:t>
      </w:r>
    </w:p>
    <w:p>
      <w:r>
        <w:t>30.10.3 [CORRECTION OF NOTICE] The withdrawing Party may correct a clerical, dating, identification, or transmission error in its notice through an authenticated written correction. A correction that changes the legal substance, scope, or intended withdrawal decision is treated as a replacement notice unless all affected Parties agree that applicable law permits another treatment. The depositary preserves both the original and corrected records with their dates and relationship. A correction does not erase rights or obligations that accrued before its legally effective consequence.</w:t>
      </w:r>
    </w:p>
    <w:p>
      <w:r>
        <w:t>30.10.4 [WITHDRAWAL OR REPLACEMENT OF NOTICE] Before withdrawal becomes effective, the withdrawing Party may revoke its notice through an authenticated written act if all then-current Parties consent to revocation or if another applicable rule expressly permits unilateral revocation. A replacement notice that changes the intended effective date or legal scope is evaluated as a new legally effective act except to the extent the Parties validly agree otherwise. Revocation or replacement does not retroactively excuse conduct occurring while the original notice remained operative but withdrawal had not yet taken effect. The depositary promptly circulates and records the resulting status.</w:t>
      </w:r>
    </w:p>
    <w:p>
      <w:r>
        <w:t>30.10.5 [NOTICE DISPUTE] A Party challenging the validity, authority, timing, or scope of a withdrawal notice states the challenge with particularity and uses Chapters 25 and 26 as applicable. Pending challenge does not by itself erase the notice or accelerate withdrawal, and interim preservation is available only through authority otherwise supplied by the Compact. The panel or other competent mechanism addresses only the legal question within its assigned jurisdiction and does not decide domestic political merits. The depositary continues ministerial recordkeeping without resolving the dispute.</w:t>
      </w:r>
    </w:p>
    <w:p>
      <w:pPr>
        <w:pStyle w:val="Heading2"/>
      </w:pPr>
      <w:r>
        <w:t>Article 30.11 - Withdrawal Transition</w:t>
      </w:r>
    </w:p>
    <w:p>
      <w:r>
        <w:t>30.11.1 [CONTINUED OBLIGATIONS] During the withdrawal notice period, the withdrawing Party and the remaining Parties continue to perform the Compact according to its ordinary terms unless an express provision authorizes different treatment. Notice of withdrawal does not itself suspend tariff treatment, market access, verification duties, cure obligations, data responsibilities, or dispute-settlement availability. A Party does not anticipate withdrawal by degrading treatment before the effective date. Independently authorized emergency or safeguard action remains available according to its own conditions and is not converted into anticipatory withdrawal.</w:t>
      </w:r>
    </w:p>
    <w:p>
      <w:r>
        <w:t>30.11.2 [NO EARLY WIND DOWN] Institutions, contact points, panels, committees, Registry functions, and administrative channels continue their assigned work during the notice period to the extent necessary for current Compact performance. An institution does not refuse new work solely because withdrawal is approaching where the matter remains within its existing mandate and can legally arise before the effective date. Preparatory wind-down may occur only where it does not impair current rights, deadlines, evidence, access, or remedies. The transition record distinguishes preparation for closure from actual termination of authority.</w:t>
      </w:r>
    </w:p>
    <w:p>
      <w:r>
        <w:t>30.11.3 [PENDING PERFORMANCE] Applications, verifications, consultations, cure plans, restoration processes, reviews, and other matters pending during the notice period continue under their ordinary rules unless a specific transition provision states otherwise. A deadline is not shortened merely to finish before withdrawal. A Party does not delay a matter merely to push it beyond withdrawal. Article 30.13 determines the status of matters still pending when withdrawal becomes effective.</w:t>
      </w:r>
    </w:p>
    <w:p>
      <w:r>
        <w:t>30.11.4 [DATA AND CONFIDENTIALITY] Required data exchange, notice, record preservation, and confidentiality protections continue during the withdrawal period according to the provisions otherwise applicable. A Party may prepare lawful transfer or archival arrangements for records needed after withdrawal without reducing access required before the effective date. Confidential information is not declassified merely because withdrawal has been announced. Chapter 22 provenance and integrity requirements continue for transition records.</w:t>
      </w:r>
    </w:p>
    <w:p>
      <w:r>
        <w:t>30.11.5 [TRANSITION ACCOUNT] The depositary and relevant administrative functions maintain a withdrawal-transition account identifying material pending matters, applicable clocks, surviving dependencies, and expected wind-down functions without deciding substantive entitlements. The account supports continuity and does not create new jurisdiction or conditions. A Party may correct factual errors in the account through the ordinary record process. Omission from the account does not extinguish a right or obligation that exists under the Compact.</w:t>
      </w:r>
    </w:p>
    <w:p>
      <w:pPr>
        <w:pStyle w:val="Heading2"/>
      </w:pPr>
      <w:r>
        <w:t>Article 30.12 - Accrued Rights and Completed Treatment</w:t>
      </w:r>
    </w:p>
    <w:p>
      <w:r>
        <w:t>30.12.1 [ACCRUED CONSEQUENCES] Withdrawal, termination, or another lifecycle event does not erase a legal consequence that became accrued, vested, completed, or finally due while the governing Compact provision was operative. Whether a consequence has that status is determined by the substantive provision that created it and the facts satisfying that provision. Chapter 30 preserves the consequence without converting an uncompleted expectation into a vested right. A Party asserting survival identifies the substantive source, triggering facts, and survival category.</w:t>
      </w:r>
    </w:p>
    <w:p>
      <w:r>
        <w:t>30.12.2 [COMPLETED TRANSACTIONS] A completed importation, exportation, allocation, refund entitlement, credit entitlement, final origin determination, certification, approval, or other completed treatment is not retroactively reassessed solely because withdrawal later occurs. Ordinary correction, fraud, misrepresentation, audit, or enforcement authority that independently applied to the completed matter remains available within its lawful scope and time limits. Withdrawal supplies no new audit period or substantive basis for reassessment. A later correction does not re-age an otherwise expired authority.</w:t>
      </w:r>
    </w:p>
    <w:p>
      <w:r>
        <w:t>30.12.3 [VESTED MARKET ACCESS] A Vested Market-Access Right, Zero-Line Status, completed liberalization milestone, or other protected market-access consequence survives only to the extent the substantive Compact provision gives that consequence continuing legal effect after the relevant lifecycle event. Chapter 30 does not independently make every tariff concession or prospective market-access expectation perpetual. Where the substantive rule establishes permanent or functionally continuing status, withdrawal does not undo that status by retroactive characterization. Any prospective application against a former Party remains bounded by the actual survival rule and applicable international law.</w:t>
      </w:r>
    </w:p>
    <w:p>
      <w:r>
        <w:t>30.12.4 [COMPLETED RECOGNITIONS] A completed SPS recognition, facility listing, laboratory recognition, certification, or comparable regulatory determination receives the post-withdrawal effect assigned by the substantive Chapter and applicable domestic law. Withdrawal alone does not retroactively declare the determination erroneous. Continuing future reliance may require satisfaction of ongoing conditions where the governing recognition regime so provides. A Party does not use Chapter 30 to transform a time-limited or condition-dependent recognition into permanent status.</w:t>
      </w:r>
    </w:p>
    <w:p>
      <w:r>
        <w:t>30.12.5 [SURVIVAL CLASSIFICATION] Each asserted surviving consequence is classified as expiring at the lifecycle event, surviving to complete an accrued matter, surviving for a fixed period, surviving until a defined function ends, or surviving permanently because the substantive right is vested and continuing. The classification traces to the substantive legal source and identifies any end condition. Administrative labels do not substitute for that source. Disagreement over classification follows the applicable consultation and dispute-settlement route.</w:t>
      </w:r>
    </w:p>
    <w:p>
      <w:pPr>
        <w:pStyle w:val="Heading2"/>
      </w:pPr>
      <w:r>
        <w:t>Article 30.13 - Pending Administrative Matters</w:t>
      </w:r>
    </w:p>
    <w:p>
      <w:r>
        <w:t>30.13.1 [PENDING MATTER RULE] A matter pending when withdrawal or termination becomes effective does not automatically disappear and does not automatically become an accrued entitlement. The responsible authority determines the matter's continuation by identifying the operative substantive rule, the stage reached, any accrued legal consequence, and the function that remains to be completed. Continuation authority is limited to what is necessary to finish the surviving function. No new substantive condition is added merely because the matter crosses the withdrawal date.</w:t>
      </w:r>
    </w:p>
    <w:p>
      <w:r>
        <w:t>30.13.2 [APPLICATIONS AND VERIFICATIONS] A pending application, verification, correction request, allocation process, claim, or administrative review continues where the governing substantive rule or accrued-treatment principle requires a post-withdrawal determination. The authority applies the law and evidentiary standards relevant to the conduct or entitlement being determined rather than substituting a post-withdrawal policy preference. A pending filing does not create entitlement where substantive conditions were never satisfied. Records necessary to complete the determination remain available under Articles 30.15 and 30.16.</w:t>
      </w:r>
    </w:p>
    <w:p>
      <w:r>
        <w:t>30.13.3 [CURE AND RESTORATION] A cure plan, verification clock, restoration process, or completed corrective act arising from pre-withdrawal conduct continues to the extent necessary to determine consequences that accrued while the Compact was operative. Chapter 25 remains available within the survival boundary established by Article 30.14. A former Party is not subjected to new prospective obligations merely because a pre-withdrawal cure matter remains open. Restoration affecting a surviving accrued consequence remains available where the substantive Compact authorizes it.</w:t>
      </w:r>
    </w:p>
    <w:p>
      <w:r>
        <w:t>30.13.4 [SUCCESSOR ADMINISTRATION] Where a responsible Compact institution terminates before a surviving administrative function is complete, the wind-down arrangement assigns that function only to an authority legally capable of completing it. Transfer preserves the record, applicable law, deadlines, confidentiality, and limits on discretion. A successor administrator does not obtain broader authority than the terminated body possessed for the surviving matter. If no lawful successor exists, the Parties use the applicable dispute or final-administration mechanism rather than inventing authority by necessity.</w:t>
      </w:r>
    </w:p>
    <w:p>
      <w:r>
        <w:t>30.13.5 [PENDING MATTER RECORD] Each continued matter is recorded with its legal source, pre-withdrawal status, surviving function, responsible authority, applicable deadline, confidentiality status, and closure event. The record supports auditability but does not constitute entitlement or jurisdiction. Closure is recorded when the surviving function is completed or lawfully terminated. Historical access remains governed by Chapter 22 and Article 30.19.</w:t>
      </w:r>
    </w:p>
    <w:p>
      <w:pPr>
        <w:pStyle w:val="Heading2"/>
      </w:pPr>
      <w:r>
        <w:t>Article 30.14 - Pending Consultations and Disputes</w:t>
      </w:r>
    </w:p>
    <w:p>
      <w:r>
        <w:t>30.14.1 [PRE WITHDRAWAL CONDUCT] Chapters 25 and 26 survive withdrawal to the extent necessary to address a consultation, cure, compliance, or dispute question arising from conduct occurring while the relevant Compact obligation was operative. Jurisdiction depends on the underlying legal obligation and temporal facts rather than the date on which a filing happens to be made. Withdrawal does not permit a Party to outrun accountability for pre-withdrawal conduct by delaying consultation or adjudication. No surviving jurisdiction extends to new post-withdrawal conduct unless another surviving obligation independently governs that conduct.</w:t>
      </w:r>
    </w:p>
    <w:p>
      <w:r>
        <w:t>30.14.2 [PENDING PROCEEDINGS] A consultation or dispute already commenced before withdrawal continues under the procedural rules applicable when the relevant proceeding began, subject to any express transition rule. Panel membership, record access, confidentiality, filing rights, and decision authority survive only as needed to complete that proceeding. Withdrawal does not automatically stay, dismiss, or expand the proceeding. A procedural step occurring after withdrawal does not convert the case into jurisdiction over unrelated post-withdrawal conduct.</w:t>
      </w:r>
    </w:p>
    <w:p>
      <w:r>
        <w:t>30.14.3 [LATE FILED ACCRUED CLAIM] A claim concerning pre-withdrawal conduct may be initiated after withdrawal only within the limitation period or filing condition that actually governs the underlying claim. Withdrawal creates no new filing period and does not shorten an existing one unless the Compact expressly provides otherwise. Where no post-withdrawal filing authority exists, Chapter 30 does not manufacture one merely because the alleged conduct occurred earlier. The claimant identifies the surviving jurisdictional basis when commencing the matter.</w:t>
      </w:r>
    </w:p>
    <w:p>
      <w:r>
        <w:t>30.14.4 [REMEDY AND RESTORATION] A remedy concerning pre-withdrawal conduct remains bounded by Chapter 26, the surviving substantive right, proportionality, and the temporal scope of the violation. A panel does not impose a new prospective trade obligation on a former Party unless an independently surviving provision authorizes that consequence. Refunds, credits, corrections, restoration, or other relief already authorized for accrued matters remain available within their lawful scope. Remedy authority ends when the surviving dispute function and any expressly authorized compliance phase are complete.</w:t>
      </w:r>
    </w:p>
    <w:p>
      <w:r>
        <w:t>30.14.5 [DISPUTE WIND DOWN] A surviving panel or dispute function closes after final disposition, authorized reconsideration, compliance determination, restoration, cost allocation where applicable, and required record transfer are complete. It does not retain standing jurisdiction to monitor the former Party generally or develop future policy. Publication and confidentiality duties continue only according to their surviving rules. The Registry records closure without converting the final disposition into authority over later unrelated conduct.</w:t>
      </w:r>
    </w:p>
    <w:p>
      <w:pPr>
        <w:pStyle w:val="Heading2"/>
      </w:pPr>
      <w:r>
        <w:t>Article 30.15 - Survival of Specific Obligations</w:t>
      </w:r>
    </w:p>
    <w:p>
      <w:r>
        <w:t>30.15.1 [SURVIVAL MAP] Survival is determined through an express functional map consisting of the substantive source, surviving subject, duration or end condition, responsible authority, and permitted legal consequence. The Chapter 24 administrative function responsible for treaty records, acting through the Chapter 22 Registry architecture, maintains a ministerial survival map compiled solely from survival rules already established by the Compact, legally effective lifecycle acts, and final determinations within authorized jurisdiction. The map records source, classification, duration, end condition, and responsible authority but does not create, extinguish, enlarge, shorten, or adjudicate survival, and a contested classification obtains no constitutive effect merely from inclusion or omission. A provision survives permanently only where its substantive legal character requires permanent recognition or the Compact expressly so provides, and any disagreement over the map follows the applicable consultation and dispute-settlement route.</w:t>
      </w:r>
    </w:p>
    <w:p>
      <w:r>
        <w:t>30.15.2 [CONFIDENTIALITY AND RECORDS] Confidentiality obligations applicable to information lawfully obtained while the Compact was operative continue for the period and purpose required by the governing confidentiality rule. Record-preservation duties survive for the period reasonably necessary to support accrued matters, lawful audits, surviving disputes, historical authentication, and any fixed retention requirement. Survival does not authorize new collection unrelated to those functions. Access to surviving records remains subject to applicable confidentiality, privacy, security, and Chapter 22 controls.</w:t>
      </w:r>
    </w:p>
    <w:p>
      <w:r>
        <w:t>30.15.3 [PAYMENTS AND COMPLETED DETERMINATIONS] A final refund, credit, payment, allocation consequence, or completed determination that became legally due before withdrawal remains enforceable to the extent the substantive rule supplies that consequence. Ministerial processing necessary to deliver that consequence survives even if the institution that originally made the determination otherwise winds down. No continuing policy discretion survives merely because payment or record completion remains outstanding. Ordinary defenses and correction mechanisms remain available within their independently applicable scope.</w:t>
      </w:r>
    </w:p>
    <w:p>
      <w:r>
        <w:t>30.15.4 [NO ZOMBIE AUTHORITY] Survival of a record, duty, payment, dispute, or accrued consequence does not imply survival of an entire committee, Secretariat mandate, working group, monitoring program, or policy-development power. Only the authority necessary to complete the surviving function continues. A surviving body does not self-renew, expand its budgetary purpose, open unrelated matters, or create successor work by declaring it useful. Article 30.16 governs institutional termination and wind-down.</w:t>
      </w:r>
    </w:p>
    <w:p>
      <w:r>
        <w:t>30.15.5 [SURVIVAL REVIEW AND END] A fixed-period or function-based survivor ends automatically when its stated period expires or its defined function is objectively complete. The responsible authority records closure and transfers or archives records according to the applicable retention rule. Review of whether a function is complete does not itself extend the function beyond the time reasonably necessary to make that determination. A dispute over survival follows Chapters 25 and 26 only to the extent those Chapters themselves validly survive for the question presented.</w:t>
      </w:r>
    </w:p>
    <w:p>
      <w:pPr>
        <w:pStyle w:val="Heading2"/>
      </w:pPr>
      <w:r>
        <w:t>Article 30.16 - Termination of Institutional Authority</w:t>
      </w:r>
    </w:p>
    <w:p>
      <w:r>
        <w:t>30.16.1 [INSTITUTIONAL TERMINATION] When the Compact terminates for all Parties, or when an institution no longer has a legally assigned function because participation has changed, its substantive authority ends except for expressly surviving wind-down functions. Committees, panels, working groups, Secretariat functions, verification bodies, and administrative mechanisms do not continue merely because they possess staff, records, budgets, unfinished policy ideas, or historical practice. Termination of one function does not necessarily terminate another function independently assigned to the same institution. The legal source of each surviving function is recorded.</w:t>
      </w:r>
    </w:p>
    <w:p>
      <w:r>
        <w:t>30.16.2 [WIND DOWN FUNCTIONS] A wind-down function is limited to closing pending matters, completing authorized accrued consequences, transferring records, protecting confidential information, settling authorized administrative accounts, issuing required final notices, and performing another expressly identified closure task. Wind-down does not include new policy development, new substantive guidance, new monitoring mandates, amendment, expansion of jurisdiction, or initiation of unrelated proceedings. The function ends when its defined closure task is complete. Administrative convenience does not extend the period.</w:t>
      </w:r>
    </w:p>
    <w:p>
      <w:r>
        <w:t>30.16.3 [RECORD TRANSFER] A terminating institution transfers records to the depositary, a lawful successor authority, or another repository designated by the Compact or a legally effective wind-down act. Transfer preserves provenance, confidentiality, authentication, access restrictions, version history, and any litigation or audit hold. The receiving authority obtains custody and only the substantive powers independently assigned to it. Record possession does not transfer the terminated institution's former discretion.</w:t>
      </w:r>
    </w:p>
    <w:p>
      <w:r>
        <w:t>30.16.4 [STAFFING AND RESOURCES] Continuation of personnel, contracts, facilities, software, or budgetary arrangements after institutional termination is an administrative matter and does not continue Compact authority. Resources may be maintained temporarily only to complete authorized wind-down functions. No budget line, staffing arrangement, procurement, or service contract constitutes evidence of surviving substantive jurisdiction. The wind-down record identifies the function supported and its expected closure condition.</w:t>
      </w:r>
    </w:p>
    <w:p>
      <w:r>
        <w:t>30.16.5 [NO SELF RENEWAL] An institution cannot preserve itself by recharacterizing expired work as review, technical maintenance, historical monitoring, implementation assistance, or another label outside its surviving mandate. Chapter 29 does not supply a route for institutional self-extension through technical amendment. A new or successor institution requires the legal authority otherwise applicable to its creation. The absence of a convenient administrator does not authorize the old body to remain in office by necessity.</w:t>
      </w:r>
    </w:p>
    <w:p>
      <w:pPr>
        <w:pStyle w:val="Heading2"/>
      </w:pPr>
      <w:r>
        <w:t>Article 30.17 - Bilateral Continuity After One Party Withdraws</w:t>
      </w:r>
    </w:p>
    <w:p>
      <w:r>
        <w:t>30.17.1 [DEFAULT BILATERAL CONTINUITY] Withdrawal by one of the three original Parties does not terminate the Compact between the two remaining Parties. From the withdrawing Party's effective date, provisions capable of lawful bilateral operation continue between the remaining Parties according to their existing substantive terms. A provision genuinely dependent on trilateral participation becomes dormant to the extent of that dependency unless the remaining Parties validly adapt it through an authorized mechanism. Withdrawal therefore does not give one Party a unilateral power to extinguish the other two Parties' severable Compact relationship.</w:t>
      </w:r>
    </w:p>
    <w:p>
      <w:r>
        <w:t>30.17.2 [DEPENDENCY AND SEVERABILITY TEST] A provision is capable of bilateral continuation where its rights, obligations, conditions, evidence, administration, and remedies can operate between the remaining Parties without altering the former Party's legal position or inventing a substantive term. Shared machinery is severed only to the extent its trilateral component is not necessary to the bilateral legal function. Administrative inconvenience, preference for trilateral operation, or historical three-Party practice does not by itself defeat severability. A genuine legal dependency is recorded with the reason the affected function becomes dormant.</w:t>
      </w:r>
    </w:p>
    <w:p>
      <w:r>
        <w:t>30.17.3 [INSTITUTIONAL ADAPTATION] A trilateral institution may continue a severable bilateral function only where the Compact already permits that function or the remaining Parties establish a lawful successor arrangement without expanding substantive authority. Voting, quorum, appointment, and notice rules that literally require three Parties do not silently rewrite themselves to two. Ministerial adaptations may preserve routing and records where they do not alter legal effect. Substantive institutional changes follow the amendment mechanism applicable under Article 30.19.</w:t>
      </w:r>
    </w:p>
    <w:p>
      <w:r>
        <w:t>30.17.4 [SCHEDULES RIGHTS AND DISPUTES] Existing bilateral schedules, rights, obligations, cure routes, and dispute-settlement mechanisms continue between the remaining Parties to the extent they are legally severable and do not require the former Party's participation. A trilateral allocation, common pool, shared threshold, or other inseverable structure does not become a bilateral entitlement through arithmetic convenience. The remaining Parties may negotiate an authorized adaptation without reducing accrued rights by implication. Pending matters involving the former Party remain governed separately by Articles 30.13 through 30.16.</w:t>
      </w:r>
    </w:p>
    <w:p>
      <w:r>
        <w:t>30.17.5 [CONTINUITY RECORD] The remaining Parties prepare a continuity record identifying provisions that continue bilaterally, functions that become dormant, institutional adaptations, surviving schedules, and unresolved dependencies. The record is explanatory and evidentiary and does not itself amend the Compact. A disagreement over bilateral severability follows Chapters 25 and 26 to the extent those mechanisms remain capable of bilateral operation. Later accession under Article 30.8 does not automatically revive a dormant trilateral function unless the applicable legal conditions are satisfied.</w:t>
      </w:r>
    </w:p>
    <w:p>
      <w:pPr>
        <w:pStyle w:val="Heading2"/>
      </w:pPr>
      <w:r>
        <w:t>Article 30.18 - Relationship to CUSMA and Incorporated NAAFTC Text</w:t>
      </w:r>
    </w:p>
    <w:p>
      <w:r>
        <w:t>30.18.1 [SEPARATE PARTICIPATION] Entry into force, withdrawal, termination, or participation change under NAAFTC does not automatically produce the corresponding lifecycle event under CUSMA or another agreement. The legal status of each instrument is determined by its own terms and legally effective acts. Chapter 27 governs coexistence and conflict questions without converting one instrument's lifecycle machinery into another's. Administrative coordination does not merge the instruments.</w:t>
      </w:r>
    </w:p>
    <w:p>
      <w:r>
        <w:t>30.18.2 [INCORPORATED TEXT] NAAFTC text incorporated into another instrument under Chapter 28 receives its legal effect, duration, amendment status, and termination treatment from the valid incorporation act and host instrument. Withdrawal from standalone NAAFTC does not automatically remove text that remains independently operative in a host instrument. Conversely, termination of host-incorporated text does not automatically withdraw a Party from standalone NAAFTC. Each legal address remains separately traceable.</w:t>
      </w:r>
    </w:p>
    <w:p>
      <w:r>
        <w:t>30.18.3 [VERSION AND AMENDMENT BOUNDARY] A NAAFTC amendment does not automatically amend host-incorporated text unless the incorporation mechanism validly provides for that result under Chapter 28. A host-instrument amendment does not automatically amend standalone NAAFTC. Chapter 29 governs technical amendment and bounded dynamic mechanisms within its assigned scope. No lifecycle event creates a dynamic incorporation rule that did not previously exist.</w:t>
      </w:r>
    </w:p>
    <w:p>
      <w:r>
        <w:t>30.18.4 [ACCRUED INCORPORATED TREATMENT] Accrued treatment arising under incorporated NAAFTC text is evaluated under the host instrument, the incorporation act, and Chapter 28's performance-credit and continuity rules. Chapter 30 does not duplicate recovery or create a second entitlement for the same legal performance. Withdrawal from one legal address does not erase a consequence that remains independently accrued under another valid address. A Party asserting continuity identifies the legal source under which the consequence survives.</w:t>
      </w:r>
    </w:p>
    <w:p>
      <w:r>
        <w:t>30.18.5 [COORDINATED RECORD] The Registry maintains coordinated but distinct records of standalone NAAFTC status, host incorporation, applicable versions, participation, amendments, withdrawals, and surviving functions. A coordinated display does not merge legal instruments or resolve a conflict between them. Corrections preserve the historical relationship among versions and legal addresses. A dispute over instrument relationship follows Chapters 27 and 28 and the applicable dispute mechanism.</w:t>
      </w:r>
    </w:p>
    <w:p>
      <w:pPr>
        <w:pStyle w:val="Heading2"/>
      </w:pPr>
      <w:r>
        <w:t>Article 30.19 - Authentic Texts, Amendment, Corrections, Records, and Final Administration</w:t>
      </w:r>
    </w:p>
    <w:p>
      <w:r>
        <w:t>30.19.1 [AUTHENTIC TEXTS] The English, French, and Spanish texts of the Compact are equally authentic unless the Parties expressly provide otherwise in the act adopting the final text. The depositary preserves authenticated originals or legally equivalent authoritative records and provides certified copies on request. A formatting, publication, or conversion difference does not alter legal meaning where the authentic text is ascertainable. A material divergence among authentic texts is addressed through the interpretive and dispute mechanisms applicable under the Compact rather than unilateral editorial correction.</w:t>
      </w:r>
    </w:p>
    <w:p>
      <w:r>
        <w:t>30.19.2 [FORMAL SUBSTANTIVE AMENDMENT] The then-current Parties may amend the Compact through an express written amendment identifying the provisions changed, the replacement or additional text, any affected schedules or dependencies, and the intended effective rule. While three or more Parties remain bound by the same Compact relationship, a Compact-wide substantive amendment requires consent of every then-current Party and completion of any domestic approval process legally required for that Party to be bound, and no subset of those Parties excludes another by asserting that its rights or obligations are unaffected. An amendment states its entry-into-force trigger or effective date and is deposited and circulated under Article 30.3, while a bilateral amendment after a participation change remains governed by paragraph 30.19.3. Review findings, acceleration decisions, technical amendments, Registry entries, institutional practice, or silence do not substitute for this mechanism.</w:t>
      </w:r>
    </w:p>
    <w:p>
      <w:r>
        <w:t>30.19.3 [PARTICIPATION SENSITIVE AMENDMENT AND TERMINATION] Where the Compact continues bilaterally after a withdrawal, the remaining Parties may amend their bilateral Compact relationship only to the extent the amendment does not purport to alter accrued rights, surviving obligations, or legal positions of the former Party, and an amendment intended to operate upon later accession identifies whether and how the new Party consents to that text. All then-current Parties may terminate the Compact in its entirety only through an authenticated written termination agreement identifying the legal authority, required consent, completion of any legally required domestic procedures, effective date, treatment of pending matters, and application of Articles 30.12 through 30.16 to accrued and surviving functions. Inactivity, non-performance, institutional closure, political announcement, administrative abandonment, Registry treatment, or lapse of cooperation does not constitute whole-Compact termination, and a dormant trilateral provision is not revived against a former or acceding Party without the consent legally required for that effect. Amendment and termination authority therefore follow the Parties and legal relationships actually affected, and the depositary records each legally effective act without supplying missing consent or substantive authority.</w:t>
      </w:r>
    </w:p>
    <w:p>
      <w:r>
        <w:t>30.19.4 [TECHNICAL CORRECTIONS AND VERSION CONTROL] A technical correction or amendment that preserves substantive legal effect follows Chapter 29 and does not use paragraph 30.19.2 merely to evade that Chapter's classification and traceability disciplines. An obvious clerical error in an authentic text may be corrected through the authorized technical process with notice, provenance, and a reproducible corrected version. Superseded versions remain historically accessible and are not silently overwritten. The operative version record identifies the legal act producing each change and its effective date.</w:t>
      </w:r>
    </w:p>
    <w:p>
      <w:r>
        <w:t>30.19.5 [FINAL ADMINISTRATION AND RECORDS] Depositary notices, final administrative records, correction histories, amendment instruments, withdrawal records, survival records, and institutional wind-down records are maintained under Chapter 22 and this Chapter. Publication is timely and accessible subject to lawful confidentiality, privacy, and security restrictions. Registry omission does not nullify a legally effective act, and Registry inclusion does not validate an invalid one. Final administrative functions end when their assigned legal purpose and retention obligations are complete.</w:t>
      </w:r>
    </w:p>
    <w:p>
      <w:pPr>
        <w:pStyle w:val="Heading2"/>
      </w:pPr>
      <w:r>
        <w:t>Article 30.20 - Final Anti-Fade, Anti-Bootstrap, and Closure Rule</w:t>
      </w:r>
    </w:p>
    <w:p>
      <w:r>
        <w:t>30.20.1 [ANTI FADE] A right, treatment, determination, refund, credit, completed liberalization consequence, or other legal benefit that the substantive Compact makes accrued or vested does not fade merely because time passes, participation changes, an institution winds down, or an administrative record moves to archival status. Survival remains bounded by the substantive source and does not convert every prospective expectation into a perpetual entitlement. A former Party remains subject only to consequences that validly survive its participation. Administrative closure does not rewrite the legal history of completed performance.</w:t>
      </w:r>
    </w:p>
    <w:p>
      <w:r>
        <w:t>30.20.2 [ANTI BOOTSTRAP] No entry into force, provisional application, accession, amendment, withdrawal, termination, survival, bilateral continuation, or institutional authority arises from silence, practice, convenience, political announcement, Registry entry, administrative necessity, informal agreement, or repeated implementation unless the Compact expressly assigns that legal effect. One defective lifecycle act does not obtain validity by being incorporated into a later administrative step. A lawful later act may cure or replace a defect only to the extent its own authority permits. Every claimed lifecycle consequence remains traceable to a legally effective act.</w:t>
      </w:r>
    </w:p>
    <w:p>
      <w:r>
        <w:t>30.20.3 [NO RETROACTIVE EXIT REASSESSMENT] Withdrawal, termination, or participation change does not by itself authorize retroactive tariff reassessment, cancellation of completed treatment, reopening of a final determination, or recovery of a benefit lawfully received while the Compact applied. Independently applicable authority concerning fraud, material misrepresentation, clerical error, lawful audit, or another pre-existing correction ground remains available within its own scope and limitation period. The lifecycle event creates neither a new correction ground nor a new clock. A correction cannot be used as disguised punishment for withdrawal.</w:t>
      </w:r>
    </w:p>
    <w:p>
      <w:r>
        <w:t>30.20.4 [CLEAN EXIT] Authority that has no surviving legal function ends, while authority necessary to complete an expressly surviving function continues only until that function is complete. No committee, panel, Secretariat function, Registry role, working group, verification mechanism, or administrative office becomes perpetual merely because closure is inconvenient. Records and confidentiality may survive the body that created them. The end of institutional authority does not erase accrued treatment, and survival of accrued treatment does not resurrect institutional authority.</w:t>
      </w:r>
    </w:p>
    <w:p>
      <w:r>
        <w:t>30.20.5 [FINAL TRACEABILITY LOCK] Every operative lifecycle status under the Compact is capable of being traced from the authentic text through the legally effective act, required consent, effective date, applicable version, surviving function, and closure condition. The Parties and administering institutions preserve that chain in records sufficient for independent verification without treating the record itself as constitutive. Where a conflict exists between administrative description and the legally effective source, the legally effective source controls subject to the Compact's dispute mechanisms. This paragraph closes Chapter 30 without creating residual authority beyond the Compact's express terms.</w:t>
      </w:r>
    </w:p>
    <w:p>
      <w:pPr>
        <w:pStyle w:val="Heading1"/>
      </w:pPr>
      <w:r>
        <w:t>Annex A - Covered Agricultural Goods Master Schedule</w:t>
      </w:r>
    </w:p>
    <w:p>
      <w:r>
        <w:t>Annex A operative status: The Articles below govern the Covered Agricultural Goods Master Schedule and its controlled schema. The schema table remains authoritative as to field structure, while tariff classifications and other external baseline data are populated only from traceable official or negotiated sources under Article A.12. No placeholder, illustrative code, or unverified numerical value is treated as operative merely because it appears in a working draft. The Product Record ID, field-level provenance, verification, and version-control rules apply throughout initial population and continuing maintenance.</w:t>
      </w:r>
    </w:p>
    <w:p>
      <w:pPr>
        <w:pStyle w:val="Heading2"/>
      </w:pPr>
      <w:r>
        <w:t xml:space="preserve">Article A.1 - Purpose, Legal Function, and Boundaries</w:t>
      </w:r>
    </w:p>
    <w:p>
      <w:r>
        <w:t>A.1.1 [ANNEX FUNCTION] Annex A establishes the controlled product-identity and coverage record for the agricultural goods governed by this Compact. A record identifies the good, its applicable classification references, its coverage status, its provenance, and the linked Compact schedules or records necessary for administration. Inclusion in Annex A does not by itself establish originating status, tariff entitlement, quota availability, sanitary or phytosanitary admissibility, or satisfaction of another substantive condition. Those consequences arise only from the Chapters and Annexes to which the controlled record validly links.</w:t>
      </w:r>
    </w:p>
    <w:p>
      <w:r>
        <w:t>A.1.2 [IDENTITY CLASSIFICATION COVERAGE SEPARATION] Product identity, tariff classification, Compact coverage, and substantive treatment remain distinct legal functions. A change in one function does not alter another unless the Compact expressly assigns that consequence and the legally required act occurs. Administrators do not infer a tariff concession from classification, infer coverage from origin, or infer origin from inclusion in the Agricultural Universe. Each determination remains traceable to its own legal source and controlled field.</w:t>
      </w:r>
    </w:p>
    <w:p>
      <w:r>
        <w:t>A.1.3 [NO SECRET POLICY] Annex A identifies and records the product universe but does not independently create tariff policy, managed-access quantities, sensitive-sector transitions, reciprocity conditions, vesting consequences, or product-specific rules of origin. Annexes B through G control those assigned subjects where applicable. A routing reference assists navigation and traceability without enlarging the legal scope of the linked Annex. An Annex A maintenance act therefore cannot be used as a substitute for the substantive amendment procedure required by Chapters 29 and 30.</w:t>
      </w:r>
    </w:p>
    <w:p>
      <w:r>
        <w:t>A.1.4 [OMISSION NO LEGAL CHANGE] Administrative omission, database failure, broken linkage, delayed publication, or an unpopulated field does not by itself create, extinguish, expand, or contract substantive coverage. The controlling legal state follows the Compact, the last valid controlled record, and any legally effective determination or amendment applicable to the product. Where an omitted record concerns a product whose legal status is otherwise established, the responsible authority corrects the record without treating the omission as a new policy decision. No Party relies on an administrative omission as the sole basis for denying treatment otherwise due.</w:t>
      </w:r>
    </w:p>
    <w:p>
      <w:pPr>
        <w:pStyle w:val="Heading2"/>
      </w:pPr>
      <w:r>
        <w:t xml:space="preserve">Article A.2 - Product Record ID and Record-Version Architecture</w:t>
      </w:r>
    </w:p>
    <w:p>
      <w:r>
        <w:t>A.2.1 [PERSISTENT PRODUCT RECORD ID] Each product record receives a persistent, unique, machine-safe Product Record ID that serves as the primary key throughout Annex A and every linked Compact system. The identifier is jurisdiction-neutral and is not replaced solely because an HS code, national tariff line, statistical suffix, description, database platform, or responsible agency changes. A retired Product Record ID is never reassigned to another product. The Registry preserves the creation date, creating authority, legal status, and complete identity history for each identifier.</w:t>
      </w:r>
    </w:p>
    <w:p>
      <w:r>
        <w:t>A.2.2 [RECORD VERSION ID] Each legally relevant state of a Product Record receives a distinct Record Version ID without changing the underlying Product Record ID. The version record identifies its effective date, publication date, responsible authority, prior version, change reason, and fields altered. Prior versions remain archived and reproducible for determinations concerning earlier periods. An unversioned administrative copy does not displace the controlled version applicable to the relevant date.</w:t>
      </w:r>
    </w:p>
    <w:p>
      <w:r>
        <w:t>A.2.3 [IDENTITY CONTINUITY] A new Product Record ID is created only where objective product-level evidence establishes that identity continuity cannot accurately be preserved within the existing record. The creating authority records the predecessor relationship, triggering change event, legal basis, and an identity-continuity explanation. A mere nomenclature renumbering or database migration does not satisfy this threshold. Where a product splits or merges, every successor and predecessor relationship remains explicitly mapped.</w:t>
      </w:r>
    </w:p>
    <w:p>
      <w:r>
        <w:t>A.2.4 [NO SUBSTITUTE IDENTIFIERS] HS codes, national tariff lines, commercial names, statistical identifiers, external product identifiers, and database row numbers do not substitute for the Product Record ID in Compact administration. External identifiers may be recorded as reference metadata where useful for interoperability. A linked Annex or Registry function uses the Product Record ID when associating treatment with the product. Technical systems preserve that identifier through migration, replacement, archival, and restoration.</w:t>
      </w:r>
    </w:p>
    <w:p>
      <w:pPr>
        <w:pStyle w:val="Heading2"/>
      </w:pPr>
      <w:r>
        <w:t xml:space="preserve">Article A.3 - Agricultural Universe and Coverage Status</w:t>
      </w:r>
    </w:p>
    <w:p>
      <w:r>
        <w:t>A.3.1 [AGRICULTURAL UNIVERSE] The Agricultural Universe is defined through objective tariff classifications, product descriptions, and express inclusion or exclusion rules adopted under this Compact, and the controlled definition identifies the applicable HS edition and any necessary chapter, heading, subheading, ex-out, or technical boundary criteria. Subjective descriptions such as agricultural character do not control unless accompanied by objective criteria capable of consistent application. Until the controlling Agricultural Universe definition is adopted and recorded, a source-populated candidate universe does not itself establish final Compact coverage, and any unresolved policy boundary remains Pending Negotiation while unresolved classification, source, concordance, or technical evidence follows the Pending Technical Verification rules of Chapter 3. A change to the negotiated universe follows the substantive authority assigned by the Compact rather than ordinary database maintenance.</w:t>
      </w:r>
    </w:p>
    <w:p>
      <w:r>
        <w:t>A.3.2 [COVERAGE STATUS] Each product record carries one of five controlled Coverage Status values: Covered, Excluded, Pending Technical Verification, Pending Negotiation, or Out of Scope, consistently with Articles 3.3.4 and 3.5. Covered identifies a record within Compact coverage, Excluded identifies a record within the Agricultural Universe that an express operative act excludes, and Out of Scope identifies a product outside the controlling Agricultural Universe. Pending Technical Verification applies where classification, source, concordance, or technical evidence remains unresolved, while Pending Negotiation applies where the Parties have not completed the policy determination necessary to assign Covered or Excluded status. A separate condition, trigger, treatment limitation, or temporary legal state is recorded in the field assigned to that function and does not create an additional Coverage Status category.</w:t>
      </w:r>
    </w:p>
    <w:p>
      <w:r>
        <w:t>A.3.3 [ABSENCE RULE] Absence from the published Annex A dataset creates no presumption that a product is excluded from or included in the Compact. Where the substantive coverage rule and authoritative source material establish the product's status, that legal status controls while the administrative omission is corrected. Where the substantive status cannot be determined from controlling sources, the record is treated as Pending rather than administratively invented as Covered or Excluded. This rule prevents clerical omission from either defeating or enlarging the negotiated bargain.</w:t>
      </w:r>
    </w:p>
    <w:p>
      <w:r>
        <w:t>A.3.4 [BOUNDARY AND NOVEL PRODUCTS] A product at the boundary of the Agricultural Universe or a genuinely novel product is classified against the existing objective coverage rules through the administrative and technical authority already assigned by the Compact. That classification determines how the existing legal coverage rule applies to the product but does not authorize an administrator, committee, Registry function, or Party acting alone to expand, contract, or redesign the Agricultural Universe. Where the existing objective rule cannot resolve the negotiated legal boundary, the record remains Pending Negotiation; where classification, source, concordance, or technical evidence remains unresolved under an existing boundary, the record remains Pending Technical Verification until the legally assigned process resolves that issue. Similarity to an existing product may inform technical analysis but does not itself transfer coverage, exclusion, or substantive treatment.</w:t>
      </w:r>
    </w:p>
    <w:p>
      <w:pPr>
        <w:pStyle w:val="Heading2"/>
      </w:pPr>
      <w:r>
        <w:t xml:space="preserve">Article A.4 - Canonical Record Schema</w:t>
      </w:r>
    </w:p>
    <w:p>
      <w:r>
        <w:t>A.4.1 [REQUIRED FIELD FAMILIES] The authoritative schema contains field families for identity, classification, objective description, coverage, units, baseline references, provenance, verification, cross-Annex routing, concordance, change history, and record status. A field is mandatory where its legal function applies to the product and is expressly marked not applicable where the function does not apply. Blank values are not interpreted as negative legal determinations. The published schema defines the permitted values, data type, legal function, and validation rule for each controlled field.</w:t>
      </w:r>
    </w:p>
    <w:p>
      <w:r>
        <w:t>A.4.2 [OBJECTIVE DESCRIPTION] The Objective Product Description identifies the product with sufficient precision to distinguish materially different neighboring records. Technical qualifiers use measurable characteristics, recognized standards, composition thresholds, processing state, end-use criteria only where legally relevant, or other reproducible distinctions. Commercial branding, marketing terminology, or subjective quality descriptions do not control unless the governing tariff classification itself lawfully uses them. An ex-out or other partial classification includes the objective description necessary to identify the covered portion.</w:t>
      </w:r>
    </w:p>
    <w:p>
      <w:r>
        <w:t>A.4.3 [UNITS AND CONVERSIONS] Each record identifies the legally relevant unit of measure and any Party-specific unit necessary to administer linked treatment. A conversion between units identifies the conversion method, source, effective version, and rounding rule where the conversion can affect a legal quantity or threshold. Administrative convenience does not authorize a conversion that changes the substantive quantity represented by the source record. A disputed conversion is flagged at the affected field without altering unrelated fields.</w:t>
      </w:r>
    </w:p>
    <w:p>
      <w:r>
        <w:t>A.4.4 [FIELD GOVERNANCE CLASS] Each controlled field is assigned a fixed Governance Class identifying whether it is operative, evidentiary, administrative, derived, or navigational. A field's Governance Class does not change merely because an administrator changes its value or use. Derived and navigational fields do not independently create substantive rights or obligations. The schema records the legal source that authorizes each operative field and the derivation rule applicable to each derived field.</w:t>
      </w:r>
    </w:p>
    <w:p>
      <w:pPr>
        <w:pStyle w:val="Heading2"/>
      </w:pPr>
      <w:r>
        <w:t xml:space="preserve">Article A.5 - HS Classification and Party-Specific Tariff-Line Mapping</w:t>
      </w:r>
    </w:p>
    <w:p>
      <w:r>
        <w:t>A.5.1 [CLASSIFICATION LAYERS] Each applicable record distinguishes the international HS edition and code from the national tariff-line identifier maintained by each Party. National statistical suffixes and Party-specific subdivisions are recorded separately from the common HS reference. The record identifies the official classification source, effective date, and responsible classification authority for each Party-specific mapping. Different national levels of tariff-line granularity do not create separate product identities solely for that reason.</w:t>
      </w:r>
    </w:p>
    <w:p>
      <w:r>
        <w:t>A.5.2 [CLASSIFICATION METHOD] Where classification depends upon composition, processing state, dimensions, end use, season, or another technical criterion, the record identifies the criterion and objective method used to apply it. Seasonal classification identifies the applicable period and the legal source defining that period. A classification note explains technical distinctions without rewriting the legal tariff description. An advance ruling or customs decision may be recorded with its authority, date, scope, and affected field but does not substitute for controlled record maintenance.</w:t>
      </w:r>
    </w:p>
    <w:p>
      <w:r>
        <w:t>A.5.3 [NO NOMENCLATURE POLICY CHANGE] A nomenclature revision, national tariff-line renumbering, statistical suffix change, or comparable classification maintenance does not by itself expand or contract Compact coverage. The responsible authority maps the former and successor classifications through the concordance procedure in Article A.9. Where the underlying product coverage remains materially unchanged, the Product Record ID persists and the new classification becomes a new controlled version. A substantive coverage change follows the authority required by Chapters 29 and 30.</w:t>
      </w:r>
    </w:p>
    <w:p>
      <w:r>
        <w:t>A.5.4 [CLASSIFICATION HISTORY] The controlled record preserves all prior classifications, effective dates, sources, rulings, and concordance events relevant to the product. Superseded classifications remain retrievable and are not deleted merely because a later nomenclature applies. A reviewer can reconstruct the classification applicable to the product on any legally relevant date. Classification history is evidentiary and does not revive treatment that lawfully expired or create treatment that never existed.</w:t>
      </w:r>
    </w:p>
    <w:p>
      <w:pPr>
        <w:pStyle w:val="Heading2"/>
      </w:pPr>
      <w:r>
        <w:t xml:space="preserve">Article A.6 - Datum-Level Provenance and Source Hierarchy</w:t>
      </w:r>
    </w:p>
    <w:p>
      <w:r>
        <w:t>A.6.1 [DATUM LEVEL PROVENANCE] Every legally material datum in Annex A carries provenance sufficient to identify the authoritative source, source version or edition, source date, retrieval or verification date, and the field to which the source applies. Where a value is derived or transformed, the record preserves the underlying source values and the reproducible derivation method. A citation attached to one field does not automatically verify unrelated fields in the same product record. Aggregation does not erase the provenance of the underlying data.</w:t>
      </w:r>
    </w:p>
    <w:p>
      <w:r>
        <w:t>A.6.2 [SOURCE PRIORITY] For a Compact-created value, the authenticated Compact text and the legally effective Compact act establishing or changing that value control over administrative reproductions, summaries, databases, or derivative material. For a Party-specific tariff classification or other domestic legal datum, the controlling domestic legal instrument or legally authoritative tariff schedule controls, and an official government publication or database serves as evidence of that controlling source according to applicable law. Secondary and derivative sources may corroborate or assist verification but do not override a higher-priority source, and a conflict between sources at the same controlling level is flagged for resolution through the legally competent process rather than resolved by administrative preference. An unresolved source conflict receives no invented operative value merely to complete the dataset, and the record preserves each competing source and the field affected.</w:t>
      </w:r>
    </w:p>
    <w:p>
      <w:r>
        <w:t>A.6.3 [NEGOTIATED VALUES] A value created by the negotiated Compact rather than inherited from an external baseline source is identified as a Negotiated Value. Its provenance records the adopting provision, schedule, amendment, decision, or other legally effective act and the date on which the value becomes operative. Negotiated Values are not mislabeled as independently verified historical facts. Later verification confirms faithful recording of the negotiated value without reopening the policy choice that created it.</w:t>
      </w:r>
    </w:p>
    <w:p>
      <w:r>
        <w:t>A.6.4 [SOURCE CHANGE CONTROL] Replacement, correction, or retirement of a source is recorded with the former source, successor source, effective date, reason, and affected fields. A source update does not silently rewrite a legally operative historical record. Where the new source corrects an objective error, the applicable correction procedure determines the legal effect of that correction. Archived source references remain sufficient to reproduce the evidentiary basis of prior controlled versions.</w:t>
      </w:r>
    </w:p>
    <w:p>
      <w:pPr>
        <w:pStyle w:val="Heading2"/>
      </w:pPr>
      <w:r>
        <w:t xml:space="preserve">Article A.7 - Field-Level Verification and Status Management</w:t>
      </w:r>
    </w:p>
    <w:p>
      <w:r>
        <w:t>A.7.1 [FIELD LEVEL VERIFICATION] Verification attaches to the specific field or datum examined rather than automatically to the entire product record. The verification entry identifies the verifying authority or authorized function, method, date, scope, source, and any material limitation. A partially verified record does not display or imply full-record verification. A subsequent verification may supersede an earlier result while preserving the earlier result in history.</w:t>
      </w:r>
    </w:p>
    <w:p>
      <w:r>
        <w:t>A.7.2 [VERIFICATION STATUS] Permitted verification statuses include Verified Official, Official Source Pending Cross-Check, Concordance Pending, Party Confirmation Required, and Historical or Superseded. The schema may use an equivalent machine-readable code provided the published legal meaning remains unchanged. Verified Official status requires an identifiable authorized verifier and traceable source appropriate to the field. A pending or low-assurance state does not by itself suspend treatment otherwise established by the controlling legal record.</w:t>
      </w:r>
    </w:p>
    <w:p>
      <w:r>
        <w:t>A.7.3 [PENDING VERIFICATION] A pending verification record identifies the reason for the pending state, responsible function, affected fields, and next required verification step. The responsible function addresses material verification backlogs through the Chapter 24 administrative process without creating a new substantive condition for treatment. Administrative delay does not convert an unverified assertion into a verified fact. Treatment consequences arising from uncertainty follow the substantive Chapter governing that consequence.</w:t>
      </w:r>
    </w:p>
    <w:p>
      <w:r>
        <w:t>A.7.4 [VERIFICATION DISAGREEMENT] A disagreement over verification is recorded with the affected field, asserted values, supporting sources, Parties concerned, and applicable consultation or dispute reference. The record preserves the last uncontested controlled value where one exists and identifies any temporary treatment authorized by the substantive Compact. Annex A records the disagreement but does not adjudicate the underlying legal question. Chapters 25 and 26 govern consultation, cure, and dispute settlement to the extent assigned there.</w:t>
      </w:r>
    </w:p>
    <w:p>
      <w:pPr>
        <w:pStyle w:val="Heading2"/>
      </w:pPr>
      <w:r>
        <w:t xml:space="preserve">Article A.8 - Cross-Annex Routing and Dependency Control</w:t>
      </w:r>
    </w:p>
    <w:p>
      <w:r>
        <w:t>A.8.1 [ROUTING FIELDS] Each Product Record contains controlled routing fields for Annexes B, C, D, E, F, G, I, K, and M where those Annexes can apply to that product or its legal state. A routing field identifies the linked record or expressly states No Linked Record Established. A blank, broken, or pending routing field does not by itself establish that no substantive right or obligation exists. The underlying Chapter and authoritative schedule determine legal treatment while a routing defect is corrected.</w:t>
      </w:r>
    </w:p>
    <w:p>
      <w:r>
        <w:t>A.8.2 [LINKAGE BOUNDARY] A cross-Annex linkage provides navigation, dependency information, and traceability but does not expand the scope or authority of either linked record. The linkage identifies its legal basis and the relationship it represents. An administrator does not create sensitive-sector treatment, managed access, reciprocity, vesting, or an origin rule merely by adding a link. A substantive linkage change follows the legal procedure applicable to the underlying treatment.</w:t>
      </w:r>
    </w:p>
    <w:p>
      <w:r>
        <w:t>A.8.3 [LINKAGE CONSISTENCY] Annex A and a linked Annex use the same Product Record ID for the same product identity unless a documented successor relationship applies. Where records diverge, the responsible functions perform cross-Annex reconciliation and preserve both prior states in the audit history. Reconciliation corrects inconsistency but does not authorize a substantive coverage or treatment change. A contested linkage is flagged and routed without suspending unrelated product records.</w:t>
      </w:r>
    </w:p>
    <w:p>
      <w:r>
        <w:t>A.8.4 [DEPENDENCY TRACE] Where operation of a linked record depends upon another Annex, milestone, activation event, or classification state, Annex A records the dependency reference without deciding whether the dependency has legally occurred. The Annex that owns the substantive event determines its occurrence and effect. Annex A updates the routing state after receiving the legally effective source record. This separation prevents the product registry from becoming an independent decision-maker.</w:t>
      </w:r>
    </w:p>
    <w:p>
      <w:pPr>
        <w:pStyle w:val="Heading2"/>
      </w:pPr>
      <w:r>
        <w:t xml:space="preserve">Article A.9 - HS Concordance, Splits, Mergers, and Identity Continuity</w:t>
      </w:r>
    </w:p>
    <w:p>
      <w:r>
        <w:t>A.9.1 [CONCORDANCE RECORD] Every HS revision affecting an Annex A product receives a concordance record identifying the predecessor classification, successor classification, mapping type, effective date, objective mapping rationale, source, and verification status. Mapping types distinguish one-to-one, one-to-many, many-to-one, and other documented relationships. Concordance operates at product level and not merely at code level where a code change could conceal different product coverage. The HS Concordance Register and Annex M architecture preserve the controlled mapping history.</w:t>
      </w:r>
    </w:p>
    <w:p>
      <w:r>
        <w:t>A.9.2 [SPLIT EVENT] Where a predecessor classification splits into multiple successor classifications, each successor record identifies the predecessor Product Record ID and the product-level portion carried forward. The mapping includes a coverage-continuity statement explaining whether the substantive product universe is unchanged or whether a legally authorized substantive change also occurred. A split does not create a new exclusion or additional condition merely because the nomenclature became more granular. Any genuine substantive change is separately identified with its legal authority.</w:t>
      </w:r>
    </w:p>
    <w:p>
      <w:r>
        <w:t>A.9.3 [MERGE EVENT] Where multiple predecessor classifications merge into one successor classification, the successor record preserves every predecessor relationship and the treatment distinctions that remain legally relevant. A merger does not extinguish an inclusion, protected status, or other substantive consequence solely because the new nomenclature combines products. Where different predecessor treatments cannot lawfully be represented by one undifferentiated successor record, the schema retains product-level distinctions or controlled ex-outs. The record identifies the authority for any substantive harmonization rather than attributing it to concordance.</w:t>
      </w:r>
    </w:p>
    <w:p>
      <w:r>
        <w:t>A.9.4 [CONCORDANCE DISPUTE] A disputed concordance is flagged with the competing mappings, affected Product Record IDs, supporting sources, and resolution route. The dispute does not alter unrelated records or permit an administrator to select the commercially harsher mapping merely because resolution is pending. The last uncontested mapping remains the interim reference where legally applicable, subject to any specialized temporary rule in the Compact. Final resolution updates the controlled version and preserves the disputed history.</w:t>
      </w:r>
    </w:p>
    <w:p>
      <w:pPr>
        <w:pStyle w:val="Heading2"/>
      </w:pPr>
      <w:r>
        <w:t xml:space="preserve">Article A.10 - Disputed Records and Temporary Handling</w:t>
      </w:r>
    </w:p>
    <w:p>
      <w:r>
        <w:t>A.10.1 [DISPUTE FLAGS] Annex A distinguishes classification, coverage, verification, provenance, concordance, and linkage disputes through controlled dispute flags. Each flag identifies the affected field, Parties concerned, date recorded, asserted alternatives, source materials, and the procedure responsible for resolution. A dispute flag is informational and does not itself suspend, create, or alter substantive treatment. Multiple related disputes may be administratively associated without expanding the legal scope of any individual dispute.</w:t>
      </w:r>
    </w:p>
    <w:p>
      <w:r>
        <w:t>A.10.2 [LAST UNDISPUTED STATE] Where a dispute affects a controlled value, the record identifies the last undisputed controlled state and the legal period to which that state applied. Continued use of that state during the dispute occurs only where the substantive Compact authorizes or requires that temporary treatment. An erroneous administrative practice unsupported by a valid controlled record does not become the last undisputed legal state merely through repetition. The eventual determination identifies its effective consequence under the Chapter governing the disputed subject.</w:t>
      </w:r>
    </w:p>
    <w:p>
      <w:r>
        <w:t>A.10.3 [NO UNRELATED SUSPENSION] A dispute concerning one Product Record, field, Party-specific mapping, or linkage does not suspend treatment for unrelated products or unrelated fields. Any temporary restriction remains no broader than the uncertainty or authority that justifies it. The responsible authority records the scope and legal source of temporary handling. Chapters 25 and 26 remain available for improper overbreadth, delay, or failure to restore treatment.</w:t>
      </w:r>
    </w:p>
    <w:p>
      <w:r>
        <w:t>A.10.4 [DISPUTE OUTCOME RECORD] When a dispute is resolved, Annex A records the outcome, deciding or resolving authority, effective date, affected fields, required correction, and any linked schedule consequence. The record preserves the dispute history and prior controlled versions. A product-specific outcome does not become precedent for a different record unless the governing legal rule independently applies to that record. Publication of the outcome follows the confidentiality and transparency requirements applicable under Chapters 22, 25, and 26.</w:t>
      </w:r>
    </w:p>
    <w:p>
      <w:pPr>
        <w:pStyle w:val="Heading2"/>
      </w:pPr>
      <w:r>
        <w:t xml:space="preserve">Article A.11 - Corrections, Version Control, and Publication</w:t>
      </w:r>
    </w:p>
    <w:p>
      <w:r>
        <w:t>A.11.1 [CORRECTION RECORD] Every correction identifies the prior value, corrected value, affected field, reason, legal classification of the change, responsible authority, and effective treatment. Clerical and technical corrections follow the bounded procedures in Chapter 3 and Chapter 29, while substantive changes follow the authority required by Chapter 30 and any applicable schedule-modification rule. A correction record is never deleted when a later version supersedes it. Characterizing a change as correction does not shield a substantive legal effect from the required approval process.</w:t>
      </w:r>
    </w:p>
    <w:p>
      <w:r>
        <w:t>A.11.2 [VERSION HISTORY] Each controlled version remains archived with sufficient metadata to reconstruct the record as it existed on its effective date. Version history identifies additions, removals, corrections, source changes, verification changes, concordance events, routing changes, and substantive acts. Comparison tools may assist reviewers but do not replace the authoritative version records. A publication or software error is corrected without rewriting historical legal effect by implication.</w:t>
      </w:r>
    </w:p>
    <w:p>
      <w:r>
        <w:t>A.11.3 [FORMAT NEUTRAL AUTHORITY] Annex A is published in accessible human-readable and machine-readable forms that reproduce the same authoritative controlled data, and each controlled release is identified by an authenticated version manifest maintained through the Chapter 22 Registry and Chapter 24 administrative architecture. The manifest identifies the dataset version, schema version, effective timestamp or date, responsible authority, publication reference, and a reproducible completeness marker such as the controlled record count or equivalent integrity indicator, but the manifest does not create or alter substantive coverage or treatment. Legal authority resides in the authenticated Compact, legally effective acts, and operative controlled fields identified through that manifest rather than in a particular file format, database vendor, application programming interface, or rendering technology. Failure of one publication channel, a mismatch between renderings, or a technical platform change does not postpone treatment otherwise due, and any discrepancy is corrected against the authenticated controlled release with the correction history preserved.</w:t>
      </w:r>
    </w:p>
    <w:p>
      <w:r>
        <w:t>A.11.4 [PUBLICATION CONTROL] Each published release identifies the dataset version, effective date, publication date, schema version, and change record. Material publication defects are corrected promptly and the correction preserves the prior publication for audit purposes. Confidential or protected material is handled under Chapter 22 without concealing the operative public fields needed to understand product coverage and treatment routing. Publication metrics or technical service levels do not themselves create substantive trade obligations.</w:t>
      </w:r>
    </w:p>
    <w:p>
      <w:pPr>
        <w:pStyle w:val="Heading2"/>
      </w:pPr>
      <w:r>
        <w:t xml:space="preserve">Article A.12 - Initial Population, Sequencing, and Completion</w:t>
      </w:r>
    </w:p>
    <w:p>
      <w:r>
        <w:t>A.12.1 [INITIAL POPULATION METHOD] Initial Annex A population proceeds from traceable official sources and negotiated Compact records using the schema and provenance requirements of this Annex. Population may occur in controlled phases where the full agricultural universe cannot be verified simultaneously. Sequencing considers trade significance, tariff and managed-access relevance, sensitivity, data availability, and administrative feasibility without changing the legal coverage established by the Compact. A record is not represented as fully verified merely because it was populated early.</w:t>
      </w:r>
    </w:p>
    <w:p>
      <w:r>
        <w:t>A.12.2 [POPULATION STATUS] Each expected record or defined population segment carries a Population Status identifying whether it is Populated, Pending Population, Under Verification, or Complete for the applicable implementation stage. The status identifies the responsible function and next required step where work remains. Population status is administrative and does not create or defeat substantive treatment otherwise due. The Chapter 24 administration reports material completion gaps through the Chapter 22 Registry architecture without converting progress metrics into new legal conditions.</w:t>
      </w:r>
    </w:p>
    <w:p>
      <w:r>
        <w:t>A.12.3 [PARTY CONFIRMATION AND CORRECTION] A Party may confirm, correct, or contest Party-specific source fields through the controlled verification process without obtaining unilateral authority over the common Product Record identity. Confirmation records the field verified, source, authority, date, and any limitation. A Party-specific correction affecting another Party's rights or a common substantive field follows the legal process applicable to that effect. Unresolved disagreement remains visibly recorded rather than being concealed by a nominal completion status.</w:t>
      </w:r>
    </w:p>
    <w:p>
      <w:r>
        <w:t>A.12.4 [COMPLETION AND CONTINUING MAINTENANCE] Initial population is complete when the required product universe has controlled records sufficient to administer the Compact and all material unresolved fields are expressly identified rather than silently omitted. Completion does not freeze Annex A against later HS revisions, lawful corrections, new products, or legally authorized substantive changes. Continuing maintenance follows Articles A.6 through A.11 and the relevant Chapters of the Compact. The responsible functions preserve identity continuity, provenance, verification scope, and version history throughout the life of the Compact.</w:t>
      </w:r>
    </w:p>
    <w:tbl>
      <w:tblPr>
        <w:tblStyle w:val="TableGrid"/>
        <w:tblW w:type="dxa" w:w="9994"/>
        <w:jc w:val="center"/>
        <w:tblLayout w:type="fixed"/>
        <w:tblLook w:firstColumn="1" w:firstRow="1" w:lastColumn="0" w:lastRow="0" w:noHBand="0" w:noVBand="1" w:val="04A0"/>
      </w:tblPr>
      <w:tblGrid>
        <w:gridCol w:w="2498"/>
        <w:gridCol w:w="2498"/>
        <w:gridCol w:w="2498"/>
        <w:gridCol w:w="2500"/>
      </w:tblGrid>
      <w:tr>
        <w:tc>
          <w:tcPr>
            <w:tcW w:type="dxa" w:w="2498"/>
          </w:tcPr>
          <w:p>
            <w:pPr>
              <w:spacing w:before="20" w:after="20"/>
            </w:pPr>
            <w:r>
              <w:rPr>
                <w:sz w:val="16"/>
                <w:szCs w:val="16"/>
              </w:rPr>
              <w:t>Field</w:t>
            </w:r>
          </w:p>
        </w:tc>
        <w:tc>
          <w:tcPr>
            <w:tcW w:type="dxa" w:w="2498"/>
          </w:tcPr>
          <w:p>
            <w:pPr>
              <w:spacing w:before="20" w:after="20"/>
            </w:pPr>
            <w:r>
              <w:rPr>
                <w:sz w:val="16"/>
                <w:szCs w:val="16"/>
              </w:rPr>
              <w:t>Governance Class (Fixed Schema Attribute)</w:t>
            </w:r>
          </w:p>
        </w:tc>
        <w:tc>
          <w:tcPr>
            <w:tcW w:type="dxa" w:w="2498"/>
          </w:tcPr>
          <w:p>
            <w:pPr>
              <w:spacing w:before="20" w:after="20"/>
            </w:pPr>
            <w:r>
              <w:rPr>
                <w:sz w:val="16"/>
                <w:szCs w:val="16"/>
              </w:rPr>
              <w:t>Function</w:t>
            </w:r>
          </w:p>
        </w:tc>
        <w:tc>
          <w:tcPr>
            <w:tcW w:type="dxa" w:w="2500"/>
          </w:tcPr>
          <w:p>
            <w:pPr>
              <w:spacing w:before="20" w:after="20"/>
            </w:pPr>
            <w:r>
              <w:rPr>
                <w:sz w:val="16"/>
                <w:szCs w:val="16"/>
              </w:rPr>
              <w:t>Required Content</w:t>
            </w:r>
          </w:p>
        </w:tc>
        <w:trPr>
          <w:tblHeader/>
        </w:trPr>
      </w:tr>
      <w:tr>
        <w:tc>
          <w:tcPr>
            <w:tcW w:type="dxa" w:w="2498"/>
            <w:vAlign w:val="top"/>
          </w:tcPr>
          <w:p>
            <w:pPr>
              <w:spacing w:before="20" w:after="20"/>
            </w:pPr>
            <w:r>
              <w:rPr>
                <w:sz w:val="16"/>
                <w:szCs w:val="16"/>
              </w:rPr>
              <w:t>Product Record ID</w:t>
            </w:r>
          </w:p>
        </w:tc>
        <w:tc>
          <w:tcPr>
            <w:tcW w:type="dxa" w:w="2498"/>
            <w:vAlign w:val="top"/>
          </w:tcPr>
          <w:p>
            <w:pPr>
              <w:spacing w:before="20" w:after="20"/>
            </w:pPr>
            <w:r>
              <w:rPr>
                <w:sz w:val="16"/>
                <w:szCs w:val="16"/>
              </w:rPr>
              <w:t>Operative Field</w:t>
            </w:r>
          </w:p>
        </w:tc>
        <w:tc>
          <w:tcPr>
            <w:tcW w:type="dxa" w:w="2498"/>
            <w:vAlign w:val="top"/>
          </w:tcPr>
          <w:p>
            <w:pPr>
              <w:spacing w:before="20" w:after="20"/>
            </w:pPr>
            <w:r>
              <w:rPr>
                <w:sz w:val="16"/>
                <w:szCs w:val="16"/>
              </w:rPr>
              <w:t>Operative linkage</w:t>
            </w:r>
          </w:p>
        </w:tc>
        <w:tc>
          <w:tcPr>
            <w:tcW w:type="dxa" w:w="2500"/>
            <w:vAlign w:val="top"/>
          </w:tcPr>
          <w:p>
            <w:pPr>
              <w:spacing w:before="20" w:after="20"/>
            </w:pPr>
            <w:r>
              <w:rPr>
                <w:sz w:val="16"/>
                <w:szCs w:val="16"/>
              </w:rPr>
              <w:t>Persistent unique identifier used across Annexes and ALVS.</w:t>
            </w:r>
          </w:p>
        </w:tc>
      </w:tr>
      <w:tr>
        <w:tc>
          <w:tcPr>
            <w:tcW w:type="dxa" w:w="2498"/>
            <w:vAlign w:val="top"/>
          </w:tcPr>
          <w:p>
            <w:pPr>
              <w:spacing w:before="20" w:after="20"/>
            </w:pPr>
            <w:r>
              <w:rPr>
                <w:sz w:val="16"/>
                <w:szCs w:val="16"/>
              </w:rPr>
              <w:t>Party</w:t>
            </w:r>
          </w:p>
        </w:tc>
        <w:tc>
          <w:tcPr>
            <w:tcW w:type="dxa" w:w="2498"/>
            <w:vAlign w:val="top"/>
          </w:tcPr>
          <w:p>
            <w:pPr>
              <w:spacing w:before="20" w:after="20"/>
            </w:pPr>
            <w:r>
              <w:rPr>
                <w:sz w:val="16"/>
                <w:szCs w:val="16"/>
              </w:rPr>
              <w:t>Operative Field</w:t>
            </w:r>
          </w:p>
        </w:tc>
        <w:tc>
          <w:tcPr>
            <w:tcW w:type="dxa" w:w="2498"/>
            <w:vAlign w:val="top"/>
          </w:tcPr>
          <w:p>
            <w:pPr>
              <w:spacing w:before="20" w:after="20"/>
            </w:pPr>
            <w:r>
              <w:rPr>
                <w:sz w:val="16"/>
                <w:szCs w:val="16"/>
              </w:rPr>
              <w:t>Operative</w:t>
            </w:r>
          </w:p>
        </w:tc>
        <w:tc>
          <w:tcPr>
            <w:tcW w:type="dxa" w:w="2500"/>
            <w:vAlign w:val="top"/>
          </w:tcPr>
          <w:p>
            <w:pPr>
              <w:spacing w:before="20" w:after="20"/>
            </w:pPr>
            <w:r>
              <w:rPr>
                <w:sz w:val="16"/>
                <w:szCs w:val="16"/>
              </w:rPr>
              <w:t>Canada, United States, or Mexico.</w:t>
            </w:r>
          </w:p>
        </w:tc>
      </w:tr>
      <w:tr>
        <w:tc>
          <w:tcPr>
            <w:tcW w:type="dxa" w:w="2498"/>
            <w:vAlign w:val="top"/>
          </w:tcPr>
          <w:p>
            <w:pPr>
              <w:spacing w:before="20" w:after="20"/>
            </w:pPr>
            <w:r>
              <w:rPr>
                <w:sz w:val="16"/>
                <w:szCs w:val="16"/>
              </w:rPr>
              <w:t>HS Edition / Version</w:t>
            </w:r>
          </w:p>
        </w:tc>
        <w:tc>
          <w:tcPr>
            <w:tcW w:type="dxa" w:w="2498"/>
            <w:vAlign w:val="top"/>
          </w:tcPr>
          <w:p>
            <w:pPr>
              <w:spacing w:before="20" w:after="20"/>
            </w:pPr>
            <w:r>
              <w:rPr>
                <w:sz w:val="16"/>
                <w:szCs w:val="16"/>
              </w:rPr>
              <w:t>Operative Field</w:t>
            </w:r>
          </w:p>
        </w:tc>
        <w:tc>
          <w:tcPr>
            <w:tcW w:type="dxa" w:w="2498"/>
            <w:vAlign w:val="top"/>
          </w:tcPr>
          <w:p>
            <w:pPr>
              <w:spacing w:before="20" w:after="20"/>
            </w:pPr>
            <w:r>
              <w:rPr>
                <w:sz w:val="16"/>
                <w:szCs w:val="16"/>
              </w:rPr>
              <w:t>Operative classification</w:t>
            </w:r>
          </w:p>
        </w:tc>
        <w:tc>
          <w:tcPr>
            <w:tcW w:type="dxa" w:w="2500"/>
            <w:vAlign w:val="top"/>
          </w:tcPr>
          <w:p>
            <w:pPr>
              <w:spacing w:before="20" w:after="20"/>
            </w:pPr>
            <w:r>
              <w:rPr>
                <w:sz w:val="16"/>
                <w:szCs w:val="16"/>
              </w:rPr>
              <w:t>Applicable HS edition, such as HS 2022 or successor edition.</w:t>
            </w:r>
          </w:p>
        </w:tc>
      </w:tr>
      <w:tr>
        <w:tc>
          <w:tcPr>
            <w:tcW w:type="dxa" w:w="2498"/>
            <w:vAlign w:val="top"/>
          </w:tcPr>
          <w:p>
            <w:pPr>
              <w:spacing w:before="20" w:after="20"/>
            </w:pPr>
            <w:r>
              <w:rPr>
                <w:sz w:val="16"/>
                <w:szCs w:val="16"/>
              </w:rPr>
              <w:t>HS Code</w:t>
            </w:r>
          </w:p>
        </w:tc>
        <w:tc>
          <w:tcPr>
            <w:tcW w:type="dxa" w:w="2498"/>
            <w:vAlign w:val="top"/>
          </w:tcPr>
          <w:p>
            <w:pPr>
              <w:spacing w:before="20" w:after="20"/>
            </w:pPr>
            <w:r>
              <w:rPr>
                <w:sz w:val="16"/>
                <w:szCs w:val="16"/>
              </w:rPr>
              <w:t>Operative Field</w:t>
            </w:r>
          </w:p>
        </w:tc>
        <w:tc>
          <w:tcPr>
            <w:tcW w:type="dxa" w:w="2498"/>
            <w:vAlign w:val="top"/>
          </w:tcPr>
          <w:p>
            <w:pPr>
              <w:spacing w:before="20" w:after="20"/>
            </w:pPr>
            <w:r>
              <w:rPr>
                <w:sz w:val="16"/>
                <w:szCs w:val="16"/>
              </w:rPr>
              <w:t>Operative classification</w:t>
            </w:r>
          </w:p>
        </w:tc>
        <w:tc>
          <w:tcPr>
            <w:tcW w:type="dxa" w:w="2500"/>
            <w:vAlign w:val="top"/>
          </w:tcPr>
          <w:p>
            <w:pPr>
              <w:spacing w:before="20" w:after="20"/>
            </w:pPr>
            <w:r>
              <w:rPr>
                <w:sz w:val="16"/>
                <w:szCs w:val="16"/>
              </w:rPr>
              <w:t>International HS classification applicable to the record.</w:t>
            </w:r>
          </w:p>
        </w:tc>
      </w:tr>
      <w:tr>
        <w:tc>
          <w:tcPr>
            <w:tcW w:type="dxa" w:w="2498"/>
            <w:vAlign w:val="top"/>
          </w:tcPr>
          <w:p>
            <w:pPr>
              <w:spacing w:before="20" w:after="20"/>
            </w:pPr>
            <w:r>
              <w:rPr>
                <w:sz w:val="16"/>
                <w:szCs w:val="16"/>
              </w:rPr>
              <w:t>National Tariff-Line Identifier</w:t>
            </w:r>
          </w:p>
        </w:tc>
        <w:tc>
          <w:tcPr>
            <w:tcW w:type="dxa" w:w="2498"/>
            <w:vAlign w:val="top"/>
          </w:tcPr>
          <w:p>
            <w:pPr>
              <w:spacing w:before="20" w:after="20"/>
            </w:pPr>
            <w:r>
              <w:rPr>
                <w:sz w:val="16"/>
                <w:szCs w:val="16"/>
              </w:rPr>
              <w:t>Operative Field</w:t>
            </w:r>
          </w:p>
        </w:tc>
        <w:tc>
          <w:tcPr>
            <w:tcW w:type="dxa" w:w="2498"/>
            <w:vAlign w:val="top"/>
          </w:tcPr>
          <w:p>
            <w:pPr>
              <w:spacing w:before="20" w:after="20"/>
            </w:pPr>
            <w:r>
              <w:rPr>
                <w:sz w:val="16"/>
                <w:szCs w:val="16"/>
              </w:rPr>
              <w:t>Operative classification</w:t>
            </w:r>
          </w:p>
        </w:tc>
        <w:tc>
          <w:tcPr>
            <w:tcW w:type="dxa" w:w="2500"/>
            <w:vAlign w:val="top"/>
          </w:tcPr>
          <w:p>
            <w:pPr>
              <w:spacing w:before="20" w:after="20"/>
            </w:pPr>
            <w:r>
              <w:rPr>
                <w:sz w:val="16"/>
                <w:szCs w:val="16"/>
              </w:rPr>
              <w:t>Domestic tariff extension or line identifier, recorded separately from HS code.</w:t>
            </w:r>
          </w:p>
        </w:tc>
      </w:tr>
      <w:tr>
        <w:tc>
          <w:tcPr>
            <w:tcW w:type="dxa" w:w="2498"/>
            <w:vAlign w:val="top"/>
          </w:tcPr>
          <w:p>
            <w:pPr>
              <w:spacing w:before="20" w:after="20"/>
            </w:pPr>
            <w:r>
              <w:rPr>
                <w:sz w:val="16"/>
                <w:szCs w:val="16"/>
              </w:rPr>
              <w:t>Objective Product Description</w:t>
            </w:r>
          </w:p>
        </w:tc>
        <w:tc>
          <w:tcPr>
            <w:tcW w:type="dxa" w:w="2498"/>
            <w:vAlign w:val="top"/>
          </w:tcPr>
          <w:p>
            <w:pPr>
              <w:spacing w:before="20" w:after="20"/>
            </w:pPr>
            <w:r>
              <w:rPr>
                <w:sz w:val="16"/>
                <w:szCs w:val="16"/>
              </w:rPr>
              <w:t>Operative Field</w:t>
            </w:r>
          </w:p>
        </w:tc>
        <w:tc>
          <w:tcPr>
            <w:tcW w:type="dxa" w:w="2498"/>
            <w:vAlign w:val="top"/>
          </w:tcPr>
          <w:p>
            <w:pPr>
              <w:spacing w:before="20" w:after="20"/>
            </w:pPr>
            <w:r>
              <w:rPr>
                <w:sz w:val="16"/>
                <w:szCs w:val="16"/>
              </w:rPr>
              <w:t>Operative</w:t>
            </w:r>
          </w:p>
        </w:tc>
        <w:tc>
          <w:tcPr>
            <w:tcW w:type="dxa" w:w="2500"/>
            <w:vAlign w:val="top"/>
          </w:tcPr>
          <w:p>
            <w:pPr>
              <w:spacing w:before="20" w:after="20"/>
            </w:pPr>
            <w:r>
              <w:rPr>
                <w:sz w:val="16"/>
                <w:szCs w:val="16"/>
              </w:rPr>
              <w:t>Legally relevant product description.</w:t>
            </w:r>
          </w:p>
        </w:tc>
      </w:tr>
      <w:tr>
        <w:tc>
          <w:tcPr>
            <w:tcW w:type="dxa" w:w="2498"/>
            <w:vAlign w:val="top"/>
          </w:tcPr>
          <w:p>
            <w:pPr>
              <w:spacing w:before="20" w:after="20"/>
            </w:pPr>
            <w:r>
              <w:rPr>
                <w:sz w:val="16"/>
                <w:szCs w:val="16"/>
              </w:rPr>
              <w:t>Technical Qualifiers</w:t>
            </w:r>
          </w:p>
        </w:tc>
        <w:tc>
          <w:tcPr>
            <w:tcW w:type="dxa" w:w="2498"/>
            <w:vAlign w:val="top"/>
          </w:tcPr>
          <w:p>
            <w:pPr>
              <w:spacing w:before="20" w:after="20"/>
            </w:pPr>
            <w:r>
              <w:rPr>
                <w:sz w:val="16"/>
                <w:szCs w:val="16"/>
              </w:rPr>
              <w:t>Operative Field</w:t>
            </w:r>
          </w:p>
        </w:tc>
        <w:tc>
          <w:tcPr>
            <w:tcW w:type="dxa" w:w="2498"/>
            <w:vAlign w:val="top"/>
          </w:tcPr>
          <w:p>
            <w:pPr>
              <w:spacing w:before="20" w:after="20"/>
            </w:pPr>
            <w:r>
              <w:rPr>
                <w:sz w:val="16"/>
                <w:szCs w:val="16"/>
              </w:rPr>
              <w:t>Operative where applicable</w:t>
            </w:r>
          </w:p>
        </w:tc>
        <w:tc>
          <w:tcPr>
            <w:tcW w:type="dxa" w:w="2500"/>
            <w:vAlign w:val="top"/>
          </w:tcPr>
          <w:p>
            <w:pPr>
              <w:spacing w:before="20" w:after="20"/>
            </w:pPr>
            <w:r>
              <w:rPr>
                <w:sz w:val="16"/>
                <w:szCs w:val="16"/>
              </w:rPr>
              <w:t>Composition, processing state, end use, season, weight, ex-out, or other measurable qualifier.</w:t>
            </w:r>
          </w:p>
        </w:tc>
      </w:tr>
      <w:tr>
        <w:tc>
          <w:tcPr>
            <w:tcW w:type="dxa" w:w="2498"/>
            <w:vAlign w:val="top"/>
          </w:tcPr>
          <w:p>
            <w:pPr>
              <w:spacing w:before="20" w:after="20"/>
            </w:pPr>
            <w:r>
              <w:rPr>
                <w:sz w:val="16"/>
                <w:szCs w:val="16"/>
              </w:rPr>
              <w:t>Coverage Status</w:t>
            </w:r>
          </w:p>
        </w:tc>
        <w:tc>
          <w:tcPr>
            <w:tcW w:type="dxa" w:w="2498"/>
            <w:vAlign w:val="top"/>
          </w:tcPr>
          <w:p>
            <w:pPr>
              <w:spacing w:before="20" w:after="20"/>
            </w:pPr>
            <w:r>
              <w:rPr>
                <w:sz w:val="16"/>
                <w:szCs w:val="16"/>
              </w:rPr>
              <w:t>Operative Field</w:t>
            </w:r>
          </w:p>
        </w:tc>
        <w:tc>
          <w:tcPr>
            <w:tcW w:type="dxa" w:w="2498"/>
            <w:vAlign w:val="top"/>
          </w:tcPr>
          <w:p>
            <w:pPr>
              <w:spacing w:before="20" w:after="20"/>
            </w:pPr>
            <w:r>
              <w:rPr>
                <w:sz w:val="16"/>
                <w:szCs w:val="16"/>
              </w:rPr>
              <w:t>Coverage determination</w:t>
            </w:r>
          </w:p>
        </w:tc>
        <w:tc>
          <w:tcPr>
            <w:tcW w:type="dxa" w:w="2500"/>
            <w:vAlign w:val="top"/>
          </w:tcPr>
          <w:p>
            <w:pPr>
              <w:spacing w:before="20" w:after="20"/>
            </w:pPr>
            <w:r>
              <w:rPr>
                <w:sz w:val="16"/>
                <w:szCs w:val="16"/>
              </w:rPr>
              <w:t>Covered, Excluded, Pending Technical Verification, Pending Negotiation, or Out of Scope.</w:t>
            </w:r>
          </w:p>
        </w:tc>
      </w:tr>
      <w:tr>
        <w:tc>
          <w:tcPr>
            <w:tcW w:type="dxa" w:w="2498"/>
            <w:vAlign w:val="top"/>
          </w:tcPr>
          <w:p>
            <w:pPr>
              <w:spacing w:before="20" w:after="20"/>
            </w:pPr>
            <w:r>
              <w:rPr>
                <w:sz w:val="16"/>
                <w:szCs w:val="16"/>
              </w:rPr>
              <w:t>Baseline Treatment</w:t>
            </w:r>
          </w:p>
        </w:tc>
        <w:tc>
          <w:tcPr>
            <w:tcW w:type="dxa" w:w="2498"/>
            <w:vAlign w:val="top"/>
          </w:tcPr>
          <w:p>
            <w:pPr>
              <w:spacing w:before="20" w:after="20"/>
            </w:pPr>
            <w:r>
              <w:rPr>
                <w:sz w:val="16"/>
                <w:szCs w:val="16"/>
              </w:rPr>
              <w:t>Administrative Metadata Field</w:t>
            </w:r>
          </w:p>
        </w:tc>
        <w:tc>
          <w:tcPr>
            <w:tcW w:type="dxa" w:w="2498"/>
            <w:vAlign w:val="top"/>
          </w:tcPr>
          <w:p>
            <w:pPr>
              <w:spacing w:before="20" w:after="20"/>
            </w:pPr>
            <w:r>
              <w:rPr>
                <w:sz w:val="16"/>
                <w:szCs w:val="16"/>
              </w:rPr>
              <w:t>Verified baseline source fact</w:t>
            </w:r>
          </w:p>
        </w:tc>
        <w:tc>
          <w:tcPr>
            <w:tcW w:type="dxa" w:w="2500"/>
            <w:vAlign w:val="top"/>
          </w:tcPr>
          <w:p>
            <w:pPr>
              <w:spacing w:before="20" w:after="20"/>
            </w:pPr>
            <w:r>
              <w:rPr>
                <w:sz w:val="16"/>
                <w:szCs w:val="16"/>
              </w:rPr>
              <w:t>Existing duty form, TRQ status, quantity condition, allocation mechanism, or other relevant pre-NAAFTC baseline treatment; this field records the starting state and does not itself create NAAFTC treatment.</w:t>
            </w:r>
          </w:p>
        </w:tc>
      </w:tr>
      <w:tr>
        <w:tc>
          <w:tcPr>
            <w:tcW w:type="dxa" w:w="2498"/>
            <w:vAlign w:val="top"/>
          </w:tcPr>
          <w:p>
            <w:pPr>
              <w:spacing w:before="20" w:after="20"/>
            </w:pPr>
            <w:r>
              <w:rPr>
                <w:sz w:val="16"/>
                <w:szCs w:val="16"/>
              </w:rPr>
              <w:t>Baseline Source Citation / Legal Basis</w:t>
            </w:r>
          </w:p>
        </w:tc>
        <w:tc>
          <w:tcPr>
            <w:tcW w:type="dxa" w:w="2498"/>
            <w:vAlign w:val="top"/>
          </w:tcPr>
          <w:p>
            <w:pPr>
              <w:spacing w:before="20" w:after="20"/>
            </w:pPr>
            <w:r>
              <w:rPr>
                <w:sz w:val="16"/>
                <w:szCs w:val="16"/>
              </w:rPr>
              <w:t>Administrative Metadata Field</w:t>
            </w:r>
          </w:p>
        </w:tc>
        <w:tc>
          <w:tcPr>
            <w:tcW w:type="dxa" w:w="2498"/>
            <w:vAlign w:val="top"/>
          </w:tcPr>
          <w:p>
            <w:pPr>
              <w:spacing w:before="20" w:after="20"/>
            </w:pPr>
            <w:r>
              <w:rPr>
                <w:sz w:val="16"/>
                <w:szCs w:val="16"/>
              </w:rPr>
              <w:t>Baseline provenance</w:t>
            </w:r>
          </w:p>
        </w:tc>
        <w:tc>
          <w:tcPr>
            <w:tcW w:type="dxa" w:w="2500"/>
            <w:vAlign w:val="top"/>
          </w:tcPr>
          <w:p>
            <w:pPr>
              <w:spacing w:before="20" w:after="20"/>
            </w:pPr>
            <w:r>
              <w:rPr>
                <w:sz w:val="16"/>
                <w:szCs w:val="16"/>
              </w:rPr>
              <w:t>Citation to the domestic legal instrument or official source supporting the recorded baseline treatment; the citation does not itself create, amend, or displace operative treatment.</w:t>
            </w:r>
          </w:p>
        </w:tc>
      </w:tr>
      <w:tr>
        <w:tc>
          <w:tcPr>
            <w:tcW w:type="dxa" w:w="2498"/>
            <w:vAlign w:val="top"/>
          </w:tcPr>
          <w:p>
            <w:pPr>
              <w:spacing w:before="20" w:after="20"/>
            </w:pPr>
            <w:r>
              <w:rPr>
                <w:sz w:val="16"/>
                <w:szCs w:val="16"/>
              </w:rPr>
              <w:t>HS Source</w:t>
            </w:r>
          </w:p>
        </w:tc>
        <w:tc>
          <w:tcPr>
            <w:tcW w:type="dxa" w:w="2498"/>
            <w:vAlign w:val="top"/>
          </w:tcPr>
          <w:p>
            <w:pPr>
              <w:spacing w:before="20" w:after="20"/>
            </w:pPr>
            <w:r>
              <w:rPr>
                <w:sz w:val="16"/>
                <w:szCs w:val="16"/>
              </w:rPr>
              <w:t>Administrative Metadata Field</w:t>
            </w:r>
          </w:p>
        </w:tc>
        <w:tc>
          <w:tcPr>
            <w:tcW w:type="dxa" w:w="2498"/>
            <w:vAlign w:val="top"/>
          </w:tcPr>
          <w:p>
            <w:pPr>
              <w:spacing w:before="20" w:after="20"/>
            </w:pPr>
            <w:r>
              <w:rPr>
                <w:sz w:val="16"/>
                <w:szCs w:val="16"/>
              </w:rPr>
              <w:t>Provenance</w:t>
            </w:r>
          </w:p>
        </w:tc>
        <w:tc>
          <w:tcPr>
            <w:tcW w:type="dxa" w:w="2500"/>
            <w:vAlign w:val="top"/>
          </w:tcPr>
          <w:p>
            <w:pPr>
              <w:spacing w:before="20" w:after="20"/>
            </w:pPr>
            <w:r>
              <w:rPr>
                <w:sz w:val="16"/>
                <w:szCs w:val="16"/>
              </w:rPr>
              <w:t>Legally authoritative primary source for classification.</w:t>
            </w:r>
          </w:p>
        </w:tc>
      </w:tr>
      <w:tr>
        <w:tc>
          <w:tcPr>
            <w:tcW w:type="dxa" w:w="2498"/>
            <w:vAlign w:val="top"/>
          </w:tcPr>
          <w:p>
            <w:pPr>
              <w:spacing w:before="20" w:after="20"/>
            </w:pPr>
            <w:r>
              <w:rPr>
                <w:sz w:val="16"/>
                <w:szCs w:val="16"/>
              </w:rPr>
              <w:t>HS Source Date / Edition</w:t>
            </w:r>
          </w:p>
        </w:tc>
        <w:tc>
          <w:tcPr>
            <w:tcW w:type="dxa" w:w="2498"/>
            <w:vAlign w:val="top"/>
          </w:tcPr>
          <w:p>
            <w:pPr>
              <w:spacing w:before="20" w:after="20"/>
            </w:pPr>
            <w:r>
              <w:rPr>
                <w:sz w:val="16"/>
                <w:szCs w:val="16"/>
              </w:rPr>
              <w:t>Administrative Metadata Field</w:t>
            </w:r>
          </w:p>
        </w:tc>
        <w:tc>
          <w:tcPr>
            <w:tcW w:type="dxa" w:w="2498"/>
            <w:vAlign w:val="top"/>
          </w:tcPr>
          <w:p>
            <w:pPr>
              <w:spacing w:before="20" w:after="20"/>
            </w:pPr>
            <w:r>
              <w:rPr>
                <w:sz w:val="16"/>
                <w:szCs w:val="16"/>
              </w:rPr>
              <w:t>Provenance</w:t>
            </w:r>
          </w:p>
        </w:tc>
        <w:tc>
          <w:tcPr>
            <w:tcW w:type="dxa" w:w="2500"/>
            <w:vAlign w:val="top"/>
          </w:tcPr>
          <w:p>
            <w:pPr>
              <w:spacing w:before="20" w:after="20"/>
            </w:pPr>
            <w:r>
              <w:rPr>
                <w:sz w:val="16"/>
                <w:szCs w:val="16"/>
              </w:rPr>
              <w:t>Date or edition applicable to HS source.</w:t>
            </w:r>
          </w:p>
        </w:tc>
      </w:tr>
      <w:tr>
        <w:tc>
          <w:tcPr>
            <w:tcW w:type="dxa" w:w="2498"/>
            <w:vAlign w:val="top"/>
          </w:tcPr>
          <w:p>
            <w:pPr>
              <w:spacing w:before="20" w:after="20"/>
            </w:pPr>
            <w:r>
              <w:rPr>
                <w:sz w:val="16"/>
                <w:szCs w:val="16"/>
              </w:rPr>
              <w:t>HS Retrieval Date</w:t>
            </w:r>
          </w:p>
        </w:tc>
        <w:tc>
          <w:tcPr>
            <w:tcW w:type="dxa" w:w="2498"/>
            <w:vAlign w:val="top"/>
          </w:tcPr>
          <w:p>
            <w:pPr>
              <w:spacing w:before="20" w:after="20"/>
            </w:pPr>
            <w:r>
              <w:rPr>
                <w:sz w:val="16"/>
                <w:szCs w:val="16"/>
              </w:rPr>
              <w:t>Administrative Metadata Field</w:t>
            </w:r>
          </w:p>
        </w:tc>
        <w:tc>
          <w:tcPr>
            <w:tcW w:type="dxa" w:w="2498"/>
            <w:vAlign w:val="top"/>
          </w:tcPr>
          <w:p>
            <w:pPr>
              <w:spacing w:before="20" w:after="20"/>
            </w:pPr>
            <w:r>
              <w:rPr>
                <w:sz w:val="16"/>
                <w:szCs w:val="16"/>
              </w:rPr>
              <w:t>Provenance</w:t>
            </w:r>
          </w:p>
        </w:tc>
        <w:tc>
          <w:tcPr>
            <w:tcW w:type="dxa" w:w="2500"/>
            <w:vAlign w:val="top"/>
          </w:tcPr>
          <w:p>
            <w:pPr>
              <w:spacing w:before="20" w:after="20"/>
            </w:pPr>
            <w:r>
              <w:rPr>
                <w:sz w:val="16"/>
                <w:szCs w:val="16"/>
              </w:rPr>
              <w:t>Date source was retrieved for verification.</w:t>
            </w:r>
          </w:p>
        </w:tc>
      </w:tr>
      <w:tr>
        <w:tc>
          <w:tcPr>
            <w:tcW w:type="dxa" w:w="2498"/>
            <w:vAlign w:val="top"/>
          </w:tcPr>
          <w:p>
            <w:pPr>
              <w:spacing w:before="20" w:after="20"/>
            </w:pPr>
            <w:r>
              <w:rPr>
                <w:sz w:val="16"/>
                <w:szCs w:val="16"/>
              </w:rPr>
              <w:t>HS Archive Reference</w:t>
            </w:r>
          </w:p>
        </w:tc>
        <w:tc>
          <w:tcPr>
            <w:tcW w:type="dxa" w:w="2498"/>
            <w:vAlign w:val="top"/>
          </w:tcPr>
          <w:p>
            <w:pPr>
              <w:spacing w:before="20" w:after="20"/>
            </w:pPr>
            <w:r>
              <w:rPr>
                <w:sz w:val="16"/>
                <w:szCs w:val="16"/>
              </w:rPr>
              <w:t>Administrative Metadata Field</w:t>
            </w:r>
          </w:p>
        </w:tc>
        <w:tc>
          <w:tcPr>
            <w:tcW w:type="dxa" w:w="2498"/>
            <w:vAlign w:val="top"/>
          </w:tcPr>
          <w:p>
            <w:pPr>
              <w:spacing w:before="20" w:after="20"/>
            </w:pPr>
            <w:r>
              <w:rPr>
                <w:sz w:val="16"/>
                <w:szCs w:val="16"/>
              </w:rPr>
              <w:t>Provenance</w:t>
            </w:r>
          </w:p>
        </w:tc>
        <w:tc>
          <w:tcPr>
            <w:tcW w:type="dxa" w:w="2500"/>
            <w:vAlign w:val="top"/>
          </w:tcPr>
          <w:p>
            <w:pPr>
              <w:spacing w:before="20" w:after="20"/>
            </w:pPr>
            <w:r>
              <w:rPr>
                <w:sz w:val="16"/>
                <w:szCs w:val="16"/>
              </w:rPr>
              <w:t>Stable archive or reference identifier where available.</w:t>
            </w:r>
          </w:p>
        </w:tc>
      </w:tr>
      <w:tr>
        <w:tc>
          <w:tcPr>
            <w:tcW w:type="dxa" w:w="2498"/>
            <w:vAlign w:val="top"/>
          </w:tcPr>
          <w:p>
            <w:pPr>
              <w:spacing w:before="20" w:after="20"/>
            </w:pPr>
            <w:r>
              <w:rPr>
                <w:sz w:val="16"/>
                <w:szCs w:val="16"/>
              </w:rPr>
              <w:t>Domestic Tariff-Schedule Source</w:t>
            </w:r>
          </w:p>
        </w:tc>
        <w:tc>
          <w:tcPr>
            <w:tcW w:type="dxa" w:w="2498"/>
            <w:vAlign w:val="top"/>
          </w:tcPr>
          <w:p>
            <w:pPr>
              <w:spacing w:before="20" w:after="20"/>
            </w:pPr>
            <w:r>
              <w:rPr>
                <w:sz w:val="16"/>
                <w:szCs w:val="16"/>
              </w:rPr>
              <w:t>Administrative Metadata Field</w:t>
            </w:r>
          </w:p>
        </w:tc>
        <w:tc>
          <w:tcPr>
            <w:tcW w:type="dxa" w:w="2498"/>
            <w:vAlign w:val="top"/>
          </w:tcPr>
          <w:p>
            <w:pPr>
              <w:spacing w:before="20" w:after="20"/>
            </w:pPr>
            <w:r>
              <w:rPr>
                <w:sz w:val="16"/>
                <w:szCs w:val="16"/>
              </w:rPr>
              <w:t>Provenance</w:t>
            </w:r>
          </w:p>
        </w:tc>
        <w:tc>
          <w:tcPr>
            <w:tcW w:type="dxa" w:w="2500"/>
            <w:vAlign w:val="top"/>
          </w:tcPr>
          <w:p>
            <w:pPr>
              <w:spacing w:before="20" w:after="20"/>
            </w:pPr>
            <w:r>
              <w:rPr>
                <w:sz w:val="16"/>
                <w:szCs w:val="16"/>
              </w:rPr>
              <w:t>Legally authoritative domestic tariff schedule or equivalent source.</w:t>
            </w:r>
          </w:p>
        </w:tc>
      </w:tr>
      <w:tr>
        <w:tc>
          <w:tcPr>
            <w:tcW w:type="dxa" w:w="2498"/>
            <w:vAlign w:val="top"/>
          </w:tcPr>
          <w:p>
            <w:pPr>
              <w:spacing w:before="20" w:after="20"/>
            </w:pPr>
            <w:r>
              <w:rPr>
                <w:sz w:val="16"/>
                <w:szCs w:val="16"/>
              </w:rPr>
              <w:t>Domestic Schedule Version / Effective Date</w:t>
            </w:r>
          </w:p>
        </w:tc>
        <w:tc>
          <w:tcPr>
            <w:tcW w:type="dxa" w:w="2498"/>
            <w:vAlign w:val="top"/>
          </w:tcPr>
          <w:p>
            <w:pPr>
              <w:spacing w:before="20" w:after="20"/>
            </w:pPr>
            <w:r>
              <w:rPr>
                <w:sz w:val="16"/>
                <w:szCs w:val="16"/>
              </w:rPr>
              <w:t>Administrative Metadata Field</w:t>
            </w:r>
          </w:p>
        </w:tc>
        <w:tc>
          <w:tcPr>
            <w:tcW w:type="dxa" w:w="2498"/>
            <w:vAlign w:val="top"/>
          </w:tcPr>
          <w:p>
            <w:pPr>
              <w:spacing w:before="20" w:after="20"/>
            </w:pPr>
            <w:r>
              <w:rPr>
                <w:sz w:val="16"/>
                <w:szCs w:val="16"/>
              </w:rPr>
              <w:t>Provenance</w:t>
            </w:r>
          </w:p>
        </w:tc>
        <w:tc>
          <w:tcPr>
            <w:tcW w:type="dxa" w:w="2500"/>
            <w:vAlign w:val="top"/>
          </w:tcPr>
          <w:p>
            <w:pPr>
              <w:spacing w:before="20" w:after="20"/>
            </w:pPr>
            <w:r>
              <w:rPr>
                <w:sz w:val="16"/>
                <w:szCs w:val="16"/>
              </w:rPr>
              <w:t>Version or effective date of domestic source.</w:t>
            </w:r>
          </w:p>
        </w:tc>
      </w:tr>
      <w:tr>
        <w:tc>
          <w:tcPr>
            <w:tcW w:type="dxa" w:w="2498"/>
            <w:vAlign w:val="top"/>
          </w:tcPr>
          <w:p>
            <w:pPr>
              <w:spacing w:before="20" w:after="20"/>
            </w:pPr>
            <w:r>
              <w:rPr>
                <w:sz w:val="16"/>
                <w:szCs w:val="16"/>
              </w:rPr>
              <w:t>Derived Record Verification Status</w:t>
            </w:r>
          </w:p>
        </w:tc>
        <w:tc>
          <w:tcPr>
            <w:tcW w:type="dxa" w:w="2498"/>
            <w:vAlign w:val="top"/>
          </w:tcPr>
          <w:p>
            <w:pPr>
              <w:spacing w:before="20" w:after="20"/>
            </w:pPr>
            <w:r>
              <w:rPr>
                <w:sz w:val="16"/>
                <w:szCs w:val="16"/>
              </w:rPr>
              <w:t>Field Status Field</w:t>
            </w:r>
          </w:p>
        </w:tc>
        <w:tc>
          <w:tcPr>
            <w:tcW w:type="dxa" w:w="2498"/>
            <w:vAlign w:val="top"/>
          </w:tcPr>
          <w:p>
            <w:pPr>
              <w:spacing w:before="20" w:after="20"/>
            </w:pPr>
            <w:r>
              <w:rPr>
                <w:sz w:val="16"/>
                <w:szCs w:val="16"/>
              </w:rPr>
              <w:t>Derived record status</w:t>
            </w:r>
          </w:p>
        </w:tc>
        <w:tc>
          <w:tcPr>
            <w:tcW w:type="dxa" w:w="2500"/>
            <w:vAlign w:val="top"/>
          </w:tcPr>
          <w:p>
            <w:pPr>
              <w:spacing w:before="20" w:after="20"/>
            </w:pPr>
            <w:r>
              <w:rPr>
                <w:sz w:val="16"/>
                <w:szCs w:val="16"/>
              </w:rPr>
              <w:t>Verified, Provisional Pending Verification, or Disputed, derived from required Operative Fields under Article 3.3.5.</w:t>
            </w:r>
          </w:p>
        </w:tc>
      </w:tr>
      <w:tr>
        <w:tc>
          <w:tcPr>
            <w:tcW w:type="dxa" w:w="2498"/>
            <w:vAlign w:val="top"/>
          </w:tcPr>
          <w:p>
            <w:pPr>
              <w:spacing w:before="20" w:after="20"/>
            </w:pPr>
            <w:r>
              <w:rPr>
                <w:sz w:val="16"/>
                <w:szCs w:val="16"/>
              </w:rPr>
              <w:t>Field-Level Verifying Authority / Function</w:t>
            </w:r>
          </w:p>
        </w:tc>
        <w:tc>
          <w:tcPr>
            <w:tcW w:type="dxa" w:w="2498"/>
            <w:vAlign w:val="top"/>
          </w:tcPr>
          <w:p>
            <w:pPr>
              <w:spacing w:before="20" w:after="20"/>
            </w:pPr>
            <w:r>
              <w:rPr>
                <w:sz w:val="16"/>
                <w:szCs w:val="16"/>
              </w:rPr>
              <w:t>Administrative Metadata Field</w:t>
            </w:r>
          </w:p>
        </w:tc>
        <w:tc>
          <w:tcPr>
            <w:tcW w:type="dxa" w:w="2498"/>
            <w:vAlign w:val="top"/>
          </w:tcPr>
          <w:p>
            <w:pPr>
              <w:spacing w:before="20" w:after="20"/>
            </w:pPr>
            <w:r>
              <w:rPr>
                <w:sz w:val="16"/>
                <w:szCs w:val="16"/>
              </w:rPr>
              <w:t>Associated field-level audit attribute</w:t>
            </w:r>
          </w:p>
        </w:tc>
        <w:tc>
          <w:tcPr>
            <w:tcW w:type="dxa" w:w="2500"/>
            <w:vAlign w:val="top"/>
          </w:tcPr>
          <w:p>
            <w:pPr>
              <w:spacing w:before="20" w:after="20"/>
            </w:pPr>
            <w:r>
              <w:rPr>
                <w:sz w:val="16"/>
                <w:szCs w:val="16"/>
              </w:rPr>
              <w:t>Authority or function responsible for verification of the associated field or datum; different fields in the same Product Record may identify different verifying authorities.</w:t>
            </w:r>
          </w:p>
        </w:tc>
      </w:tr>
      <w:tr>
        <w:tc>
          <w:tcPr>
            <w:tcW w:type="dxa" w:w="2498"/>
            <w:vAlign w:val="top"/>
          </w:tcPr>
          <w:p>
            <w:pPr>
              <w:spacing w:before="20" w:after="20"/>
            </w:pPr>
            <w:r>
              <w:rPr>
                <w:sz w:val="16"/>
                <w:szCs w:val="16"/>
              </w:rPr>
              <w:t>Field-Level Last-Verified Date</w:t>
            </w:r>
          </w:p>
        </w:tc>
        <w:tc>
          <w:tcPr>
            <w:tcW w:type="dxa" w:w="2498"/>
            <w:vAlign w:val="top"/>
          </w:tcPr>
          <w:p>
            <w:pPr>
              <w:spacing w:before="20" w:after="20"/>
            </w:pPr>
            <w:r>
              <w:rPr>
                <w:sz w:val="16"/>
                <w:szCs w:val="16"/>
              </w:rPr>
              <w:t>Administrative Metadata Field</w:t>
            </w:r>
          </w:p>
        </w:tc>
        <w:tc>
          <w:tcPr>
            <w:tcW w:type="dxa" w:w="2498"/>
            <w:vAlign w:val="top"/>
          </w:tcPr>
          <w:p>
            <w:pPr>
              <w:spacing w:before="20" w:after="20"/>
            </w:pPr>
            <w:r>
              <w:rPr>
                <w:sz w:val="16"/>
                <w:szCs w:val="16"/>
              </w:rPr>
              <w:t>Associated field-level audit attribute</w:t>
            </w:r>
          </w:p>
        </w:tc>
        <w:tc>
          <w:tcPr>
            <w:tcW w:type="dxa" w:w="2500"/>
            <w:vAlign w:val="top"/>
          </w:tcPr>
          <w:p>
            <w:pPr>
              <w:spacing w:before="20" w:after="20"/>
            </w:pPr>
            <w:r>
              <w:rPr>
                <w:sz w:val="16"/>
                <w:szCs w:val="16"/>
              </w:rPr>
              <w:t>Date of the most recent completed verification for the associated field or datum; different fields in the same Product Record may carry different verification dates.</w:t>
            </w:r>
          </w:p>
        </w:tc>
      </w:tr>
      <w:tr>
        <w:tc>
          <w:tcPr>
            <w:tcW w:type="dxa" w:w="2498"/>
            <w:vAlign w:val="top"/>
          </w:tcPr>
          <w:p>
            <w:pPr>
              <w:spacing w:before="20" w:after="20"/>
            </w:pPr>
            <w:r>
              <w:rPr>
                <w:sz w:val="16"/>
                <w:szCs w:val="16"/>
              </w:rPr>
              <w:t>Annex B Link</w:t>
            </w:r>
          </w:p>
        </w:tc>
        <w:tc>
          <w:tcPr>
            <w:tcW w:type="dxa" w:w="2498"/>
            <w:vAlign w:val="top"/>
          </w:tcPr>
          <w:p>
            <w:pPr>
              <w:spacing w:before="20" w:after="20"/>
            </w:pPr>
            <w:r>
              <w:rPr>
                <w:sz w:val="16"/>
                <w:szCs w:val="16"/>
              </w:rPr>
              <w:t>Administrative Metadata Field</w:t>
            </w:r>
          </w:p>
        </w:tc>
        <w:tc>
          <w:tcPr>
            <w:tcW w:type="dxa" w:w="2498"/>
            <w:vAlign w:val="top"/>
          </w:tcPr>
          <w:p>
            <w:pPr>
              <w:spacing w:before="20" w:after="20"/>
            </w:pPr>
            <w:r>
              <w:rPr>
                <w:sz w:val="16"/>
                <w:szCs w:val="16"/>
              </w:rPr>
              <w:t>Operative linkage reference</w:t>
            </w:r>
          </w:p>
        </w:tc>
        <w:tc>
          <w:tcPr>
            <w:tcW w:type="dxa" w:w="2500"/>
            <w:vAlign w:val="top"/>
          </w:tcPr>
          <w:p>
            <w:pPr>
              <w:spacing w:before="20" w:after="20"/>
            </w:pPr>
            <w:r>
              <w:rPr>
                <w:sz w:val="16"/>
                <w:szCs w:val="16"/>
              </w:rPr>
              <w:t>General tariff-elimination treatment record. The reference supports navigation and traceability but does not itself create, amend, or extinguish the Schedule treatment established by the linked operative record.</w:t>
            </w:r>
          </w:p>
        </w:tc>
      </w:tr>
      <w:tr>
        <w:tc>
          <w:tcPr>
            <w:tcW w:type="dxa" w:w="2498"/>
            <w:vAlign w:val="top"/>
          </w:tcPr>
          <w:p>
            <w:pPr>
              <w:spacing w:before="20" w:after="20"/>
            </w:pPr>
            <w:r>
              <w:rPr>
                <w:sz w:val="16"/>
                <w:szCs w:val="16"/>
              </w:rPr>
              <w:t>Annex C Link</w:t>
            </w:r>
          </w:p>
        </w:tc>
        <w:tc>
          <w:tcPr>
            <w:tcW w:type="dxa" w:w="2498"/>
            <w:vAlign w:val="top"/>
          </w:tcPr>
          <w:p>
            <w:pPr>
              <w:spacing w:before="20" w:after="20"/>
            </w:pPr>
            <w:r>
              <w:rPr>
                <w:sz w:val="16"/>
                <w:szCs w:val="16"/>
              </w:rPr>
              <w:t>Administrative Metadata Field</w:t>
            </w:r>
          </w:p>
        </w:tc>
        <w:tc>
          <w:tcPr>
            <w:tcW w:type="dxa" w:w="2498"/>
            <w:vAlign w:val="top"/>
          </w:tcPr>
          <w:p>
            <w:pPr>
              <w:spacing w:before="20" w:after="20"/>
            </w:pPr>
            <w:r>
              <w:rPr>
                <w:sz w:val="16"/>
                <w:szCs w:val="16"/>
              </w:rPr>
              <w:t>Operative linkage reference</w:t>
            </w:r>
          </w:p>
        </w:tc>
        <w:tc>
          <w:tcPr>
            <w:tcW w:type="dxa" w:w="2500"/>
            <w:vAlign w:val="top"/>
          </w:tcPr>
          <w:p>
            <w:pPr>
              <w:spacing w:before="20" w:after="20"/>
            </w:pPr>
            <w:r>
              <w:rPr>
                <w:sz w:val="16"/>
                <w:szCs w:val="16"/>
              </w:rPr>
              <w:t>Sensitive-sector transition record, where applicable. The reference supports navigation and traceability but does not itself create, amend, or extinguish the Schedule treatment established by the linked operative record.</w:t>
            </w:r>
          </w:p>
        </w:tc>
      </w:tr>
      <w:tr>
        <w:tc>
          <w:tcPr>
            <w:tcW w:type="dxa" w:w="2498"/>
            <w:vAlign w:val="top"/>
          </w:tcPr>
          <w:p>
            <w:pPr>
              <w:spacing w:before="20" w:after="20"/>
            </w:pPr>
            <w:r>
              <w:rPr>
                <w:sz w:val="16"/>
                <w:szCs w:val="16"/>
              </w:rPr>
              <w:t>Annex D Link</w:t>
            </w:r>
          </w:p>
        </w:tc>
        <w:tc>
          <w:tcPr>
            <w:tcW w:type="dxa" w:w="2498"/>
            <w:vAlign w:val="top"/>
          </w:tcPr>
          <w:p>
            <w:pPr>
              <w:spacing w:before="20" w:after="20"/>
            </w:pPr>
            <w:r>
              <w:rPr>
                <w:sz w:val="16"/>
                <w:szCs w:val="16"/>
              </w:rPr>
              <w:t>Administrative Metadata Field</w:t>
            </w:r>
          </w:p>
        </w:tc>
        <w:tc>
          <w:tcPr>
            <w:tcW w:type="dxa" w:w="2498"/>
            <w:vAlign w:val="top"/>
          </w:tcPr>
          <w:p>
            <w:pPr>
              <w:spacing w:before="20" w:after="20"/>
            </w:pPr>
            <w:r>
              <w:rPr>
                <w:sz w:val="16"/>
                <w:szCs w:val="16"/>
              </w:rPr>
              <w:t>Operative linkage reference</w:t>
            </w:r>
          </w:p>
        </w:tc>
        <w:tc>
          <w:tcPr>
            <w:tcW w:type="dxa" w:w="2500"/>
            <w:vAlign w:val="top"/>
          </w:tcPr>
          <w:p>
            <w:pPr>
              <w:spacing w:before="20" w:after="20"/>
            </w:pPr>
            <w:r>
              <w:rPr>
                <w:sz w:val="16"/>
                <w:szCs w:val="16"/>
              </w:rPr>
              <w:t>Vesting and TRQ-displacement record, where applicable. The reference supports navigation and traceability but does not itself create, amend, or extinguish the Schedule treatment established by the linked operative record.</w:t>
            </w:r>
          </w:p>
        </w:tc>
      </w:tr>
      <w:tr>
        <w:tc>
          <w:tcPr>
            <w:tcW w:type="dxa" w:w="2498"/>
            <w:vAlign w:val="top"/>
          </w:tcPr>
          <w:p>
            <w:pPr>
              <w:spacing w:before="20" w:after="20"/>
            </w:pPr>
            <w:r>
              <w:rPr>
                <w:sz w:val="16"/>
                <w:szCs w:val="16"/>
              </w:rPr>
              <w:t>HS Concordance Entry / Version</w:t>
            </w:r>
          </w:p>
        </w:tc>
        <w:tc>
          <w:tcPr>
            <w:tcW w:type="dxa" w:w="2498"/>
            <w:vAlign w:val="top"/>
          </w:tcPr>
          <w:p>
            <w:pPr>
              <w:spacing w:before="20" w:after="20"/>
            </w:pPr>
            <w:r>
              <w:rPr>
                <w:sz w:val="16"/>
                <w:szCs w:val="16"/>
              </w:rPr>
              <w:t>Administrative Metadata Field</w:t>
            </w:r>
          </w:p>
        </w:tc>
        <w:tc>
          <w:tcPr>
            <w:tcW w:type="dxa" w:w="2498"/>
            <w:vAlign w:val="top"/>
          </w:tcPr>
          <w:p>
            <w:pPr>
              <w:spacing w:before="20" w:after="20"/>
            </w:pPr>
            <w:r>
              <w:rPr>
                <w:sz w:val="16"/>
                <w:szCs w:val="16"/>
              </w:rPr>
              <w:t>Continuity</w:t>
            </w:r>
          </w:p>
        </w:tc>
        <w:tc>
          <w:tcPr>
            <w:tcW w:type="dxa" w:w="2500"/>
            <w:vAlign w:val="top"/>
          </w:tcPr>
          <w:p>
            <w:pPr>
              <w:spacing w:before="20" w:after="20"/>
            </w:pPr>
            <w:r>
              <w:rPr>
                <w:sz w:val="16"/>
                <w:szCs w:val="16"/>
              </w:rPr>
              <w:t>Active predecessor-successor mapping where applicable.</w:t>
            </w:r>
          </w:p>
        </w:tc>
      </w:tr>
      <w:tr>
        <w:tc>
          <w:tcPr>
            <w:tcW w:type="dxa" w:w="2498"/>
            <w:vAlign w:val="top"/>
          </w:tcPr>
          <w:p>
            <w:pPr>
              <w:spacing w:before="20" w:after="20"/>
            </w:pPr>
            <w:r>
              <w:rPr>
                <w:sz w:val="16"/>
                <w:szCs w:val="16"/>
              </w:rPr>
              <w:t>Datum-Level Value Type / Provenance</w:t>
            </w:r>
          </w:p>
        </w:tc>
        <w:tc>
          <w:tcPr>
            <w:tcW w:type="dxa" w:w="2498"/>
            <w:vAlign w:val="top"/>
          </w:tcPr>
          <w:p>
            <w:pPr>
              <w:spacing w:before="20" w:after="20"/>
            </w:pPr>
            <w:r>
              <w:rPr>
                <w:sz w:val="16"/>
                <w:szCs w:val="16"/>
              </w:rPr>
              <w:t>Field Status Field</w:t>
            </w:r>
          </w:p>
        </w:tc>
        <w:tc>
          <w:tcPr>
            <w:tcW w:type="dxa" w:w="2498"/>
            <w:vAlign w:val="top"/>
          </w:tcPr>
          <w:p>
            <w:pPr>
              <w:spacing w:before="20" w:after="20"/>
            </w:pPr>
            <w:r>
              <w:rPr>
                <w:sz w:val="16"/>
                <w:szCs w:val="16"/>
              </w:rPr>
              <w:t>Associated datum-level provenance</w:t>
            </w:r>
          </w:p>
        </w:tc>
        <w:tc>
          <w:tcPr>
            <w:tcW w:type="dxa" w:w="2500"/>
            <w:vAlign w:val="top"/>
          </w:tcPr>
          <w:p>
            <w:pPr>
              <w:spacing w:before="20" w:after="20"/>
            </w:pPr>
            <w:r>
              <w:rPr>
                <w:sz w:val="16"/>
                <w:szCs w:val="16"/>
              </w:rPr>
              <w:t>Attached separately to each quantitative or classification datum as Official Source Datum, Negotiated Value, Technical Conversion, Concordance Mapping, or Administrative Provisional Datum, with adoption authority where applicable.</w:t>
            </w:r>
          </w:p>
        </w:tc>
      </w:tr>
      <w:tr>
        <w:tc>
          <w:tcPr>
            <w:tcW w:type="dxa" w:w="2498"/>
            <w:vAlign w:val="top"/>
          </w:tcPr>
          <w:p>
            <w:pPr>
              <w:spacing w:before="20" w:after="20"/>
            </w:pPr>
            <w:r>
              <w:rPr>
                <w:sz w:val="16"/>
                <w:szCs w:val="16"/>
              </w:rPr>
              <w:t>Change-History Reference</w:t>
            </w:r>
          </w:p>
        </w:tc>
        <w:tc>
          <w:tcPr>
            <w:tcW w:type="dxa" w:w="2498"/>
            <w:vAlign w:val="top"/>
          </w:tcPr>
          <w:p>
            <w:pPr>
              <w:spacing w:before="20" w:after="20"/>
            </w:pPr>
            <w:r>
              <w:rPr>
                <w:sz w:val="16"/>
                <w:szCs w:val="16"/>
              </w:rPr>
              <w:t>Administrative Metadata Field</w:t>
            </w:r>
          </w:p>
        </w:tc>
        <w:tc>
          <w:tcPr>
            <w:tcW w:type="dxa" w:w="2498"/>
            <w:vAlign w:val="top"/>
          </w:tcPr>
          <w:p>
            <w:pPr>
              <w:spacing w:before="20" w:after="20"/>
            </w:pPr>
            <w:r>
              <w:rPr>
                <w:sz w:val="16"/>
                <w:szCs w:val="16"/>
              </w:rPr>
              <w:t>Audit</w:t>
            </w:r>
          </w:p>
        </w:tc>
        <w:tc>
          <w:tcPr>
            <w:tcW w:type="dxa" w:w="2500"/>
            <w:vAlign w:val="top"/>
          </w:tcPr>
          <w:p>
            <w:pPr>
              <w:spacing w:before="20" w:after="20"/>
            </w:pPr>
            <w:r>
              <w:rPr>
                <w:sz w:val="16"/>
                <w:szCs w:val="16"/>
              </w:rPr>
              <w:t>Versioned record of corrections, amendments, source changes, and status changes.</w:t>
            </w:r>
          </w:p>
        </w:tc>
      </w:tr>
      <w:tr>
        <w:tc>
          <w:tcPr>
            <w:tcW w:type="dxa" w:w="2498"/>
            <w:vAlign w:val="top"/>
          </w:tcPr>
          <w:p>
            <w:pPr>
              <w:spacing w:before="20" w:after="20"/>
            </w:pPr>
            <w:r>
              <w:rPr>
                <w:sz w:val="16"/>
                <w:szCs w:val="16"/>
              </w:rPr>
              <w:t>Field Verification Status</w:t>
            </w:r>
          </w:p>
        </w:tc>
        <w:tc>
          <w:tcPr>
            <w:tcW w:type="dxa" w:w="2498"/>
            <w:vAlign w:val="top"/>
          </w:tcPr>
          <w:p>
            <w:pPr>
              <w:spacing w:before="20" w:after="20"/>
            </w:pPr>
            <w:r>
              <w:rPr>
                <w:sz w:val="16"/>
                <w:szCs w:val="16"/>
              </w:rPr>
              <w:t>Field Status Field</w:t>
            </w:r>
          </w:p>
        </w:tc>
        <w:tc>
          <w:tcPr>
            <w:tcW w:type="dxa" w:w="2498"/>
            <w:vAlign w:val="top"/>
          </w:tcPr>
          <w:p>
            <w:pPr>
              <w:spacing w:before="20" w:after="20"/>
            </w:pPr>
            <w:r>
              <w:rPr>
                <w:sz w:val="16"/>
                <w:szCs w:val="16"/>
              </w:rPr>
              <w:t>Datum or field verification</w:t>
            </w:r>
          </w:p>
        </w:tc>
        <w:tc>
          <w:tcPr>
            <w:tcW w:type="dxa" w:w="2500"/>
            <w:vAlign w:val="top"/>
          </w:tcPr>
          <w:p>
            <w:pPr>
              <w:spacing w:before="20" w:after="20"/>
            </w:pPr>
            <w:r>
              <w:rPr>
                <w:sz w:val="16"/>
                <w:szCs w:val="16"/>
              </w:rPr>
              <w:t>Assigned at field level: Officially Verified, Technically Verified, Provisional Pending Verification, Disputed, Retired, or Not Applicable where the field itself does not apply.</w:t>
            </w:r>
          </w:p>
        </w:tc>
      </w:tr>
      <w:tr>
        <w:tc>
          <w:tcPr>
            <w:tcW w:type="dxa" w:w="2498"/>
            <w:vAlign w:val="top"/>
          </w:tcPr>
          <w:p>
            <w:pPr>
              <w:spacing w:before="20" w:after="20"/>
            </w:pPr>
            <w:r>
              <w:rPr>
                <w:sz w:val="16"/>
                <w:szCs w:val="16"/>
              </w:rPr>
              <w:t>Agricultural Universe Reference</w:t>
            </w:r>
          </w:p>
        </w:tc>
        <w:tc>
          <w:tcPr>
            <w:tcW w:type="dxa" w:w="2498"/>
            <w:vAlign w:val="top"/>
          </w:tcPr>
          <w:p>
            <w:pPr>
              <w:spacing w:before="20" w:after="20"/>
            </w:pPr>
            <w:r>
              <w:rPr>
                <w:sz w:val="16"/>
                <w:szCs w:val="16"/>
              </w:rPr>
              <w:t>Operative Field</w:t>
            </w:r>
          </w:p>
        </w:tc>
        <w:tc>
          <w:tcPr>
            <w:tcW w:type="dxa" w:w="2498"/>
            <w:vAlign w:val="top"/>
          </w:tcPr>
          <w:p>
            <w:pPr>
              <w:spacing w:before="20" w:after="20"/>
            </w:pPr>
            <w:r>
              <w:rPr>
                <w:sz w:val="16"/>
                <w:szCs w:val="16"/>
              </w:rPr>
              <w:t>Coverage control</w:t>
            </w:r>
          </w:p>
        </w:tc>
        <w:tc>
          <w:tcPr>
            <w:tcW w:type="dxa" w:w="2500"/>
            <w:vAlign w:val="top"/>
          </w:tcPr>
          <w:p>
            <w:pPr>
              <w:spacing w:before="20" w:after="20"/>
            </w:pPr>
            <w:r>
              <w:rPr>
                <w:sz w:val="16"/>
                <w:szCs w:val="16"/>
              </w:rPr>
              <w:t>Applicable Annex A Agricultural Universe definition, HS edition, and objective inclusion or exclusion criterion.</w:t>
            </w:r>
          </w:p>
        </w:tc>
      </w:tr>
      <w:tr>
        <w:tc>
          <w:tcPr>
            <w:tcW w:type="dxa" w:w="2498"/>
          </w:tcPr>
          <w:p>
            <w:pPr>
              <w:spacing w:before="20" w:after="20"/>
            </w:pPr>
            <w:r>
              <w:rPr>
                <w:sz w:val="16"/>
                <w:szCs w:val="16"/>
              </w:rPr>
              <w:t>Record Version ID</w:t>
            </w:r>
          </w:p>
        </w:tc>
        <w:tc>
          <w:tcPr>
            <w:tcW w:type="dxa" w:w="2498"/>
          </w:tcPr>
          <w:p>
            <w:pPr>
              <w:spacing w:before="20" w:after="20"/>
            </w:pPr>
            <w:r>
              <w:rPr>
                <w:sz w:val="16"/>
                <w:szCs w:val="16"/>
              </w:rPr>
              <w:t>Administrative Control Field</w:t>
            </w:r>
          </w:p>
        </w:tc>
        <w:tc>
          <w:tcPr>
            <w:tcW w:type="dxa" w:w="2498"/>
          </w:tcPr>
          <w:p>
            <w:pPr>
              <w:spacing w:before="20" w:after="20"/>
            </w:pPr>
            <w:r>
              <w:rPr>
                <w:sz w:val="16"/>
                <w:szCs w:val="16"/>
              </w:rPr>
              <w:t>Version control</w:t>
            </w:r>
          </w:p>
        </w:tc>
        <w:tc>
          <w:tcPr>
            <w:tcW w:type="dxa" w:w="2500"/>
          </w:tcPr>
          <w:p>
            <w:pPr>
              <w:spacing w:before="20" w:after="20"/>
            </w:pPr>
            <w:r>
              <w:rPr>
                <w:sz w:val="16"/>
                <w:szCs w:val="16"/>
              </w:rPr>
              <w:t>Unique identifier for each legally relevant state of a Product Record.</w:t>
            </w:r>
          </w:p>
        </w:tc>
      </w:tr>
      <w:tr>
        <w:tc>
          <w:tcPr>
            <w:tcW w:type="dxa" w:w="2498"/>
          </w:tcPr>
          <w:p>
            <w:pPr>
              <w:spacing w:before="20" w:after="20"/>
            </w:pPr>
            <w:r>
              <w:rPr>
                <w:sz w:val="16"/>
                <w:szCs w:val="16"/>
              </w:rPr>
              <w:t>Coverage Rationale / Legal Basis</w:t>
            </w:r>
          </w:p>
        </w:tc>
        <w:tc>
          <w:tcPr>
            <w:tcW w:type="dxa" w:w="2498"/>
          </w:tcPr>
          <w:p>
            <w:pPr>
              <w:spacing w:before="20" w:after="20"/>
            </w:pPr>
            <w:r>
              <w:rPr>
                <w:sz w:val="16"/>
                <w:szCs w:val="16"/>
              </w:rPr>
              <w:t>Operative Support Field</w:t>
            </w:r>
          </w:p>
        </w:tc>
        <w:tc>
          <w:tcPr>
            <w:tcW w:type="dxa" w:w="2498"/>
          </w:tcPr>
          <w:p>
            <w:pPr>
              <w:spacing w:before="20" w:after="20"/>
            </w:pPr>
            <w:r>
              <w:rPr>
                <w:sz w:val="16"/>
                <w:szCs w:val="16"/>
              </w:rPr>
              <w:t>Coverage traceability</w:t>
            </w:r>
          </w:p>
        </w:tc>
        <w:tc>
          <w:tcPr>
            <w:tcW w:type="dxa" w:w="2500"/>
          </w:tcPr>
          <w:p>
            <w:pPr>
              <w:spacing w:before="20" w:after="20"/>
            </w:pPr>
            <w:r>
              <w:rPr>
                <w:sz w:val="16"/>
                <w:szCs w:val="16"/>
              </w:rPr>
              <w:t>Provision, schedule, determination, or other legal source supporting the Coverage Status.</w:t>
            </w:r>
          </w:p>
        </w:tc>
      </w:tr>
      <w:tr>
        <w:tc>
          <w:tcPr>
            <w:tcW w:type="dxa" w:w="2498"/>
          </w:tcPr>
          <w:p>
            <w:pPr>
              <w:spacing w:before="20" w:after="20"/>
            </w:pPr>
            <w:r>
              <w:rPr>
                <w:sz w:val="16"/>
                <w:szCs w:val="16"/>
              </w:rPr>
              <w:t>Classification Authority</w:t>
            </w:r>
          </w:p>
        </w:tc>
        <w:tc>
          <w:tcPr>
            <w:tcW w:type="dxa" w:w="2498"/>
          </w:tcPr>
          <w:p>
            <w:pPr>
              <w:spacing w:before="20" w:after="20"/>
            </w:pPr>
            <w:r>
              <w:rPr>
                <w:sz w:val="16"/>
                <w:szCs w:val="16"/>
              </w:rPr>
              <w:t>Evidentiary Field</w:t>
            </w:r>
          </w:p>
        </w:tc>
        <w:tc>
          <w:tcPr>
            <w:tcW w:type="dxa" w:w="2498"/>
          </w:tcPr>
          <w:p>
            <w:pPr>
              <w:spacing w:before="20" w:after="20"/>
            </w:pPr>
            <w:r>
              <w:rPr>
                <w:sz w:val="16"/>
                <w:szCs w:val="16"/>
              </w:rPr>
              <w:t>Classification provenance</w:t>
            </w:r>
          </w:p>
        </w:tc>
        <w:tc>
          <w:tcPr>
            <w:tcW w:type="dxa" w:w="2500"/>
          </w:tcPr>
          <w:p>
            <w:pPr>
              <w:spacing w:before="20" w:after="20"/>
            </w:pPr>
            <w:r>
              <w:rPr>
                <w:sz w:val="16"/>
                <w:szCs w:val="16"/>
              </w:rPr>
              <w:t>Official authority responsible for the recorded Party-specific classification.</w:t>
            </w:r>
          </w:p>
        </w:tc>
      </w:tr>
      <w:tr>
        <w:tc>
          <w:tcPr>
            <w:tcW w:type="dxa" w:w="2498"/>
          </w:tcPr>
          <w:p>
            <w:pPr>
              <w:spacing w:before="20" w:after="20"/>
            </w:pPr>
            <w:r>
              <w:rPr>
                <w:sz w:val="16"/>
                <w:szCs w:val="16"/>
              </w:rPr>
              <w:t>Classification Method / Technical Criterion</w:t>
            </w:r>
          </w:p>
        </w:tc>
        <w:tc>
          <w:tcPr>
            <w:tcW w:type="dxa" w:w="2498"/>
          </w:tcPr>
          <w:p>
            <w:pPr>
              <w:spacing w:before="20" w:after="20"/>
            </w:pPr>
            <w:r>
              <w:rPr>
                <w:sz w:val="16"/>
                <w:szCs w:val="16"/>
              </w:rPr>
              <w:t>Evidentiary Field</w:t>
            </w:r>
          </w:p>
        </w:tc>
        <w:tc>
          <w:tcPr>
            <w:tcW w:type="dxa" w:w="2498"/>
          </w:tcPr>
          <w:p>
            <w:pPr>
              <w:spacing w:before="20" w:after="20"/>
            </w:pPr>
            <w:r>
              <w:rPr>
                <w:sz w:val="16"/>
                <w:szCs w:val="16"/>
              </w:rPr>
              <w:t>Classification reproducibility</w:t>
            </w:r>
          </w:p>
        </w:tc>
        <w:tc>
          <w:tcPr>
            <w:tcW w:type="dxa" w:w="2500"/>
          </w:tcPr>
          <w:p>
            <w:pPr>
              <w:spacing w:before="20" w:after="20"/>
            </w:pPr>
            <w:r>
              <w:rPr>
                <w:sz w:val="16"/>
                <w:szCs w:val="16"/>
              </w:rPr>
              <w:t>Objective criterion or method used where classification depends on composition, processing, end use, season, or another technical distinction.</w:t>
            </w:r>
          </w:p>
        </w:tc>
      </w:tr>
      <w:tr>
        <w:tc>
          <w:tcPr>
            <w:tcW w:type="dxa" w:w="2498"/>
          </w:tcPr>
          <w:p>
            <w:pPr>
              <w:spacing w:before="20" w:after="20"/>
            </w:pPr>
            <w:r>
              <w:rPr>
                <w:sz w:val="16"/>
                <w:szCs w:val="16"/>
              </w:rPr>
              <w:t>Unit of Measure</w:t>
            </w:r>
          </w:p>
        </w:tc>
        <w:tc>
          <w:tcPr>
            <w:tcW w:type="dxa" w:w="2498"/>
          </w:tcPr>
          <w:p>
            <w:pPr>
              <w:spacing w:before="20" w:after="20"/>
            </w:pPr>
            <w:r>
              <w:rPr>
                <w:sz w:val="16"/>
                <w:szCs w:val="16"/>
              </w:rPr>
              <w:t>Operative or Evidentiary Field</w:t>
            </w:r>
          </w:p>
        </w:tc>
        <w:tc>
          <w:tcPr>
            <w:tcW w:type="dxa" w:w="2498"/>
          </w:tcPr>
          <w:p>
            <w:pPr>
              <w:spacing w:before="20" w:after="20"/>
            </w:pPr>
            <w:r>
              <w:rPr>
                <w:sz w:val="16"/>
                <w:szCs w:val="16"/>
              </w:rPr>
              <w:t>Quantity interpretation</w:t>
            </w:r>
          </w:p>
        </w:tc>
        <w:tc>
          <w:tcPr>
            <w:tcW w:type="dxa" w:w="2500"/>
          </w:tcPr>
          <w:p>
            <w:pPr>
              <w:spacing w:before="20" w:after="20"/>
            </w:pPr>
            <w:r>
              <w:rPr>
                <w:sz w:val="16"/>
                <w:szCs w:val="16"/>
              </w:rPr>
              <w:t>Legally relevant unit and Party-specific unit where applicable.</w:t>
            </w:r>
          </w:p>
        </w:tc>
      </w:tr>
      <w:tr>
        <w:tc>
          <w:tcPr>
            <w:tcW w:type="dxa" w:w="2498"/>
          </w:tcPr>
          <w:p>
            <w:pPr>
              <w:spacing w:before="20" w:after="20"/>
            </w:pPr>
            <w:r>
              <w:rPr>
                <w:sz w:val="16"/>
                <w:szCs w:val="16"/>
              </w:rPr>
              <w:t>Unit Conversion Method / Source</w:t>
            </w:r>
          </w:p>
        </w:tc>
        <w:tc>
          <w:tcPr>
            <w:tcW w:type="dxa" w:w="2498"/>
          </w:tcPr>
          <w:p>
            <w:pPr>
              <w:spacing w:before="20" w:after="20"/>
            </w:pPr>
            <w:r>
              <w:rPr>
                <w:sz w:val="16"/>
                <w:szCs w:val="16"/>
              </w:rPr>
              <w:t>Derived Field</w:t>
            </w:r>
          </w:p>
        </w:tc>
        <w:tc>
          <w:tcPr>
            <w:tcW w:type="dxa" w:w="2498"/>
          </w:tcPr>
          <w:p>
            <w:pPr>
              <w:spacing w:before="20" w:after="20"/>
            </w:pPr>
            <w:r>
              <w:rPr>
                <w:sz w:val="16"/>
                <w:szCs w:val="16"/>
              </w:rPr>
              <w:t>Cross-system consistency</w:t>
            </w:r>
          </w:p>
        </w:tc>
        <w:tc>
          <w:tcPr>
            <w:tcW w:type="dxa" w:w="2500"/>
          </w:tcPr>
          <w:p>
            <w:pPr>
              <w:spacing w:before="20" w:after="20"/>
            </w:pPr>
            <w:r>
              <w:rPr>
                <w:sz w:val="16"/>
                <w:szCs w:val="16"/>
              </w:rPr>
              <w:t>Reproducible conversion method, source, version, and rounding rule where conversion is legally relevant.</w:t>
            </w:r>
          </w:p>
        </w:tc>
      </w:tr>
      <w:tr>
        <w:tc>
          <w:tcPr>
            <w:tcW w:type="dxa" w:w="2498"/>
          </w:tcPr>
          <w:p>
            <w:pPr>
              <w:spacing w:before="20" w:after="20"/>
            </w:pPr>
            <w:r>
              <w:rPr>
                <w:sz w:val="16"/>
                <w:szCs w:val="16"/>
              </w:rPr>
              <w:t>Coverage History Reference</w:t>
            </w:r>
          </w:p>
        </w:tc>
        <w:tc>
          <w:tcPr>
            <w:tcW w:type="dxa" w:w="2498"/>
          </w:tcPr>
          <w:p>
            <w:pPr>
              <w:spacing w:before="20" w:after="20"/>
            </w:pPr>
            <w:r>
              <w:rPr>
                <w:sz w:val="16"/>
                <w:szCs w:val="16"/>
              </w:rPr>
              <w:t>Administrative Control Field</w:t>
            </w:r>
          </w:p>
        </w:tc>
        <w:tc>
          <w:tcPr>
            <w:tcW w:type="dxa" w:w="2498"/>
          </w:tcPr>
          <w:p>
            <w:pPr>
              <w:spacing w:before="20" w:after="20"/>
            </w:pPr>
            <w:r>
              <w:rPr>
                <w:sz w:val="16"/>
                <w:szCs w:val="16"/>
              </w:rPr>
              <w:t>Historical reconstruction</w:t>
            </w:r>
          </w:p>
        </w:tc>
        <w:tc>
          <w:tcPr>
            <w:tcW w:type="dxa" w:w="2500"/>
          </w:tcPr>
          <w:p>
            <w:pPr>
              <w:spacing w:before="20" w:after="20"/>
            </w:pPr>
            <w:r>
              <w:rPr>
                <w:sz w:val="16"/>
                <w:szCs w:val="16"/>
              </w:rPr>
              <w:t>Reference to prior Coverage Status values, effective dates, and authorities.</w:t>
            </w:r>
          </w:p>
        </w:tc>
      </w:tr>
      <w:tr>
        <w:tc>
          <w:tcPr>
            <w:tcW w:type="dxa" w:w="2498"/>
          </w:tcPr>
          <w:p>
            <w:pPr>
              <w:spacing w:before="20" w:after="20"/>
            </w:pPr>
            <w:r>
              <w:rPr>
                <w:sz w:val="16"/>
                <w:szCs w:val="16"/>
              </w:rPr>
              <w:t>Classification History Reference</w:t>
            </w:r>
          </w:p>
        </w:tc>
        <w:tc>
          <w:tcPr>
            <w:tcW w:type="dxa" w:w="2498"/>
          </w:tcPr>
          <w:p>
            <w:pPr>
              <w:spacing w:before="20" w:after="20"/>
            </w:pPr>
            <w:r>
              <w:rPr>
                <w:sz w:val="16"/>
                <w:szCs w:val="16"/>
              </w:rPr>
              <w:t>Administrative Control Field</w:t>
            </w:r>
          </w:p>
        </w:tc>
        <w:tc>
          <w:tcPr>
            <w:tcW w:type="dxa" w:w="2498"/>
          </w:tcPr>
          <w:p>
            <w:pPr>
              <w:spacing w:before="20" w:after="20"/>
            </w:pPr>
            <w:r>
              <w:rPr>
                <w:sz w:val="16"/>
                <w:szCs w:val="16"/>
              </w:rPr>
              <w:t>Historical reconstruction</w:t>
            </w:r>
          </w:p>
        </w:tc>
        <w:tc>
          <w:tcPr>
            <w:tcW w:type="dxa" w:w="2500"/>
          </w:tcPr>
          <w:p>
            <w:pPr>
              <w:spacing w:before="20" w:after="20"/>
            </w:pPr>
            <w:r>
              <w:rPr>
                <w:sz w:val="16"/>
                <w:szCs w:val="16"/>
              </w:rPr>
              <w:t>Reference to prior classifications, effective dates, sources, and rulings.</w:t>
            </w:r>
          </w:p>
        </w:tc>
      </w:tr>
      <w:tr>
        <w:tc>
          <w:tcPr>
            <w:tcW w:type="dxa" w:w="2498"/>
          </w:tcPr>
          <w:p>
            <w:pPr>
              <w:spacing w:before="20" w:after="20"/>
            </w:pPr>
            <w:r>
              <w:rPr>
                <w:sz w:val="16"/>
                <w:szCs w:val="16"/>
              </w:rPr>
              <w:t>Source Conflict Flag / Resolution Reference</w:t>
            </w:r>
          </w:p>
        </w:tc>
        <w:tc>
          <w:tcPr>
            <w:tcW w:type="dxa" w:w="2498"/>
          </w:tcPr>
          <w:p>
            <w:pPr>
              <w:spacing w:before="20" w:after="20"/>
            </w:pPr>
            <w:r>
              <w:rPr>
                <w:sz w:val="16"/>
                <w:szCs w:val="16"/>
              </w:rPr>
              <w:t>Administrative Control Field</w:t>
            </w:r>
          </w:p>
        </w:tc>
        <w:tc>
          <w:tcPr>
            <w:tcW w:type="dxa" w:w="2498"/>
          </w:tcPr>
          <w:p>
            <w:pPr>
              <w:spacing w:before="20" w:after="20"/>
            </w:pPr>
            <w:r>
              <w:rPr>
                <w:sz w:val="16"/>
                <w:szCs w:val="16"/>
              </w:rPr>
              <w:t>Provenance integrity</w:t>
            </w:r>
          </w:p>
        </w:tc>
        <w:tc>
          <w:tcPr>
            <w:tcW w:type="dxa" w:w="2500"/>
          </w:tcPr>
          <w:p>
            <w:pPr>
              <w:spacing w:before="20" w:after="20"/>
            </w:pPr>
            <w:r>
              <w:rPr>
                <w:sz w:val="16"/>
                <w:szCs w:val="16"/>
              </w:rPr>
              <w:t>Identifies unresolved authoritative-source conflicts and the controlling resolution process.</w:t>
            </w:r>
          </w:p>
        </w:tc>
      </w:tr>
      <w:tr>
        <w:tc>
          <w:tcPr>
            <w:tcW w:type="dxa" w:w="2498"/>
          </w:tcPr>
          <w:p>
            <w:pPr>
              <w:spacing w:before="20" w:after="20"/>
            </w:pPr>
            <w:r>
              <w:rPr>
                <w:sz w:val="16"/>
                <w:szCs w:val="16"/>
              </w:rPr>
              <w:t>Verification Scope / Method / Limitation</w:t>
            </w:r>
          </w:p>
        </w:tc>
        <w:tc>
          <w:tcPr>
            <w:tcW w:type="dxa" w:w="2498"/>
          </w:tcPr>
          <w:p>
            <w:pPr>
              <w:spacing w:before="20" w:after="20"/>
            </w:pPr>
            <w:r>
              <w:rPr>
                <w:sz w:val="16"/>
                <w:szCs w:val="16"/>
              </w:rPr>
              <w:t>Evidentiary Field</w:t>
            </w:r>
          </w:p>
        </w:tc>
        <w:tc>
          <w:tcPr>
            <w:tcW w:type="dxa" w:w="2498"/>
          </w:tcPr>
          <w:p>
            <w:pPr>
              <w:spacing w:before="20" w:after="20"/>
            </w:pPr>
            <w:r>
              <w:rPr>
                <w:sz w:val="16"/>
                <w:szCs w:val="16"/>
              </w:rPr>
              <w:t>Field-level verification</w:t>
            </w:r>
          </w:p>
        </w:tc>
        <w:tc>
          <w:tcPr>
            <w:tcW w:type="dxa" w:w="2500"/>
          </w:tcPr>
          <w:p>
            <w:pPr>
              <w:spacing w:before="20" w:after="20"/>
            </w:pPr>
            <w:r>
              <w:rPr>
                <w:sz w:val="16"/>
                <w:szCs w:val="16"/>
              </w:rPr>
              <w:t>Specific fields verified, method used, and any material limitation.</w:t>
            </w:r>
          </w:p>
        </w:tc>
      </w:tr>
      <w:tr>
        <w:tc>
          <w:tcPr>
            <w:tcW w:type="dxa" w:w="2498"/>
          </w:tcPr>
          <w:p>
            <w:pPr>
              <w:spacing w:before="20" w:after="20"/>
            </w:pPr>
            <w:r>
              <w:rPr>
                <w:sz w:val="16"/>
                <w:szCs w:val="16"/>
              </w:rPr>
              <w:t>Routing Status</w:t>
            </w:r>
          </w:p>
        </w:tc>
        <w:tc>
          <w:tcPr>
            <w:tcW w:type="dxa" w:w="2498"/>
          </w:tcPr>
          <w:p>
            <w:pPr>
              <w:spacing w:before="20" w:after="20"/>
            </w:pPr>
            <w:r>
              <w:rPr>
                <w:sz w:val="16"/>
                <w:szCs w:val="16"/>
              </w:rPr>
              <w:t>Navigational Field</w:t>
            </w:r>
          </w:p>
        </w:tc>
        <w:tc>
          <w:tcPr>
            <w:tcW w:type="dxa" w:w="2498"/>
          </w:tcPr>
          <w:p>
            <w:pPr>
              <w:spacing w:before="20" w:after="20"/>
            </w:pPr>
            <w:r>
              <w:rPr>
                <w:sz w:val="16"/>
                <w:szCs w:val="16"/>
              </w:rPr>
              <w:t>Cross-Annex control</w:t>
            </w:r>
          </w:p>
        </w:tc>
        <w:tc>
          <w:tcPr>
            <w:tcW w:type="dxa" w:w="2500"/>
          </w:tcPr>
          <w:p>
            <w:pPr>
              <w:spacing w:before="20" w:after="20"/>
            </w:pPr>
            <w:r>
              <w:rPr>
                <w:sz w:val="16"/>
                <w:szCs w:val="16"/>
              </w:rPr>
              <w:t>Linked record identifier or No Linked Record Established for Annexes B through G.</w:t>
            </w:r>
          </w:p>
        </w:tc>
      </w:tr>
      <w:tr>
        <w:tc>
          <w:tcPr>
            <w:tcW w:type="dxa" w:w="2498"/>
          </w:tcPr>
          <w:p>
            <w:pPr>
              <w:spacing w:before="20" w:after="20"/>
            </w:pPr>
            <w:r>
              <w:rPr>
                <w:sz w:val="16"/>
                <w:szCs w:val="16"/>
              </w:rPr>
              <w:t>Linkage Legal Basis</w:t>
            </w:r>
          </w:p>
        </w:tc>
        <w:tc>
          <w:tcPr>
            <w:tcW w:type="dxa" w:w="2498"/>
          </w:tcPr>
          <w:p>
            <w:pPr>
              <w:spacing w:before="20" w:after="20"/>
            </w:pPr>
            <w:r>
              <w:rPr>
                <w:sz w:val="16"/>
                <w:szCs w:val="16"/>
              </w:rPr>
              <w:t>Evidentiary Field</w:t>
            </w:r>
          </w:p>
        </w:tc>
        <w:tc>
          <w:tcPr>
            <w:tcW w:type="dxa" w:w="2498"/>
          </w:tcPr>
          <w:p>
            <w:pPr>
              <w:spacing w:before="20" w:after="20"/>
            </w:pPr>
            <w:r>
              <w:rPr>
                <w:sz w:val="16"/>
                <w:szCs w:val="16"/>
              </w:rPr>
              <w:t>Dependency traceability</w:t>
            </w:r>
          </w:p>
        </w:tc>
        <w:tc>
          <w:tcPr>
            <w:tcW w:type="dxa" w:w="2500"/>
          </w:tcPr>
          <w:p>
            <w:pPr>
              <w:spacing w:before="20" w:after="20"/>
            </w:pPr>
            <w:r>
              <w:rPr>
                <w:sz w:val="16"/>
                <w:szCs w:val="16"/>
              </w:rPr>
              <w:t>Legal source supporting a cross-Annex linkage.</w:t>
            </w:r>
          </w:p>
        </w:tc>
      </w:tr>
      <w:tr>
        <w:tc>
          <w:tcPr>
            <w:tcW w:type="dxa" w:w="2498"/>
          </w:tcPr>
          <w:p>
            <w:pPr>
              <w:spacing w:before="20" w:after="20"/>
            </w:pPr>
            <w:r>
              <w:rPr>
                <w:sz w:val="16"/>
                <w:szCs w:val="16"/>
              </w:rPr>
              <w:t>Concordance Mapping Type</w:t>
            </w:r>
          </w:p>
        </w:tc>
        <w:tc>
          <w:tcPr>
            <w:tcW w:type="dxa" w:w="2498"/>
          </w:tcPr>
          <w:p>
            <w:pPr>
              <w:spacing w:before="20" w:after="20"/>
            </w:pPr>
            <w:r>
              <w:rPr>
                <w:sz w:val="16"/>
                <w:szCs w:val="16"/>
              </w:rPr>
              <w:t>Derived or Evidentiary Field</w:t>
            </w:r>
          </w:p>
        </w:tc>
        <w:tc>
          <w:tcPr>
            <w:tcW w:type="dxa" w:w="2498"/>
          </w:tcPr>
          <w:p>
            <w:pPr>
              <w:spacing w:before="20" w:after="20"/>
            </w:pPr>
            <w:r>
              <w:rPr>
                <w:sz w:val="16"/>
                <w:szCs w:val="16"/>
              </w:rPr>
              <w:t>HS continuity</w:t>
            </w:r>
          </w:p>
        </w:tc>
        <w:tc>
          <w:tcPr>
            <w:tcW w:type="dxa" w:w="2500"/>
          </w:tcPr>
          <w:p>
            <w:pPr>
              <w:spacing w:before="20" w:after="20"/>
            </w:pPr>
            <w:r>
              <w:rPr>
                <w:sz w:val="16"/>
                <w:szCs w:val="16"/>
              </w:rPr>
              <w:t>One-to-one, one-to-many, many-to-one, or other documented mapping relationship.</w:t>
            </w:r>
          </w:p>
        </w:tc>
      </w:tr>
      <w:tr>
        <w:tc>
          <w:tcPr>
            <w:tcW w:type="dxa" w:w="2498"/>
          </w:tcPr>
          <w:p>
            <w:pPr>
              <w:spacing w:before="20" w:after="20"/>
            </w:pPr>
            <w:r>
              <w:rPr>
                <w:sz w:val="16"/>
                <w:szCs w:val="16"/>
              </w:rPr>
              <w:t>Coverage Continuity Statement</w:t>
            </w:r>
          </w:p>
        </w:tc>
        <w:tc>
          <w:tcPr>
            <w:tcW w:type="dxa" w:w="2498"/>
          </w:tcPr>
          <w:p>
            <w:pPr>
              <w:spacing w:before="20" w:after="20"/>
            </w:pPr>
            <w:r>
              <w:rPr>
                <w:sz w:val="16"/>
                <w:szCs w:val="16"/>
              </w:rPr>
              <w:t>Operative Support Field</w:t>
            </w:r>
          </w:p>
        </w:tc>
        <w:tc>
          <w:tcPr>
            <w:tcW w:type="dxa" w:w="2498"/>
          </w:tcPr>
          <w:p>
            <w:pPr>
              <w:spacing w:before="20" w:after="20"/>
            </w:pPr>
            <w:r>
              <w:rPr>
                <w:sz w:val="16"/>
                <w:szCs w:val="16"/>
              </w:rPr>
              <w:t>Split/merge protection</w:t>
            </w:r>
          </w:p>
        </w:tc>
        <w:tc>
          <w:tcPr>
            <w:tcW w:type="dxa" w:w="2500"/>
          </w:tcPr>
          <w:p>
            <w:pPr>
              <w:spacing w:before="20" w:after="20"/>
            </w:pPr>
            <w:r>
              <w:rPr>
                <w:sz w:val="16"/>
                <w:szCs w:val="16"/>
              </w:rPr>
              <w:t>Explains whether substantive product coverage remains unchanged through a concordance event.</w:t>
            </w:r>
          </w:p>
        </w:tc>
      </w:tr>
      <w:tr>
        <w:tc>
          <w:tcPr>
            <w:tcW w:type="dxa" w:w="2498"/>
          </w:tcPr>
          <w:p>
            <w:pPr>
              <w:spacing w:before="20" w:after="20"/>
            </w:pPr>
            <w:r>
              <w:rPr>
                <w:sz w:val="16"/>
                <w:szCs w:val="16"/>
              </w:rPr>
              <w:t>Dispute Type / Status / Reference</w:t>
            </w:r>
          </w:p>
        </w:tc>
        <w:tc>
          <w:tcPr>
            <w:tcW w:type="dxa" w:w="2498"/>
          </w:tcPr>
          <w:p>
            <w:pPr>
              <w:spacing w:before="20" w:after="20"/>
            </w:pPr>
            <w:r>
              <w:rPr>
                <w:sz w:val="16"/>
                <w:szCs w:val="16"/>
              </w:rPr>
              <w:t>Administrative Control Field</w:t>
            </w:r>
          </w:p>
        </w:tc>
        <w:tc>
          <w:tcPr>
            <w:tcW w:type="dxa" w:w="2498"/>
          </w:tcPr>
          <w:p>
            <w:pPr>
              <w:spacing w:before="20" w:after="20"/>
            </w:pPr>
            <w:r>
              <w:rPr>
                <w:sz w:val="16"/>
                <w:szCs w:val="16"/>
              </w:rPr>
              <w:t>Temporary handling</w:t>
            </w:r>
          </w:p>
        </w:tc>
        <w:tc>
          <w:tcPr>
            <w:tcW w:type="dxa" w:w="2500"/>
          </w:tcPr>
          <w:p>
            <w:pPr>
              <w:spacing w:before="20" w:after="20"/>
            </w:pPr>
            <w:r>
              <w:rPr>
                <w:sz w:val="16"/>
                <w:szCs w:val="16"/>
              </w:rPr>
              <w:t>Affected field, asserted alternatives, Parties concerned, and applicable consultation or dispute reference.</w:t>
            </w:r>
          </w:p>
        </w:tc>
      </w:tr>
      <w:tr>
        <w:tc>
          <w:tcPr>
            <w:tcW w:type="dxa" w:w="2498"/>
          </w:tcPr>
          <w:p>
            <w:pPr>
              <w:spacing w:before="20" w:after="20"/>
            </w:pPr>
            <w:r>
              <w:rPr>
                <w:sz w:val="16"/>
                <w:szCs w:val="16"/>
              </w:rPr>
              <w:t>Last Undisputed Controlled State</w:t>
            </w:r>
          </w:p>
        </w:tc>
        <w:tc>
          <w:tcPr>
            <w:tcW w:type="dxa" w:w="2498"/>
          </w:tcPr>
          <w:p>
            <w:pPr>
              <w:spacing w:before="20" w:after="20"/>
            </w:pPr>
            <w:r>
              <w:rPr>
                <w:sz w:val="16"/>
                <w:szCs w:val="16"/>
              </w:rPr>
              <w:t>Evidentiary Field</w:t>
            </w:r>
          </w:p>
        </w:tc>
        <w:tc>
          <w:tcPr>
            <w:tcW w:type="dxa" w:w="2498"/>
          </w:tcPr>
          <w:p>
            <w:pPr>
              <w:spacing w:before="20" w:after="20"/>
            </w:pPr>
            <w:r>
              <w:rPr>
                <w:sz w:val="16"/>
                <w:szCs w:val="16"/>
              </w:rPr>
              <w:t>Temporary reference</w:t>
            </w:r>
          </w:p>
        </w:tc>
        <w:tc>
          <w:tcPr>
            <w:tcW w:type="dxa" w:w="2500"/>
          </w:tcPr>
          <w:p>
            <w:pPr>
              <w:spacing w:before="20" w:after="20"/>
            </w:pPr>
            <w:r>
              <w:rPr>
                <w:sz w:val="16"/>
                <w:szCs w:val="16"/>
              </w:rPr>
              <w:t>Last uncontested controlled value and period to which it applied.</w:t>
            </w:r>
          </w:p>
        </w:tc>
      </w:tr>
      <w:tr>
        <w:tc>
          <w:tcPr>
            <w:tcW w:type="dxa" w:w="2498"/>
          </w:tcPr>
          <w:p>
            <w:pPr>
              <w:spacing w:before="20" w:after="20"/>
            </w:pPr>
            <w:r>
              <w:rPr>
                <w:sz w:val="16"/>
                <w:szCs w:val="16"/>
              </w:rPr>
              <w:t>Population Status</w:t>
            </w:r>
          </w:p>
        </w:tc>
        <w:tc>
          <w:tcPr>
            <w:tcW w:type="dxa" w:w="2498"/>
          </w:tcPr>
          <w:p>
            <w:pPr>
              <w:spacing w:before="20" w:after="20"/>
            </w:pPr>
            <w:r>
              <w:rPr>
                <w:sz w:val="16"/>
                <w:szCs w:val="16"/>
              </w:rPr>
              <w:t>Administrative Control Field</w:t>
            </w:r>
          </w:p>
        </w:tc>
        <w:tc>
          <w:tcPr>
            <w:tcW w:type="dxa" w:w="2498"/>
          </w:tcPr>
          <w:p>
            <w:pPr>
              <w:spacing w:before="20" w:after="20"/>
            </w:pPr>
            <w:r>
              <w:rPr>
                <w:sz w:val="16"/>
                <w:szCs w:val="16"/>
              </w:rPr>
              <w:t>Initial implementation</w:t>
            </w:r>
          </w:p>
        </w:tc>
        <w:tc>
          <w:tcPr>
            <w:tcW w:type="dxa" w:w="2500"/>
          </w:tcPr>
          <w:p>
            <w:pPr>
              <w:spacing w:before="20" w:after="20"/>
            </w:pPr>
            <w:r>
              <w:rPr>
                <w:sz w:val="16"/>
                <w:szCs w:val="16"/>
              </w:rPr>
              <w:t>Populated, Pending Population, Under Verification, or Complete for the applicable implementation stage.</w:t>
            </w:r>
          </w:p>
        </w:tc>
      </w:tr>
    </w:tbl>
    <w:p>
      <w:pPr>
        <w:pStyle w:val="Heading1"/>
      </w:pPr>
      <w:r>
        <w:t>Annex B - General Tariff Elimination Schedule and Verified Baseline Treatment</w:t>
      </w:r>
    </w:p>
    <w:p>
      <w:r>
        <w:t>Annex B operative status: The Articles below govern the tariff-state ledger, baseline treatment, elimination trajectories, cross-Annex routing, and controlled schedule architecture. Actual tariff-line values and negotiated numerical schedules are populated only from traceable official or authenticated negotiated sources. No placeholder, illustrative rate, or unverified numerical value is operative merely because it appears in a working draft. Annex A Product Record identity remains the primary product anchor throughout Annex B.</w:t>
      </w:r>
    </w:p>
    <w:p>
      <w:pPr>
        <w:pStyle w:val="Heading2"/>
      </w:pPr>
      <w:r>
        <w:t xml:space="preserve">Article B.1 - Purpose, Legal Function, and Boundaries</w:t>
      </w:r>
    </w:p>
    <w:p>
      <w:r>
        <w:t>B.1.1 [TARIFF STATE LEDGER] Annex B is the controlled General Tariff Elimination Schedule for tariff treatment assigned by Chapters 4 and 5 and for tariff-state information necessary to administer linked treatment under this Compact. Each record connects an Annex A Product Record ID to a Party-specific tariff state, its legal basis, its effective period, and any valid elimination trajectory. Annex B records and implements tariff consequences already authorized by the Compact and does not independently create tariff entitlement. Operative Compact text controls where a schedule record conflicts with the legal rule that the record is intended to reproduce.</w:t>
      </w:r>
    </w:p>
    <w:p>
      <w:r>
        <w:t>B.1.2 [NON FUNCTIONS] Annex B does not classify products, determine origin, administer Tariff-Rate Quota quantities or allocation, create sensitive-sector status, determine reciprocity satisfaction, decide vesting, determine SPS admissibility, or determine customs valuation. Annexes A, C, D, E, F, and G and their governing Chapters retain those assigned functions. A routing reference communicates dependency without transferring substantive authority to Annex B. Annex B is not a standalone customs code and does not alter a Party's external tariff policy except to the extent the Compact expressly governs qualifying trade.</w:t>
      </w:r>
    </w:p>
    <w:p>
      <w:r>
        <w:t>B.1.3 [OMISSION FIREWALL] A missing, incomplete, orphaned, or technically inaccessible Annex B record does not by itself preserve a tariff, create zero treatment, or determine another substantive entitlement. The legally controlling Compact provision and last valid controlled record govern while the administrative defect is corrected. Where the legal tariff state cannot be established from controlling sources, the record is marked Pending or Disputed rather than administratively invented. No Party relies on an Annex B omission as the sole basis for collecting a duty otherwise eliminated by the Compact.</w:t>
      </w:r>
    </w:p>
    <w:p>
      <w:r>
        <w:t>B.1.4 [CORE SEPARATIONS] Baseline is distinct from entitlement, schedule is distinct from origin, and a zero date is distinct from a vesting date. Verification documents a tariff state but does not renegotiate it, and routing communicates a relationship but does not create substantive authority. A temporary interruption does not reset the underlying elimination path, and a classification change does not itself change tariff treatment. A data correction does not become a substantive amendment merely because it occurs inside the schedule.</w:t>
      </w:r>
    </w:p>
    <w:p>
      <w:pPr>
        <w:pStyle w:val="Heading2"/>
      </w:pPr>
      <w:r>
        <w:t xml:space="preserve">Article B.2 - Tariff Schedule Record Architecture</w:t>
      </w:r>
    </w:p>
    <w:p>
      <w:r>
        <w:t>B.2.1 [PERSISTENT RECORD ID] Each tariff treatment record receives a persistent Tariff Schedule Record ID linked to the applicable Annex A Product Record ID. The identifier is not replaced solely because an HS code, national tariff line, season, database platform, or administrative agency changes. A retired Tariff Schedule Record ID is never reassigned to unrelated treatment. The record preserves its creating authority, legal basis, Party, status, and predecessor or successor relationship where applicable.</w:t>
      </w:r>
    </w:p>
    <w:p>
      <w:r>
        <w:t>B.2.2 [SCHEDULE VERSION ID] Each legally relevant state of a Tariff Schedule Record receives a distinct Schedule Version ID. The version identifies its effective date, publication date, prior version, change reason, affected fields, and responsible authority. Superseded versions remain reproducible for historical administration and dispute review. An unversioned administrative copy does not displace the controlled version applicable to the legally relevant date.</w:t>
      </w:r>
    </w:p>
    <w:p>
      <w:r>
        <w:t>B.2.3 [MULTIPLE RECORDS] One Annex A Product Record may support multiple Annex B records where Party, season, tariff component, legal treatment, or another objectively necessary tariff distinction differs. Multiple records do not create multiple product identities and remain linked to the same Product Record ID unless Annex A establishes a valid successor identity. The schedule identifies the relationship among component records so that the complete tariff state can be reconstructed. A component record may not be isolated from related components to conceal a surviving positive duty.</w:t>
      </w:r>
    </w:p>
    <w:p>
      <w:r>
        <w:t>B.2.4 [ORPHAN AND CONTINUITY CONTROL] An Annex B record without a valid Annex A Product Record linkage is flagged as Orphaned and receives no independent substantive effect from that status. HS splits, mergers, and revisions follow the Product Record identity and controlled concordance architecture in Annex A. A valid predecessor or successor mapping preserves the tariff trajectory unless a legally effective substantive act changes it. Administrative migration never supplies authority to restart, re-age, or increase the trajectory.</w:t>
      </w:r>
    </w:p>
    <w:p>
      <w:pPr>
        <w:pStyle w:val="Heading2"/>
      </w:pPr>
      <w:r>
        <w:t xml:space="preserve">Article B.3 - Verified Baseline Treatment</w:t>
      </w:r>
    </w:p>
    <w:p>
      <w:r>
        <w:t>B.3.1 [BASELINE CONTENT] Each applicable record identifies the NAAFTC Baseline Date and the ordinary customs-duty treatment legally relevant on that date. The baseline captures the actual legal structure needed for administration, including ad valorem, specific, compound, mixed, seasonal, minimum, maximum, within-access, over-access, or tariff-free treatment where applicable. The record separately identifies MFN, preferential, autonomous, or other legally relevant reference rates when those distinctions are necessary to establish the controlling Compact baseline. Recording a rate that existed or was collected does not concede that the measure was lawful.</w:t>
      </w:r>
    </w:p>
    <w:p>
      <w:r>
        <w:t>B.3.2 [BASELINE SOURCE] Every baseline datum identifies its controlling legal source, source edition or version, source date, archive or publication reference, and applicable Party. The record also identifies the unit of measure and currency for a specific or compound duty where those fields are legally relevant. Source provenance follows the controlled hierarchy and field-level discipline established by Annex A and Chapter 3. A derivative source assists verification but does not displace a controlling legal instrument.</w:t>
      </w:r>
    </w:p>
    <w:p>
      <w:r>
        <w:t>B.3.3 [BASELINE VERIFICATION] Baseline verification records the verifying authority or function, verification date, scope, method, and status for the affected datum. Value Type and Verification Status remain separate fields so that an official historical value does not become a negotiated value merely because it is verified. A partially verified baseline is not represented as fully verified. Verification delay does not create authority to increase protection or suspend a tariff reduction otherwise legally operative.</w:t>
      </w:r>
    </w:p>
    <w:p>
      <w:r>
        <w:t>B.3.4 [CONTESTED BASELINE] A contested baseline records each material competing claim, its provenance, the affected field, and the last undisputed controlled state where one exists. Recording the contested measure does not legalize it, waive a challenge, or convert collection into entitlement. A temporary suspension or emergency overlay does not become the permanent baseline solely because it existed on the Baseline Date. Articles B.15 and Chapters 25 and 26 govern correction, consultation, and dispute handling without authorizing self-help tariff increases.</w:t>
      </w:r>
    </w:p>
    <w:p>
      <w:pPr>
        <w:pStyle w:val="Heading2"/>
      </w:pPr>
      <w:r>
        <w:t xml:space="preserve">Article B.4 - Value Types, Provenance, and Derived Data</w:t>
      </w:r>
    </w:p>
    <w:p>
      <w:r>
        <w:t>B.4.1 [VALUE TYPES] Each legally material tariff datum carries a controlled Value Type appropriate to its origin and function. Permitted classes distinguish at minimum Official Historical Value, Negotiated Value, Derived Value, Technical Conversion, Concordance Mapping, Administrative Provisional Datum, and Retired Value. Verification Status is recorded separately and may identify a value as Verified, Pending Verification, or Disputed without changing its Value Type. A change in administrative confidence therefore does not silently change the legal provenance of the value.</w:t>
      </w:r>
    </w:p>
    <w:p>
      <w:r>
        <w:t>B.4.2 [PROVENANCE PASSPORT] Each tariff datum preserves the source, source version, source date, retrieval or verification date, legal basis, and transformation history necessary to reproduce the value. Reuse of a datum in another stage or linked Annex preserves the original provenance rather than creating a new unsupported fact. One fact remains one fact even when displayed in several administrative contexts. Aggregation, export, or database transformation does not erase the chain of use.</w:t>
      </w:r>
    </w:p>
    <w:p>
      <w:r>
        <w:t>B.4.3 [DERIVED VALUES] A Derived Value identifies the source inputs, reproducible method, effective assumptions, rounding rule, and purpose for which the value is derived. A Technical Conversion remains distinguishable from the legally operative duty expression unless the Compact expressly makes the converted value operative. An administrator does not use a derived value to renegotiate a negotiated rate or to resolve a legal ambiguity that requires substantive authority. A disputed derivation is flagged at the affected field while the underlying source data remain preserved.</w:t>
      </w:r>
    </w:p>
    <w:p>
      <w:r>
        <w:t>B.4.4 [NO INVENTED DATA] An unresolved source conflict, missing datum, or failed conversion receives no invented operative value merely to complete the schedule. The record identifies the gap, competing sources where applicable, responsible function, and next required step. Administrative estimates may be retained only as clearly non-operative analytical metadata where the Compact permits their use. No estimate becomes a tariff entitlement through repetition, publication, or system default.</w:t>
      </w:r>
    </w:p>
    <w:p>
      <w:pPr>
        <w:pStyle w:val="Heading2"/>
      </w:pPr>
      <w:r>
        <w:t xml:space="preserve">Article B.5 - Immediate Zero Treatment and Zero-Lock Continuity</w:t>
      </w:r>
    </w:p>
    <w:p>
      <w:r>
        <w:t>B.5.1 [ZERO BASELINE] A qualifying originating good subject to the Chapter 4 Immediate Zero-Tariff Lock is recorded with its zero baseline treatment, legal source, effective date, scope, and Party-specific application. Annex B distinguishes that locked baseline from the later Chapter 9 Zero-Line Status that records completed durable liberalization. The schedule documents the lock but does not make verification or publication a condition precedent to a zero treatment already created by Chapter 4. A missing Annex B entry therefore does not revive a positive duty.</w:t>
      </w:r>
    </w:p>
    <w:p>
      <w:r>
        <w:t>B.5.2 [NO TRANSITION LAUNDERING] A locked zero line is not moved into an ordinary or sensitive transition merely because a schedule category, database field, or later tariff nomenclature exists. Any departure from locked zero treatment requires express authority elsewhere in the Compact and remains limited to that authority. An Annex C routing entry cannot manufacture sensitive treatment for a line that the controlling substantive rules keep at zero. Administrative reclassification does not convert the zero lock into bargaining space.</w:t>
      </w:r>
    </w:p>
    <w:p>
      <w:r>
        <w:t>B.5.3 [TEMPORARY OVERLAY] A temporary measure lawfully authorized by another Chapter may be recorded as an overlay without replacing the underlying zero lock. The record identifies the temporary authority, scope, start date, termination condition, and restoration rule. When the temporary authority ends, the zero treatment resumes automatically to the extent required by the governing Chapter. Repeated temporary administration does not mature into a permanent positive tariff.</w:t>
      </w:r>
    </w:p>
    <w:p>
      <w:r>
        <w:t>B.5.4 [ZERO AUDIT TRAIL] The controlled record preserves every zero-lock source, version, correction, dispute, temporary overlay, and restoration event relevant to the product. Nomenclature revision follows the Annex A Product Record identity and does not extinguish the lock. Chapter 9 receives the appropriate linkage when completed liberalization produces Zero-Line Status under that Chapter. Historical records remain available for audit but do not supply authority for later reimposition.</w:t>
      </w:r>
    </w:p>
    <w:p>
      <w:pPr>
        <w:pStyle w:val="Heading2"/>
      </w:pPr>
      <w:r>
        <w:t xml:space="preserve">Article B.6 - General Elimination Path and Staging</w:t>
      </w:r>
    </w:p>
    <w:p>
      <w:r>
        <w:t>B.6.1 [ELIMINATION PATH] For a qualifying originating Covered Agricultural Good governed by Chapter 5, Annex B records the starting operative rate, each legally authorized reduction, each resulting rate, and the final zero date. The schedule may represent immediate, straight-line, staged, or specifically negotiated paths authorized by the Compact. An administrator does not design or substitute a reduction trajectory merely because a schedule field is incomplete. The operative path follows the governing legal rule and authenticated schedule record.</w:t>
      </w:r>
    </w:p>
    <w:p>
      <w:r>
        <w:t>B.6.2 [STAGING CATEGORIES] Controlled staging categories may include Immediate Zero, Stage 3, Stage 5, Stage 7, Stage 10, Stage 12, Stage 15, and Custom Negotiated Path where those categories are legally adopted. Each adopted category identifies its formula, stage count, effective-date rule, and rounding method. A Custom Negotiated Path contains the complete legally effective sequence or an authenticated reference sufficient to reproduce it. A category label without an operative formula or schedule does not authorize tariff collection.</w:t>
      </w:r>
    </w:p>
    <w:p>
      <w:r>
        <w:t>B.6.3 [COMPLETED STAGE CEILING] Once a scheduled reduction becomes legally effective, the resulting rate becomes the maximum ordinary customs duty permitted by that elimination path unless another Compact provision expressly authorizes temporary treatment or a later legally effective substantive amendment adopted through the authority required by the Compact changes that rate. A later stage does not restore a higher completed-stage rate, restart the sequence, or create a new baseline merely through schedule administration. A Party does not offset a scheduled reduction by increasing another ordinary-duty component applicable to the same treatment. Every component governed by the elimination obligation reaches zero by the legally applicable final zero date unless a legally effective substantive amendment expressly changes that obligation.</w:t>
      </w:r>
    </w:p>
    <w:p>
      <w:r>
        <w:t>B.6.4 [NO RESIDUAL DUTY] The final zero date produces a zero amount for every ordinary-duty component governed by the applicable path. A formula, minimum, maximum, seasonal, specific, compound, mixed, price-related, or alternative component does not survive merely because its expression differs from an ad valorem rate. Rounding or conversion does not leave a residual positive duty after the legal zero date. Chapter 9 records completed zero treatment without reopening the eliminated trajectory.</w:t>
      </w:r>
    </w:p>
    <w:p>
      <w:pPr>
        <w:pStyle w:val="Heading2"/>
      </w:pPr>
      <w:r>
        <w:t xml:space="preserve">Article B.7 - Dates, Anniversaries, Activation, and Stage Operation</w:t>
      </w:r>
    </w:p>
    <w:p>
      <w:r>
        <w:t>B.7.1 [DATE RULE] Each schedule identifies the legal event that begins the elimination clock and the rule that determines each later stage date. The record distinguishes entry-into-force anniversaries, calendar dates, synchronized activation dates, Party-specific dates, and other legally authorized timing rules. A mid-year entry into force or partial period is administered according to the adopted schedule rather than through an implied full-year delay. Leap-year or time-zone questions are resolved in a manner that preserves the legally specified date and does not postpone treatment.</w:t>
      </w:r>
    </w:p>
    <w:p>
      <w:r>
        <w:t>B.7.2 [STAGE STATE] Each applicable stage records its stage number, effective date, previous rate, resulting rate, and next scheduled rate or final zero state. The current scheduled rate is derived from the latest legally effective stage rather than from publication timing or software update timing. A delayed administrative update does not delay a reduction that became legally operative. A date correction preserves accrued treatment unless the controlling legal act itself establishes a different effective consequence.</w:t>
      </w:r>
    </w:p>
    <w:p>
      <w:r>
        <w:t>B.7.3 [ACTIVATION DEPENDENCY] Where a tariff stage depends on an Annex E activation or synchronization event, Annex B records the dependency and reads the legally effective status supplied by Annex E. Annex B does not determine whether reciprocity, material performance, or another substantive activation condition has been satisfied. A deferred activation record identifies the controlling event and any legally authorized catch-up rule without resetting the original baseline. Failure of an administrative dependency link does not create authority to choose a new date.</w:t>
      </w:r>
    </w:p>
    <w:p>
      <w:r>
        <w:t>B.7.4 [NO CLOCK RESET] Date administration does not create a new baseline, re-age a completed reduction, or restart a tariff-elimination clock. Acceleration follows Chapter 29 and the substantive Chapter governing the affected treatment, while an authorized deferral follows only the authority that permits it. Retroactive schedule editing does not erase tariff treatment that already accrued under a legally effective stage. A date dispute is recorded and routed without authorizing unilateral restoration of a higher rate.</w:t>
      </w:r>
    </w:p>
    <w:p>
      <w:pPr>
        <w:pStyle w:val="Heading2"/>
      </w:pPr>
      <w:r>
        <w:t xml:space="preserve">Article B.8 - Seasonal and Multi-Component Tariffs</w:t>
      </w:r>
    </w:p>
    <w:p>
      <w:r>
        <w:t>B.8.1 [COMPONENT ARCHITECTURE] A tariff composed of more than one legally relevant component is represented through controlled component records sufficient to reconstruct the complete duty. Component types may include ad valorem, specific, compound, mixed, minimum, maximum, alternative, formula, price-band, entry-price, seasonal, within-access, and over-access expressions where legally applicable. Each component identifies its source, unit, currency where applicable, interaction rule, and elimination treatment. The existence of multiple components does not permit any component governed by Chapter 5 to survive its final zero date.</w:t>
      </w:r>
    </w:p>
    <w:p>
      <w:r>
        <w:t>B.8.2 [SEASONAL TREATMENT] A seasonal tariff record identifies the legally defined season, start and end boundaries, source, applicable components, and elimination path. A Party does not shift, lengthen, subdivide, or relabel a season to avoid a scheduled reduction. A nomenclature or calendar maintenance change preserves the substantive seasonal envelope unless a legally effective act changes it. Seasonal disputes remain product- and period-specific and do not suspend unrelated treatment.</w:t>
      </w:r>
    </w:p>
    <w:p>
      <w:r>
        <w:t>B.8.3 [MINIMUM MAXIMUM AND ALTERNATIVE DUTIES] A minimum, maximum, alternative, or formula duty is tested according to the complete legal expression rather than only its headline component. Each branch of the expression follows the elimination discipline applicable to the ordinary customs duty. A reduction in one branch does not satisfy the obligation if another branch continues to produce a higher positive amount contrary to the schedule. The controlled record therefore preserves the formula and the treatment of each component through zero.</w:t>
      </w:r>
    </w:p>
    <w:p>
      <w:r>
        <w:t>B.8.4 [MANAGED ACCESS FIREWALL] Annex B may record within-access and over-access tariff consequences needed for tariff administration but does not establish quota quantity, allocation, utilization, displacement, or vesting. Annex D owns the managed-access mechanics and supplies the controlling linkage where those mechanics apply. A seasonal or multi-component record does not create a Tariff-Rate Quota merely because it contains an access-related rate. Any conflict between B and D is reconciled according to their assigned substantive functions rather than by choosing the more restrictive database entry.</w:t>
      </w:r>
    </w:p>
    <w:p>
      <w:pPr>
        <w:pStyle w:val="Heading2"/>
      </w:pPr>
      <w:r>
        <w:t xml:space="preserve">Article B.9 - Conversions, Currency, Units, and Rounding</w:t>
      </w:r>
    </w:p>
    <w:p>
      <w:r>
        <w:t>B.9.1 [CONVERSION PURPOSE] A conversion is performed only where needed to administer, compare, verify, or display tariff treatment under an authorized Compact function. An ad valorem equivalent used for comparison or analysis does not replace a legally operative specific, compound, or formula duty unless the Compact expressly assigns that effect. Each conversion identifies its purpose and whether the result is operative, evidentiary, derived, or analytical. Conversion machinery therefore cannot become an indirect tariff amendment.</w:t>
      </w:r>
    </w:p>
    <w:p>
      <w:r>
        <w:t>B.9.2 [CURRENCY AND UNIT CONVERSION] A currency or quantity conversion identifies the official or legally authorized source, source date, applicable rate or factor, unit relationship, and effective rounding rule. The method remains reproducible from preserved source data. A conversion source is not changed retroactively merely because a later source would produce a more favorable or restrictive result. Disputed conversion inputs are flagged without altering unrelated tariff fields.</w:t>
      </w:r>
    </w:p>
    <w:p>
      <w:r>
        <w:t>B.9.3 [ROUNDING] Each staging formula and technical conversion uses the rounding rule assigned by the governing schedule or an administratively neutral rule expressly authorized for that function. Accumulated rounding does not increase a tariff above the legally authorized stage rate or leave a positive residual after the final zero date. Rounding is applied consistently to equivalent records and is documented where it affects collection. An administrator does not select a rounding convention for the purpose of changing the negotiated trajectory.</w:t>
      </w:r>
    </w:p>
    <w:p>
      <w:r>
        <w:t>B.9.4 [CONVERSION AUDIT] The record preserves source inputs, intermediate calculations where legally material, final result, verification status, and correction history for a technical conversion. A reviewer can reproduce the conversion without relying on undocumented software behavior. Publication may display a simplified result while the controlled record retains the complete derivation. A conversion dispute follows Article B.15 and does not authorize renegotiation of the underlying duty.</w:t>
      </w:r>
    </w:p>
    <w:p>
      <w:pPr>
        <w:pStyle w:val="Heading2"/>
      </w:pPr>
      <w:r>
        <w:t xml:space="preserve">Article B.10 - Sensitive-Sector and Managed-Access Routing</w:t>
      </w:r>
    </w:p>
    <w:p>
      <w:r>
        <w:t>B.10.1 [ANNEX C ROUTING] Annex B records an Annex C linkage where an operative sensitive-sector transition lawfully modifies the ordinary Chapter 5 path. The link identifies the applicable Annex C record and the B elements displaced or modified by that treatment. Adding a link does not create sensitivity, and absence of an operative Annex C record supplies no independent authority to invent sensitive treatment. An administrative routing omission likewise does not extinguish sensitive treatment independently established by a legally effective Compact record.</w:t>
      </w:r>
    </w:p>
    <w:p>
      <w:r>
        <w:t>B.10.2 [NO SENSITIVE CREEP] A non-sensitive product is not migrated into Annex C through administrative convenience, sector association, related-product reasoning, or tariff-line renumbering. The Annex C linkage corresponds to the same Product Record ID or a valid controlled successor relationship and to the Party and scope of the operative designation. Reconciliation corrects broken routing without enlarging the sensitive envelope. A disputed linkage is flagged while the substantive Chapter determines the legally controlling treatment.</w:t>
      </w:r>
    </w:p>
    <w:p>
      <w:r>
        <w:t>B.10.3 [ANNEX D ROUTING] Annex B links to Annex D where managed-access treatment affects the tariff consequences recorded for a product. Annex D owns quantities, allocation, utilization, displacement, managed-access mechanics, and the vesting consequences assigned to it. Annex B may display within-access and over-access rates but does not enlarge, reduce, allocate, or extinguish quota access. Reconciliation preserves that division of authority and routes substantive disagreement to the governing Chapter.</w:t>
      </w:r>
    </w:p>
    <w:p>
      <w:r>
        <w:t>B.10.4 [ROUTING RECONCILIATION] Cross-Annex reconciliation identifies the conflicting records, Product Record ID, legal source, affected fields, and correction route. Reconciliation repairs navigation and data consistency but does not authorize a substantive tariff or access amendment. A blank or broken link is treated as an administrative defect rather than a source of new treatment. Publication preserves the correction history and prior controlled states.</w:t>
      </w:r>
    </w:p>
    <w:p>
      <w:pPr>
        <w:pStyle w:val="Heading2"/>
      </w:pPr>
      <w:r>
        <w:t xml:space="preserve">Article B.11 - Reciprocity, Activation, and Synchronization Interface</w:t>
      </w:r>
    </w:p>
    <w:p>
      <w:r>
        <w:t>B.11.1 [ANNEX E OWNS SWITCH] Annex E determines the occurrence and legal effect of reciprocity, synchronized activation, and other milestones assigned to it. Annex B records the dependency and resulting tariff state after receiving the legally effective Annex E status. Annex B reads the switch but does not own the switch. A customs administrator therefore does not decide material performance or interstate reciprocity while calculating a tariff.</w:t>
      </w:r>
    </w:p>
    <w:p>
      <w:r>
        <w:t>B.11.2 [DEPENDENCY RECORD] A dependency record identifies the Annex E record, affected Party or bilateral pair or trilateral set, triggering condition, activation status, effective date, and any authorized deferred or catch-up treatment. The record distinguishes substantive uncertainty about whether an Annex E event legally occurred from administrative delay, broken routing, or delayed publication after an event has already become legally effective. Where occurrence or legal effect remains substantively unresolved, the last legally controlling treatment remains in force subject to any specialized interim rule supplied by the Compact. Where the Annex E event has already become legally effective, failure or delay in recording, transmitting, publishing, or displaying that event does not postpone the resulting tariff treatment.</w:t>
      </w:r>
    </w:p>
    <w:p>
      <w:r>
        <w:t>B.11.3 [NO RESET OR BOOTSTRAP] A delayed or failed activation does not create a new baseline or restart elapsed stages unless Annex E expressly assigns that consequence. Annex B does not bootstrap a tariff consequence from an administrative Annex E notation that lacks substantive legal effect. Annex E likewise does not acquire tariff-setting authority merely because Annex B references its milestone. Each Annex remains bounded by its assigned function.</w:t>
      </w:r>
    </w:p>
    <w:p>
      <w:r>
        <w:t>B.11.4 [RECONCILIATION AND DISPUTE] A B/E inconsistency is reconciled against the legally effective Annex E determination and the governing tariff rule rather than by forum shopping between records. The correction identifies the dependency, prior state, corrected state, authority, and effective consequence. A contested substantive activation proceeds through the consultation or dispute mechanism assigned by the Compact. Annex B records the outcome without independently reconsidering it.</w:t>
      </w:r>
    </w:p>
    <w:p>
      <w:pPr>
        <w:pStyle w:val="Heading2"/>
      </w:pPr>
      <w:r>
        <w:t xml:space="preserve">Article B.12 - Vesting and Completed Liberalization Interface</w:t>
      </w:r>
    </w:p>
    <w:p>
      <w:r>
        <w:t>B.12.1 [STATE DISTINCTIONS] Annex B distinguishes a scheduled rate, an operative rate, a completed reduction, and a vested or otherwise protected treatment. The occurrence of one state does not automatically establish another unless the governing Chapter expressly links them. The schedule separately records the final zero date and any Annex F vesting or completed-liberalization date. This separation prevents a tariff schedule entry from silently deciding the durability of the treatment it records.</w:t>
      </w:r>
    </w:p>
    <w:p>
      <w:r>
        <w:t>B.12.2 [ANNEX F LINKAGE] Where Annex F records vesting, completed displacement, no-fade protection, or another durable liberalization state, Annex B identifies the corresponding Annex F record. Annex F determines the substantive status and Annex B reflects the resulting current legal tariff position. A B/F linkage does not create vesting, full vesting, or displacement. A missing administrative link does not extinguish a durable state independently established under the Compact.</w:t>
      </w:r>
    </w:p>
    <w:p>
      <w:r>
        <w:t>B.12.3 [NO RE AGING] A completed tariff reduction is not re-aged through correction, routing, temporary overlay, nomenclature revision, or B/F reconciliation. The historical baseline and earlier stages remain available for audit but not as ordinary authority to restore a higher rate. A temporary measure preserves the underlying completed trajectory and restoration state. Any lawful substantive reversal requires the authority expressly provided by the Compact rather than schedule maintenance.</w:t>
      </w:r>
    </w:p>
    <w:p>
      <w:r>
        <w:t>B.12.4 [CURRENT LEGAL POSITION] The record identifies the current legal tariff position separately from historical, scheduled, temporary, and vested fields. That field is derived from the legally effective sources and dependencies assigned by the Compact and carries a reproducible derivation reference. An administrator does not use the field to choose among unresolved substantive legal claims. A later correction preserves the history of every prior displayed position.</w:t>
      </w:r>
    </w:p>
    <w:p>
      <w:pPr>
        <w:pStyle w:val="Heading2"/>
      </w:pPr>
      <w:r>
        <w:t xml:space="preserve">Article B.13 - Origin Interface with Annex G</w:t>
      </w:r>
    </w:p>
    <w:p>
      <w:r>
        <w:t>B.13.1 [SCHEDULE NOT ORIGIN] Annex B states the tariff treatment available to qualifying originating goods and does not determine whether a particular good or shipment is originating. Chapter 10 and Annex G control origin rules, qualification, and the origin functions assigned to them. Listing a zero originating rate in Annex B therefore does not grant that rate to non-originating trade. Origin verification remains legally separate from tariff-schedule verification.</w:t>
      </w:r>
    </w:p>
    <w:p>
      <w:r>
        <w:t>B.13.2 [ORIGIN LINK] Each applicable tariff record identifies the Annex G origin-rule record or other controlled origin reference needed to administer preferential treatment. The link identifies the rule but does not reproduce or amend it. A broken origin link is corrected through controlled routing and does not authorize an administrator to invent an origin criterion. Where origin remains unresolved for a shipment, the governing origin and customs procedures determine interim treatment.</w:t>
      </w:r>
    </w:p>
    <w:p>
      <w:r>
        <w:t>B.13.3 [ORIGINATING AND NON ORIGINATING RATES] The schema distinguishes the NAAFTC originating tariff rate from any non-originating reference rate recorded for customs administration. A non-originating reference rate remains external to the Compact preference except where another provision expressly governs it. Changes in external MFN or other non-originating treatment do not silently rewrite the negotiated NAAFTC trajectory. The record preserves the source and effective date of each distinct rate.</w:t>
      </w:r>
    </w:p>
    <w:p>
      <w:r>
        <w:t>B.13.4 [ORIGIN DISPUTE BOUNDARY] An origin dispute does not become a tariff-schedule dispute merely because the amount collected depends on the origin outcome. Annex B records the affected rate and origin reference while the competent origin procedure determines qualification. Correction of an origin result does not alter the underlying tariff schedule for other qualifying trade. Publication likewise keeps origin-rule text and tariff-state data functionally distinct.</w:t>
      </w:r>
    </w:p>
    <w:p>
      <w:pPr>
        <w:pStyle w:val="Heading2"/>
      </w:pPr>
      <w:r>
        <w:t xml:space="preserve">Article B.14 - Temporary Measures, Safeguards, Emergencies, and Restoration</w:t>
      </w:r>
    </w:p>
    <w:p>
      <w:r>
        <w:t>B.14.1 [TEMPORARY OVERLAY RECORD] A temporary tariff-affecting measure authorized by the Compact is recorded as an overlay on the underlying scheduled trajectory. The overlay identifies its legal authority, scope, temporary rate or treatment, start date, termination condition, review status, and affected Product Record IDs. Chapter 19, Chapter 20, applicable SPS emergency provisions, authorized enforcement measures, or another express provision control their own substantive conditions. Annex B records the consequence without creating the authority.</w:t>
      </w:r>
    </w:p>
    <w:p>
      <w:r>
        <w:t>B.14.2 [UNDERLYING TRAJECTORY PRESERVED] The underlying tariff-elimination trajectory continues to be recorded during a temporary overlay unless the authorizing provision expressly changes its timing. The overlay does not create a new baseline, restart the clock, or erase a stage that becomes legally effective while the overlay operates. The record distinguishes the temporary operative treatment from the underlying scheduled rate. That distinction permits automatic restoration to the legally correct state when the overlay ends.</w:t>
      </w:r>
    </w:p>
    <w:p>
      <w:r>
        <w:t>B.14.3 [RESTORATION] Cessation of temporary authority restores the tariff state that would otherwise legally control at that time. The provision, Chapter, or legally competent function that owns the temporary authority determines satisfaction of any substantive termination condition assigned to it, while an objectively self-executing expiration occurs without a fresh Annex B determination. Restoration does not require renegotiation, recreation of the baseline, or a fresh discretionary decision by Annex B, and obsolete software, notices, or collection instructions do not preserve temporary treatment after its authority ends. The record identifies the termination event, restoration date, restored rate, and source of the restoration consequence.</w:t>
      </w:r>
    </w:p>
    <w:p>
      <w:r>
        <w:t>B.14.4 [NO PERMANENT OVERLAY BY INERTIA] Repeated continuation, delayed administrative cleanup, or unresolved publication does not transform temporary treatment into permanent ordinary tariff authority. A Party relying on continued temporary treatment identifies the still-operative legal basis and conditions authorizing it. An expired overlay remains historical and receives no current operative status. Improper continuation is subject to the cure, restoration, and dispute mechanisms assigned by Chapters 25 and 26.</w:t>
      </w:r>
    </w:p>
    <w:p>
      <w:pPr>
        <w:pStyle w:val="Heading2"/>
      </w:pPr>
      <w:r>
        <w:t xml:space="preserve">Article B.15 - Corrections, Concordance, and Disputed Tariff Records</w:t>
      </w:r>
    </w:p>
    <w:p>
      <w:r>
        <w:t>B.15.1 [CORRECTION CLASSES] A tariff-record change is classified as metadata maintenance, clerical correction, technical amendment, or substantive amendment according to the legal effect of the change. Clerical correction fixes an objective recording error, and technical amendment maintains the existing bargain without changing the negotiated tariff trajectory. A substantive change follows the authority required by Chapters 29 and 30 and any governing substantive Chapter. Labeling a change as correction does not shield a substantive tariff effect from the required approval procedure.</w:t>
      </w:r>
    </w:p>
    <w:p>
      <w:r>
        <w:t>B.15.2 [CLASSIFICATION CONTINUITY] An HS revision or tariff-line renumbering follows the Annex A Product Record ID and validated concordance rather than creating a new tariff entitlement. Splits and mergers preserve predecessor and successor relationships and the product-level tariff trajectory. A technical concordance does not restore an eliminated tariff, create a new preference, or alter a negotiated stage. Any genuine substantive change is separately identified with its legal authority.</w:t>
      </w:r>
    </w:p>
    <w:p>
      <w:r>
        <w:t>B.15.3 [DISPUTED RECORD] A disputed baseline, classification linkage, duty form, conversion, stage, or other tariff field records the competing claims, provenance, affected field, last undisputed controlled state where one exists, and any separately authorized temporary treatment. Pending Verification or Disputed status does not become an indefinite positive tariff category. A Party does not impose a higher rate through self-help while the dispute proceeds unless an express Compact provision independently authorizes that treatment. Unrelated products and unrelated fields remain unaffected.</w:t>
      </w:r>
    </w:p>
    <w:p>
      <w:r>
        <w:t>B.15.4 [RESOLUTION RECORD] Final resolution records the deciding or resolving authority, outcome, effective consequence, affected fields, required correction, and any refund, restoration, or linked schedule action assigned by the governing Chapter. Chapters 25 and 26 control consultation, cure, automatic restoration, and dispute settlement to the extent assigned there. The controlled record preserves the prior disputed versions and evidence. A product-specific resolution does not rewrite another record unless the governing legal rule independently applies to it.</w:t>
      </w:r>
    </w:p>
    <w:p>
      <w:pPr>
        <w:pStyle w:val="Heading2"/>
      </w:pPr>
      <w:r>
        <w:t xml:space="preserve">Article B.16 - Publication, Version Control, Initial Population, and Completion</w:t>
      </w:r>
    </w:p>
    <w:p>
      <w:r>
        <w:t>B.16.1 [CONTROLLED RELEASE] Annex B is published in human-readable and machine-readable forms that reproduce the same controlled tariff data. Each controlled release uses the Chapter 22 and Chapter 24 version-manifest architecture and identifies the dataset version, schema version, effective date, publication reference, responsible authority, and reproducible completeness marker. Legal authority resides in the authenticated Compact, legally effective acts, and operative controlled fields rather than in an API, database vendor, software platform, or rendering format. A mismatch between publication channels is corrected against the authenticated controlled release.</w:t>
      </w:r>
    </w:p>
    <w:p>
      <w:r>
        <w:t>B.16.2 [PUBLIC AND PROTECTED LAYERS] The published schedule exposes the operative information necessary to identify product treatment, tariff trajectory, effective dates, and routing while protecting information lawfully withheld under Chapter 22. A protected-data layer does not conceal an operative tariff rate or legal basis that traders need to determine ordinary treatment. Publication defects are corrected with prior releases retained for audit. Failure of one publication channel does not postpone a tariff reduction otherwise legally effective.</w:t>
      </w:r>
    </w:p>
    <w:p>
      <w:r>
        <w:t>B.16.3 [INITIAL POPULATION] Initial population proceeds from Annex A Product Record IDs, authoritative Party tariff schedules, authenticated Compact values, and the provenance rules of this Annex. Population may occur in controlled phases based on trade significance, legal sensitivity, data availability, and administrative feasibility without changing substantive coverage or tariff entitlement. Each record carries a Population Status and Verification Status appropriate to its implementation stage. An unpopulated record is not represented as verified or complete and does not preserve a tariff contrary to the Compact.</w:t>
      </w:r>
    </w:p>
    <w:p>
      <w:r>
        <w:t>B.16.4 [COMPLETION AND MAINTENANCE] Initial Annex B population is complete when the required tariff universe contains controlled records sufficient to administer the Compact and every material unresolved field is expressly identified rather than silently omitted. Completion does not freeze the schedule against later stages, HS revisions, lawful corrections, new Product Records, or legally authorized amendments. Continuing maintenance preserves record identity, provenance, verification scope, dependency history, temporary overlays, and prior versions. Administrative completion metrics do not become new conditions on substantive tariff treatment.</w:t>
      </w:r>
    </w:p>
    <w:p>
      <w:pPr>
        <w:pStyle w:val="Heading2"/>
      </w:pPr>
      <w:r>
        <w:t>Annex B Master Tariff Schedule - Controlled Schema</w:t>
      </w:r>
    </w:p>
    <w:tbl>
      <w:tblPr>
        <w:tblStyle w:val="TableGrid"/>
        <w:tblW w:type="dxa" w:w="9994"/>
        <w:tblLayout w:type="fixed"/>
        <w:tblLook w:firstColumn="1" w:firstRow="1" w:lastColumn="0" w:lastRow="0" w:noHBand="0" w:noVBand="1" w:val="04A0"/>
      </w:tblPr>
      <w:tblGrid>
        <w:gridCol w:w="3331"/>
        <w:gridCol w:w="3331"/>
        <w:gridCol w:w="3332"/>
      </w:tblGrid>
      <w:tr>
        <w:tc>
          <w:tcPr>
            <w:tcW w:type="dxa" w:w="3331"/>
          </w:tcPr>
          <w:p>
            <w:pPr>
              <w:spacing w:before="20" w:after="20"/>
            </w:pPr>
            <w:r>
              <w:rPr>
                <w:sz w:val="16"/>
                <w:szCs w:val="16"/>
              </w:rPr>
              <w:t>Field</w:t>
            </w:r>
          </w:p>
        </w:tc>
        <w:tc>
          <w:tcPr>
            <w:tcW w:type="dxa" w:w="3331"/>
          </w:tcPr>
          <w:p>
            <w:pPr>
              <w:spacing w:before="20" w:after="20"/>
            </w:pPr>
            <w:r>
              <w:rPr>
                <w:sz w:val="16"/>
                <w:szCs w:val="16"/>
              </w:rPr>
              <w:t>Governance Class</w:t>
            </w:r>
          </w:p>
        </w:tc>
        <w:tc>
          <w:tcPr>
            <w:tcW w:type="dxa" w:w="3332"/>
          </w:tcPr>
          <w:p>
            <w:pPr>
              <w:spacing w:before="20" w:after="20"/>
            </w:pPr>
            <w:r>
              <w:rPr>
                <w:sz w:val="16"/>
                <w:szCs w:val="16"/>
              </w:rPr>
              <w:t>Function</w:t>
            </w:r>
          </w:p>
        </w:tc>
        <w:trPr>
          <w:tblHeader/>
        </w:trPr>
      </w:tr>
      <w:tr>
        <w:tc>
          <w:tcPr>
            <w:tcW w:type="dxa" w:w="3331"/>
          </w:tcPr>
          <w:p>
            <w:pPr>
              <w:spacing w:before="20" w:after="20"/>
            </w:pPr>
            <w:r>
              <w:rPr>
                <w:sz w:val="16"/>
                <w:szCs w:val="16"/>
              </w:rPr>
              <w:t>Product Record ID</w:t>
            </w:r>
          </w:p>
        </w:tc>
        <w:tc>
          <w:tcPr>
            <w:tcW w:type="dxa" w:w="3331"/>
          </w:tcPr>
          <w:p>
            <w:pPr>
              <w:spacing w:before="20" w:after="20"/>
            </w:pPr>
            <w:r>
              <w:rPr>
                <w:sz w:val="16"/>
                <w:szCs w:val="16"/>
              </w:rPr>
              <w:t>Identity</w:t>
            </w:r>
          </w:p>
        </w:tc>
        <w:tc>
          <w:tcPr>
            <w:tcW w:type="dxa" w:w="3332"/>
          </w:tcPr>
          <w:p>
            <w:pPr>
              <w:spacing w:before="20" w:after="20"/>
            </w:pPr>
            <w:r>
              <w:rPr>
                <w:sz w:val="16"/>
                <w:szCs w:val="16"/>
              </w:rPr>
              <w:t>Annex A persistent product key</w:t>
            </w:r>
          </w:p>
        </w:tc>
      </w:tr>
      <w:tr>
        <w:tc>
          <w:tcPr>
            <w:tcW w:type="dxa" w:w="3331"/>
          </w:tcPr>
          <w:p>
            <w:pPr>
              <w:spacing w:before="20" w:after="20"/>
            </w:pPr>
            <w:r>
              <w:rPr>
                <w:sz w:val="16"/>
                <w:szCs w:val="16"/>
              </w:rPr>
              <w:t>Tariff Schedule Record ID</w:t>
            </w:r>
          </w:p>
        </w:tc>
        <w:tc>
          <w:tcPr>
            <w:tcW w:type="dxa" w:w="3331"/>
          </w:tcPr>
          <w:p>
            <w:pPr>
              <w:spacing w:before="20" w:after="20"/>
            </w:pPr>
            <w:r>
              <w:rPr>
                <w:sz w:val="16"/>
                <w:szCs w:val="16"/>
              </w:rPr>
              <w:t>Identity</w:t>
            </w:r>
          </w:p>
        </w:tc>
        <w:tc>
          <w:tcPr>
            <w:tcW w:type="dxa" w:w="3332"/>
          </w:tcPr>
          <w:p>
            <w:pPr>
              <w:spacing w:before="20" w:after="20"/>
            </w:pPr>
            <w:r>
              <w:rPr>
                <w:sz w:val="16"/>
                <w:szCs w:val="16"/>
              </w:rPr>
              <w:t>Persistent Party/tariff-state record key</w:t>
            </w:r>
          </w:p>
        </w:tc>
      </w:tr>
      <w:tr>
        <w:tc>
          <w:tcPr>
            <w:tcW w:type="dxa" w:w="3331"/>
          </w:tcPr>
          <w:p>
            <w:pPr>
              <w:spacing w:before="20" w:after="20"/>
            </w:pPr>
            <w:r>
              <w:rPr>
                <w:sz w:val="16"/>
                <w:szCs w:val="16"/>
              </w:rPr>
              <w:t>Schedule Version ID</w:t>
            </w:r>
          </w:p>
        </w:tc>
        <w:tc>
          <w:tcPr>
            <w:tcW w:type="dxa" w:w="3331"/>
          </w:tcPr>
          <w:p>
            <w:pPr>
              <w:spacing w:before="20" w:after="20"/>
            </w:pPr>
            <w:r>
              <w:rPr>
                <w:sz w:val="16"/>
                <w:szCs w:val="16"/>
              </w:rPr>
              <w:t>Control</w:t>
            </w:r>
          </w:p>
        </w:tc>
        <w:tc>
          <w:tcPr>
            <w:tcW w:type="dxa" w:w="3332"/>
          </w:tcPr>
          <w:p>
            <w:pPr>
              <w:spacing w:before="20" w:after="20"/>
            </w:pPr>
            <w:r>
              <w:rPr>
                <w:sz w:val="16"/>
                <w:szCs w:val="16"/>
              </w:rPr>
              <w:t>Version of legally relevant tariff state</w:t>
            </w:r>
          </w:p>
        </w:tc>
      </w:tr>
      <w:tr>
        <w:tc>
          <w:tcPr>
            <w:tcW w:type="dxa" w:w="3331"/>
          </w:tcPr>
          <w:p>
            <w:pPr>
              <w:spacing w:before="20" w:after="20"/>
            </w:pPr>
            <w:r>
              <w:rPr>
                <w:sz w:val="16"/>
                <w:szCs w:val="16"/>
              </w:rPr>
              <w:t>Record Status</w:t>
            </w:r>
          </w:p>
        </w:tc>
        <w:tc>
          <w:tcPr>
            <w:tcW w:type="dxa" w:w="3331"/>
          </w:tcPr>
          <w:p>
            <w:pPr>
              <w:spacing w:before="20" w:after="20"/>
            </w:pPr>
            <w:r>
              <w:rPr>
                <w:sz w:val="16"/>
                <w:szCs w:val="16"/>
              </w:rPr>
              <w:t>Control</w:t>
            </w:r>
          </w:p>
        </w:tc>
        <w:tc>
          <w:tcPr>
            <w:tcW w:type="dxa" w:w="3332"/>
          </w:tcPr>
          <w:p>
            <w:pPr>
              <w:spacing w:before="20" w:after="20"/>
            </w:pPr>
            <w:r>
              <w:rPr>
                <w:sz w:val="16"/>
                <w:szCs w:val="16"/>
              </w:rPr>
              <w:t>Active, Superseded, Pending, Disputed, or Orphaned</w:t>
            </w:r>
          </w:p>
        </w:tc>
      </w:tr>
      <w:tr>
        <w:tc>
          <w:tcPr>
            <w:tcW w:type="dxa" w:w="3331"/>
          </w:tcPr>
          <w:p>
            <w:pPr>
              <w:spacing w:before="20" w:after="20"/>
            </w:pPr>
            <w:r>
              <w:rPr>
                <w:sz w:val="16"/>
                <w:szCs w:val="16"/>
              </w:rPr>
              <w:t>Party</w:t>
            </w:r>
          </w:p>
        </w:tc>
        <w:tc>
          <w:tcPr>
            <w:tcW w:type="dxa" w:w="3331"/>
          </w:tcPr>
          <w:p>
            <w:pPr>
              <w:spacing w:before="20" w:after="20"/>
            </w:pPr>
            <w:r>
              <w:rPr>
                <w:sz w:val="16"/>
                <w:szCs w:val="16"/>
              </w:rPr>
              <w:t>Operative</w:t>
            </w:r>
          </w:p>
        </w:tc>
        <w:tc>
          <w:tcPr>
            <w:tcW w:type="dxa" w:w="3332"/>
          </w:tcPr>
          <w:p>
            <w:pPr>
              <w:spacing w:before="20" w:after="20"/>
            </w:pPr>
            <w:r>
              <w:rPr>
                <w:sz w:val="16"/>
                <w:szCs w:val="16"/>
              </w:rPr>
              <w:t>Party applying the tariff treatment</w:t>
            </w:r>
          </w:p>
        </w:tc>
      </w:tr>
      <w:tr>
        <w:tc>
          <w:tcPr>
            <w:tcW w:type="dxa" w:w="3331"/>
          </w:tcPr>
          <w:p>
            <w:pPr>
              <w:spacing w:before="20" w:after="20"/>
            </w:pPr>
            <w:r>
              <w:rPr>
                <w:sz w:val="16"/>
                <w:szCs w:val="16"/>
              </w:rPr>
              <w:t>Annex A Record Version</w:t>
            </w:r>
          </w:p>
        </w:tc>
        <w:tc>
          <w:tcPr>
            <w:tcW w:type="dxa" w:w="3331"/>
          </w:tcPr>
          <w:p>
            <w:pPr>
              <w:spacing w:before="20" w:after="20"/>
            </w:pPr>
            <w:r>
              <w:rPr>
                <w:sz w:val="16"/>
                <w:szCs w:val="16"/>
              </w:rPr>
              <w:t>Reference</w:t>
            </w:r>
          </w:p>
        </w:tc>
        <w:tc>
          <w:tcPr>
            <w:tcW w:type="dxa" w:w="3332"/>
          </w:tcPr>
          <w:p>
            <w:pPr>
              <w:spacing w:before="20" w:after="20"/>
            </w:pPr>
            <w:r>
              <w:rPr>
                <w:sz w:val="16"/>
                <w:szCs w:val="16"/>
              </w:rPr>
              <w:t>Product-record version used for linkage</w:t>
            </w:r>
          </w:p>
        </w:tc>
      </w:tr>
      <w:tr>
        <w:tc>
          <w:tcPr>
            <w:tcW w:type="dxa" w:w="3331"/>
          </w:tcPr>
          <w:p>
            <w:pPr>
              <w:spacing w:before="20" w:after="20"/>
            </w:pPr>
            <w:r>
              <w:rPr>
                <w:sz w:val="16"/>
                <w:szCs w:val="16"/>
              </w:rPr>
              <w:t>NAAFTC Baseline Date</w:t>
            </w:r>
          </w:p>
        </w:tc>
        <w:tc>
          <w:tcPr>
            <w:tcW w:type="dxa" w:w="3331"/>
          </w:tcPr>
          <w:p>
            <w:pPr>
              <w:spacing w:before="20" w:after="20"/>
            </w:pPr>
            <w:r>
              <w:rPr>
                <w:sz w:val="16"/>
                <w:szCs w:val="16"/>
              </w:rPr>
              <w:t>Operative</w:t>
            </w:r>
          </w:p>
        </w:tc>
        <w:tc>
          <w:tcPr>
            <w:tcW w:type="dxa" w:w="3332"/>
          </w:tcPr>
          <w:p>
            <w:pPr>
              <w:spacing w:before="20" w:after="20"/>
            </w:pPr>
            <w:r>
              <w:rPr>
                <w:sz w:val="16"/>
                <w:szCs w:val="16"/>
              </w:rPr>
              <w:t>Controlling baseline date</w:t>
            </w:r>
          </w:p>
        </w:tc>
      </w:tr>
      <w:tr>
        <w:tc>
          <w:tcPr>
            <w:tcW w:type="dxa" w:w="3331"/>
          </w:tcPr>
          <w:p>
            <w:pPr>
              <w:spacing w:before="20" w:after="20"/>
            </w:pPr>
            <w:r>
              <w:rPr>
                <w:sz w:val="16"/>
                <w:szCs w:val="16"/>
              </w:rPr>
              <w:t>Baseline Tariff Line</w:t>
            </w:r>
          </w:p>
        </w:tc>
        <w:tc>
          <w:tcPr>
            <w:tcW w:type="dxa" w:w="3331"/>
          </w:tcPr>
          <w:p>
            <w:pPr>
              <w:spacing w:before="20" w:after="20"/>
            </w:pPr>
            <w:r>
              <w:rPr>
                <w:sz w:val="16"/>
                <w:szCs w:val="16"/>
              </w:rPr>
              <w:t>Evidentiary</w:t>
            </w:r>
          </w:p>
        </w:tc>
        <w:tc>
          <w:tcPr>
            <w:tcW w:type="dxa" w:w="3332"/>
          </w:tcPr>
          <w:p>
            <w:pPr>
              <w:spacing w:before="20" w:after="20"/>
            </w:pPr>
            <w:r>
              <w:rPr>
                <w:sz w:val="16"/>
                <w:szCs w:val="16"/>
              </w:rPr>
              <w:t>Party-specific tariff line at baseline</w:t>
            </w:r>
          </w:p>
        </w:tc>
      </w:tr>
      <w:tr>
        <w:tc>
          <w:tcPr>
            <w:tcW w:type="dxa" w:w="3331"/>
          </w:tcPr>
          <w:p>
            <w:pPr>
              <w:spacing w:before="20" w:after="20"/>
            </w:pPr>
            <w:r>
              <w:rPr>
                <w:sz w:val="16"/>
                <w:szCs w:val="16"/>
              </w:rPr>
              <w:t>Baseline Rate</w:t>
            </w:r>
          </w:p>
        </w:tc>
        <w:tc>
          <w:tcPr>
            <w:tcW w:type="dxa" w:w="3331"/>
          </w:tcPr>
          <w:p>
            <w:pPr>
              <w:spacing w:before="20" w:after="20"/>
            </w:pPr>
            <w:r>
              <w:rPr>
                <w:sz w:val="16"/>
                <w:szCs w:val="16"/>
              </w:rPr>
              <w:t>Operative/Evidentiary</w:t>
            </w:r>
          </w:p>
        </w:tc>
        <w:tc>
          <w:tcPr>
            <w:tcW w:type="dxa" w:w="3332"/>
          </w:tcPr>
          <w:p>
            <w:pPr>
              <w:spacing w:before="20" w:after="20"/>
            </w:pPr>
            <w:r>
              <w:rPr>
                <w:sz w:val="16"/>
                <w:szCs w:val="16"/>
              </w:rPr>
              <w:t>Legally relevant baseline duty value</w:t>
            </w:r>
          </w:p>
        </w:tc>
      </w:tr>
      <w:tr>
        <w:tc>
          <w:tcPr>
            <w:tcW w:type="dxa" w:w="3331"/>
          </w:tcPr>
          <w:p>
            <w:pPr>
              <w:spacing w:before="20" w:after="20"/>
            </w:pPr>
            <w:r>
              <w:rPr>
                <w:sz w:val="16"/>
                <w:szCs w:val="16"/>
              </w:rPr>
              <w:t>Baseline Rate Type</w:t>
            </w:r>
          </w:p>
        </w:tc>
        <w:tc>
          <w:tcPr>
            <w:tcW w:type="dxa" w:w="3331"/>
          </w:tcPr>
          <w:p>
            <w:pPr>
              <w:spacing w:before="20" w:after="20"/>
            </w:pPr>
            <w:r>
              <w:rPr>
                <w:sz w:val="16"/>
                <w:szCs w:val="16"/>
              </w:rPr>
              <w:t>Control</w:t>
            </w:r>
          </w:p>
        </w:tc>
        <w:tc>
          <w:tcPr>
            <w:tcW w:type="dxa" w:w="3332"/>
          </w:tcPr>
          <w:p>
            <w:pPr>
              <w:spacing w:before="20" w:after="20"/>
            </w:pPr>
            <w:r>
              <w:rPr>
                <w:sz w:val="16"/>
                <w:szCs w:val="16"/>
              </w:rPr>
              <w:t>Ad valorem, specific, compound, seasonal, or other</w:t>
            </w:r>
          </w:p>
        </w:tc>
      </w:tr>
      <w:tr>
        <w:tc>
          <w:tcPr>
            <w:tcW w:type="dxa" w:w="3331"/>
          </w:tcPr>
          <w:p>
            <w:pPr>
              <w:spacing w:before="20" w:after="20"/>
            </w:pPr>
            <w:r>
              <w:rPr>
                <w:sz w:val="16"/>
                <w:szCs w:val="16"/>
              </w:rPr>
              <w:t>Baseline Duty Components</w:t>
            </w:r>
          </w:p>
        </w:tc>
        <w:tc>
          <w:tcPr>
            <w:tcW w:type="dxa" w:w="3331"/>
          </w:tcPr>
          <w:p>
            <w:pPr>
              <w:spacing w:before="20" w:after="20"/>
            </w:pPr>
            <w:r>
              <w:rPr>
                <w:sz w:val="16"/>
                <w:szCs w:val="16"/>
              </w:rPr>
              <w:t>Operative</w:t>
            </w:r>
          </w:p>
        </w:tc>
        <w:tc>
          <w:tcPr>
            <w:tcW w:type="dxa" w:w="3332"/>
          </w:tcPr>
          <w:p>
            <w:pPr>
              <w:spacing w:before="20" w:after="20"/>
            </w:pPr>
            <w:r>
              <w:rPr>
                <w:sz w:val="16"/>
                <w:szCs w:val="16"/>
              </w:rPr>
              <w:t>Component-level baseline expression</w:t>
            </w:r>
          </w:p>
        </w:tc>
      </w:tr>
      <w:tr>
        <w:tc>
          <w:tcPr>
            <w:tcW w:type="dxa" w:w="3331"/>
          </w:tcPr>
          <w:p>
            <w:pPr>
              <w:spacing w:before="20" w:after="20"/>
            </w:pPr>
            <w:r>
              <w:rPr>
                <w:sz w:val="16"/>
                <w:szCs w:val="16"/>
              </w:rPr>
              <w:t>Baseline Unit of Measure</w:t>
            </w:r>
          </w:p>
        </w:tc>
        <w:tc>
          <w:tcPr>
            <w:tcW w:type="dxa" w:w="3331"/>
          </w:tcPr>
          <w:p>
            <w:pPr>
              <w:spacing w:before="20" w:after="20"/>
            </w:pPr>
            <w:r>
              <w:rPr>
                <w:sz w:val="16"/>
                <w:szCs w:val="16"/>
              </w:rPr>
              <w:t>Operative/Evidentiary</w:t>
            </w:r>
          </w:p>
        </w:tc>
        <w:tc>
          <w:tcPr>
            <w:tcW w:type="dxa" w:w="3332"/>
          </w:tcPr>
          <w:p>
            <w:pPr>
              <w:spacing w:before="20" w:after="20"/>
            </w:pPr>
            <w:r>
              <w:rPr>
                <w:sz w:val="16"/>
                <w:szCs w:val="16"/>
              </w:rPr>
              <w:t>Unit applicable to specific or formula duty</w:t>
            </w:r>
          </w:p>
        </w:tc>
      </w:tr>
      <w:tr>
        <w:tc>
          <w:tcPr>
            <w:tcW w:type="dxa" w:w="3331"/>
          </w:tcPr>
          <w:p>
            <w:pPr>
              <w:spacing w:before="20" w:after="20"/>
            </w:pPr>
            <w:r>
              <w:rPr>
                <w:sz w:val="16"/>
                <w:szCs w:val="16"/>
              </w:rPr>
              <w:t>Baseline Currency</w:t>
            </w:r>
          </w:p>
        </w:tc>
        <w:tc>
          <w:tcPr>
            <w:tcW w:type="dxa" w:w="3331"/>
          </w:tcPr>
          <w:p>
            <w:pPr>
              <w:spacing w:before="20" w:after="20"/>
            </w:pPr>
            <w:r>
              <w:rPr>
                <w:sz w:val="16"/>
                <w:szCs w:val="16"/>
              </w:rPr>
              <w:t>Operative/Evidentiary</w:t>
            </w:r>
          </w:p>
        </w:tc>
        <w:tc>
          <w:tcPr>
            <w:tcW w:type="dxa" w:w="3332"/>
          </w:tcPr>
          <w:p>
            <w:pPr>
              <w:spacing w:before="20" w:after="20"/>
            </w:pPr>
            <w:r>
              <w:rPr>
                <w:sz w:val="16"/>
                <w:szCs w:val="16"/>
              </w:rPr>
              <w:t>Currency applicable to specific duty</w:t>
            </w:r>
          </w:p>
        </w:tc>
      </w:tr>
      <w:tr>
        <w:tc>
          <w:tcPr>
            <w:tcW w:type="dxa" w:w="3331"/>
          </w:tcPr>
          <w:p>
            <w:pPr>
              <w:spacing w:before="20" w:after="20"/>
            </w:pPr>
            <w:r>
              <w:rPr>
                <w:sz w:val="16"/>
                <w:szCs w:val="16"/>
              </w:rPr>
              <w:t>Baseline MFN Rate</w:t>
            </w:r>
          </w:p>
        </w:tc>
        <w:tc>
          <w:tcPr>
            <w:tcW w:type="dxa" w:w="3331"/>
          </w:tcPr>
          <w:p>
            <w:pPr>
              <w:spacing w:before="20" w:after="20"/>
            </w:pPr>
            <w:r>
              <w:rPr>
                <w:sz w:val="16"/>
                <w:szCs w:val="16"/>
              </w:rPr>
              <w:t>Reference</w:t>
            </w:r>
          </w:p>
        </w:tc>
        <w:tc>
          <w:tcPr>
            <w:tcW w:type="dxa" w:w="3332"/>
          </w:tcPr>
          <w:p>
            <w:pPr>
              <w:spacing w:before="20" w:after="20"/>
            </w:pPr>
            <w:r>
              <w:rPr>
                <w:sz w:val="16"/>
                <w:szCs w:val="16"/>
              </w:rPr>
              <w:t>MFN rate where legally relevant</w:t>
            </w:r>
          </w:p>
        </w:tc>
      </w:tr>
      <w:tr>
        <w:tc>
          <w:tcPr>
            <w:tcW w:type="dxa" w:w="3331"/>
          </w:tcPr>
          <w:p>
            <w:pPr>
              <w:spacing w:before="20" w:after="20"/>
            </w:pPr>
            <w:r>
              <w:rPr>
                <w:sz w:val="16"/>
                <w:szCs w:val="16"/>
              </w:rPr>
              <w:t>Baseline Preferential Rate</w:t>
            </w:r>
          </w:p>
        </w:tc>
        <w:tc>
          <w:tcPr>
            <w:tcW w:type="dxa" w:w="3331"/>
          </w:tcPr>
          <w:p>
            <w:pPr>
              <w:spacing w:before="20" w:after="20"/>
            </w:pPr>
            <w:r>
              <w:rPr>
                <w:sz w:val="16"/>
                <w:szCs w:val="16"/>
              </w:rPr>
              <w:t>Reference</w:t>
            </w:r>
          </w:p>
        </w:tc>
        <w:tc>
          <w:tcPr>
            <w:tcW w:type="dxa" w:w="3332"/>
          </w:tcPr>
          <w:p>
            <w:pPr>
              <w:spacing w:before="20" w:after="20"/>
            </w:pPr>
            <w:r>
              <w:rPr>
                <w:sz w:val="16"/>
                <w:szCs w:val="16"/>
              </w:rPr>
              <w:t>Preferential rate where legally relevant</w:t>
            </w:r>
          </w:p>
        </w:tc>
      </w:tr>
      <w:tr>
        <w:tc>
          <w:tcPr>
            <w:tcW w:type="dxa" w:w="3331"/>
          </w:tcPr>
          <w:p>
            <w:pPr>
              <w:spacing w:before="20" w:after="20"/>
            </w:pPr>
            <w:r>
              <w:rPr>
                <w:sz w:val="16"/>
                <w:szCs w:val="16"/>
              </w:rPr>
              <w:t>Baseline Autonomous Rate</w:t>
            </w:r>
          </w:p>
        </w:tc>
        <w:tc>
          <w:tcPr>
            <w:tcW w:type="dxa" w:w="3331"/>
          </w:tcPr>
          <w:p>
            <w:pPr>
              <w:spacing w:before="20" w:after="20"/>
            </w:pPr>
            <w:r>
              <w:rPr>
                <w:sz w:val="16"/>
                <w:szCs w:val="16"/>
              </w:rPr>
              <w:t>Reference</w:t>
            </w:r>
          </w:p>
        </w:tc>
        <w:tc>
          <w:tcPr>
            <w:tcW w:type="dxa" w:w="3332"/>
          </w:tcPr>
          <w:p>
            <w:pPr>
              <w:spacing w:before="20" w:after="20"/>
            </w:pPr>
            <w:r>
              <w:rPr>
                <w:sz w:val="16"/>
                <w:szCs w:val="16"/>
              </w:rPr>
              <w:t>Autonomous rate where legally relevant</w:t>
            </w:r>
          </w:p>
        </w:tc>
      </w:tr>
      <w:tr>
        <w:tc>
          <w:tcPr>
            <w:tcW w:type="dxa" w:w="3331"/>
          </w:tcPr>
          <w:p>
            <w:pPr>
              <w:spacing w:before="20" w:after="20"/>
            </w:pPr>
            <w:r>
              <w:rPr>
                <w:sz w:val="16"/>
                <w:szCs w:val="16"/>
              </w:rPr>
              <w:t>Within-Access Duty</w:t>
            </w:r>
          </w:p>
        </w:tc>
        <w:tc>
          <w:tcPr>
            <w:tcW w:type="dxa" w:w="3331"/>
          </w:tcPr>
          <w:p>
            <w:pPr>
              <w:spacing w:before="20" w:after="20"/>
            </w:pPr>
            <w:r>
              <w:rPr>
                <w:sz w:val="16"/>
                <w:szCs w:val="16"/>
              </w:rPr>
              <w:t>Operative/Reference</w:t>
            </w:r>
          </w:p>
        </w:tc>
        <w:tc>
          <w:tcPr>
            <w:tcW w:type="dxa" w:w="3332"/>
          </w:tcPr>
          <w:p>
            <w:pPr>
              <w:spacing w:before="20" w:after="20"/>
            </w:pPr>
            <w:r>
              <w:rPr>
                <w:sz w:val="16"/>
                <w:szCs w:val="16"/>
              </w:rPr>
              <w:t>Within-access tariff consequence where applicable</w:t>
            </w:r>
          </w:p>
        </w:tc>
      </w:tr>
      <w:tr>
        <w:tc>
          <w:tcPr>
            <w:tcW w:type="dxa" w:w="3331"/>
          </w:tcPr>
          <w:p>
            <w:pPr>
              <w:spacing w:before="20" w:after="20"/>
            </w:pPr>
            <w:r>
              <w:rPr>
                <w:sz w:val="16"/>
                <w:szCs w:val="16"/>
              </w:rPr>
              <w:t>Over-Access Duty</w:t>
            </w:r>
          </w:p>
        </w:tc>
        <w:tc>
          <w:tcPr>
            <w:tcW w:type="dxa" w:w="3331"/>
          </w:tcPr>
          <w:p>
            <w:pPr>
              <w:spacing w:before="20" w:after="20"/>
            </w:pPr>
            <w:r>
              <w:rPr>
                <w:sz w:val="16"/>
                <w:szCs w:val="16"/>
              </w:rPr>
              <w:t>Operative/Reference</w:t>
            </w:r>
          </w:p>
        </w:tc>
        <w:tc>
          <w:tcPr>
            <w:tcW w:type="dxa" w:w="3332"/>
          </w:tcPr>
          <w:p>
            <w:pPr>
              <w:spacing w:before="20" w:after="20"/>
            </w:pPr>
            <w:r>
              <w:rPr>
                <w:sz w:val="16"/>
                <w:szCs w:val="16"/>
              </w:rPr>
              <w:t>Over-access tariff consequence where applicable</w:t>
            </w:r>
          </w:p>
        </w:tc>
      </w:tr>
      <w:tr>
        <w:tc>
          <w:tcPr>
            <w:tcW w:type="dxa" w:w="3331"/>
          </w:tcPr>
          <w:p>
            <w:pPr>
              <w:spacing w:before="20" w:after="20"/>
            </w:pPr>
            <w:r>
              <w:rPr>
                <w:sz w:val="16"/>
                <w:szCs w:val="16"/>
              </w:rPr>
              <w:t>Baseline Legal Source</w:t>
            </w:r>
          </w:p>
        </w:tc>
        <w:tc>
          <w:tcPr>
            <w:tcW w:type="dxa" w:w="3331"/>
          </w:tcPr>
          <w:p>
            <w:pPr>
              <w:spacing w:before="20" w:after="20"/>
            </w:pPr>
            <w:r>
              <w:rPr>
                <w:sz w:val="16"/>
                <w:szCs w:val="16"/>
              </w:rPr>
              <w:t>Provenance</w:t>
            </w:r>
          </w:p>
        </w:tc>
        <w:tc>
          <w:tcPr>
            <w:tcW w:type="dxa" w:w="3332"/>
          </w:tcPr>
          <w:p>
            <w:pPr>
              <w:spacing w:before="20" w:after="20"/>
            </w:pPr>
            <w:r>
              <w:rPr>
                <w:sz w:val="16"/>
                <w:szCs w:val="16"/>
              </w:rPr>
              <w:t>Controlling legal instrument or tariff schedule</w:t>
            </w:r>
          </w:p>
        </w:tc>
      </w:tr>
      <w:tr>
        <w:tc>
          <w:tcPr>
            <w:tcW w:type="dxa" w:w="3331"/>
          </w:tcPr>
          <w:p>
            <w:pPr>
              <w:spacing w:before="20" w:after="20"/>
            </w:pPr>
            <w:r>
              <w:rPr>
                <w:sz w:val="16"/>
                <w:szCs w:val="16"/>
              </w:rPr>
              <w:t>Source Edition / Version</w:t>
            </w:r>
          </w:p>
        </w:tc>
        <w:tc>
          <w:tcPr>
            <w:tcW w:type="dxa" w:w="3331"/>
          </w:tcPr>
          <w:p>
            <w:pPr>
              <w:spacing w:before="20" w:after="20"/>
            </w:pPr>
            <w:r>
              <w:rPr>
                <w:sz w:val="16"/>
                <w:szCs w:val="16"/>
              </w:rPr>
              <w:t>Provenance</w:t>
            </w:r>
          </w:p>
        </w:tc>
        <w:tc>
          <w:tcPr>
            <w:tcW w:type="dxa" w:w="3332"/>
          </w:tcPr>
          <w:p>
            <w:pPr>
              <w:spacing w:before="20" w:after="20"/>
            </w:pPr>
            <w:r>
              <w:rPr>
                <w:sz w:val="16"/>
                <w:szCs w:val="16"/>
              </w:rPr>
              <w:t>Edition or version of baseline source</w:t>
            </w:r>
          </w:p>
        </w:tc>
      </w:tr>
      <w:tr>
        <w:tc>
          <w:tcPr>
            <w:tcW w:type="dxa" w:w="3331"/>
          </w:tcPr>
          <w:p>
            <w:pPr>
              <w:spacing w:before="20" w:after="20"/>
            </w:pPr>
            <w:r>
              <w:rPr>
                <w:sz w:val="16"/>
                <w:szCs w:val="16"/>
              </w:rPr>
              <w:t>Source Date / Archive Reference</w:t>
            </w:r>
          </w:p>
        </w:tc>
        <w:tc>
          <w:tcPr>
            <w:tcW w:type="dxa" w:w="3331"/>
          </w:tcPr>
          <w:p>
            <w:pPr>
              <w:spacing w:before="20" w:after="20"/>
            </w:pPr>
            <w:r>
              <w:rPr>
                <w:sz w:val="16"/>
                <w:szCs w:val="16"/>
              </w:rPr>
              <w:t>Provenance</w:t>
            </w:r>
          </w:p>
        </w:tc>
        <w:tc>
          <w:tcPr>
            <w:tcW w:type="dxa" w:w="3332"/>
          </w:tcPr>
          <w:p>
            <w:pPr>
              <w:spacing w:before="20" w:after="20"/>
            </w:pPr>
            <w:r>
              <w:rPr>
                <w:sz w:val="16"/>
                <w:szCs w:val="16"/>
              </w:rPr>
              <w:t>Date and reproducible source reference</w:t>
            </w:r>
          </w:p>
        </w:tc>
      </w:tr>
      <w:tr>
        <w:tc>
          <w:tcPr>
            <w:tcW w:type="dxa" w:w="3331"/>
          </w:tcPr>
          <w:p>
            <w:pPr>
              <w:spacing w:before="20" w:after="20"/>
            </w:pPr>
            <w:r>
              <w:rPr>
                <w:sz w:val="16"/>
                <w:szCs w:val="16"/>
              </w:rPr>
              <w:t>Value Type</w:t>
            </w:r>
          </w:p>
        </w:tc>
        <w:tc>
          <w:tcPr>
            <w:tcW w:type="dxa" w:w="3331"/>
          </w:tcPr>
          <w:p>
            <w:pPr>
              <w:spacing w:before="20" w:after="20"/>
            </w:pPr>
            <w:r>
              <w:rPr>
                <w:sz w:val="16"/>
                <w:szCs w:val="16"/>
              </w:rPr>
              <w:t>Provenance</w:t>
            </w:r>
          </w:p>
        </w:tc>
        <w:tc>
          <w:tcPr>
            <w:tcW w:type="dxa" w:w="3332"/>
          </w:tcPr>
          <w:p>
            <w:pPr>
              <w:spacing w:before="20" w:after="20"/>
            </w:pPr>
            <w:r>
              <w:rPr>
                <w:sz w:val="16"/>
                <w:szCs w:val="16"/>
              </w:rPr>
              <w:t>Official Historical, Negotiated, Derived, Conversion, or other controlled type</w:t>
            </w:r>
          </w:p>
        </w:tc>
      </w:tr>
      <w:tr>
        <w:tc>
          <w:tcPr>
            <w:tcW w:type="dxa" w:w="3331"/>
          </w:tcPr>
          <w:p>
            <w:pPr>
              <w:spacing w:before="20" w:after="20"/>
            </w:pPr>
            <w:r>
              <w:rPr>
                <w:sz w:val="16"/>
                <w:szCs w:val="16"/>
              </w:rPr>
              <w:t>Verification Status</w:t>
            </w:r>
          </w:p>
        </w:tc>
        <w:tc>
          <w:tcPr>
            <w:tcW w:type="dxa" w:w="3331"/>
          </w:tcPr>
          <w:p>
            <w:pPr>
              <w:spacing w:before="20" w:after="20"/>
            </w:pPr>
            <w:r>
              <w:rPr>
                <w:sz w:val="16"/>
                <w:szCs w:val="16"/>
              </w:rPr>
              <w:t>Verification</w:t>
            </w:r>
          </w:p>
        </w:tc>
        <w:tc>
          <w:tcPr>
            <w:tcW w:type="dxa" w:w="3332"/>
          </w:tcPr>
          <w:p>
            <w:pPr>
              <w:spacing w:before="20" w:after="20"/>
            </w:pPr>
            <w:r>
              <w:rPr>
                <w:sz w:val="16"/>
                <w:szCs w:val="16"/>
              </w:rPr>
              <w:t>Verified, Pending Verification, Disputed, or other controlled status</w:t>
            </w:r>
          </w:p>
        </w:tc>
      </w:tr>
      <w:tr>
        <w:tc>
          <w:tcPr>
            <w:tcW w:type="dxa" w:w="3331"/>
          </w:tcPr>
          <w:p>
            <w:pPr>
              <w:spacing w:before="20" w:after="20"/>
            </w:pPr>
            <w:r>
              <w:rPr>
                <w:sz w:val="16"/>
                <w:szCs w:val="16"/>
              </w:rPr>
              <w:t>Verifying Authority / Date</w:t>
            </w:r>
          </w:p>
        </w:tc>
        <w:tc>
          <w:tcPr>
            <w:tcW w:type="dxa" w:w="3331"/>
          </w:tcPr>
          <w:p>
            <w:pPr>
              <w:spacing w:before="20" w:after="20"/>
            </w:pPr>
            <w:r>
              <w:rPr>
                <w:sz w:val="16"/>
                <w:szCs w:val="16"/>
              </w:rPr>
              <w:t>Verification</w:t>
            </w:r>
          </w:p>
        </w:tc>
        <w:tc>
          <w:tcPr>
            <w:tcW w:type="dxa" w:w="3332"/>
          </w:tcPr>
          <w:p>
            <w:pPr>
              <w:spacing w:before="20" w:after="20"/>
            </w:pPr>
            <w:r>
              <w:rPr>
                <w:sz w:val="16"/>
                <w:szCs w:val="16"/>
              </w:rPr>
              <w:t>Authority and date of field-level verification</w:t>
            </w:r>
          </w:p>
        </w:tc>
      </w:tr>
      <w:tr>
        <w:tc>
          <w:tcPr>
            <w:tcW w:type="dxa" w:w="3331"/>
          </w:tcPr>
          <w:p>
            <w:pPr>
              <w:spacing w:before="20" w:after="20"/>
            </w:pPr>
            <w:r>
              <w:rPr>
                <w:sz w:val="16"/>
                <w:szCs w:val="16"/>
              </w:rPr>
              <w:t>Starting Operative Rate</w:t>
            </w:r>
          </w:p>
        </w:tc>
        <w:tc>
          <w:tcPr>
            <w:tcW w:type="dxa" w:w="3331"/>
          </w:tcPr>
          <w:p>
            <w:pPr>
              <w:spacing w:before="20" w:after="20"/>
            </w:pPr>
            <w:r>
              <w:rPr>
                <w:sz w:val="16"/>
                <w:szCs w:val="16"/>
              </w:rPr>
              <w:t>Operative</w:t>
            </w:r>
          </w:p>
        </w:tc>
        <w:tc>
          <w:tcPr>
            <w:tcW w:type="dxa" w:w="3332"/>
          </w:tcPr>
          <w:p>
            <w:pPr>
              <w:spacing w:before="20" w:after="20"/>
            </w:pPr>
            <w:r>
              <w:rPr>
                <w:sz w:val="16"/>
                <w:szCs w:val="16"/>
              </w:rPr>
              <w:t>Rate from which applicable elimination path proceeds</w:t>
            </w:r>
          </w:p>
        </w:tc>
      </w:tr>
      <w:tr>
        <w:tc>
          <w:tcPr>
            <w:tcW w:type="dxa" w:w="3331"/>
          </w:tcPr>
          <w:p>
            <w:pPr>
              <w:spacing w:before="20" w:after="20"/>
            </w:pPr>
            <w:r>
              <w:rPr>
                <w:sz w:val="16"/>
                <w:szCs w:val="16"/>
              </w:rPr>
              <w:t>Staging Category</w:t>
            </w:r>
          </w:p>
        </w:tc>
        <w:tc>
          <w:tcPr>
            <w:tcW w:type="dxa" w:w="3331"/>
          </w:tcPr>
          <w:p>
            <w:pPr>
              <w:spacing w:before="20" w:after="20"/>
            </w:pPr>
            <w:r>
              <w:rPr>
                <w:sz w:val="16"/>
                <w:szCs w:val="16"/>
              </w:rPr>
              <w:t>Operative</w:t>
            </w:r>
          </w:p>
        </w:tc>
        <w:tc>
          <w:tcPr>
            <w:tcW w:type="dxa" w:w="3332"/>
          </w:tcPr>
          <w:p>
            <w:pPr>
              <w:spacing w:before="20" w:after="20"/>
            </w:pPr>
            <w:r>
              <w:rPr>
                <w:sz w:val="16"/>
                <w:szCs w:val="16"/>
              </w:rPr>
              <w:t>Adopted elimination category or custom path</w:t>
            </w:r>
          </w:p>
        </w:tc>
      </w:tr>
      <w:tr>
        <w:tc>
          <w:tcPr>
            <w:tcW w:type="dxa" w:w="3331"/>
          </w:tcPr>
          <w:p>
            <w:pPr>
              <w:spacing w:before="20" w:after="20"/>
            </w:pPr>
            <w:r>
              <w:rPr>
                <w:sz w:val="16"/>
                <w:szCs w:val="16"/>
              </w:rPr>
              <w:t>Reduction Formula</w:t>
            </w:r>
          </w:p>
        </w:tc>
        <w:tc>
          <w:tcPr>
            <w:tcW w:type="dxa" w:w="3331"/>
          </w:tcPr>
          <w:p>
            <w:pPr>
              <w:spacing w:before="20" w:after="20"/>
            </w:pPr>
            <w:r>
              <w:rPr>
                <w:sz w:val="16"/>
                <w:szCs w:val="16"/>
              </w:rPr>
              <w:t>Operative</w:t>
            </w:r>
          </w:p>
        </w:tc>
        <w:tc>
          <w:tcPr>
            <w:tcW w:type="dxa" w:w="3332"/>
          </w:tcPr>
          <w:p>
            <w:pPr>
              <w:spacing w:before="20" w:after="20"/>
            </w:pPr>
            <w:r>
              <w:rPr>
                <w:sz w:val="16"/>
                <w:szCs w:val="16"/>
              </w:rPr>
              <w:t>Reproducible formula for scheduled reductions</w:t>
            </w:r>
          </w:p>
        </w:tc>
      </w:tr>
      <w:tr>
        <w:tc>
          <w:tcPr>
            <w:tcW w:type="dxa" w:w="3331"/>
          </w:tcPr>
          <w:p>
            <w:pPr>
              <w:spacing w:before="20" w:after="20"/>
            </w:pPr>
            <w:r>
              <w:rPr>
                <w:sz w:val="16"/>
                <w:szCs w:val="16"/>
              </w:rPr>
              <w:t>Stage Number</w:t>
            </w:r>
          </w:p>
        </w:tc>
        <w:tc>
          <w:tcPr>
            <w:tcW w:type="dxa" w:w="3331"/>
          </w:tcPr>
          <w:p>
            <w:pPr>
              <w:spacing w:before="20" w:after="20"/>
            </w:pPr>
            <w:r>
              <w:rPr>
                <w:sz w:val="16"/>
                <w:szCs w:val="16"/>
              </w:rPr>
              <w:t>Operative</w:t>
            </w:r>
          </w:p>
        </w:tc>
        <w:tc>
          <w:tcPr>
            <w:tcW w:type="dxa" w:w="3332"/>
          </w:tcPr>
          <w:p>
            <w:pPr>
              <w:spacing w:before="20" w:after="20"/>
            </w:pPr>
            <w:r>
              <w:rPr>
                <w:sz w:val="16"/>
                <w:szCs w:val="16"/>
              </w:rPr>
              <w:t>Current or referenced stage</w:t>
            </w:r>
          </w:p>
        </w:tc>
      </w:tr>
      <w:tr>
        <w:tc>
          <w:tcPr>
            <w:tcW w:type="dxa" w:w="3331"/>
          </w:tcPr>
          <w:p>
            <w:pPr>
              <w:spacing w:before="20" w:after="20"/>
            </w:pPr>
            <w:r>
              <w:rPr>
                <w:sz w:val="16"/>
                <w:szCs w:val="16"/>
              </w:rPr>
              <w:t>Stage Effective Date</w:t>
            </w:r>
          </w:p>
        </w:tc>
        <w:tc>
          <w:tcPr>
            <w:tcW w:type="dxa" w:w="3331"/>
          </w:tcPr>
          <w:p>
            <w:pPr>
              <w:spacing w:before="20" w:after="20"/>
            </w:pPr>
            <w:r>
              <w:rPr>
                <w:sz w:val="16"/>
                <w:szCs w:val="16"/>
              </w:rPr>
              <w:t>Operative</w:t>
            </w:r>
          </w:p>
        </w:tc>
        <w:tc>
          <w:tcPr>
            <w:tcW w:type="dxa" w:w="3332"/>
          </w:tcPr>
          <w:p>
            <w:pPr>
              <w:spacing w:before="20" w:after="20"/>
            </w:pPr>
            <w:r>
              <w:rPr>
                <w:sz w:val="16"/>
                <w:szCs w:val="16"/>
              </w:rPr>
              <w:t>Date on which stage becomes legally effective</w:t>
            </w:r>
          </w:p>
        </w:tc>
      </w:tr>
      <w:tr>
        <w:tc>
          <w:tcPr>
            <w:tcW w:type="dxa" w:w="3331"/>
          </w:tcPr>
          <w:p>
            <w:pPr>
              <w:spacing w:before="20" w:after="20"/>
            </w:pPr>
            <w:r>
              <w:rPr>
                <w:sz w:val="16"/>
                <w:szCs w:val="16"/>
              </w:rPr>
              <w:t>Previous Stage Rate</w:t>
            </w:r>
          </w:p>
        </w:tc>
        <w:tc>
          <w:tcPr>
            <w:tcW w:type="dxa" w:w="3331"/>
          </w:tcPr>
          <w:p>
            <w:pPr>
              <w:spacing w:before="20" w:after="20"/>
            </w:pPr>
            <w:r>
              <w:rPr>
                <w:sz w:val="16"/>
                <w:szCs w:val="16"/>
              </w:rPr>
              <w:t>Historical</w:t>
            </w:r>
          </w:p>
        </w:tc>
        <w:tc>
          <w:tcPr>
            <w:tcW w:type="dxa" w:w="3332"/>
          </w:tcPr>
          <w:p>
            <w:pPr>
              <w:spacing w:before="20" w:after="20"/>
            </w:pPr>
            <w:r>
              <w:rPr>
                <w:sz w:val="16"/>
                <w:szCs w:val="16"/>
              </w:rPr>
              <w:t>Rate immediately preceding current stage</w:t>
            </w:r>
          </w:p>
        </w:tc>
      </w:tr>
      <w:tr>
        <w:tc>
          <w:tcPr>
            <w:tcW w:type="dxa" w:w="3331"/>
          </w:tcPr>
          <w:p>
            <w:pPr>
              <w:spacing w:before="20" w:after="20"/>
            </w:pPr>
            <w:r>
              <w:rPr>
                <w:sz w:val="16"/>
                <w:szCs w:val="16"/>
              </w:rPr>
              <w:t>Current Scheduled Rate</w:t>
            </w:r>
          </w:p>
        </w:tc>
        <w:tc>
          <w:tcPr>
            <w:tcW w:type="dxa" w:w="3331"/>
          </w:tcPr>
          <w:p>
            <w:pPr>
              <w:spacing w:before="20" w:after="20"/>
            </w:pPr>
            <w:r>
              <w:rPr>
                <w:sz w:val="16"/>
                <w:szCs w:val="16"/>
              </w:rPr>
              <w:t>Operative</w:t>
            </w:r>
          </w:p>
        </w:tc>
        <w:tc>
          <w:tcPr>
            <w:tcW w:type="dxa" w:w="3332"/>
          </w:tcPr>
          <w:p>
            <w:pPr>
              <w:spacing w:before="20" w:after="20"/>
            </w:pPr>
            <w:r>
              <w:rPr>
                <w:sz w:val="16"/>
                <w:szCs w:val="16"/>
              </w:rPr>
              <w:t>Rate produced by latest legally effective stage</w:t>
            </w:r>
          </w:p>
        </w:tc>
      </w:tr>
      <w:tr>
        <w:tc>
          <w:tcPr>
            <w:tcW w:type="dxa" w:w="3331"/>
          </w:tcPr>
          <w:p>
            <w:pPr>
              <w:spacing w:before="20" w:after="20"/>
            </w:pPr>
            <w:r>
              <w:rPr>
                <w:sz w:val="16"/>
                <w:szCs w:val="16"/>
              </w:rPr>
              <w:t>Next Scheduled Rate</w:t>
            </w:r>
          </w:p>
        </w:tc>
        <w:tc>
          <w:tcPr>
            <w:tcW w:type="dxa" w:w="3331"/>
          </w:tcPr>
          <w:p>
            <w:pPr>
              <w:spacing w:before="20" w:after="20"/>
            </w:pPr>
            <w:r>
              <w:rPr>
                <w:sz w:val="16"/>
                <w:szCs w:val="16"/>
              </w:rPr>
              <w:t>Navigational</w:t>
            </w:r>
          </w:p>
        </w:tc>
        <w:tc>
          <w:tcPr>
            <w:tcW w:type="dxa" w:w="3332"/>
          </w:tcPr>
          <w:p>
            <w:pPr>
              <w:spacing w:before="20" w:after="20"/>
            </w:pPr>
            <w:r>
              <w:rPr>
                <w:sz w:val="16"/>
                <w:szCs w:val="16"/>
              </w:rPr>
              <w:t>Next rate if an additional stage exists</w:t>
            </w:r>
          </w:p>
        </w:tc>
      </w:tr>
      <w:tr>
        <w:tc>
          <w:tcPr>
            <w:tcW w:type="dxa" w:w="3331"/>
          </w:tcPr>
          <w:p>
            <w:pPr>
              <w:spacing w:before="20" w:after="20"/>
            </w:pPr>
            <w:r>
              <w:rPr>
                <w:sz w:val="16"/>
                <w:szCs w:val="16"/>
              </w:rPr>
              <w:t>Final Zero Date</w:t>
            </w:r>
          </w:p>
        </w:tc>
        <w:tc>
          <w:tcPr>
            <w:tcW w:type="dxa" w:w="3331"/>
          </w:tcPr>
          <w:p>
            <w:pPr>
              <w:spacing w:before="20" w:after="20"/>
            </w:pPr>
            <w:r>
              <w:rPr>
                <w:sz w:val="16"/>
                <w:szCs w:val="16"/>
              </w:rPr>
              <w:t>Operative</w:t>
            </w:r>
          </w:p>
        </w:tc>
        <w:tc>
          <w:tcPr>
            <w:tcW w:type="dxa" w:w="3332"/>
          </w:tcPr>
          <w:p>
            <w:pPr>
              <w:spacing w:before="20" w:after="20"/>
            </w:pPr>
            <w:r>
              <w:rPr>
                <w:sz w:val="16"/>
                <w:szCs w:val="16"/>
              </w:rPr>
              <w:t>Date on which ordinary duty reaches zero</w:t>
            </w:r>
          </w:p>
        </w:tc>
      </w:tr>
      <w:tr>
        <w:tc>
          <w:tcPr>
            <w:tcW w:type="dxa" w:w="3331"/>
          </w:tcPr>
          <w:p>
            <w:pPr>
              <w:spacing w:before="20" w:after="20"/>
            </w:pPr>
            <w:r>
              <w:rPr>
                <w:sz w:val="16"/>
                <w:szCs w:val="16"/>
              </w:rPr>
              <w:t>Annex C Record Link</w:t>
            </w:r>
          </w:p>
        </w:tc>
        <w:tc>
          <w:tcPr>
            <w:tcW w:type="dxa" w:w="3331"/>
          </w:tcPr>
          <w:p>
            <w:pPr>
              <w:spacing w:before="20" w:after="20"/>
            </w:pPr>
            <w:r>
              <w:rPr>
                <w:sz w:val="16"/>
                <w:szCs w:val="16"/>
              </w:rPr>
              <w:t>Routing</w:t>
            </w:r>
          </w:p>
        </w:tc>
        <w:tc>
          <w:tcPr>
            <w:tcW w:type="dxa" w:w="3332"/>
          </w:tcPr>
          <w:p>
            <w:pPr>
              <w:spacing w:before="20" w:after="20"/>
            </w:pPr>
            <w:r>
              <w:rPr>
                <w:sz w:val="16"/>
                <w:szCs w:val="16"/>
              </w:rPr>
              <w:t>Sensitive-sector transition reference</w:t>
            </w:r>
          </w:p>
        </w:tc>
      </w:tr>
      <w:tr>
        <w:tc>
          <w:tcPr>
            <w:tcW w:type="dxa" w:w="3331"/>
          </w:tcPr>
          <w:p>
            <w:pPr>
              <w:spacing w:before="20" w:after="20"/>
            </w:pPr>
            <w:r>
              <w:rPr>
                <w:sz w:val="16"/>
                <w:szCs w:val="16"/>
              </w:rPr>
              <w:t>Annex D Record Link</w:t>
            </w:r>
          </w:p>
        </w:tc>
        <w:tc>
          <w:tcPr>
            <w:tcW w:type="dxa" w:w="3331"/>
          </w:tcPr>
          <w:p>
            <w:pPr>
              <w:spacing w:before="20" w:after="20"/>
            </w:pPr>
            <w:r>
              <w:rPr>
                <w:sz w:val="16"/>
                <w:szCs w:val="16"/>
              </w:rPr>
              <w:t>Routing</w:t>
            </w:r>
          </w:p>
        </w:tc>
        <w:tc>
          <w:tcPr>
            <w:tcW w:type="dxa" w:w="3332"/>
          </w:tcPr>
          <w:p>
            <w:pPr>
              <w:spacing w:before="20" w:after="20"/>
            </w:pPr>
            <w:r>
              <w:rPr>
                <w:sz w:val="16"/>
                <w:szCs w:val="16"/>
              </w:rPr>
              <w:t>Managed-access/TRQ reference</w:t>
            </w:r>
          </w:p>
        </w:tc>
      </w:tr>
      <w:tr>
        <w:tc>
          <w:tcPr>
            <w:tcW w:type="dxa" w:w="3331"/>
          </w:tcPr>
          <w:p>
            <w:pPr>
              <w:spacing w:before="20" w:after="20"/>
            </w:pPr>
            <w:r>
              <w:rPr>
                <w:sz w:val="16"/>
                <w:szCs w:val="16"/>
              </w:rPr>
              <w:t>Annex E Dependency Link</w:t>
            </w:r>
          </w:p>
        </w:tc>
        <w:tc>
          <w:tcPr>
            <w:tcW w:type="dxa" w:w="3331"/>
          </w:tcPr>
          <w:p>
            <w:pPr>
              <w:spacing w:before="20" w:after="20"/>
            </w:pPr>
            <w:r>
              <w:rPr>
                <w:sz w:val="16"/>
                <w:szCs w:val="16"/>
              </w:rPr>
              <w:t>Routing</w:t>
            </w:r>
          </w:p>
        </w:tc>
        <w:tc>
          <w:tcPr>
            <w:tcW w:type="dxa" w:w="3332"/>
          </w:tcPr>
          <w:p>
            <w:pPr>
              <w:spacing w:before="20" w:after="20"/>
            </w:pPr>
            <w:r>
              <w:rPr>
                <w:sz w:val="16"/>
                <w:szCs w:val="16"/>
              </w:rPr>
              <w:t>Reciprocity or activation reference</w:t>
            </w:r>
          </w:p>
        </w:tc>
      </w:tr>
      <w:tr>
        <w:tc>
          <w:tcPr>
            <w:tcW w:type="dxa" w:w="3331"/>
          </w:tcPr>
          <w:p>
            <w:pPr>
              <w:spacing w:before="20" w:after="20"/>
            </w:pPr>
            <w:r>
              <w:rPr>
                <w:sz w:val="16"/>
                <w:szCs w:val="16"/>
              </w:rPr>
              <w:t>Annex F Vesting Link</w:t>
            </w:r>
          </w:p>
        </w:tc>
        <w:tc>
          <w:tcPr>
            <w:tcW w:type="dxa" w:w="3331"/>
          </w:tcPr>
          <w:p>
            <w:pPr>
              <w:spacing w:before="20" w:after="20"/>
            </w:pPr>
            <w:r>
              <w:rPr>
                <w:sz w:val="16"/>
                <w:szCs w:val="16"/>
              </w:rPr>
              <w:t>Routing</w:t>
            </w:r>
          </w:p>
        </w:tc>
        <w:tc>
          <w:tcPr>
            <w:tcW w:type="dxa" w:w="3332"/>
          </w:tcPr>
          <w:p>
            <w:pPr>
              <w:spacing w:before="20" w:after="20"/>
            </w:pPr>
            <w:r>
              <w:rPr>
                <w:sz w:val="16"/>
                <w:szCs w:val="16"/>
              </w:rPr>
              <w:t>Vesting/completed-liberalization reference</w:t>
            </w:r>
          </w:p>
        </w:tc>
      </w:tr>
      <w:tr>
        <w:tc>
          <w:tcPr>
            <w:tcW w:type="dxa" w:w="3331"/>
          </w:tcPr>
          <w:p>
            <w:pPr>
              <w:spacing w:before="20" w:after="20"/>
            </w:pPr>
            <w:r>
              <w:rPr>
                <w:sz w:val="16"/>
                <w:szCs w:val="16"/>
              </w:rPr>
              <w:t>Annex G Origin Rule Link</w:t>
            </w:r>
          </w:p>
        </w:tc>
        <w:tc>
          <w:tcPr>
            <w:tcW w:type="dxa" w:w="3331"/>
          </w:tcPr>
          <w:p>
            <w:pPr>
              <w:spacing w:before="20" w:after="20"/>
            </w:pPr>
            <w:r>
              <w:rPr>
                <w:sz w:val="16"/>
                <w:szCs w:val="16"/>
              </w:rPr>
              <w:t>Routing</w:t>
            </w:r>
          </w:p>
        </w:tc>
        <w:tc>
          <w:tcPr>
            <w:tcW w:type="dxa" w:w="3332"/>
          </w:tcPr>
          <w:p>
            <w:pPr>
              <w:spacing w:before="20" w:after="20"/>
            </w:pPr>
            <w:r>
              <w:rPr>
                <w:sz w:val="16"/>
                <w:szCs w:val="16"/>
              </w:rPr>
              <w:t>Origin-rule reference</w:t>
            </w:r>
          </w:p>
        </w:tc>
      </w:tr>
      <w:tr>
        <w:tc>
          <w:tcPr>
            <w:tcW w:type="dxa" w:w="3331"/>
          </w:tcPr>
          <w:p>
            <w:pPr>
              <w:spacing w:before="20" w:after="20"/>
            </w:pPr>
            <w:r>
              <w:rPr>
                <w:sz w:val="16"/>
                <w:szCs w:val="16"/>
              </w:rPr>
              <w:t>Temporary Overlay Reference</w:t>
            </w:r>
          </w:p>
        </w:tc>
        <w:tc>
          <w:tcPr>
            <w:tcW w:type="dxa" w:w="3331"/>
          </w:tcPr>
          <w:p>
            <w:pPr>
              <w:spacing w:before="20" w:after="20"/>
            </w:pPr>
            <w:r>
              <w:rPr>
                <w:sz w:val="16"/>
                <w:szCs w:val="16"/>
              </w:rPr>
              <w:t>Operative/Control</w:t>
            </w:r>
          </w:p>
        </w:tc>
        <w:tc>
          <w:tcPr>
            <w:tcW w:type="dxa" w:w="3332"/>
          </w:tcPr>
          <w:p>
            <w:pPr>
              <w:spacing w:before="20" w:after="20"/>
            </w:pPr>
            <w:r>
              <w:rPr>
                <w:sz w:val="16"/>
                <w:szCs w:val="16"/>
              </w:rPr>
              <w:t>Authorized temporary treatment and authority</w:t>
            </w:r>
          </w:p>
        </w:tc>
      </w:tr>
      <w:tr>
        <w:tc>
          <w:tcPr>
            <w:tcW w:type="dxa" w:w="3331"/>
          </w:tcPr>
          <w:p>
            <w:pPr>
              <w:spacing w:before="20" w:after="20"/>
            </w:pPr>
            <w:r>
              <w:rPr>
                <w:sz w:val="16"/>
                <w:szCs w:val="16"/>
              </w:rPr>
              <w:t>Underlying Scheduled Rate</w:t>
            </w:r>
          </w:p>
        </w:tc>
        <w:tc>
          <w:tcPr>
            <w:tcW w:type="dxa" w:w="3331"/>
          </w:tcPr>
          <w:p>
            <w:pPr>
              <w:spacing w:before="20" w:after="20"/>
            </w:pPr>
            <w:r>
              <w:rPr>
                <w:sz w:val="16"/>
                <w:szCs w:val="16"/>
              </w:rPr>
              <w:t>Operative</w:t>
            </w:r>
          </w:p>
        </w:tc>
        <w:tc>
          <w:tcPr>
            <w:tcW w:type="dxa" w:w="3332"/>
          </w:tcPr>
          <w:p>
            <w:pPr>
              <w:spacing w:before="20" w:after="20"/>
            </w:pPr>
            <w:r>
              <w:rPr>
                <w:sz w:val="16"/>
                <w:szCs w:val="16"/>
              </w:rPr>
              <w:t>Trajectory preserved beneath temporary overlay</w:t>
            </w:r>
          </w:p>
        </w:tc>
      </w:tr>
      <w:tr>
        <w:tc>
          <w:tcPr>
            <w:tcW w:type="dxa" w:w="3331"/>
          </w:tcPr>
          <w:p>
            <w:pPr>
              <w:spacing w:before="20" w:after="20"/>
            </w:pPr>
            <w:r>
              <w:rPr>
                <w:sz w:val="16"/>
                <w:szCs w:val="16"/>
              </w:rPr>
              <w:t>Restoration State / Date</w:t>
            </w:r>
          </w:p>
        </w:tc>
        <w:tc>
          <w:tcPr>
            <w:tcW w:type="dxa" w:w="3331"/>
          </w:tcPr>
          <w:p>
            <w:pPr>
              <w:spacing w:before="20" w:after="20"/>
            </w:pPr>
            <w:r>
              <w:rPr>
                <w:sz w:val="16"/>
                <w:szCs w:val="16"/>
              </w:rPr>
              <w:t>Operative</w:t>
            </w:r>
          </w:p>
        </w:tc>
        <w:tc>
          <w:tcPr>
            <w:tcW w:type="dxa" w:w="3332"/>
          </w:tcPr>
          <w:p>
            <w:pPr>
              <w:spacing w:before="20" w:after="20"/>
            </w:pPr>
            <w:r>
              <w:rPr>
                <w:sz w:val="16"/>
                <w:szCs w:val="16"/>
              </w:rPr>
              <w:t>Treatment restored when temporary authority ends</w:t>
            </w:r>
          </w:p>
        </w:tc>
      </w:tr>
      <w:tr>
        <w:tc>
          <w:tcPr>
            <w:tcW w:type="dxa" w:w="3331"/>
          </w:tcPr>
          <w:p>
            <w:pPr>
              <w:spacing w:before="20" w:after="20"/>
            </w:pPr>
            <w:r>
              <w:rPr>
                <w:sz w:val="16"/>
                <w:szCs w:val="16"/>
              </w:rPr>
              <w:t>Concordance Reference</w:t>
            </w:r>
          </w:p>
        </w:tc>
        <w:tc>
          <w:tcPr>
            <w:tcW w:type="dxa" w:w="3331"/>
          </w:tcPr>
          <w:p>
            <w:pPr>
              <w:spacing w:before="20" w:after="20"/>
            </w:pPr>
            <w:r>
              <w:rPr>
                <w:sz w:val="16"/>
                <w:szCs w:val="16"/>
              </w:rPr>
              <w:t>Control</w:t>
            </w:r>
          </w:p>
        </w:tc>
        <w:tc>
          <w:tcPr>
            <w:tcW w:type="dxa" w:w="3332"/>
          </w:tcPr>
          <w:p>
            <w:pPr>
              <w:spacing w:before="20" w:after="20"/>
            </w:pPr>
            <w:r>
              <w:rPr>
                <w:sz w:val="16"/>
                <w:szCs w:val="16"/>
              </w:rPr>
              <w:t>HS split, merge, or revision mapping</w:t>
            </w:r>
          </w:p>
        </w:tc>
      </w:tr>
      <w:tr>
        <w:tc>
          <w:tcPr>
            <w:tcW w:type="dxa" w:w="3331"/>
          </w:tcPr>
          <w:p>
            <w:pPr>
              <w:spacing w:before="20" w:after="20"/>
            </w:pPr>
            <w:r>
              <w:rPr>
                <w:sz w:val="16"/>
                <w:szCs w:val="16"/>
              </w:rPr>
              <w:t>Dispute Flag / Reference</w:t>
            </w:r>
          </w:p>
        </w:tc>
        <w:tc>
          <w:tcPr>
            <w:tcW w:type="dxa" w:w="3331"/>
          </w:tcPr>
          <w:p>
            <w:pPr>
              <w:spacing w:before="20" w:after="20"/>
            </w:pPr>
            <w:r>
              <w:rPr>
                <w:sz w:val="16"/>
                <w:szCs w:val="16"/>
              </w:rPr>
              <w:t>Control</w:t>
            </w:r>
          </w:p>
        </w:tc>
        <w:tc>
          <w:tcPr>
            <w:tcW w:type="dxa" w:w="3332"/>
          </w:tcPr>
          <w:p>
            <w:pPr>
              <w:spacing w:before="20" w:after="20"/>
            </w:pPr>
            <w:r>
              <w:rPr>
                <w:sz w:val="16"/>
                <w:szCs w:val="16"/>
              </w:rPr>
              <w:t>Contested tariff field and resolution route</w:t>
            </w:r>
          </w:p>
        </w:tc>
      </w:tr>
      <w:tr>
        <w:tc>
          <w:tcPr>
            <w:tcW w:type="dxa" w:w="3331"/>
          </w:tcPr>
          <w:p>
            <w:pPr>
              <w:spacing w:before="20" w:after="20"/>
            </w:pPr>
            <w:r>
              <w:rPr>
                <w:sz w:val="16"/>
                <w:szCs w:val="16"/>
              </w:rPr>
              <w:t>Last Undisputed Controlled State</w:t>
            </w:r>
          </w:p>
        </w:tc>
        <w:tc>
          <w:tcPr>
            <w:tcW w:type="dxa" w:w="3331"/>
          </w:tcPr>
          <w:p>
            <w:pPr>
              <w:spacing w:before="20" w:after="20"/>
            </w:pPr>
            <w:r>
              <w:rPr>
                <w:sz w:val="16"/>
                <w:szCs w:val="16"/>
              </w:rPr>
              <w:t>Evidentiary</w:t>
            </w:r>
          </w:p>
        </w:tc>
        <w:tc>
          <w:tcPr>
            <w:tcW w:type="dxa" w:w="3332"/>
          </w:tcPr>
          <w:p>
            <w:pPr>
              <w:spacing w:before="20" w:after="20"/>
            </w:pPr>
            <w:r>
              <w:rPr>
                <w:sz w:val="16"/>
                <w:szCs w:val="16"/>
              </w:rPr>
              <w:t>Last uncontested tariff state where applicable</w:t>
            </w:r>
          </w:p>
        </w:tc>
      </w:tr>
      <w:tr>
        <w:tc>
          <w:tcPr>
            <w:tcW w:type="dxa" w:w="3331"/>
          </w:tcPr>
          <w:p>
            <w:pPr>
              <w:spacing w:before="20" w:after="20"/>
            </w:pPr>
            <w:r>
              <w:rPr>
                <w:sz w:val="16"/>
                <w:szCs w:val="16"/>
              </w:rPr>
              <w:t>Correction History Reference</w:t>
            </w:r>
          </w:p>
        </w:tc>
        <w:tc>
          <w:tcPr>
            <w:tcW w:type="dxa" w:w="3331"/>
          </w:tcPr>
          <w:p>
            <w:pPr>
              <w:spacing w:before="20" w:after="20"/>
            </w:pPr>
            <w:r>
              <w:rPr>
                <w:sz w:val="16"/>
                <w:szCs w:val="16"/>
              </w:rPr>
              <w:t>Control</w:t>
            </w:r>
          </w:p>
        </w:tc>
        <w:tc>
          <w:tcPr>
            <w:tcW w:type="dxa" w:w="3332"/>
          </w:tcPr>
          <w:p>
            <w:pPr>
              <w:spacing w:before="20" w:after="20"/>
            </w:pPr>
            <w:r>
              <w:rPr>
                <w:sz w:val="16"/>
                <w:szCs w:val="16"/>
              </w:rPr>
              <w:t>Prior corrections and legal classification</w:t>
            </w:r>
          </w:p>
        </w:tc>
      </w:tr>
      <w:tr>
        <w:tc>
          <w:tcPr>
            <w:tcW w:type="dxa" w:w="3331"/>
          </w:tcPr>
          <w:p>
            <w:pPr>
              <w:spacing w:before="20" w:after="20"/>
            </w:pPr>
            <w:r>
              <w:rPr>
                <w:sz w:val="16"/>
                <w:szCs w:val="16"/>
              </w:rPr>
              <w:t>Population Status</w:t>
            </w:r>
          </w:p>
        </w:tc>
        <w:tc>
          <w:tcPr>
            <w:tcW w:type="dxa" w:w="3331"/>
          </w:tcPr>
          <w:p>
            <w:pPr>
              <w:spacing w:before="20" w:after="20"/>
            </w:pPr>
            <w:r>
              <w:rPr>
                <w:sz w:val="16"/>
                <w:szCs w:val="16"/>
              </w:rPr>
              <w:t>Administrative</w:t>
            </w:r>
          </w:p>
        </w:tc>
        <w:tc>
          <w:tcPr>
            <w:tcW w:type="dxa" w:w="3332"/>
          </w:tcPr>
          <w:p>
            <w:pPr>
              <w:spacing w:before="20" w:after="20"/>
            </w:pPr>
            <w:r>
              <w:rPr>
                <w:sz w:val="16"/>
                <w:szCs w:val="16"/>
              </w:rPr>
              <w:t>Population and implementation status</w:t>
            </w:r>
          </w:p>
        </w:tc>
      </w:tr>
      <w:tr>
        <w:tc>
          <w:tcPr>
            <w:tcW w:type="dxa" w:w="3331"/>
          </w:tcPr>
          <w:p>
            <w:pPr>
              <w:spacing w:before="20" w:after="20"/>
            </w:pPr>
            <w:r>
              <w:rPr>
                <w:sz w:val="16"/>
                <w:szCs w:val="16"/>
              </w:rPr>
              <w:t>Publication / Manifest Reference</w:t>
            </w:r>
          </w:p>
        </w:tc>
        <w:tc>
          <w:tcPr>
            <w:tcW w:type="dxa" w:w="3331"/>
          </w:tcPr>
          <w:p>
            <w:pPr>
              <w:spacing w:before="20" w:after="20"/>
            </w:pPr>
            <w:r>
              <w:rPr>
                <w:sz w:val="16"/>
                <w:szCs w:val="16"/>
              </w:rPr>
              <w:t>Control</w:t>
            </w:r>
          </w:p>
        </w:tc>
        <w:tc>
          <w:tcPr>
            <w:tcW w:type="dxa" w:w="3332"/>
          </w:tcPr>
          <w:p>
            <w:pPr>
              <w:spacing w:before="20" w:after="20"/>
            </w:pPr>
            <w:r>
              <w:rPr>
                <w:sz w:val="16"/>
                <w:szCs w:val="16"/>
              </w:rPr>
              <w:t>Authenticated controlled-release reference</w:t>
            </w:r>
          </w:p>
        </w:tc>
      </w:tr>
    </w:tbl>
    <w:p>
      <w:pPr>
        <w:pStyle w:val="Heading1"/>
      </w:pPr>
      <w:bookmarkStart w:id="1677" w:name="NAATOC_0112"/>
      <w:bookmarkStart w:id="1112" w:name="toc_Annex_C___Sensitive_Sector_Tra"/>
      <w:r>
        <w:t>Annex C - Sensitive-Sector Transition Schedule</w:t>
      </w:r>
      <w:bookmarkEnd w:id="1112"/>
      <w:bookmarkEnd w:id="1677"/>
    </w:p>
    <w:p>
      <w:pPr/>
      <w:r>
        <w:t>Annex C operative status: The Articles below govern the controlled administration of product-specific sensitive-sector tariff transitions authorized by Chapter 6. Annex C records and implements the legally operative transition without creating sensitivity, tariff authority, managed access, origin status, reciprocity, or durable zero-line status independently. Product-specific population remains a controlled schedule-population task subject to authoritative-source verification and the no-inference rules in this Annex.</w:t>
      </w:r>
    </w:p>
    <w:p>
      <w:pPr>
        <w:pStyle w:val="Heading2"/>
      </w:pPr>
      <w:bookmarkStart w:id="1678" w:name="NAATOC_0113"/>
      <w:bookmarkStart w:id="1113" w:name="toc_C_1___Purpose__Legal_Function_"/>
      <w:r>
        <w:t xml:space="preserve">Article C.1 - Purpose, Legal Function, and Boundaries</w:t>
      </w:r>
      <w:bookmarkEnd w:id="1113"/>
      <w:bookmarkEnd w:id="1678"/>
    </w:p>
    <w:p>
      <w:pPr/>
      <w:r>
        <w:t>C.1.1 [ANNEX FUNCTION] Annex C constitutes the controlled Sensitive-Sector Transition Schedule for Chapter 6 and records the product-specific ordinary customs-duty transition applicable to an affirmatively designated sensitive treatment. Its legal effect derives from Chapter 6, the operative designation it records, and the other controlling provisions of this Compact. Annex C administers the transition path and does not create an independent source of substantive tariff authority. Where Annex C conflicts with Chapters 1, 2, or 6, the controlling Chapter governs and the Annex record is corrected through the applicable controlled-record procedure.</w:t>
      </w:r>
    </w:p>
    <w:p>
      <w:pPr/>
      <w:r>
        <w:t>C.1.2 [NO SENSITIVITY CREATION] Annex C does not create, expand, infer, revive, or retroactively validate a sensitive-sector designation. Political statements, negotiation history, domestic terminology, administrative practice, software defaults, sector reputation, or repeated collection do not establish sensitivity. A product receives Chapter 6 treatment only through an operative designation traceable to the legal authority identified in the controlled record. Where no operative designation is ascertainable, Chapter 5 remains the controlling tariff-elimination rule.</w:t>
      </w:r>
    </w:p>
    <w:p>
      <w:pPr/>
      <w:r>
        <w:t>C.1.3 [FUNCTIONAL FIREWALL] Annex B owns verified tariff truth, Annex D owns managed-access administration, Annex E owns synchronized activation, Annex F owns durable completion status, and Annex G with Chapter 10 owns origin qualification. Annex C references those records where necessary and does not duplicate or absorb their assigned legal functions. A cross-reference supports navigation, dependency control, and auditability without transferring substantive authority between Annexes. Silence in a linked Annex does not authorize Annex C to invent the missing legal state.</w:t>
      </w:r>
    </w:p>
    <w:p>
      <w:pPr/>
      <w:r>
        <w:t>C.1.4 [NO BOOTSTRAP] No database entry, schema field, publication act, Secretariat practice, technical correction, or institutional convenience creates legal authority that the Compact does not otherwise provide. A field label or record location does not determine the legal character of the information stored there. Administrative maintenance remains subordinate to the substantive rules that authorize the affected treatment. Annex C therefore functions as a controlled operational schedule and not as an autonomous regulator, adjudicator, or amendment mechanism.</w:t>
      </w:r>
    </w:p>
    <w:p>
      <w:pPr>
        <w:pStyle w:val="Heading2"/>
      </w:pPr>
      <w:bookmarkStart w:id="1679" w:name="NAATOC_0114"/>
      <w:bookmarkStart w:id="1114" w:name="toc_C_2___Record_Architecture_and_"/>
      <w:r>
        <w:t xml:space="preserve">Article C.2 - Record Architecture and Field Governance</w:t>
      </w:r>
      <w:bookmarkEnd w:id="1114"/>
      <w:bookmarkEnd w:id="1679"/>
    </w:p>
    <w:p>
      <w:pPr/>
      <w:r>
        <w:t>C.2.1 [PERSISTENT RECORD ID] Each sensitive transition receives a persistent, unique, machine-safe SensitiveTransitionRecordID that is never reassigned to another product or treatment. The transition links to the applicable Annex A ProductRecordID and Annex B TariffScheduleRecordID and identifies the Party to which the transition applies, while each separately represented transition stage receives its own StageRecordID linked to that SensitiveTransitionRecordID. A national tariff record, HS reference, ex-out, stage record, or other classification or temporal mapping remains separate from the persistent transition identity. A nomenclature revision or addition of a stage record changes the relevant mapping or temporal state without creating a new sensitive designation or resetting the transition clock.</w:t>
      </w:r>
    </w:p>
    <w:p>
      <w:pPr/>
      <w:r>
        <w:t>C.2.2 [VERSION AND TEMPORAL STATE] Each legally relevant state of a SensitiveTransitionRecord carries a RecordVersionID together with ValidFrom and ValidTo values sufficient for historical reconstruction. A material correction creates a new controlled version and preserves the superseded state, reason, authority, and effective date. An administrator does not combine portions of different versions into an unadopted hybrid record. The version history remains append-only for legally material changes and supports reconstruction of the treatment controlling on any relevant date.</w:t>
      </w:r>
    </w:p>
    <w:p>
      <w:pPr/>
      <w:r>
        <w:t>C.2.3 [FIELD GOVERNANCE] Each controlled field is classified as operative, evidentiary, administrative, derived, navigational, or field-status information according to its legal function. Each material operative field is linked through a FieldProvenanceReference and FieldVerificationReference, or an equivalent normalized field-level record, to the controlling source, source date, verification state, method, authority, and material limitation applicable to that datum rather than relying on a single record-wide provenance assertion. Administrative metadata records provenance, verification, maintenance, or navigation without independently altering legal treatment. A schema change, field addition, validation rule, or data-format change does not create a substantive obligation or reporting burden absent authority elsewhere in this Compact.</w:t>
      </w:r>
    </w:p>
    <w:p>
      <w:pPr/>
      <w:r>
        <w:t>C.2.4 [NO BLANK INFERENCE] A blank, missing, unreadable, or unresolved material field does not receive a default value and does not authorize inference by administrative convenience. The affected field receives Pending Verification or another controlled unresolved status appropriate to the evidence. A record with an unresolved material field identifies the legal treatment supplied by the last valid controlled record where that treatment remains ascertainable. No unresolved field creates authority for a higher tariff, later completion date, broader sensitive scope, or additional transition pathway.</w:t>
      </w:r>
    </w:p>
    <w:p>
      <w:pPr>
        <w:pStyle w:val="Heading2"/>
      </w:pPr>
      <w:bookmarkStart w:id="1680" w:name="NAATOC_0115"/>
      <w:bookmarkStart w:id="1115" w:name="toc_C_3___Designation_and_Entry_Co"/>
      <w:r>
        <w:t xml:space="preserve">Article C.3 - Designation and Entry Controls</w:t>
      </w:r>
      <w:bookmarkEnd w:id="1115"/>
      <w:bookmarkEnd w:id="1680"/>
    </w:p>
    <w:p>
      <w:pPr/>
      <w:r>
        <w:t>C.3.1 [DESIGNATION ANCESTRY] Every Annex C entry identifies the legal act, Compact provision, valid amendment, or other operative authority that creates the sensitive-sector designation and the date on which that designation becomes legally effective. The record identifies whether the designation is Party-specific or trilateral and names every Party to which it applies. Domestic law alone does not become a NAAFTC designation unless the Compact's legal process gives that law the relevant operative effect. A pending amendment or proposal supplies no interim sensitivity or tariff authority before it becomes operative.</w:t>
      </w:r>
    </w:p>
    <w:p>
      <w:pPr/>
      <w:r>
        <w:t>C.3.2 [OBJECTIVE PRODUCT SCOPE] Each designation defines its product scope through objective tariff-line, composition, end-use, technical, ex-out, or equivalent criteria capable of consistent administration. Sector membership, economic association, tariff proximity, processing lineage, or resemblance does not extend the designation to another product. A sensitive ingredient does not transmit sensitivity to a downstream good unless the operative designation expressly uses an objective composition threshold that encompasses that good. A boundary or novel product receives an express coverage determination rather than being absorbed into a sensitive category by analogy.</w:t>
      </w:r>
    </w:p>
    <w:p>
      <w:pPr/>
      <w:r>
        <w:t>C.3.3 [PARTIAL LINE AND CONTINUITY] Where only part of a tariff line is sensitive, the Annex C entry identifies that portion through an objective ex-out or equivalent controlled distinction and leaves the remainder under Chapter 5. The designation remains tied to the Annex A ProductRecordID through HS revisions, national nomenclature changes, splits, mergers, and concordance events. A technical classification update preserves the negotiated substantive boundary and does not enlarge the sensitive envelope. A related or successor tariff code inherits treatment only through the controlled concordance and identity rules assigned by Chapter 3.</w:t>
      </w:r>
    </w:p>
    <w:p>
      <w:pPr/>
      <w:r>
        <w:t>C.3.4 [POST-ENTRY DESIGNATION CONTROL] A new sensitive-sector designation after entry into force follows Chapter 29 and requires the affirmative agreement prescribed by Chapter 6. A clerical or technical correction does not convert a non-sensitive product into a sensitive product or enlarge the scope of an existing designation. An expired, terminated, or completed designation does not revive through database entry, administrative custom, or later descriptive practice. No Annex C maintenance action resets the month-42 absolute ceiling or manufactures a new extension right for an originally defined transition group.</w:t>
      </w:r>
    </w:p>
    <w:p>
      <w:pPr>
        <w:pStyle w:val="Heading2"/>
      </w:pPr>
      <w:bookmarkStart w:id="1681" w:name="NAATOC_0116"/>
      <w:bookmarkStart w:id="1116" w:name="toc_C_4___Baseline_and_Transition_"/>
      <w:r>
        <w:t xml:space="preserve">Article C.4 - Baseline and Transition Starting State</w:t>
      </w:r>
      <w:bookmarkEnd w:id="1116"/>
      <w:bookmarkEnd w:id="1681"/>
    </w:p>
    <w:p>
      <w:pPr/>
      <w:r>
        <w:t>C.4.1 [ANNEX B BASELINE REFERENCE] Annex C references the controlling Annex B record for the Chapter 6 starting treatment and does not create a competing copy of tariff truth. The record identifies the applicable NAAFTC Baseline Date, source authority, source date or edition, and verification state supporting that starting treatment. The starting treatment preserves its legal character as MFN, preferential, autonomous, or other treatment and remains distinct from treatment applicable to non-originating trade. A zero starting treatment receives the applicable Chapter 4 lock rather than a positive sensitive-sector transition merely because an Annex C record exists.</w:t>
      </w:r>
    </w:p>
    <w:p>
      <w:pPr/>
      <w:r>
        <w:t>C.4.2 [LEGAL DUTY FORM] The starting treatment preserves the legally operative duty form, including ad valorem, specific, compound, mixed, seasonal, minimum, maximum, or formula components. Annex C does not convert a non-ad-valorem duty into an ad-valorem equivalent for administrative convenience. A technical conversion is recorded separately and is used only where a controlling schedule or verification method expressly requires it. Within-access and over-access structures remain separately identifiable and route managed-access administration to Annex D.</w:t>
      </w:r>
    </w:p>
    <w:p>
      <w:pPr/>
      <w:r>
        <w:t>C.4.3 [TEMPORARY OVERLAY FIREWALL] A temporary suspension, waiver, safeguard, emergency measure, discretionary relief, or other temporary overlay does not become the permanent Chapter 6 baseline. The record separately identifies the underlying legal treatment and any temporary treatment operating on the Baseline Date. Termination of the temporary overlay restores the underlying transition state legally controlling at that time rather than the state that existed when the overlay began. A temporary measure therefore does not reset, rebase, postpone, or re-age the sensitive-sector transition.</w:t>
      </w:r>
    </w:p>
    <w:p>
      <w:pPr/>
      <w:r>
        <w:t>C.4.4 [CONTESTED OR CORRECTED BASELINE] A contested baseline is flagged and preserved with its competing evidence rather than silently resolved through inference. The last valid controlled legal record supplies the provisional administrative reference where the controlling treatment remains ascertainable. A correction follows the Chapter 3 correction track appropriate to its legal effect and preserves the prior version for audit. A baseline correction establishes the legally correct treatment and does not authorize an unrelated retroactive increase or a new transition clock.</w:t>
      </w:r>
    </w:p>
    <w:p>
      <w:pPr>
        <w:pStyle w:val="Heading2"/>
      </w:pPr>
      <w:bookmarkStart w:id="1682" w:name="NAATOC_0117"/>
      <w:bookmarkStart w:id="1117" w:name="toc_C_5___Transition_Tracks_and_St"/>
      <w:r>
        <w:t xml:space="preserve">Article C.5 - Transition Tracks and Stage Architecture</w:t>
      </w:r>
      <w:bookmarkEnd w:id="1117"/>
      <w:bookmarkEnd w:id="1682"/>
    </w:p>
    <w:p>
      <w:pPr/>
      <w:r>
        <w:t>C.5.1 [CLOSED TRACK SET] Each Annex C record identifies the transition track expressly authorized by Chapter 6 for the affected product and Party. The available Chapter 6 tracks are the ordinary 36-month track, standardized accelerated 28-month track, Exceptional Accelerated Tranche reaching zero no later than month 12 where validly selected, and one-time Exceptional Adjustment Extension reaching zero no later than month 42. Annex C does not recognize an implied, blended, discretionary, or administratively invented pathway outside the authority Chapter 6 provides. A validly approved change of track is recorded as a new controlled version linked to the original designation and commencement event.</w:t>
      </w:r>
    </w:p>
    <w:p>
      <w:pPr/>
      <w:r>
        <w:t>C.5.2 [COMMENCEMENT EVENT] Each transition identifies an objectively determinable commencement event established by treaty facts, a fixed date, or another legally determinate occurrence. Domestic litigation, administrative delay, emergency declaration, ministerial inaction, systems failure, or delayed publication does not toll or reset an event that has legally occurred. An extension or re-synchronization continues to measure time from the original commencement event unless Chapter 6 expressly provides otherwise. The record preserves the original commencement event through every subsequent version of the transition.</w:t>
      </w:r>
    </w:p>
    <w:p>
      <w:pPr/>
      <w:r>
        <w:t>C.5.3 [COMPLETE STAGE SEQUENCE] Annex C records the complete legally operative stage sequence for each transition track through one or more StageRecordIDs linked to the controlling SensitiveTransitionRecordID, with each stage carrying a unique sequence ordinal, effective date or objective trigger, and resulting treatment. The sequence distinguishes the starting treatment, each intermediate stage, any future scheduled stage, and the final zero state without duplicating the persistent transition identity. An administrator can determine the lawful ordinary customs-duty treatment on a given date from the controlled stage records without constructing an unstated trajectory from prose. A missing required stage datum receives Pending Verification and does not authorize retention of a higher treatment beyond the result otherwise established by Chapter 6.</w:t>
      </w:r>
    </w:p>
    <w:p>
      <w:pPr/>
      <w:r>
        <w:t>C.5.4 [PROGRESSIVE LIBERALIZATION] Every trajectory satisfies the Chapter 6 Progressive Liberalization Test through meaningful early movement, meaningful cumulative liberalization by the midpoint, continued movement thereafter, and complete elimination by the controlling completion boundary. A trajectory does not concentrate substantially all liberalization at the final stage or use nominal changes to simulate progress. Each completed stage becomes the new controlling ceiling and a later stage does not restore a higher ordinary customs duty. The schedule records any objective technical reason for an unusual stage shape without allowing that explanation to defeat the Chapter 6 completion requirement.</w:t>
      </w:r>
    </w:p>
    <w:p>
      <w:pPr>
        <w:pStyle w:val="Heading2"/>
      </w:pPr>
      <w:bookmarkStart w:id="1683" w:name="NAATOC_0118"/>
      <w:bookmarkStart w:id="1118" w:name="toc_C_6___Stage_Advancement_and_Ta"/>
      <w:r>
        <w:t xml:space="preserve">Article C.6 - Stage Advancement and Tariff-Form Completion</w:t>
      </w:r>
      <w:bookmarkEnd w:id="1118"/>
      <w:bookmarkEnd w:id="1683"/>
    </w:p>
    <w:p>
      <w:pPr/>
      <w:r>
        <w:t>C.6.1 [AUTOMATIC STAGE EFFECT] A scheduled stage becomes legally effective on its controlling effective date or objective activation event without requiring a separate declaration, publication act, registry entry, software update, or administrative confirmation. Verification may confirm implementation after or alongside legal effect and does not become a condition precedent unless Chapter 6 expressly assigns that function. A more favorable operative stage controls from its effective date where the Compact permits that treatment. Unilateral more-favorable treatment outside a formal Annex C change does not amend the reciprocal schedule or create a reciprocal entitlement.</w:t>
      </w:r>
    </w:p>
    <w:p>
      <w:pPr/>
      <w:r>
        <w:t>C.6.2 [MULTI-COMPONENT ELIMINATION] A compound, mixed, or formula duty reaches completion only when every ordinary-duty component produces zero treatment for the qualifying originating trade. A seasonal duty reaches completion only when ordinary customs duty is zero in every applicable period. A minimum, maximum, floor, ceiling, or comparable residual component does not survive the final zero date. Rounding, conversion, unit treatment, or administrative calculation does not leave a positive residual ordinary customs duty after completion.</w:t>
      </w:r>
    </w:p>
    <w:p>
      <w:pPr/>
      <w:r>
        <w:t>C.6.3 [CLOCK INTEGRITY] A missed administrative activation, delayed verification, or implementation discrepancy does not create a new month-zero event. Where re-synchronization or catch-up is legally required, the affected treatment returns to the trajectory measured from the original commencement event. The ordinary, accelerated, exceptional, and extension ceilings remain 36, 28, 12, and 42 months respectively where those tracks apply. Subdivision, relabeling, merger, correction, or nomenclature revision does not re-age the transition or manufacture additional time.</w:t>
      </w:r>
    </w:p>
    <w:p>
      <w:pPr/>
      <w:r>
        <w:t>C.6.4 [COMPLETION CONDITION] Each record states an objectively measurable CompletionCondition and ScheduledCompletionDate consistent with the controlling Chapter 6 track. Completion occurs automatically when the operative condition is satisfied and does not depend on discretionary certification. The completion date remains auditable as part of the permanent transition history. No ordinary review, verification delay, or administrative inaction reopens a completed Chapter 6 stage or final zero state.</w:t>
      </w:r>
    </w:p>
    <w:p>
      <w:pPr>
        <w:pStyle w:val="Heading2"/>
      </w:pPr>
      <w:bookmarkStart w:id="1684" w:name="NAATOC_0119"/>
      <w:bookmarkStart w:id="1119" w:name="toc_C_7___Annex_D_Managed_Access_I"/>
      <w:r>
        <w:t xml:space="preserve">Article C.7 - Annex D Managed-Access Interface</w:t>
      </w:r>
      <w:bookmarkEnd w:id="1119"/>
      <w:bookmarkEnd w:id="1684"/>
    </w:p>
    <w:p>
      <w:pPr/>
      <w:r>
        <w:t>C.7.1 [SEPARATE LEGAL AXES] Where Chapter 6 and Chapter 7 apply to the same ProductRecordID, Annex C and Annex D operate as separate but cross-linked legal records. Annex C owns the ordinary customs-duty transition assigned by Chapter 6, while Annex D owns quantities, allocation, utilization, reallocation, vesting, displacement, and Full-Vesting Confirmation assigned by Chapter 7. Completion of one axis does not falsely certify completion of the other. The cross-link prevents gaps and contradictory administration without merging the two legal mechanisms.</w:t>
      </w:r>
    </w:p>
    <w:p>
      <w:pPr/>
      <w:r>
        <w:t>C.7.2 [REFERENCE NOT COPY] Annex C records the applicable AnnexDRecordReference and does not copy quota quantities, allocation rules, utilization thresholds, reallocation rules, Vesting Tranches, or displacement schedules into itself. A change within Annex D does not silently alter an Annex C stage unless the Compact expressly links the two legal events. A change within Annex C likewise does not silently alter a vested or scheduled Annex D state. Each Annex remains the authoritative record for the function assigned to it.</w:t>
      </w:r>
    </w:p>
    <w:p>
      <w:pPr/>
      <w:r>
        <w:t>C.7.3 [EXPRESS SYNCHRONIZATION ONLY] A Chapter 7 event becomes a condition for a Chapter 6 stage only where Chapter 6 or Chapter 8 expressly creates that synchronization. Annex C records the relevant Annex D record and Annex E milestone when such synchronization exists. In the absence of an express synchronization socket, C and D continue according to their independent schedules. Non-performance on one axis does not block the other axis absent express legal authority for that consequence.</w:t>
      </w:r>
    </w:p>
    <w:p>
      <w:pPr/>
      <w:r>
        <w:t>C.7.4 [COMPLETION HANDOFFS] Annex C records completion of the Chapter 6 tariff track separately from any continuing managed-access state under Annex D. Where managed access continues after C completion, the cross-reference identifies the Annex D record that remains operative. Where the managed-access transition completes before the tariff transition, Annex D completion does not terminate the continuing Annex C schedule. Full agricultural border liberalization is recorded only when the distinct completion conditions assigned to both mechanisms have been satisfied where both mechanisms apply.</w:t>
      </w:r>
    </w:p>
    <w:p>
      <w:pPr>
        <w:pStyle w:val="Heading2"/>
      </w:pPr>
      <w:bookmarkStart w:id="1685" w:name="NAATOC_0120"/>
      <w:bookmarkStart w:id="1120" w:name="toc_C_8___Annex_E_Synchronization_"/>
      <w:r>
        <w:t xml:space="preserve">Article C.8 - Annex E Synchronization Interface</w:t>
      </w:r>
      <w:bookmarkEnd w:id="1120"/>
      <w:bookmarkEnd w:id="1685"/>
    </w:p>
    <w:p>
      <w:pPr/>
      <w:r>
        <w:t>C.8.1 [READ THE SWITCH] Where Chapter 8 expressly assigns synchronized activation to an Annex C stage, the Annex C record identifies the controlling AnnexEMilestoneReference. Annex E determines whether the assigned activation condition or Material Performance requirement is satisfied. Annex C reads the resulting status and does not independently decide reciprocity, Material Performance, tolerance, or activation. A synchronized dependency exists only where the operative architecture expressly creates it.</w:t>
      </w:r>
    </w:p>
    <w:p>
      <w:pPr/>
      <w:r>
        <w:t>C.8.2 [INDEPENDENCE DEFAULT] An Annex C stage proceeds according to its own schedule where no express Chapter 8 synchronization socket applies. Silence, similar transition timing, political expectations, or references to reciprocity do not create an implied waiting condition. A quantitative tolerance or Minor Technical Delay parameter applies only where Annex E expressly establishes it for the relevant milestone. Annex C does not generalize a tolerance or delay rule from one product, Party, or milestone to another.</w:t>
      </w:r>
    </w:p>
    <w:p>
      <w:pPr/>
      <w:r>
        <w:t>C.8.3 [LIMITED CONSEQUENCE] Where Annex E records material non-performance, Annex C records only the consequence that Chapter 8 assigns to the affected future matched treatment. A completed Annex C stage remains completed and is not reversed because a later Annex E issue arises. Treatment on unrelated products, Parties, stages, and tranches remains unaffected unless the controlling provision expressly provides otherwise. The schedule preserves the narrowest legally sufficient dependency and consequence.</w:t>
      </w:r>
    </w:p>
    <w:p>
      <w:pPr/>
      <w:r>
        <w:t>C.8.4 [ACTIVATION TRACE] Each synchronized stage identifies the legal activation event, relevant Annex E record, effective date, and resulting Annex C treatment. A pending verification record does not substitute for the legal activation event or create an unstated delay. Where re-synchronization is required, the record preserves the original Chapter 6 commencement clock and completed stages. The activation history remains auditable without converting Annex C into a parallel Annex E decision system.</w:t>
      </w:r>
    </w:p>
    <w:p>
      <w:pPr>
        <w:pStyle w:val="Heading2"/>
      </w:pPr>
      <w:bookmarkStart w:id="1686" w:name="NAATOC_0121"/>
      <w:bookmarkStart w:id="1121" w:name="toc_C_9___Temporary_Measures__Hold"/>
      <w:r>
        <w:t xml:space="preserve">Article C.9 - Temporary Measures, Holds, and Restoration</w:t>
      </w:r>
      <w:bookmarkEnd w:id="1121"/>
      <w:bookmarkEnd w:id="1686"/>
    </w:p>
    <w:p>
      <w:pPr/>
      <w:r>
        <w:t>C.9.1 [OVERLAY NOT MUTATION] A temporary measure affecting an Annex C product is recorded as an overlay and does not mutate the underlying transition stage. The overlay identifies its legal authority, product and transaction scope, start date, termination condition, and restoration trigger. The underlying Annex C trajectory ordinarily continues to advance while the overlay operates according to Chapter 6 and the Chapter authorizing the temporary measure. The overlay does not become a new baseline, new designation, or new transition track.</w:t>
      </w:r>
    </w:p>
    <w:p>
      <w:pPr/>
      <w:r>
        <w:t>C.9.2 [SPECIALIZED CHAPTER ROUTING] A Chapter 19 safeguard or exceptional-treatment measure, Chapter 20 food-security measure, SPS emergency, or other specialized temporary mechanism remains governed by the Chapter that authorizes it. Annex C records the linkage and current overlay state only to the extent necessary to administer the underlying tariff transition. A verification hold is likewise recorded separately from the permanent stage state. No overlay expands Annex C authority into safeguard, SPS, food-security, or verification functions assigned elsewhere.</w:t>
      </w:r>
    </w:p>
    <w:p>
      <w:pPr/>
      <w:r>
        <w:t>C.9.3 [RESTORATION TO CURRENT UNDERLYING STATE] When a temporary overlay terminates, treatment restores to the Annex C stage legally controlling at the time of restoration. Restoration does not return the product to the stage that existed when the overlay began if later stages became operative in the meantime. The record preserves the overlay history and the underlying stage history as distinct temporal objects. A temporary measure therefore cannot postpone a stage, extend the transition clock, or reset the commencement event absent express authority in the controlling Chapter.</w:t>
      </w:r>
    </w:p>
    <w:p>
      <w:pPr/>
      <w:r>
        <w:t>C.9.4 [NO DOUBLE PROTECTION] Annex C does not combine a sensitive-sector transition with another mechanism in a manner that creates duplicative protection for the same legal function, product, period, and commercial effect. Where another Chapter supplies temporary relief, its scope and duration remain confined to that Chapter's authority. The Chapter 6 trajectory remains visible and independently administrable throughout the temporary measure. Any conflict or overlap is routed to the technical, cure, and dispute mechanisms assigned by Chapters 18, 25, and 26.</w:t>
      </w:r>
    </w:p>
    <w:p>
      <w:pPr>
        <w:pStyle w:val="Heading2"/>
      </w:pPr>
      <w:bookmarkStart w:id="1687" w:name="NAATOC_0122"/>
      <w:bookmarkStart w:id="1122" w:name="toc_C_10___Verification__Correctio"/>
      <w:r>
        <w:t xml:space="preserve">Article C.10 - Verification, Correction, and Dispute State</w:t>
      </w:r>
      <w:bookmarkEnd w:id="1122"/>
      <w:bookmarkEnd w:id="1687"/>
    </w:p>
    <w:p>
      <w:pPr/>
      <w:r>
        <w:t>C.10.1 [FIELD LEVEL VERIFICATION] Each legally material Annex C field carries, directly or through its FieldVerificationReference and FieldProvenanceReference, a controlled verification status, source authority, source date, verification method, verifying function, and any material limitation or uncertainty. The record-level verification state is derived from the statuses of the material fields and does not erase field-specific uncertainty or substitute a record-wide source for field-level provenance. Verified, Provisional, Pending Verification, Disputed, and Superseded states are used consistently with the definitions and architecture of Chapters 2 and 3. Verification status records evidentiary confidence and does not independently create or extinguish substantive tariff authority.</w:t>
      </w:r>
    </w:p>
    <w:p>
      <w:pPr/>
      <w:r>
        <w:t>C.10.2 [MISSING OR DISPUTED DATA] A missing designation authority, transition method, stage date, completion condition, or required dependency reference prevents the affected datum from receiving a fully verified status. The uncertainty is exposed rather than concealed through a guessed value or administrative default. A disputed record preserves the competing assertions and supporting sources and identifies the last valid controlled record used for interim administration where applicable. Pending or disputed status does not suspend treatment or authorize a higher tariff unless the Compact expressly assigns that consequence.</w:t>
      </w:r>
    </w:p>
    <w:p>
      <w:pPr/>
      <w:r>
        <w:t>C.10.3 [CORRECTION TRACKS] Corrections follow the Metadata Maintenance, Clerical Correction, Technical Amendment, or Substantive Amendment track assigned by Chapter 3 and the amendment Chapters. A clerical correction fixes transcription or comparable error without changing legal effect. A technical amendment preserves the substantive bargain, while a substantive change follows the formal procedure required by Chapters 29 or 30 as applicable. Every material correction preserves the prior value, corrected value, reason, authority, effective date, and resulting version relationship.</w:t>
      </w:r>
    </w:p>
    <w:p>
      <w:pPr/>
      <w:r>
        <w:t>C.10.4 [NO VERIFICATION BRAKE] Chapter 17 ALVS and other verification machinery confirm implementation after or alongside legal effect and do not create an unstated brake on a scheduled Annex C stage. A delayed audit, incomplete administrative record, or pending technical review does not postpone an otherwise operative reduction. A Technical Finding under Chapter 18 does not become a Legal Finding merely because Annex C records it. Cure, refund, restoration, and dispute consequences remain assigned to Chapters 25 and 26 and are not recreated inside Annex C.</w:t>
      </w:r>
    </w:p>
    <w:p>
      <w:pPr>
        <w:pStyle w:val="Heading2"/>
      </w:pPr>
      <w:bookmarkStart w:id="1688" w:name="NAATOC_0123"/>
      <w:bookmarkStart w:id="1123" w:name="toc_C_11___Completion__Annex_F_Han"/>
      <w:r>
        <w:t xml:space="preserve">Article C.11 - Completion, Annex F Handoff, and Historical Preservation</w:t>
      </w:r>
      <w:bookmarkEnd w:id="1123"/>
      <w:bookmarkEnd w:id="1688"/>
    </w:p>
    <w:p>
      <w:pPr/>
      <w:r>
        <w:t>C.11.1 [AUTOMATIC COMPLETION] The final Chapter 6 completion event produces zero ordinary customs-duty treatment automatically for the affected qualifying originating trade. No declaration, publication, registry entry, committee decision, verification report, or administrative confirmation creates that completed state. A domestic tariff schedule that lags behind the operative completion event does not preserve positive ordinary customs-duty authority. The completed stage becomes the controlling ceiling subject only to a distinct legal mechanism expressly authorized elsewhere in this Compact.</w:t>
      </w:r>
    </w:p>
    <w:p>
      <w:pPr/>
      <w:r>
        <w:t>C.11.2 [ANNEX F HANDOFF] Annex C records the completion event and cross-references the corresponding Annex F status record where Chapter 9 records the durable zero-line state. Annex F confirms and preserves the completed legal state and does not become a condition for its creation. Annex C does not independently confer Zero-Line Status or Full-Vesting State. The handoff preserves the separate legal functions of Chapter 6 completion, Chapter 9 durability, and Chapter 7 managed-access vesting.</w:t>
      </w:r>
    </w:p>
    <w:p>
      <w:pPr/>
      <w:r>
        <w:t>C.11.3 [HISTORICAL RECORD] A completed Annex C record remains available as legal transition history and is not deleted merely because its positive tariff authority is exhausted. The record preserves the original designation, starting treatment reference, stages, temporary overlays, corrections, completion date, and relevant cross-Annex links. Historical preservation does not revive sensitivity, re-age the transition, or create a new bargaining baseline. A superseded or completed record is clearly marked so historical information is not presented as current authority.</w:t>
      </w:r>
    </w:p>
    <w:p>
      <w:pPr/>
      <w:r>
        <w:t>C.11.4 [RATCHET AND NO CLAWBACK] A completed Annex C stage does not reverse through passage of time, ordinary review, administrative inaction, nomenclature revision, reconciliation, or correction. A completed transition does not return to positive ordinary customs duty through database maintenance or a new sensitive designation that lacks the formal authority required by Chapter 29. A prior cure or implementation problem does not create permanent probation or an irrebuttable adverse status after the applicable bounded cure architecture is complete. The final traceability chain remains capable of connecting the authentic legal text, operative act, effective date, applicable record version, and closure condition.</w:t>
      </w:r>
    </w:p>
    <w:p>
      <w:pPr>
        <w:pStyle w:val="Heading2"/>
      </w:pPr>
      <w:bookmarkStart w:id="1689" w:name="NAATOC_0124"/>
      <w:bookmarkStart w:id="1124" w:name="toc_C_12___Publication__Version_Co"/>
      <w:r>
        <w:t xml:space="preserve">Article C.12 - Publication, Version Control, Initial Population, and Schedule Operation</w:t>
      </w:r>
      <w:bookmarkEnd w:id="1124"/>
      <w:bookmarkEnd w:id="1689"/>
    </w:p>
    <w:p>
      <w:pPr/>
      <w:r>
        <w:t>C.12.1 [DUAL FORMAT PUBLICATION] Annex C is published in accessible human-readable and machine-readable forms that reproduce the same controlled data and legal status. Each release identifies the DatasetVersion, SchemaVersion, effective date, responsible authority, source manifest or equivalent provenance record, and the version it supersedes where applicable. Historical versions remain archived and retrievable for legal, administrative, and audit purposes. A difference between presentation formats is corrected through controlled maintenance and does not create two competing authoritative schedules.</w:t>
      </w:r>
    </w:p>
    <w:p>
      <w:pPr/>
      <w:r>
        <w:t>C.12.2 [CHANGE HISTORY] Each SensitiveTransitionRecord maintains a change history identifying additions, corrections, status changes, cross-link changes, supersession events, and effective dates. No material value is silently overwritten, backdated, or replaced without preserving the prior controlled state. Record maintenance does not manufacture Party consent, amendment authority, or retroactive sensitivity. Every operative field remains traceable to the controlling legal source that authorizes its content.</w:t>
      </w:r>
    </w:p>
    <w:p>
      <w:pPr/>
      <w:r>
        <w:t>C.12.3 [INITIAL POPULATION GATE] Initial Annex C population proceeds only from operative Chapter 6 designations, authoritative tariff records, controlled Annex A and B identities, and other official sources appropriate to the field being populated. A product-specific record does not receive a transition rate, date, designation, pathway, dependency, or completion state merely because a value appears plausible or can be inferred from another product. Candidate data move through verification and controlled promotion before being treated as populated operative fields. Unresolved data remain in an exception or Pending Verification state without delaying legal treatment that is independently ascertainable from the Compact.</w:t>
      </w:r>
    </w:p>
    <w:p>
      <w:pPr/>
      <w:r>
        <w:t>C.12.4 [COMPLETION OF ANNEX ADMINISTRATION] Annex C is operationally complete when every operative Chapter 6 sensitive-sector designation has a controlled record sufficient to determine its lawful transition state and all unresolved material fields are expressly classified. Population completeness is measured separately from legal completeness so an omitted database record does not become a source of substantive authority or extinguish an existing legal entitlement. The responsible administrative functions maintain the schedule within the institutional restraints of Chapters 22 and 24 and do not recreate functions assigned to Chapters 17, 18, 25, 26, 29, or 30. Annex C remains a controlled implementation instrument whose final boundary is the faithful administration of Chapter 6.</w:t>
      </w:r>
    </w:p>
    <w:p>
      <w:pPr>
        <w:pStyle w:val="Heading2"/>
      </w:pPr>
      <w:bookmarkStart w:id="1690" w:name="NAATOC_0125"/>
      <w:bookmarkStart w:id="1125" w:name="toc_Annex_C_Sensitive_Sector_Trans"/>
      <w:r>
        <w:t>Annex C Sensitive-Sector Transition Schedule - Controlled Schema</w:t>
      </w:r>
      <w:bookmarkEnd w:id="1125"/>
      <w:bookmarkEnd w:id="1690"/>
    </w:p>
    <w:p>
      <w:pPr/>
      <w:r>
        <w:t>The schema below defines the minimum controlled fields for product-specific Annex C population. Field population does not itself create legal effect, and any field lacking authoritative support remains Pending Verification rather than receiving an inferred or default value.</w:t>
      </w:r>
    </w:p>
    <w:tbl>
      <w:tblPr>
        <w:tblStyle w:val="TableGrid"/>
        <w:tblW w:type="dxa" w:w="9994"/>
        <w:jc w:val="center"/>
        <w:tblLayout w:type="fixed"/>
        <w:tblLook w:firstColumn="1" w:firstRow="1" w:lastColumn="0" w:lastRow="0" w:noHBand="0" w:noVBand="1" w:val="04A0"/>
      </w:tblPr>
      <w:tblGrid>
        <w:gridCol w:w="3331"/>
        <w:gridCol w:w="3331"/>
        <w:gridCol w:w="3332"/>
      </w:tblGrid>
      <w:tr>
        <w:trPr>
          <w:tblHeader w:val="true"/>
          <w:tblHeader w:val="true"/>
        </w:trPr>
        <w:tc>
          <w:tcPr>
            <w:tcW w:type="dxa" w:w="3331"/>
            <w:vAlign w:val="top"/>
          </w:tcPr>
          <w:p>
            <w:pPr>
              <w:spacing w:before="20" w:after="20"/>
            </w:pPr>
            <w:r>
              <w:rPr>
                <w:b/>
                <w:sz w:val="16"/>
                <w:szCs w:val="16"/>
              </w:rPr>
              <w:t>Field</w:t>
            </w:r>
          </w:p>
        </w:tc>
        <w:tc>
          <w:tcPr>
            <w:tcW w:type="dxa" w:w="3331"/>
            <w:vAlign w:val="top"/>
          </w:tcPr>
          <w:p>
            <w:pPr>
              <w:spacing w:before="20" w:after="20"/>
            </w:pPr>
            <w:r>
              <w:rPr>
                <w:b/>
                <w:sz w:val="16"/>
                <w:szCs w:val="16"/>
              </w:rPr>
              <w:t>Governance Class</w:t>
            </w:r>
          </w:p>
        </w:tc>
        <w:tc>
          <w:tcPr>
            <w:tcW w:type="dxa" w:w="3332"/>
            <w:vAlign w:val="top"/>
          </w:tcPr>
          <w:p>
            <w:pPr>
              <w:spacing w:before="20" w:after="20"/>
            </w:pPr>
            <w:r>
              <w:rPr>
                <w:b/>
                <w:sz w:val="16"/>
                <w:szCs w:val="16"/>
              </w:rPr>
              <w:t>Controlled Function</w:t>
            </w:r>
          </w:p>
        </w:tc>
      </w:tr>
      <w:tr>
        <w:tc>
          <w:tcPr>
            <w:tcW w:type="dxa" w:w="3331"/>
            <w:vAlign w:val="top"/>
          </w:tcPr>
          <w:p>
            <w:pPr>
              <w:spacing w:before="20" w:after="20"/>
            </w:pPr>
            <w:r>
              <w:rPr>
                <w:sz w:val="16"/>
                <w:szCs w:val="16"/>
              </w:rPr>
              <w:t>SensitiveTransitionRecordID</w:t>
            </w:r>
          </w:p>
        </w:tc>
        <w:tc>
          <w:tcPr>
            <w:tcW w:type="dxa" w:w="3331"/>
            <w:vAlign w:val="top"/>
          </w:tcPr>
          <w:p>
            <w:pPr>
              <w:spacing w:before="20" w:after="20"/>
            </w:pPr>
            <w:r>
              <w:rPr>
                <w:sz w:val="16"/>
                <w:szCs w:val="16"/>
              </w:rPr>
              <w:t>Operative identity</w:t>
            </w:r>
          </w:p>
        </w:tc>
        <w:tc>
          <w:tcPr>
            <w:tcW w:type="dxa" w:w="3332"/>
            <w:vAlign w:val="top"/>
          </w:tcPr>
          <w:p>
            <w:pPr>
              <w:spacing w:before="20" w:after="20"/>
            </w:pPr>
            <w:r>
              <w:rPr>
                <w:sz w:val="16"/>
                <w:szCs w:val="16"/>
              </w:rPr>
              <w:t>Persistent unique transition-record key; never reassigned.</w:t>
            </w:r>
          </w:p>
        </w:tc>
      </w:tr>
      <w:tr>
        <w:tc>
          <w:tcPr>
            <w:tcW w:type="dxa" w:w="3331"/>
            <w:vAlign w:val="top"/>
          </w:tcPr>
          <w:p>
            <w:pPr>
              <w:spacing w:before="20" w:after="20"/>
            </w:pPr>
            <w:r>
              <w:rPr>
                <w:sz w:val="16"/>
                <w:szCs w:val="16"/>
              </w:rPr>
              <w:t>StageRecordID</w:t>
            </w:r>
          </w:p>
        </w:tc>
        <w:tc>
          <w:tcPr>
            <w:tcW w:type="dxa" w:w="3331"/>
            <w:vAlign w:val="top"/>
          </w:tcPr>
          <w:p>
            <w:pPr>
              <w:spacing w:before="20" w:after="20"/>
            </w:pPr>
            <w:r>
              <w:rPr>
                <w:sz w:val="16"/>
                <w:szCs w:val="16"/>
              </w:rPr>
              <w:t>Operative stage identity</w:t>
            </w:r>
          </w:p>
        </w:tc>
        <w:tc>
          <w:tcPr>
            <w:tcW w:type="dxa" w:w="3332"/>
            <w:vAlign w:val="top"/>
          </w:tcPr>
          <w:p>
            <w:pPr>
              <w:spacing w:before="20" w:after="20"/>
            </w:pPr>
            <w:r>
              <w:rPr>
                <w:sz w:val="16"/>
                <w:szCs w:val="16"/>
              </w:rPr>
              <w:t>Persistent unique identifier for each separately represented stage; linked to one SensitiveTransitionRecordID.</w:t>
            </w:r>
          </w:p>
        </w:tc>
      </w:tr>
      <w:tr>
        <w:tc>
          <w:tcPr>
            <w:tcW w:type="dxa" w:w="3331"/>
            <w:vAlign w:val="top"/>
          </w:tcPr>
          <w:p>
            <w:pPr>
              <w:spacing w:before="20" w:after="20"/>
            </w:pPr>
            <w:r>
              <w:rPr>
                <w:sz w:val="16"/>
                <w:szCs w:val="16"/>
              </w:rPr>
              <w:t>StageSequenceOrdinal</w:t>
            </w:r>
          </w:p>
        </w:tc>
        <w:tc>
          <w:tcPr>
            <w:tcW w:type="dxa" w:w="3331"/>
            <w:vAlign w:val="top"/>
          </w:tcPr>
          <w:p>
            <w:pPr>
              <w:spacing w:before="20" w:after="20"/>
            </w:pPr>
            <w:r>
              <w:rPr>
                <w:sz w:val="16"/>
                <w:szCs w:val="16"/>
              </w:rPr>
              <w:t>Operative / temporal</w:t>
            </w:r>
          </w:p>
        </w:tc>
        <w:tc>
          <w:tcPr>
            <w:tcW w:type="dxa" w:w="3332"/>
            <w:vAlign w:val="top"/>
          </w:tcPr>
          <w:p>
            <w:pPr>
              <w:spacing w:before="20" w:after="20"/>
            </w:pPr>
            <w:r>
              <w:rPr>
                <w:sz w:val="16"/>
                <w:szCs w:val="16"/>
              </w:rPr>
              <w:t>Deterministic ordering of stage records within the controlling transition.</w:t>
            </w:r>
          </w:p>
        </w:tc>
      </w:tr>
      <w:tr>
        <w:tc>
          <w:tcPr>
            <w:tcW w:type="dxa" w:w="3331"/>
            <w:vAlign w:val="top"/>
          </w:tcPr>
          <w:p>
            <w:pPr>
              <w:spacing w:before="20" w:after="20"/>
            </w:pPr>
            <w:r>
              <w:rPr>
                <w:sz w:val="16"/>
                <w:szCs w:val="16"/>
              </w:rPr>
              <w:t>RecordVersionID</w:t>
            </w:r>
          </w:p>
        </w:tc>
        <w:tc>
          <w:tcPr>
            <w:tcW w:type="dxa" w:w="3331"/>
            <w:vAlign w:val="top"/>
          </w:tcPr>
          <w:p>
            <w:pPr>
              <w:spacing w:before="20" w:after="20"/>
            </w:pPr>
            <w:r>
              <w:rPr>
                <w:sz w:val="16"/>
                <w:szCs w:val="16"/>
              </w:rPr>
              <w:t>Administrative control</w:t>
            </w:r>
          </w:p>
        </w:tc>
        <w:tc>
          <w:tcPr>
            <w:tcW w:type="dxa" w:w="3332"/>
            <w:vAlign w:val="top"/>
          </w:tcPr>
          <w:p>
            <w:pPr>
              <w:spacing w:before="20" w:after="20"/>
            </w:pPr>
            <w:r>
              <w:rPr>
                <w:sz w:val="16"/>
                <w:szCs w:val="16"/>
              </w:rPr>
              <w:t>Unique identifier for each legally relevant record state.</w:t>
            </w:r>
          </w:p>
        </w:tc>
      </w:tr>
      <w:tr>
        <w:tc>
          <w:tcPr>
            <w:tcW w:type="dxa" w:w="3331"/>
            <w:vAlign w:val="top"/>
          </w:tcPr>
          <w:p>
            <w:pPr>
              <w:spacing w:before="20" w:after="20"/>
            </w:pPr>
            <w:r>
              <w:rPr>
                <w:sz w:val="16"/>
                <w:szCs w:val="16"/>
              </w:rPr>
              <w:t>Party</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Canada, United States, or Mexico; identifies Party-specific application.</w:t>
            </w:r>
          </w:p>
        </w:tc>
      </w:tr>
      <w:tr>
        <w:tc>
          <w:tcPr>
            <w:tcW w:type="dxa" w:w="3331"/>
            <w:vAlign w:val="top"/>
          </w:tcPr>
          <w:p>
            <w:pPr>
              <w:spacing w:before="20" w:after="20"/>
            </w:pPr>
            <w:r>
              <w:rPr>
                <w:sz w:val="16"/>
                <w:szCs w:val="16"/>
              </w:rPr>
              <w:t>ProductRecordID</w:t>
            </w:r>
          </w:p>
        </w:tc>
        <w:tc>
          <w:tcPr>
            <w:tcW w:type="dxa" w:w="3331"/>
            <w:vAlign w:val="top"/>
          </w:tcPr>
          <w:p>
            <w:pPr>
              <w:spacing w:before="20" w:after="20"/>
            </w:pPr>
            <w:r>
              <w:rPr>
                <w:sz w:val="16"/>
                <w:szCs w:val="16"/>
              </w:rPr>
              <w:t>Navigational / operative link</w:t>
            </w:r>
          </w:p>
        </w:tc>
        <w:tc>
          <w:tcPr>
            <w:tcW w:type="dxa" w:w="3332"/>
            <w:vAlign w:val="top"/>
          </w:tcPr>
          <w:p>
            <w:pPr>
              <w:spacing w:before="20" w:after="20"/>
            </w:pPr>
            <w:r>
              <w:rPr>
                <w:sz w:val="16"/>
                <w:szCs w:val="16"/>
              </w:rPr>
              <w:t>Persistent Annex A product anchor.</w:t>
            </w:r>
          </w:p>
        </w:tc>
      </w:tr>
      <w:tr>
        <w:tc>
          <w:tcPr>
            <w:tcW w:type="dxa" w:w="3331"/>
            <w:vAlign w:val="top"/>
          </w:tcPr>
          <w:p>
            <w:pPr>
              <w:spacing w:before="20" w:after="20"/>
            </w:pPr>
            <w:r>
              <w:rPr>
                <w:sz w:val="16"/>
                <w:szCs w:val="16"/>
              </w:rPr>
              <w:t>TariffScheduleRecordID</w:t>
            </w:r>
          </w:p>
        </w:tc>
        <w:tc>
          <w:tcPr>
            <w:tcW w:type="dxa" w:w="3331"/>
            <w:vAlign w:val="top"/>
          </w:tcPr>
          <w:p>
            <w:pPr>
              <w:spacing w:before="20" w:after="20"/>
            </w:pPr>
            <w:r>
              <w:rPr>
                <w:sz w:val="16"/>
                <w:szCs w:val="16"/>
              </w:rPr>
              <w:t>Navigational / operative link</w:t>
            </w:r>
          </w:p>
        </w:tc>
        <w:tc>
          <w:tcPr>
            <w:tcW w:type="dxa" w:w="3332"/>
            <w:vAlign w:val="top"/>
          </w:tcPr>
          <w:p>
            <w:pPr>
              <w:spacing w:before="20" w:after="20"/>
            </w:pPr>
            <w:r>
              <w:rPr>
                <w:sz w:val="16"/>
                <w:szCs w:val="16"/>
              </w:rPr>
              <w:t>Controlling Annex B treatment reference.</w:t>
            </w:r>
          </w:p>
        </w:tc>
      </w:tr>
      <w:tr>
        <w:tc>
          <w:tcPr>
            <w:tcW w:type="dxa" w:w="3331"/>
            <w:vAlign w:val="top"/>
          </w:tcPr>
          <w:p>
            <w:pPr>
              <w:spacing w:before="20" w:after="20"/>
            </w:pPr>
            <w:r>
              <w:rPr>
                <w:sz w:val="16"/>
                <w:szCs w:val="16"/>
              </w:rPr>
              <w:t>NationalTariffRecord</w:t>
            </w:r>
          </w:p>
        </w:tc>
        <w:tc>
          <w:tcPr>
            <w:tcW w:type="dxa" w:w="3331"/>
            <w:vAlign w:val="top"/>
          </w:tcPr>
          <w:p>
            <w:pPr>
              <w:spacing w:before="20" w:after="20"/>
            </w:pPr>
            <w:r>
              <w:rPr>
                <w:sz w:val="16"/>
                <w:szCs w:val="16"/>
              </w:rPr>
              <w:t>Navigational</w:t>
            </w:r>
          </w:p>
        </w:tc>
        <w:tc>
          <w:tcPr>
            <w:tcW w:type="dxa" w:w="3332"/>
            <w:vAlign w:val="top"/>
          </w:tcPr>
          <w:p>
            <w:pPr>
              <w:spacing w:before="20" w:after="20"/>
            </w:pPr>
            <w:r>
              <w:rPr>
                <w:sz w:val="16"/>
                <w:szCs w:val="16"/>
              </w:rPr>
              <w:t>Party-specific tariff mapping; separate from persistent product identity.</w:t>
            </w:r>
          </w:p>
        </w:tc>
      </w:tr>
      <w:tr>
        <w:tc>
          <w:tcPr>
            <w:tcW w:type="dxa" w:w="3331"/>
            <w:vAlign w:val="top"/>
          </w:tcPr>
          <w:p>
            <w:pPr>
              <w:spacing w:before="20" w:after="20"/>
            </w:pPr>
            <w:r>
              <w:rPr>
                <w:sz w:val="16"/>
                <w:szCs w:val="16"/>
              </w:rPr>
              <w:t>HSReference</w:t>
            </w:r>
          </w:p>
        </w:tc>
        <w:tc>
          <w:tcPr>
            <w:tcW w:type="dxa" w:w="3331"/>
            <w:vAlign w:val="top"/>
          </w:tcPr>
          <w:p>
            <w:pPr>
              <w:spacing w:before="20" w:after="20"/>
            </w:pPr>
            <w:r>
              <w:rPr>
                <w:sz w:val="16"/>
                <w:szCs w:val="16"/>
              </w:rPr>
              <w:t>Navigational</w:t>
            </w:r>
          </w:p>
        </w:tc>
        <w:tc>
          <w:tcPr>
            <w:tcW w:type="dxa" w:w="3332"/>
            <w:vAlign w:val="top"/>
          </w:tcPr>
          <w:p>
            <w:pPr>
              <w:spacing w:before="20" w:after="20"/>
            </w:pPr>
            <w:r>
              <w:rPr>
                <w:sz w:val="16"/>
                <w:szCs w:val="16"/>
              </w:rPr>
              <w:t>Applicable HS edition and code or controlled ex-out reference.</w:t>
            </w:r>
          </w:p>
        </w:tc>
      </w:tr>
      <w:tr>
        <w:tc>
          <w:tcPr>
            <w:tcW w:type="dxa" w:w="3331"/>
            <w:vAlign w:val="top"/>
          </w:tcPr>
          <w:p>
            <w:pPr>
              <w:spacing w:before="20" w:after="20"/>
            </w:pPr>
            <w:r>
              <w:rPr>
                <w:sz w:val="16"/>
                <w:szCs w:val="16"/>
              </w:rPr>
              <w:t>SensitiveSectorDesignation</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Objective product scope of the lawful designation.</w:t>
            </w:r>
          </w:p>
        </w:tc>
      </w:tr>
      <w:tr>
        <w:tc>
          <w:tcPr>
            <w:tcW w:type="dxa" w:w="3331"/>
            <w:vAlign w:val="top"/>
          </w:tcPr>
          <w:p>
            <w:pPr>
              <w:spacing w:before="20" w:after="20"/>
            </w:pPr>
            <w:r>
              <w:rPr>
                <w:sz w:val="16"/>
                <w:szCs w:val="16"/>
              </w:rPr>
              <w:t>DesignationAuthority</w:t>
            </w:r>
          </w:p>
        </w:tc>
        <w:tc>
          <w:tcPr>
            <w:tcW w:type="dxa" w:w="3331"/>
            <w:vAlign w:val="top"/>
          </w:tcPr>
          <w:p>
            <w:pPr>
              <w:spacing w:before="20" w:after="20"/>
            </w:pPr>
            <w:r>
              <w:rPr>
                <w:sz w:val="16"/>
                <w:szCs w:val="16"/>
              </w:rPr>
              <w:t>Operative / evidentiary</w:t>
            </w:r>
          </w:p>
        </w:tc>
        <w:tc>
          <w:tcPr>
            <w:tcW w:type="dxa" w:w="3332"/>
            <w:vAlign w:val="top"/>
          </w:tcPr>
          <w:p>
            <w:pPr>
              <w:spacing w:before="20" w:after="20"/>
            </w:pPr>
            <w:r>
              <w:rPr>
                <w:sz w:val="16"/>
                <w:szCs w:val="16"/>
              </w:rPr>
              <w:t>Legal act or provision creating the designation.</w:t>
            </w:r>
          </w:p>
        </w:tc>
      </w:tr>
      <w:tr>
        <w:tc>
          <w:tcPr>
            <w:tcW w:type="dxa" w:w="3331"/>
            <w:vAlign w:val="top"/>
          </w:tcPr>
          <w:p>
            <w:pPr>
              <w:spacing w:before="20" w:after="20"/>
            </w:pPr>
            <w:r>
              <w:rPr>
                <w:sz w:val="16"/>
                <w:szCs w:val="16"/>
              </w:rPr>
              <w:t>DesignationEffectiveDate</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Date designation becomes legally operative.</w:t>
            </w:r>
          </w:p>
        </w:tc>
      </w:tr>
      <w:tr>
        <w:tc>
          <w:tcPr>
            <w:tcW w:type="dxa" w:w="3331"/>
            <w:vAlign w:val="top"/>
          </w:tcPr>
          <w:p>
            <w:pPr>
              <w:spacing w:before="20" w:after="20"/>
            </w:pPr>
            <w:r>
              <w:rPr>
                <w:sz w:val="16"/>
                <w:szCs w:val="16"/>
              </w:rPr>
              <w:t>DesignationPartyScope</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Party-specific or trilateral perimeter.</w:t>
            </w:r>
          </w:p>
        </w:tc>
      </w:tr>
      <w:tr>
        <w:tc>
          <w:tcPr>
            <w:tcW w:type="dxa" w:w="3331"/>
            <w:vAlign w:val="top"/>
          </w:tcPr>
          <w:p>
            <w:pPr>
              <w:spacing w:before="20" w:after="20"/>
            </w:pPr>
            <w:r>
              <w:rPr>
                <w:sz w:val="16"/>
                <w:szCs w:val="16"/>
              </w:rPr>
              <w:t>BaselineDate</w:t>
            </w:r>
          </w:p>
        </w:tc>
        <w:tc>
          <w:tcPr>
            <w:tcW w:type="dxa" w:w="3331"/>
            <w:vAlign w:val="top"/>
          </w:tcPr>
          <w:p>
            <w:pPr>
              <w:spacing w:before="20" w:after="20"/>
            </w:pPr>
            <w:r>
              <w:rPr>
                <w:sz w:val="16"/>
                <w:szCs w:val="16"/>
              </w:rPr>
              <w:t>Operative reference</w:t>
            </w:r>
          </w:p>
        </w:tc>
        <w:tc>
          <w:tcPr>
            <w:tcW w:type="dxa" w:w="3332"/>
            <w:vAlign w:val="top"/>
          </w:tcPr>
          <w:p>
            <w:pPr>
              <w:spacing w:before="20" w:after="20"/>
            </w:pPr>
            <w:r>
              <w:rPr>
                <w:sz w:val="16"/>
                <w:szCs w:val="16"/>
              </w:rPr>
              <w:t>Applicable NAAFTC Baseline Date.</w:t>
            </w:r>
          </w:p>
        </w:tc>
      </w:tr>
      <w:tr>
        <w:tc>
          <w:tcPr>
            <w:tcW w:type="dxa" w:w="3331"/>
            <w:vAlign w:val="top"/>
          </w:tcPr>
          <w:p>
            <w:pPr>
              <w:spacing w:before="20" w:after="20"/>
            </w:pPr>
            <w:r>
              <w:rPr>
                <w:sz w:val="16"/>
                <w:szCs w:val="16"/>
              </w:rPr>
              <w:t>TransitionStartingTreatmentReference</w:t>
            </w:r>
          </w:p>
        </w:tc>
        <w:tc>
          <w:tcPr>
            <w:tcW w:type="dxa" w:w="3331"/>
            <w:vAlign w:val="top"/>
          </w:tcPr>
          <w:p>
            <w:pPr>
              <w:spacing w:before="20" w:after="20"/>
            </w:pPr>
            <w:r>
              <w:rPr>
                <w:sz w:val="16"/>
                <w:szCs w:val="16"/>
              </w:rPr>
              <w:t>Operative link</w:t>
            </w:r>
          </w:p>
        </w:tc>
        <w:tc>
          <w:tcPr>
            <w:tcW w:type="dxa" w:w="3332"/>
            <w:vAlign w:val="top"/>
          </w:tcPr>
          <w:p>
            <w:pPr>
              <w:spacing w:before="20" w:after="20"/>
            </w:pPr>
            <w:r>
              <w:rPr>
                <w:sz w:val="16"/>
                <w:szCs w:val="16"/>
              </w:rPr>
              <w:t>Reference to Annex B; does not duplicate tariff truth.</w:t>
            </w:r>
          </w:p>
        </w:tc>
      </w:tr>
      <w:tr>
        <w:tc>
          <w:tcPr>
            <w:tcW w:type="dxa" w:w="3331"/>
            <w:vAlign w:val="top"/>
          </w:tcPr>
          <w:p>
            <w:pPr>
              <w:spacing w:before="20" w:after="20"/>
            </w:pPr>
            <w:r>
              <w:rPr>
                <w:sz w:val="16"/>
                <w:szCs w:val="16"/>
              </w:rPr>
              <w:t>TransitionMethod</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Closed Chapter 6 track category.</w:t>
            </w:r>
          </w:p>
        </w:tc>
      </w:tr>
      <w:tr>
        <w:tc>
          <w:tcPr>
            <w:tcW w:type="dxa" w:w="3331"/>
            <w:vAlign w:val="top"/>
          </w:tcPr>
          <w:p>
            <w:pPr>
              <w:spacing w:before="20" w:after="20"/>
            </w:pPr>
            <w:r>
              <w:rPr>
                <w:sz w:val="16"/>
                <w:szCs w:val="16"/>
              </w:rPr>
              <w:t>TransitionCommencementEvent</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Objectively determinable original commencement event.</w:t>
            </w:r>
          </w:p>
        </w:tc>
      </w:tr>
      <w:tr>
        <w:tc>
          <w:tcPr>
            <w:tcW w:type="dxa" w:w="3331"/>
            <w:vAlign w:val="top"/>
          </w:tcPr>
          <w:p>
            <w:pPr>
              <w:spacing w:before="20" w:after="20"/>
            </w:pPr>
            <w:r>
              <w:rPr>
                <w:sz w:val="16"/>
                <w:szCs w:val="16"/>
              </w:rPr>
              <w:t>TransitionStageCode</w:t>
            </w:r>
          </w:p>
        </w:tc>
        <w:tc>
          <w:tcPr>
            <w:tcW w:type="dxa" w:w="3331"/>
            <w:vAlign w:val="top"/>
          </w:tcPr>
          <w:p>
            <w:pPr>
              <w:spacing w:before="20" w:after="20"/>
            </w:pPr>
            <w:r>
              <w:rPr>
                <w:sz w:val="16"/>
                <w:szCs w:val="16"/>
              </w:rPr>
              <w:t>Operative stage classification</w:t>
            </w:r>
          </w:p>
        </w:tc>
        <w:tc>
          <w:tcPr>
            <w:tcW w:type="dxa" w:w="3332"/>
            <w:vAlign w:val="top"/>
          </w:tcPr>
          <w:p>
            <w:pPr>
              <w:spacing w:before="20" w:after="20"/>
            </w:pPr>
            <w:r>
              <w:rPr>
                <w:sz w:val="16"/>
                <w:szCs w:val="16"/>
              </w:rPr>
              <w:t>Controlled Chapter 6 stage code or name within the track; distinct from persistent StageRecordID.</w:t>
            </w:r>
          </w:p>
        </w:tc>
      </w:tr>
      <w:tr>
        <w:tc>
          <w:tcPr>
            <w:tcW w:type="dxa" w:w="3331"/>
            <w:vAlign w:val="top"/>
          </w:tcPr>
          <w:p>
            <w:pPr>
              <w:spacing w:before="20" w:after="20"/>
            </w:pPr>
            <w:r>
              <w:rPr>
                <w:sz w:val="16"/>
                <w:szCs w:val="16"/>
              </w:rPr>
              <w:t>StageEffectiveDateOrTrigger</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Legally determinate stage date or objective trigger.</w:t>
            </w:r>
          </w:p>
        </w:tc>
      </w:tr>
      <w:tr>
        <w:tc>
          <w:tcPr>
            <w:tcW w:type="dxa" w:w="3331"/>
            <w:vAlign w:val="top"/>
          </w:tcPr>
          <w:p>
            <w:pPr>
              <w:spacing w:before="20" w:after="20"/>
            </w:pPr>
            <w:r>
              <w:rPr>
                <w:sz w:val="16"/>
                <w:szCs w:val="16"/>
              </w:rPr>
              <w:t>StageTreatment</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Structured resulting ordinary customs-duty treatment.</w:t>
            </w:r>
          </w:p>
        </w:tc>
      </w:tr>
      <w:tr>
        <w:tc>
          <w:tcPr>
            <w:tcW w:type="dxa" w:w="3331"/>
            <w:vAlign w:val="top"/>
          </w:tcPr>
          <w:p>
            <w:pPr>
              <w:spacing w:before="20" w:after="20"/>
            </w:pPr>
            <w:r>
              <w:rPr>
                <w:sz w:val="16"/>
                <w:szCs w:val="16"/>
              </w:rPr>
              <w:t>NextStageDate</w:t>
            </w:r>
          </w:p>
        </w:tc>
        <w:tc>
          <w:tcPr>
            <w:tcW w:type="dxa" w:w="3331"/>
            <w:vAlign w:val="top"/>
          </w:tcPr>
          <w:p>
            <w:pPr>
              <w:spacing w:before="20" w:after="20"/>
            </w:pPr>
            <w:r>
              <w:rPr>
                <w:sz w:val="16"/>
                <w:szCs w:val="16"/>
              </w:rPr>
              <w:t>Administrative / derived</w:t>
            </w:r>
          </w:p>
        </w:tc>
        <w:tc>
          <w:tcPr>
            <w:tcW w:type="dxa" w:w="3332"/>
            <w:vAlign w:val="top"/>
          </w:tcPr>
          <w:p>
            <w:pPr>
              <w:spacing w:before="20" w:after="20"/>
            </w:pPr>
            <w:r>
              <w:rPr>
                <w:sz w:val="16"/>
                <w:szCs w:val="16"/>
              </w:rPr>
              <w:t>Next scheduled transition event where applicable.</w:t>
            </w:r>
          </w:p>
        </w:tc>
      </w:tr>
      <w:tr>
        <w:tc>
          <w:tcPr>
            <w:tcW w:type="dxa" w:w="3331"/>
            <w:vAlign w:val="top"/>
          </w:tcPr>
          <w:p>
            <w:pPr>
              <w:spacing w:before="20" w:after="20"/>
            </w:pPr>
            <w:r>
              <w:rPr>
                <w:sz w:val="16"/>
                <w:szCs w:val="16"/>
              </w:rPr>
              <w:t>CompletionCondition</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Objectively measurable completion condition.</w:t>
            </w:r>
          </w:p>
        </w:tc>
      </w:tr>
      <w:tr>
        <w:tc>
          <w:tcPr>
            <w:tcW w:type="dxa" w:w="3331"/>
            <w:vAlign w:val="top"/>
          </w:tcPr>
          <w:p>
            <w:pPr>
              <w:spacing w:before="20" w:after="20"/>
            </w:pPr>
            <w:r>
              <w:rPr>
                <w:sz w:val="16"/>
                <w:szCs w:val="16"/>
              </w:rPr>
              <w:t>ScheduledCompletionDate</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Outer completion boundary under the controlling track.</w:t>
            </w:r>
          </w:p>
        </w:tc>
      </w:tr>
      <w:tr>
        <w:tc>
          <w:tcPr>
            <w:tcW w:type="dxa" w:w="3331"/>
            <w:vAlign w:val="top"/>
          </w:tcPr>
          <w:p>
            <w:pPr>
              <w:spacing w:before="20" w:after="20"/>
            </w:pPr>
            <w:r>
              <w:rPr>
                <w:sz w:val="16"/>
                <w:szCs w:val="16"/>
              </w:rPr>
              <w:t>AnnexDRecordReference</w:t>
            </w:r>
          </w:p>
        </w:tc>
        <w:tc>
          <w:tcPr>
            <w:tcW w:type="dxa" w:w="3331"/>
            <w:vAlign w:val="top"/>
          </w:tcPr>
          <w:p>
            <w:pPr>
              <w:spacing w:before="20" w:after="20"/>
            </w:pPr>
            <w:r>
              <w:rPr>
                <w:sz w:val="16"/>
                <w:szCs w:val="16"/>
              </w:rPr>
              <w:t>Navigational / dependency</w:t>
            </w:r>
          </w:p>
        </w:tc>
        <w:tc>
          <w:tcPr>
            <w:tcW w:type="dxa" w:w="3332"/>
            <w:vAlign w:val="top"/>
          </w:tcPr>
          <w:p>
            <w:pPr>
              <w:spacing w:before="20" w:after="20"/>
            </w:pPr>
            <w:r>
              <w:rPr>
                <w:sz w:val="16"/>
                <w:szCs w:val="16"/>
              </w:rPr>
              <w:t>Managed-access record where applicable.</w:t>
            </w:r>
          </w:p>
        </w:tc>
      </w:tr>
      <w:tr>
        <w:tc>
          <w:tcPr>
            <w:tcW w:type="dxa" w:w="3331"/>
            <w:vAlign w:val="top"/>
          </w:tcPr>
          <w:p>
            <w:pPr>
              <w:spacing w:before="20" w:after="20"/>
            </w:pPr>
            <w:r>
              <w:rPr>
                <w:sz w:val="16"/>
                <w:szCs w:val="16"/>
              </w:rPr>
              <w:t>AnnexEMilestoneReference</w:t>
            </w:r>
          </w:p>
        </w:tc>
        <w:tc>
          <w:tcPr>
            <w:tcW w:type="dxa" w:w="3331"/>
            <w:vAlign w:val="top"/>
          </w:tcPr>
          <w:p>
            <w:pPr>
              <w:spacing w:before="20" w:after="20"/>
            </w:pPr>
            <w:r>
              <w:rPr>
                <w:sz w:val="16"/>
                <w:szCs w:val="16"/>
              </w:rPr>
              <w:t>Navigational / dependency</w:t>
            </w:r>
          </w:p>
        </w:tc>
        <w:tc>
          <w:tcPr>
            <w:tcW w:type="dxa" w:w="3332"/>
            <w:vAlign w:val="top"/>
          </w:tcPr>
          <w:p>
            <w:pPr>
              <w:spacing w:before="20" w:after="20"/>
            </w:pPr>
            <w:r>
              <w:rPr>
                <w:sz w:val="16"/>
                <w:szCs w:val="16"/>
              </w:rPr>
              <w:t>Synchronization milestone where applicable.</w:t>
            </w:r>
          </w:p>
        </w:tc>
      </w:tr>
      <w:tr>
        <w:tc>
          <w:tcPr>
            <w:tcW w:type="dxa" w:w="3331"/>
            <w:vAlign w:val="top"/>
          </w:tcPr>
          <w:p>
            <w:pPr>
              <w:spacing w:before="20" w:after="20"/>
            </w:pPr>
            <w:r>
              <w:rPr>
                <w:sz w:val="16"/>
                <w:szCs w:val="16"/>
              </w:rPr>
              <w:t>AnnexFStatusReference</w:t>
            </w:r>
          </w:p>
        </w:tc>
        <w:tc>
          <w:tcPr>
            <w:tcW w:type="dxa" w:w="3331"/>
            <w:vAlign w:val="top"/>
          </w:tcPr>
          <w:p>
            <w:pPr>
              <w:spacing w:before="20" w:after="20"/>
            </w:pPr>
            <w:r>
              <w:rPr>
                <w:sz w:val="16"/>
                <w:szCs w:val="16"/>
              </w:rPr>
              <w:t>Navigational / completion</w:t>
            </w:r>
          </w:p>
        </w:tc>
        <w:tc>
          <w:tcPr>
            <w:tcW w:type="dxa" w:w="3332"/>
            <w:vAlign w:val="top"/>
          </w:tcPr>
          <w:p>
            <w:pPr>
              <w:spacing w:before="20" w:after="20"/>
            </w:pPr>
            <w:r>
              <w:rPr>
                <w:sz w:val="16"/>
                <w:szCs w:val="16"/>
              </w:rPr>
              <w:t>Durable zero-line status record after completion.</w:t>
            </w:r>
          </w:p>
        </w:tc>
      </w:tr>
      <w:tr>
        <w:tc>
          <w:tcPr>
            <w:tcW w:type="dxa" w:w="3331"/>
            <w:vAlign w:val="top"/>
          </w:tcPr>
          <w:p>
            <w:pPr>
              <w:spacing w:before="20" w:after="20"/>
            </w:pPr>
            <w:r>
              <w:rPr>
                <w:sz w:val="16"/>
                <w:szCs w:val="16"/>
              </w:rPr>
              <w:t>AnnexGOriginReference</w:t>
            </w:r>
          </w:p>
        </w:tc>
        <w:tc>
          <w:tcPr>
            <w:tcW w:type="dxa" w:w="3331"/>
            <w:vAlign w:val="top"/>
          </w:tcPr>
          <w:p>
            <w:pPr>
              <w:spacing w:before="20" w:after="20"/>
            </w:pPr>
            <w:r>
              <w:rPr>
                <w:sz w:val="16"/>
                <w:szCs w:val="16"/>
              </w:rPr>
              <w:t>Navigational / dependency</w:t>
            </w:r>
          </w:p>
        </w:tc>
        <w:tc>
          <w:tcPr>
            <w:tcW w:type="dxa" w:w="3332"/>
            <w:vAlign w:val="top"/>
          </w:tcPr>
          <w:p>
            <w:pPr>
              <w:spacing w:before="20" w:after="20"/>
            </w:pPr>
            <w:r>
              <w:rPr>
                <w:sz w:val="16"/>
                <w:szCs w:val="16"/>
              </w:rPr>
              <w:t>Applicable origin-rule reference where required.</w:t>
            </w:r>
          </w:p>
        </w:tc>
      </w:tr>
      <w:tr>
        <w:tc>
          <w:tcPr>
            <w:tcW w:type="dxa" w:w="3331"/>
            <w:vAlign w:val="top"/>
          </w:tcPr>
          <w:p>
            <w:pPr>
              <w:spacing w:before="20" w:after="20"/>
            </w:pPr>
            <w:r>
              <w:rPr>
                <w:sz w:val="16"/>
                <w:szCs w:val="16"/>
              </w:rPr>
              <w:t>TemporaryOverlayState</w:t>
            </w:r>
          </w:p>
        </w:tc>
        <w:tc>
          <w:tcPr>
            <w:tcW w:type="dxa" w:w="3331"/>
            <w:vAlign w:val="top"/>
          </w:tcPr>
          <w:p>
            <w:pPr>
              <w:spacing w:before="20" w:after="20"/>
            </w:pPr>
            <w:r>
              <w:rPr>
                <w:sz w:val="16"/>
                <w:szCs w:val="16"/>
              </w:rPr>
              <w:t>Administrative / operative overlay</w:t>
            </w:r>
          </w:p>
        </w:tc>
        <w:tc>
          <w:tcPr>
            <w:tcW w:type="dxa" w:w="3332"/>
            <w:vAlign w:val="top"/>
          </w:tcPr>
          <w:p>
            <w:pPr>
              <w:spacing w:before="20" w:after="20"/>
            </w:pPr>
            <w:r>
              <w:rPr>
                <w:sz w:val="16"/>
                <w:szCs w:val="16"/>
              </w:rPr>
              <w:t>Separate temporary state; never mutates underlying stage.</w:t>
            </w:r>
          </w:p>
        </w:tc>
      </w:tr>
      <w:tr>
        <w:tc>
          <w:tcPr>
            <w:tcW w:type="dxa" w:w="3331"/>
            <w:vAlign w:val="top"/>
          </w:tcPr>
          <w:p>
            <w:pPr>
              <w:spacing w:before="20" w:after="20"/>
            </w:pPr>
            <w:r>
              <w:rPr>
                <w:sz w:val="16"/>
                <w:szCs w:val="16"/>
              </w:rPr>
              <w:t>OverlayAuthority</w:t>
            </w:r>
          </w:p>
        </w:tc>
        <w:tc>
          <w:tcPr>
            <w:tcW w:type="dxa" w:w="3331"/>
            <w:vAlign w:val="top"/>
          </w:tcPr>
          <w:p>
            <w:pPr>
              <w:spacing w:before="20" w:after="20"/>
            </w:pPr>
            <w:r>
              <w:rPr>
                <w:sz w:val="16"/>
                <w:szCs w:val="16"/>
              </w:rPr>
              <w:t>Evidentiary</w:t>
            </w:r>
          </w:p>
        </w:tc>
        <w:tc>
          <w:tcPr>
            <w:tcW w:type="dxa" w:w="3332"/>
            <w:vAlign w:val="top"/>
          </w:tcPr>
          <w:p>
            <w:pPr>
              <w:spacing w:before="20" w:after="20"/>
            </w:pPr>
            <w:r>
              <w:rPr>
                <w:sz w:val="16"/>
                <w:szCs w:val="16"/>
              </w:rPr>
              <w:t>Legal authority for any temporary overlay.</w:t>
            </w:r>
          </w:p>
        </w:tc>
      </w:tr>
      <w:tr>
        <w:tc>
          <w:tcPr>
            <w:tcW w:type="dxa" w:w="3331"/>
            <w:vAlign w:val="top"/>
          </w:tcPr>
          <w:p>
            <w:pPr>
              <w:spacing w:before="20" w:after="20"/>
            </w:pPr>
            <w:r>
              <w:rPr>
                <w:sz w:val="16"/>
                <w:szCs w:val="16"/>
              </w:rPr>
              <w:t>OverlayStartDate</w:t>
            </w:r>
          </w:p>
        </w:tc>
        <w:tc>
          <w:tcPr>
            <w:tcW w:type="dxa" w:w="3331"/>
            <w:vAlign w:val="top"/>
          </w:tcPr>
          <w:p>
            <w:pPr>
              <w:spacing w:before="20" w:after="20"/>
            </w:pPr>
            <w:r>
              <w:rPr>
                <w:sz w:val="16"/>
                <w:szCs w:val="16"/>
              </w:rPr>
              <w:t>Administrative temporal</w:t>
            </w:r>
          </w:p>
        </w:tc>
        <w:tc>
          <w:tcPr>
            <w:tcW w:type="dxa" w:w="3332"/>
            <w:vAlign w:val="top"/>
          </w:tcPr>
          <w:p>
            <w:pPr>
              <w:spacing w:before="20" w:after="20"/>
            </w:pPr>
            <w:r>
              <w:rPr>
                <w:sz w:val="16"/>
                <w:szCs w:val="16"/>
              </w:rPr>
              <w:t>Date temporary overlay becomes operative.</w:t>
            </w:r>
          </w:p>
        </w:tc>
      </w:tr>
      <w:tr>
        <w:tc>
          <w:tcPr>
            <w:tcW w:type="dxa" w:w="3331"/>
            <w:vAlign w:val="top"/>
          </w:tcPr>
          <w:p>
            <w:pPr>
              <w:spacing w:before="20" w:after="20"/>
            </w:pPr>
            <w:r>
              <w:rPr>
                <w:sz w:val="16"/>
                <w:szCs w:val="16"/>
              </w:rPr>
              <w:t>OverlayTerminationCondition</w:t>
            </w:r>
          </w:p>
        </w:tc>
        <w:tc>
          <w:tcPr>
            <w:tcW w:type="dxa" w:w="3331"/>
            <w:vAlign w:val="top"/>
          </w:tcPr>
          <w:p>
            <w:pPr>
              <w:spacing w:before="20" w:after="20"/>
            </w:pPr>
            <w:r>
              <w:rPr>
                <w:sz w:val="16"/>
                <w:szCs w:val="16"/>
              </w:rPr>
              <w:t>Operative overlay</w:t>
            </w:r>
          </w:p>
        </w:tc>
        <w:tc>
          <w:tcPr>
            <w:tcW w:type="dxa" w:w="3332"/>
            <w:vAlign w:val="top"/>
          </w:tcPr>
          <w:p>
            <w:pPr>
              <w:spacing w:before="20" w:after="20"/>
            </w:pPr>
            <w:r>
              <w:rPr>
                <w:sz w:val="16"/>
                <w:szCs w:val="16"/>
              </w:rPr>
              <w:t>Objective condition ending the overlay.</w:t>
            </w:r>
          </w:p>
        </w:tc>
      </w:tr>
      <w:tr>
        <w:tc>
          <w:tcPr>
            <w:tcW w:type="dxa" w:w="3331"/>
            <w:vAlign w:val="top"/>
          </w:tcPr>
          <w:p>
            <w:pPr>
              <w:spacing w:before="20" w:after="20"/>
            </w:pPr>
            <w:r>
              <w:rPr>
                <w:sz w:val="16"/>
                <w:szCs w:val="16"/>
              </w:rPr>
              <w:t>RestorationTrigger</w:t>
            </w:r>
          </w:p>
        </w:tc>
        <w:tc>
          <w:tcPr>
            <w:tcW w:type="dxa" w:w="3331"/>
            <w:vAlign w:val="top"/>
          </w:tcPr>
          <w:p>
            <w:pPr>
              <w:spacing w:before="20" w:after="20"/>
            </w:pPr>
            <w:r>
              <w:rPr>
                <w:sz w:val="16"/>
                <w:szCs w:val="16"/>
              </w:rPr>
              <w:t>Operative overlay</w:t>
            </w:r>
          </w:p>
        </w:tc>
        <w:tc>
          <w:tcPr>
            <w:tcW w:type="dxa" w:w="3332"/>
            <w:vAlign w:val="top"/>
          </w:tcPr>
          <w:p>
            <w:pPr>
              <w:spacing w:before="20" w:after="20"/>
            </w:pPr>
            <w:r>
              <w:rPr>
                <w:sz w:val="16"/>
                <w:szCs w:val="16"/>
              </w:rPr>
              <w:t>Objective event restoring the underlying current stage.</w:t>
            </w:r>
          </w:p>
        </w:tc>
      </w:tr>
      <w:tr>
        <w:tc>
          <w:tcPr>
            <w:tcW w:type="dxa" w:w="3331"/>
            <w:vAlign w:val="top"/>
          </w:tcPr>
          <w:p>
            <w:pPr>
              <w:spacing w:before="20" w:after="20"/>
            </w:pPr>
            <w:r>
              <w:rPr>
                <w:sz w:val="16"/>
                <w:szCs w:val="16"/>
              </w:rPr>
              <w:t>VerificationState</w:t>
            </w:r>
          </w:p>
        </w:tc>
        <w:tc>
          <w:tcPr>
            <w:tcW w:type="dxa" w:w="3331"/>
            <w:vAlign w:val="top"/>
          </w:tcPr>
          <w:p>
            <w:pPr>
              <w:spacing w:before="20" w:after="20"/>
            </w:pPr>
            <w:r>
              <w:rPr>
                <w:sz w:val="16"/>
                <w:szCs w:val="16"/>
              </w:rPr>
              <w:t>Field status</w:t>
            </w:r>
          </w:p>
        </w:tc>
        <w:tc>
          <w:tcPr>
            <w:tcW w:type="dxa" w:w="3332"/>
            <w:vAlign w:val="top"/>
          </w:tcPr>
          <w:p>
            <w:pPr>
              <w:spacing w:before="20" w:after="20"/>
            </w:pPr>
            <w:r>
              <w:rPr>
                <w:sz w:val="16"/>
                <w:szCs w:val="16"/>
              </w:rPr>
              <w:t>Verified, Provisional, Pending Verification, Disputed, or Superseded.</w:t>
            </w:r>
          </w:p>
        </w:tc>
      </w:tr>
      <w:tr>
        <w:tc>
          <w:tcPr>
            <w:tcW w:type="dxa" w:w="3331"/>
            <w:vAlign w:val="top"/>
          </w:tcPr>
          <w:p>
            <w:pPr>
              <w:spacing w:before="20" w:after="20"/>
            </w:pPr>
            <w:r>
              <w:rPr>
                <w:sz w:val="16"/>
                <w:szCs w:val="16"/>
              </w:rPr>
              <w:t>SourceAuthority</w:t>
            </w:r>
          </w:p>
        </w:tc>
        <w:tc>
          <w:tcPr>
            <w:tcW w:type="dxa" w:w="3331"/>
            <w:vAlign w:val="top"/>
          </w:tcPr>
          <w:p>
            <w:pPr>
              <w:spacing w:before="20" w:after="20"/>
            </w:pPr>
            <w:r>
              <w:rPr>
                <w:sz w:val="16"/>
                <w:szCs w:val="16"/>
              </w:rPr>
              <w:t>Evidentiary</w:t>
            </w:r>
          </w:p>
        </w:tc>
        <w:tc>
          <w:tcPr>
            <w:tcW w:type="dxa" w:w="3332"/>
            <w:vAlign w:val="top"/>
          </w:tcPr>
          <w:p>
            <w:pPr>
              <w:spacing w:before="20" w:after="20"/>
            </w:pPr>
            <w:r>
              <w:rPr>
                <w:sz w:val="16"/>
                <w:szCs w:val="16"/>
              </w:rPr>
              <w:t>Controlling legal or official source for the material datum.</w:t>
            </w:r>
          </w:p>
        </w:tc>
      </w:tr>
      <w:tr>
        <w:tc>
          <w:tcPr>
            <w:tcW w:type="dxa" w:w="3331"/>
            <w:vAlign w:val="top"/>
          </w:tcPr>
          <w:p>
            <w:pPr>
              <w:spacing w:before="20" w:after="20"/>
            </w:pPr>
            <w:r>
              <w:rPr>
                <w:sz w:val="16"/>
                <w:szCs w:val="16"/>
              </w:rPr>
              <w:t>SourceDate</w:t>
            </w:r>
          </w:p>
        </w:tc>
        <w:tc>
          <w:tcPr>
            <w:tcW w:type="dxa" w:w="3331"/>
            <w:vAlign w:val="top"/>
          </w:tcPr>
          <w:p>
            <w:pPr>
              <w:spacing w:before="20" w:after="20"/>
            </w:pPr>
            <w:r>
              <w:rPr>
                <w:sz w:val="16"/>
                <w:szCs w:val="16"/>
              </w:rPr>
              <w:t>Evidentiary</w:t>
            </w:r>
          </w:p>
        </w:tc>
        <w:tc>
          <w:tcPr>
            <w:tcW w:type="dxa" w:w="3332"/>
            <w:vAlign w:val="top"/>
          </w:tcPr>
          <w:p>
            <w:pPr>
              <w:spacing w:before="20" w:after="20"/>
            </w:pPr>
            <w:r>
              <w:rPr>
                <w:sz w:val="16"/>
                <w:szCs w:val="16"/>
              </w:rPr>
              <w:t>Date or edition of the controlling source.</w:t>
            </w:r>
          </w:p>
        </w:tc>
      </w:tr>
      <w:tr>
        <w:tc>
          <w:tcPr>
            <w:tcW w:type="dxa" w:w="3331"/>
            <w:vAlign w:val="top"/>
          </w:tcPr>
          <w:p>
            <w:pPr>
              <w:spacing w:before="20" w:after="20"/>
            </w:pPr>
            <w:r>
              <w:rPr>
                <w:sz w:val="16"/>
                <w:szCs w:val="16"/>
              </w:rPr>
              <w:t>VerificationMethod</w:t>
            </w:r>
          </w:p>
        </w:tc>
        <w:tc>
          <w:tcPr>
            <w:tcW w:type="dxa" w:w="3331"/>
            <w:vAlign w:val="top"/>
          </w:tcPr>
          <w:p>
            <w:pPr>
              <w:spacing w:before="20" w:after="20"/>
            </w:pPr>
            <w:r>
              <w:rPr>
                <w:sz w:val="16"/>
                <w:szCs w:val="16"/>
              </w:rPr>
              <w:t>Evidentiary</w:t>
            </w:r>
          </w:p>
        </w:tc>
        <w:tc>
          <w:tcPr>
            <w:tcW w:type="dxa" w:w="3332"/>
            <w:vAlign w:val="top"/>
          </w:tcPr>
          <w:p>
            <w:pPr>
              <w:spacing w:before="20" w:after="20"/>
            </w:pPr>
            <w:r>
              <w:rPr>
                <w:sz w:val="16"/>
                <w:szCs w:val="16"/>
              </w:rPr>
              <w:t>Method and scope used to verify the field.</w:t>
            </w:r>
          </w:p>
        </w:tc>
      </w:tr>
      <w:tr>
        <w:tc>
          <w:tcPr>
            <w:tcW w:type="dxa" w:w="3331"/>
            <w:vAlign w:val="top"/>
          </w:tcPr>
          <w:p>
            <w:pPr>
              <w:spacing w:before="20" w:after="20"/>
            </w:pPr>
            <w:r>
              <w:rPr>
                <w:sz w:val="16"/>
                <w:szCs w:val="16"/>
              </w:rPr>
              <w:t>VerificationAuthority</w:t>
            </w:r>
          </w:p>
        </w:tc>
        <w:tc>
          <w:tcPr>
            <w:tcW w:type="dxa" w:w="3331"/>
            <w:vAlign w:val="top"/>
          </w:tcPr>
          <w:p>
            <w:pPr>
              <w:spacing w:before="20" w:after="20"/>
            </w:pPr>
            <w:r>
              <w:rPr>
                <w:sz w:val="16"/>
                <w:szCs w:val="16"/>
              </w:rPr>
              <w:t>Evidentiary</w:t>
            </w:r>
          </w:p>
        </w:tc>
        <w:tc>
          <w:tcPr>
            <w:tcW w:type="dxa" w:w="3332"/>
            <w:vAlign w:val="top"/>
          </w:tcPr>
          <w:p>
            <w:pPr>
              <w:spacing w:before="20" w:after="20"/>
            </w:pPr>
            <w:r>
              <w:rPr>
                <w:sz w:val="16"/>
                <w:szCs w:val="16"/>
              </w:rPr>
              <w:t>Responsible verifying function or authority.</w:t>
            </w:r>
          </w:p>
        </w:tc>
      </w:tr>
      <w:tr>
        <w:tc>
          <w:tcPr>
            <w:tcW w:type="dxa" w:w="3331"/>
            <w:vAlign w:val="top"/>
          </w:tcPr>
          <w:p>
            <w:pPr>
              <w:spacing w:before="20" w:after="20"/>
            </w:pPr>
            <w:r>
              <w:rPr>
                <w:sz w:val="16"/>
                <w:szCs w:val="16"/>
              </w:rPr>
              <w:t>VerificationLimitation</w:t>
            </w:r>
          </w:p>
        </w:tc>
        <w:tc>
          <w:tcPr>
            <w:tcW w:type="dxa" w:w="3331"/>
            <w:vAlign w:val="top"/>
          </w:tcPr>
          <w:p>
            <w:pPr>
              <w:spacing w:before="20" w:after="20"/>
            </w:pPr>
            <w:r>
              <w:rPr>
                <w:sz w:val="16"/>
                <w:szCs w:val="16"/>
              </w:rPr>
              <w:t>Evidentiary</w:t>
            </w:r>
          </w:p>
        </w:tc>
        <w:tc>
          <w:tcPr>
            <w:tcW w:type="dxa" w:w="3332"/>
            <w:vAlign w:val="top"/>
          </w:tcPr>
          <w:p>
            <w:pPr>
              <w:spacing w:before="20" w:after="20"/>
            </w:pPr>
            <w:r>
              <w:rPr>
                <w:sz w:val="16"/>
                <w:szCs w:val="16"/>
              </w:rPr>
              <w:t>Material uncertainty or limitation, if any.</w:t>
            </w:r>
          </w:p>
        </w:tc>
      </w:tr>
      <w:tr>
        <w:tc>
          <w:tcPr>
            <w:tcW w:type="dxa" w:w="3331"/>
            <w:vAlign w:val="top"/>
          </w:tcPr>
          <w:p>
            <w:pPr>
              <w:spacing w:before="20" w:after="20"/>
            </w:pPr>
            <w:r>
              <w:rPr>
                <w:sz w:val="16"/>
                <w:szCs w:val="16"/>
              </w:rPr>
              <w:t>FieldProvenanceReference</w:t>
            </w:r>
          </w:p>
        </w:tc>
        <w:tc>
          <w:tcPr>
            <w:tcW w:type="dxa" w:w="3331"/>
            <w:vAlign w:val="top"/>
          </w:tcPr>
          <w:p>
            <w:pPr>
              <w:spacing w:before="20" w:after="20"/>
            </w:pPr>
            <w:r>
              <w:rPr>
                <w:sz w:val="16"/>
                <w:szCs w:val="16"/>
              </w:rPr>
              <w:t>Evidentiary link</w:t>
            </w:r>
          </w:p>
        </w:tc>
        <w:tc>
          <w:tcPr>
            <w:tcW w:type="dxa" w:w="3332"/>
            <w:vAlign w:val="top"/>
          </w:tcPr>
          <w:p>
            <w:pPr>
              <w:spacing w:before="20" w:after="20"/>
            </w:pPr>
            <w:r>
              <w:rPr>
                <w:sz w:val="16"/>
                <w:szCs w:val="16"/>
              </w:rPr>
              <w:t>Reference to normalized field-level source, source date, and provenance record for each material datum.</w:t>
            </w:r>
          </w:p>
        </w:tc>
      </w:tr>
      <w:tr>
        <w:tc>
          <w:tcPr>
            <w:tcW w:type="dxa" w:w="3331"/>
            <w:vAlign w:val="top"/>
          </w:tcPr>
          <w:p>
            <w:pPr>
              <w:spacing w:before="20" w:after="20"/>
            </w:pPr>
            <w:r>
              <w:rPr>
                <w:sz w:val="16"/>
                <w:szCs w:val="16"/>
              </w:rPr>
              <w:t>FieldVerificationReference</w:t>
            </w:r>
          </w:p>
        </w:tc>
        <w:tc>
          <w:tcPr>
            <w:tcW w:type="dxa" w:w="3331"/>
            <w:vAlign w:val="top"/>
          </w:tcPr>
          <w:p>
            <w:pPr>
              <w:spacing w:before="20" w:after="20"/>
            </w:pPr>
            <w:r>
              <w:rPr>
                <w:sz w:val="16"/>
                <w:szCs w:val="16"/>
              </w:rPr>
              <w:t>Field-status link</w:t>
            </w:r>
          </w:p>
        </w:tc>
        <w:tc>
          <w:tcPr>
            <w:tcW w:type="dxa" w:w="3332"/>
            <w:vAlign w:val="top"/>
          </w:tcPr>
          <w:p>
            <w:pPr>
              <w:spacing w:before="20" w:after="20"/>
            </w:pPr>
            <w:r>
              <w:rPr>
                <w:sz w:val="16"/>
                <w:szCs w:val="16"/>
              </w:rPr>
              <w:t>Reference to normalized field-level verification state, method, authority, and limitation for each material datum.</w:t>
            </w:r>
          </w:p>
        </w:tc>
      </w:tr>
      <w:tr>
        <w:tc>
          <w:tcPr>
            <w:tcW w:type="dxa" w:w="3331"/>
            <w:vAlign w:val="top"/>
          </w:tcPr>
          <w:p>
            <w:pPr>
              <w:spacing w:before="20" w:after="20"/>
            </w:pPr>
            <w:r>
              <w:rPr>
                <w:sz w:val="16"/>
                <w:szCs w:val="16"/>
              </w:rPr>
              <w:t>ValidFrom</w:t>
            </w:r>
          </w:p>
        </w:tc>
        <w:tc>
          <w:tcPr>
            <w:tcW w:type="dxa" w:w="3331"/>
            <w:vAlign w:val="top"/>
          </w:tcPr>
          <w:p>
            <w:pPr>
              <w:spacing w:before="20" w:after="20"/>
            </w:pPr>
            <w:r>
              <w:rPr>
                <w:sz w:val="16"/>
                <w:szCs w:val="16"/>
              </w:rPr>
              <w:t>Administrative temporal</w:t>
            </w:r>
          </w:p>
        </w:tc>
        <w:tc>
          <w:tcPr>
            <w:tcW w:type="dxa" w:w="3332"/>
            <w:vAlign w:val="top"/>
          </w:tcPr>
          <w:p>
            <w:pPr>
              <w:spacing w:before="20" w:after="20"/>
            </w:pPr>
            <w:r>
              <w:rPr>
                <w:sz w:val="16"/>
                <w:szCs w:val="16"/>
              </w:rPr>
              <w:t>Beginning of the record version validity interval.</w:t>
            </w:r>
          </w:p>
        </w:tc>
      </w:tr>
      <w:tr>
        <w:tc>
          <w:tcPr>
            <w:tcW w:type="dxa" w:w="3331"/>
            <w:vAlign w:val="top"/>
          </w:tcPr>
          <w:p>
            <w:pPr>
              <w:spacing w:before="20" w:after="20"/>
            </w:pPr>
            <w:r>
              <w:rPr>
                <w:sz w:val="16"/>
                <w:szCs w:val="16"/>
              </w:rPr>
              <w:t>ValidTo</w:t>
            </w:r>
          </w:p>
        </w:tc>
        <w:tc>
          <w:tcPr>
            <w:tcW w:type="dxa" w:w="3331"/>
            <w:vAlign w:val="top"/>
          </w:tcPr>
          <w:p>
            <w:pPr>
              <w:spacing w:before="20" w:after="20"/>
            </w:pPr>
            <w:r>
              <w:rPr>
                <w:sz w:val="16"/>
                <w:szCs w:val="16"/>
              </w:rPr>
              <w:t>Administrative temporal</w:t>
            </w:r>
          </w:p>
        </w:tc>
        <w:tc>
          <w:tcPr>
            <w:tcW w:type="dxa" w:w="3332"/>
            <w:vAlign w:val="top"/>
          </w:tcPr>
          <w:p>
            <w:pPr>
              <w:spacing w:before="20" w:after="20"/>
            </w:pPr>
            <w:r>
              <w:rPr>
                <w:sz w:val="16"/>
                <w:szCs w:val="16"/>
              </w:rPr>
              <w:t>End of the interval, blank only for the current open-ended version.</w:t>
            </w:r>
          </w:p>
        </w:tc>
      </w:tr>
      <w:tr>
        <w:tc>
          <w:tcPr>
            <w:tcW w:type="dxa" w:w="3331"/>
            <w:vAlign w:val="top"/>
          </w:tcPr>
          <w:p>
            <w:pPr>
              <w:spacing w:before="20" w:after="20"/>
            </w:pPr>
            <w:r>
              <w:rPr>
                <w:sz w:val="16"/>
                <w:szCs w:val="16"/>
              </w:rPr>
              <w:t>ChangeReason</w:t>
            </w:r>
          </w:p>
        </w:tc>
        <w:tc>
          <w:tcPr>
            <w:tcW w:type="dxa" w:w="3331"/>
            <w:vAlign w:val="top"/>
          </w:tcPr>
          <w:p>
            <w:pPr>
              <w:spacing w:before="20" w:after="20"/>
            </w:pPr>
            <w:r>
              <w:rPr>
                <w:sz w:val="16"/>
                <w:szCs w:val="16"/>
              </w:rPr>
              <w:t>Administrative history</w:t>
            </w:r>
          </w:p>
        </w:tc>
        <w:tc>
          <w:tcPr>
            <w:tcW w:type="dxa" w:w="3332"/>
            <w:vAlign w:val="top"/>
          </w:tcPr>
          <w:p>
            <w:pPr>
              <w:spacing w:before="20" w:after="20"/>
            </w:pPr>
            <w:r>
              <w:rPr>
                <w:sz w:val="16"/>
                <w:szCs w:val="16"/>
              </w:rPr>
              <w:t>Reason for correction, supersession, or status change.</w:t>
            </w:r>
          </w:p>
        </w:tc>
      </w:tr>
      <w:tr>
        <w:tc>
          <w:tcPr>
            <w:tcW w:type="dxa" w:w="3331"/>
            <w:vAlign w:val="top"/>
          </w:tcPr>
          <w:p>
            <w:pPr>
              <w:spacing w:before="20" w:after="20"/>
            </w:pPr>
            <w:r>
              <w:rPr>
                <w:sz w:val="16"/>
                <w:szCs w:val="16"/>
              </w:rPr>
              <w:t>ConcordanceReference</w:t>
            </w:r>
          </w:p>
        </w:tc>
        <w:tc>
          <w:tcPr>
            <w:tcW w:type="dxa" w:w="3331"/>
            <w:vAlign w:val="top"/>
          </w:tcPr>
          <w:p>
            <w:pPr>
              <w:spacing w:before="20" w:after="20"/>
            </w:pPr>
            <w:r>
              <w:rPr>
                <w:sz w:val="16"/>
                <w:szCs w:val="16"/>
              </w:rPr>
              <w:t>Navigational / evidentiary</w:t>
            </w:r>
          </w:p>
        </w:tc>
        <w:tc>
          <w:tcPr>
            <w:tcW w:type="dxa" w:w="3332"/>
            <w:vAlign w:val="top"/>
          </w:tcPr>
          <w:p>
            <w:pPr>
              <w:spacing w:before="20" w:after="20"/>
            </w:pPr>
            <w:r>
              <w:rPr>
                <w:sz w:val="16"/>
                <w:szCs w:val="16"/>
              </w:rPr>
              <w:t>Chapter 3 mapping where nomenclature continuity applies.</w:t>
            </w:r>
          </w:p>
        </w:tc>
      </w:tr>
    </w:tbl>
    <w:p>
      <w:pPr/>
      <w:r>
        <w:t xml:space="preserve">Product-specific Annex C sensitivity and transition entries remain controlled adoption decisions; source-supported fields retain their provenance, and no tariff rate, date, designation, or dependency is inferred merely to complete the schedule.</w:t>
      </w:r>
    </w:p>
    <w:p>
      <w:pPr>
        <w:pStyle w:val="Heading1"/>
      </w:pPr>
      <w:bookmarkStart w:id="1704" w:name="NAATOC_0139"/>
      <w:bookmarkStart w:id="1139" w:name="toc_Annex_D___Managed_Access_Vesti"/>
      <w:r>
        <w:t>Annex D - Managed-Access Vesting and Displacement Schedule</w:t>
      </w:r>
      <w:bookmarkEnd w:id="1139"/>
      <w:bookmarkEnd w:id="1704"/>
    </w:p>
    <w:p>
      <w:pPr/>
      <w:r>
        <w:t xml:space="preserve">This Annex implements the managed-access schedule functions assigned by Chapters 6 and 7. Product-specific population remains controlled and unresolved operative fields remain Provisional Pending Verification rather than inferred.</w:t>
      </w:r>
    </w:p>
    <w:p>
      <w:pPr>
        <w:pStyle w:val="Heading2"/>
      </w:pPr>
      <w:bookmarkStart w:id="1705" w:name="NAATOC_0140"/>
      <w:bookmarkStart w:id="1140" w:name="toc_Article_D_1___Purpose__Scope_a"/>
      <w:r>
        <w:t xml:space="preserve">Article D.1 - Purpose, Scope, and Legal Character</w:t>
      </w:r>
      <w:bookmarkEnd w:id="1140"/>
      <w:bookmarkEnd w:id="1705"/>
    </w:p>
    <w:p>
      <w:pPr/>
      <w:r>
        <w:t>D.1.1 Annex D records and administers managed-access arrangements and the progressive contraction of Managed-Access Fields for qualifying originating Covered Agricultural Goods under Chapters 6 and 7. Its legal effect derives from the operative Compact provisions and valid product-specific schedule entries that it implements. Annex D does not independently create a tariff-rate quota, market-access right, sensitive-sector designation, origin rule, sanitary or phytosanitary measure, safeguard, remedy, or amendment power. A database entry, administrative practice, publication act, or institutional convenience does not enlarge the authority assigned to this Annex.</w:t>
      </w:r>
    </w:p>
    <w:p>
      <w:pPr/>
      <w:r>
        <w:t>D.1.2 The terms Managed-Access Field, Vesting Tranche, TRQ Displacement, Full-Vesting Confirmation, Administrative Retirement, Within-Access Quantity, and Over-Access Treatment have the meanings assigned by Chapter 2 and Chapter 7. Annex D uses those meanings by cross-reference and does not create competing formulations. An Access Period is the objectively determinable quota year or other temporal unit used to administer allocation, utilization, return, and reallocation. A Vesting Event is the legally operative event that converts an identified Vesting Tranche into permanently vested covered access.</w:t>
      </w:r>
    </w:p>
    <w:p>
      <w:pPr/>
      <w:r>
        <w:t>D.1.3 Annex D owns managed-access quantity, allocation architecture, utilization administration, reallocation, displacement, vesting, residual-field measurement, and Full-Vesting records. Annex B owns tariff truth, Annex C owns sensitive-sector tariff transition, Annex E owns synchronized activation, Annex F owns durable Zero-Line Status, and Chapter 10 with Annex G owns origin. Annex D references those instruments where necessary and does not duplicate or decide their assigned legal questions. Cross-Annex navigation does not merge legal functions or create authority by implication.</w:t>
      </w:r>
    </w:p>
    <w:p>
      <w:pPr/>
      <w:r>
        <w:t>D.1.4 Annex D applies only to Covered Agricultural Goods and Party relationships for which the Compact is legally operative and only to qualifying originating trade where origin is required. It does not create a customs union, common external tariff, common agricultural policy, or restriction on a Party's treatment of non-Parties. Party-specific managed-access records do not bind another Party absent an express trilateral rule or valid synchronized arrangement. Administration under this Annex remains subject to the Compact's equality, transparency, institutional-restraint, and anti-substitution disciplines.</w:t>
      </w:r>
    </w:p>
    <w:p>
      <w:pPr>
        <w:pStyle w:val="Heading2"/>
      </w:pPr>
      <w:bookmarkStart w:id="1706" w:name="NAATOC_0141"/>
      <w:bookmarkStart w:id="1141" w:name="toc_Article_D_2___Managed_Access_R"/>
      <w:r>
        <w:t>Article D.2 - Managed-Access Record Architecture</w:t>
      </w:r>
      <w:bookmarkEnd w:id="1141"/>
      <w:bookmarkEnd w:id="1706"/>
    </w:p>
    <w:p>
      <w:pPr/>
      <w:r>
        <w:t>D.2.1 Each managed-access arrangement receives a persistent ManagedAccessRecordID linked to the applicable Annex A ProductRecordID. Each Vesting Tranche receives a persistent VestingTrancheID, and each temporal stage or legally distinct administrative state receives a persistent StageRecordID where needed for deterministic administration. RecordVersionID, ValidFrom, and ValidTo preserve every legally relevant state without reassigning a retired identifier. Product splits, mergers, concordances, nomenclature revisions, and administrative reorganizations preserve continuity through documented successor relationships rather than creating new substantive rights or restrictions.</w:t>
      </w:r>
    </w:p>
    <w:p>
      <w:pPr/>
      <w:r>
        <w:t>D.2.2 Each record links to the applicable Annex B TariffScheduleRecordID and, where relevant, the Annex C SensitiveTransitionRecordID, Annex E SynchronizationRecordID, and Annex F status record. Cross-links use the same ProductRecordID unless a documented concordance or successor relationship explains the difference. A dependency trace identifies the legal source and nature of the relationship but does not decide whether a separate legal condition has occurred. Cross-Annex reconciliation repairs navigation and data consistency without authorizing substantive change.</w:t>
      </w:r>
    </w:p>
    <w:p>
      <w:pPr/>
      <w:r>
        <w:t>D.2.3 Every controlled field receives a governance class of operative, evidentiary, administrative, derived, navigational, or field-status. Each material operative field carries a FieldProvenanceReference and FieldVerificationReference sufficient to identify source, source date, responsible authority, verification method, scope, status, and material limitations. Record-level verification status is derived from field-level statuses and does not override a more specific unresolved field. A blank, missing, or unresolved material field receives no default value and receives Provisional Pending Verification Field Verification Status rather than being completed by inference.</w:t>
      </w:r>
    </w:p>
    <w:p>
      <w:pPr/>
      <w:r>
        <w:t>D.2.4 Legally material changes create append-only record versions that preserve the prior value, corrected value, reason, authority, and effective date. Administrative metadata maintenance does not alter operative legal effect. Schema changes publish controlled field definitions, permitted values, data types, units, and validation rules but do not create substantive obligations or reporting burdens without independent authority. Orphaned, disputed, superseded, and pending records remain traceable and receive no legal effect beyond the last valid controlled state supported by the Compact.</w:t>
      </w:r>
    </w:p>
    <w:p>
      <w:pPr>
        <w:pStyle w:val="Heading2"/>
      </w:pPr>
      <w:bookmarkStart w:id="1707" w:name="NAATOC_0142"/>
      <w:bookmarkStart w:id="1142" w:name="toc_Article_D_3___Establishment_an"/>
      <w:r>
        <w:t>Article D.3 - Establishment and Starting State</w:t>
      </w:r>
      <w:bookmarkEnd w:id="1142"/>
      <w:bookmarkEnd w:id="1707"/>
    </w:p>
    <w:p>
      <w:pPr/>
      <w:r>
        <w:t>D.3.1 Every Annex D entry traces to an operative Chapter 6 or Chapter 7 provision, an initial schedule entry, or another express legal act authorized by the Compact. The record identifies the legal basis, affected Party or Parties, ProductRecordID, Managed-Access Field, commencement event, and objective product scope. A managed-access restriction is not created by silence, administrative practice, domestic law alone, political statement, negotiation history, or a database field. A later substantive addition or enlargement follows the amendment and synchronization procedures assigned elsewhere in the Compact.</w:t>
      </w:r>
    </w:p>
    <w:p>
      <w:pPr/>
      <w:r>
        <w:t>D.3.2 The starting state records the legally controlling Managed-Access Field at the applicable commencement event, including the baseline quantity or share, measurement unit, allocation mechanism, eligibility basis, Access Period, and applicable Annex B over-access treatment reference. A temporary suspension, waiver, safeguard, emergency measure, or discretionary relief does not become the permanent starting state merely because it operates on the commencement date. The underlying legal state and any temporary overlay remain separately recorded. Historical traceability survives every later displacement, correction, and Full-Vesting event.</w:t>
      </w:r>
    </w:p>
    <w:p>
      <w:pPr/>
      <w:r>
        <w:t>D.3.3 A commencement event is a fixed date, objective treaty fact, or other legally determinate occurrence identified by the controlling schedule. Once objectively satisfied, it is not tolled, postponed, restarted, or extinguished by domestic litigation, administrative delay, emergency declaration, ministerial inaction, verification delay, publication delay, or systems failure. Publication and verification record the event unless the Compact expressly assigns them constitutive effect. A missed administrative step therefore does not manufacture a new month-zero date.</w:t>
      </w:r>
    </w:p>
    <w:p>
      <w:pPr/>
      <w:r>
        <w:t>D.3.4 A disputed or incomplete starting state preserves competing evidence and identifies the last valid controlled legal state for interim administration. Correction follows the Chapter 3 correction tracks and does not authorize retroactive enlargement of the Managed-Access Field, reduction of vested access, or creation of a new transition clock. A zero treatment protected by Chapter 4 is not converted into a positive managed-access restriction merely because an Annex D record exists. Pending correction never supplies authority to impose a restriction that cannot otherwise be established.</w:t>
      </w:r>
    </w:p>
    <w:p>
      <w:pPr>
        <w:pStyle w:val="Heading2"/>
      </w:pPr>
      <w:bookmarkStart w:id="1708" w:name="NAATOC_0143"/>
      <w:bookmarkStart w:id="1143" w:name="toc_Article_D_4___Within_Access_Qu"/>
      <w:r>
        <w:t>Article D.4 - Within-Access Quantity and Access Measurement</w:t>
      </w:r>
      <w:bookmarkEnd w:id="1143"/>
      <w:bookmarkEnd w:id="1708"/>
    </w:p>
    <w:p>
      <w:pPr/>
      <w:r>
        <w:t>D.4.1 Each managed-access record identifies the Within-Access Quantity or share in the legally relevant unit of measure for the applicable Party, ProductRecordID, Managed-Access Field, and Access Period. Seasonal or periodic variations use objective temporal boundaries, and non-homogeneous structures identify the measurement method needed to administer the legal quantity. Quantity measurement remains distinct from allocation, utilization, tariff treatment, and vesting status. The published representation is commercially intelligible and machine-readable without changing the legal unit or quantity.</w:t>
      </w:r>
    </w:p>
    <w:p>
      <w:pPr/>
      <w:r>
        <w:t>D.4.2 A unit conversion identifies its method, source, effective version, and legally relevant rounding rule. Conversion is evidentiary or administrative unless the controlling legal instrument assigns it operative effect. A conversion does not increase or reduce the substantive quantity represented by the source record. Where conversion uncertainty could affect legal treatment, the affected field receives Provisional Pending Verification Field Verification Status and the source expression is preserved.</w:t>
      </w:r>
    </w:p>
    <w:p>
      <w:pPr/>
      <w:r>
        <w:t>D.4.3 Administrative correction, HS revision, product split, merger, reclassification, seasonal manipulation, or database maintenance does not silently increase or reduce the legally controlling Within-Access Quantity. The ProductRecordID and concordance machinery preserve continuity through technical changes. A quantity correction follows Chapter 3 and does not retroactively expand or contract access already vested by a legally operative event. Competing quantity assertions remain auditable until resolved through the assigned process.</w:t>
      </w:r>
    </w:p>
    <w:p>
      <w:pPr/>
      <w:r>
        <w:t>D.4.4 Annex D records the Within-Access Quantity separately from the Annex B tariff treatment applicable within and beyond that quantity. It cross-references any Chapter 6 transition and any Chapter 8 synchronization condition without importing their legal functions. Measurement does not become an unstated condition precedent to a Vesting Event that has otherwise become operative. Chapter 16 review applies where quantity administration is used to substitute a commercially restrictive device for access required by the Compact.</w:t>
      </w:r>
    </w:p>
    <w:p>
      <w:pPr>
        <w:pStyle w:val="Heading2"/>
      </w:pPr>
      <w:bookmarkStart w:id="1709" w:name="NAATOC_0144"/>
      <w:bookmarkStart w:id="1144" w:name="toc_Article_D_5___Allocation_and_E"/>
      <w:r>
        <w:t>Article D.5 - Allocation and Eligibility Administration</w:t>
      </w:r>
      <w:bookmarkEnd w:id="1144"/>
      <w:bookmarkEnd w:id="1709"/>
    </w:p>
    <w:p>
      <w:pPr/>
      <w:r>
        <w:t>D.5.1 Allocation and eligibility criteria applicable while a residual Managed-Access Field exists are published, objectively administrable, and capable of consistent application. They remain reasonably connected to legitimate administration of the managed-access arrangement and do not discriminate among eligible traders in materially comparable circumstances. Nationality, corporate size, political influence, or historic trade volume alone does not supply an arbitrary basis for exclusion. Administration remains proportionate to the perishability, commercial timing, and practical trading conditions of the goods concerned.</w:t>
      </w:r>
    </w:p>
    <w:p>
      <w:pPr/>
      <w:r>
        <w:t>D.5.2 Allocation methods do not create artificial scarcity, strategic under-allocation, impossible eligibility conditions, unusable application windows, delayed permits, discriminatory documentation, or comparable barriers that recreate displaced protection. A Party does not favor domestic goods or domestic traders through managed-access administration except where an objective rule independently authorized by the Compact requires a distinction. Procedures remain accessible to small and medium-sized traders without unnecessary burdens. Chapter 12 and Chapter 16 retain their assigned commercial-usability and anti-substitution functions.</w:t>
      </w:r>
    </w:p>
    <w:p>
      <w:pPr/>
      <w:r>
        <w:t>D.5.3 A materially adverse allocation decision identifies the responsible authority, decision date, applicable criteria, quantity affected, and sufficient reasons to permit review through the assigned administrative route. Decision clocks reflect the perishability and commercial timing of the covered goods. Allocation records remain available for audit subject to confidentiality and data-protection rules. Review of one allocation decision does not suspend unrelated Vesting Events, reduce cumulative vested access, or enlarge the residual Managed-Access Field.</w:t>
      </w:r>
    </w:p>
    <w:p>
      <w:pPr/>
      <w:r>
        <w:t>D.5.4 Allocation machinery administers only the portion of the Managed-Access Field that remains legally undisplaced. It does not impose allocation requirements on vested access or preserve obsolete authority after the corresponding restriction has been displaced. A failure to update permits, forms, software, or domestic rules does not restore displaced allocation power. Chapter 25 supplies cure where obsolete or obstructive administration interferes with legally required access.</w:t>
      </w:r>
    </w:p>
    <w:p>
      <w:pPr>
        <w:pStyle w:val="Heading2"/>
      </w:pPr>
      <w:bookmarkStart w:id="1710" w:name="NAATOC_0145"/>
      <w:bookmarkStart w:id="1145" w:name="toc_Article_D_6___Utilization__Ret"/>
      <w:r>
        <w:t xml:space="preserve">Article D.6 - Utilization, Return, and Reallocation</w:t>
      </w:r>
      <w:bookmarkEnd w:id="1145"/>
      <w:bookmarkEnd w:id="1710"/>
    </w:p>
    <w:p>
      <w:pPr/>
      <w:r>
        <w:t>D.6.1 Utilization means actual use of allocated access by eligible traders and is measured against the relevant allocated quantity using a published denominator and Access Period. Utilization is an administrative and evidentiary metric distinct from the underlying legal entitlement. Low utilization does not automatically extinguish access, reduce future legal entitlement, establish lack of demand, or postpone a Vesting Event. Context disclosure distinguishes genuine demand conditions from administrative non-usability, timing constraints, allocation design, and other material causes.</w:t>
      </w:r>
    </w:p>
    <w:p>
      <w:pPr/>
      <w:r>
        <w:t>D.6.2 Returned Quantity records access affirmatively returned by an allocation holder before the applicable return deadline, including quantity, date, holder reference, and Access Period. Returned and otherwise lawfully reallocable quantities return to the applicable pool while a residual Managed-Access Field continues to require allocation. Return deadlines and procedures are published, accessible, and commercially reasonable. A returned quantity does not become permanently lost merely because the original allocation holder did not use it.</w:t>
      </w:r>
    </w:p>
    <w:p>
      <w:pPr/>
      <w:r>
        <w:t>D.6.3 Reallocation occurs under published, non-discriminatory, objectively administered rules on a timetable that preserves commercially meaningful use by willing eligible traders. Reallocation criteria do not create artificial scarcity or add eligibility barriers not authorized by the controlling arrangement. Administrative failure to allocate or reallocate does not extinguish the underlying access entitlement. Unused access remains distinguishable from displaced access and from vested access in the controlled record.</w:t>
      </w:r>
    </w:p>
    <w:p>
      <w:pPr/>
      <w:r>
        <w:t>D.6.4 Annex D records allocated, returned, reallocated, utilized, and unused quantities with field-level provenance and verification sufficient to reconstruct the Access Period. Utilization data supports monitoring, correction, and commercial-usability analysis rather than punishment of legitimate traders. Chapter 17 governs verification and denominator discipline, Chapter 22 governs publication and provenance, and Chapter 25 supplies cure for inconsistent administration. Data-quality problems do not become an unstated condition for vesting already made operative by the schedule.</w:t>
      </w:r>
    </w:p>
    <w:p>
      <w:pPr>
        <w:pStyle w:val="Heading2"/>
      </w:pPr>
      <w:bookmarkStart w:id="1711" w:name="NAATOC_0146"/>
      <w:bookmarkStart w:id="1146" w:name="toc_Article_D_7___Displacement_Tra"/>
      <w:r>
        <w:t>Article D.7 - Displacement Tranches and Residual-Field Contraction</w:t>
      </w:r>
      <w:bookmarkEnd w:id="1146"/>
      <w:bookmarkEnd w:id="1711"/>
    </w:p>
    <w:p>
      <w:pPr/>
      <w:r>
        <w:t>D.7.1 Each Vesting Tranche receives a persistent VestingTrancheID, an objectively measurable quantity or share, a linked ManagedAccessRecordID and ProductRecordID, and a legally determinate Vesting Event. The complete tranche set accounts for the original Managed-Access Field without overlap, duplication, or unexplained residual quantity. Annex D records the measurement geometry where a field cannot be represented by one homogeneous numerical quantity. Tranche construction does not enlarge the original restrictive field or convert ordinary Chapter 6 tariff treatment into Chapter 7 subject matter.</w:t>
      </w:r>
    </w:p>
    <w:p>
      <w:pPr/>
      <w:r>
        <w:t>D.7.2 When a Vesting Event occurs, the identified tranche becomes displaced from the Managed-Access Field and cumulative vested access increases by the corresponding amount or share. The residual Managed-Access Field contracts at the same legal moment. Completed displacement accumulates across successive tranches and is measured from the already vested state rather than repeatedly from the original baseline. Administrative calculation confirms the resulting state and does not create or postpone it.</w:t>
      </w:r>
    </w:p>
    <w:p>
      <w:pPr/>
      <w:r>
        <w:t>D.7.3 The residual Managed-Access Field never regenerates through obsolete allocation machinery, changed eligibility rules, fees, charges, product reclassification, seasonal manipulation, HS revision, nomenclature maintenance, split, merger, or administrative reorganization. A displaced restriction is legally unavailable even where domestic legislation, databases, forms, or historical schedules continue to display it. Administrative retirement follows legal displacement and does not cause displacement. Failure to retire obsolete machinery does not preserve authority to apply it.</w:t>
      </w:r>
    </w:p>
    <w:p>
      <w:pPr/>
      <w:r>
        <w:t>D.7.4 No new tariff-rate quota, managed-access eligibility barrier, equivalent charge, or comparable restrictive device replaces a displaced portion of the Managed-Access Field. Component records are administered together where isolation would conceal a surviving restriction. Chapter 16 applies to functional substitution and Chapter 25 supplies cure where obsolete or replacement administration interferes with vested access. A historical TRQ label has no independent legal effect once the substantive field to which it referred has been displaced.</w:t>
      </w:r>
    </w:p>
    <w:p>
      <w:pPr>
        <w:pStyle w:val="Heading2"/>
      </w:pPr>
      <w:bookmarkStart w:id="1712" w:name="NAATOC_0147"/>
      <w:bookmarkStart w:id="1147" w:name="toc_Article_D_8___Vesting_Events_a"/>
      <w:r>
        <w:t>Article D.8 - Vesting Events and Vested Market-Access Rights</w:t>
      </w:r>
      <w:bookmarkEnd w:id="1147"/>
      <w:bookmarkEnd w:id="1712"/>
    </w:p>
    <w:p>
      <w:pPr/>
      <w:r>
        <w:t>D.8.1 Each Vesting Event becomes legally operative automatically when its governing conditions are satisfied. It does not await verification, committee action, publication, permit-system retirement, registry entry, or administrative confirmation unless the Compact expressly makes one of those acts constitutive. The corresponding Vested Market-Access Right attaches to the covered trade rather than to a particular trader, shipment, permit holder, or allocation recipient. Chapter 17 measures implementation without becoming an unstated condition precedent.</w:t>
      </w:r>
    </w:p>
    <w:p>
      <w:pPr/>
      <w:r>
        <w:t>D.8.2 Vested Market-Access Rights are cumulative, permanent, and non-fading within the Compact's operative legal framework. Passage of time, incomplete review, unrelated dispute, administrative delay, political disagreement, nomenclature revision, or ordinary correction does not reduce a legally vested amount. Each completed tranche establishes the new legal floor for unrestricted covered access and the new maximum residual Managed-Access Field. A later stage proceeds from that vested floor and does not re-age the completed transition.</w:t>
      </w:r>
    </w:p>
    <w:p>
      <w:pPr/>
      <w:r>
        <w:t>D.8.3 Annex D maintains an append-only vesting ledger identifying every operative Vesting Event, newly vested amount, cumulative vested amount, residual field, controlling version, provenance, and verification state. The ledger preserves superseded states for audit without reviving their legal effect. A disputed entry identifies the last valid controlled state and the competing assertion rather than silently choosing a convenient value. The ledger records legal history and does not replace the operative schedule or create vesting independently.</w:t>
      </w:r>
    </w:p>
    <w:p>
      <w:pPr/>
      <w:r>
        <w:t>D.8.4 Temporary safeguards, emergency measures, or administrative holds do not extinguish an underlying Vested Market-Access Right. Their lawful effect is limited to the authority, scope, duration, and conditions supplied by the controlling Chapter. On cessation, administration returns to the underlying Chapter 7 state legally controlling at that time rather than to the state that existed before the overlay began. A temporary interruption therefore does not claw back, reset, or permanently re-age completed vesting.</w:t>
      </w:r>
    </w:p>
    <w:p>
      <w:pPr>
        <w:pStyle w:val="Heading2"/>
      </w:pPr>
      <w:bookmarkStart w:id="1713" w:name="NAATOC_0148"/>
      <w:bookmarkStart w:id="1148" w:name="toc_Article_D_9___Cross_Annex_Sync"/>
      <w:r>
        <w:t>Article D.9 - Cross-Annex Synchronization and Independent Axes</w:t>
      </w:r>
      <w:bookmarkEnd w:id="1148"/>
      <w:bookmarkEnd w:id="1713"/>
    </w:p>
    <w:p>
      <w:pPr/>
      <w:r>
        <w:t>D.9.1 Where the same ProductRecordID is governed by Annex C and Annex D, the tariff-transition axis and managed-access vesting axis remain separate legal objects. Each record cross-links the other for navigation, chronology, and any expressly authorized dependency. Completion of one axis does not falsely certify completion of the other. Where both restrictions apply, complete border liberalization requires the relevant legal completion of both without merging their ownership or verification functions.</w:t>
      </w:r>
    </w:p>
    <w:p>
      <w:pPr/>
      <w:r>
        <w:t>D.9.2 Annex E exclusively determines whether an express Chapter 8 synchronization condition, Material Performance requirement, tolerance, or activation event has been satisfied. Annex D records the SynchronizationRecordID and reads the legally controlling Annex E status. It does not independently create a synchronization condition, tolerance, activation determination, or hold. Silence in Annex E creates no implied waiting condition for a D Vesting Event.</w:t>
      </w:r>
    </w:p>
    <w:p>
      <w:pPr/>
      <w:r>
        <w:t>D.9.3 A synchronized Vesting Event records the legally determinate Annex E activation event and its resulting D consequence. Non-performance consequences remain limited to those assigned by Chapter 8 and do not reverse completed vesting or enlarge a field already contracted by law. Catch-up and re-synchronization preserve the original commencement clock and legally vested floor. A missed or delayed reciprocal event does not create a new month-zero date unless the Compact expressly provides otherwise.</w:t>
      </w:r>
    </w:p>
    <w:p>
      <w:pPr/>
      <w:r>
        <w:t>D.9.4 Non-agreement on a proposed acceleration, extension, synchronization change, or other prospective modification leaves the controlling Annex D trajectory in force. Consultation, negotiation, technical review, or dispute over the proposal creates no interim suspension. Withholding consent to a discretionary future change remains distinct from compliance with existing obligations. Independently unlawful conduct remains reviewable without manufacturing consent to an unagreed prospective change.</w:t>
      </w:r>
    </w:p>
    <w:p>
      <w:pPr>
        <w:pStyle w:val="Heading2"/>
      </w:pPr>
      <w:bookmarkStart w:id="1714" w:name="NAATOC_0149"/>
      <w:bookmarkStart w:id="1149" w:name="toc_Article_D_10___Temporary_Measu"/>
      <w:r>
        <w:t xml:space="preserve">Article D.10 - Temporary Measures, Holds, and Restoration</w:t>
      </w:r>
      <w:bookmarkEnd w:id="1149"/>
      <w:bookmarkEnd w:id="1714"/>
    </w:p>
    <w:p>
      <w:pPr/>
      <w:r>
        <w:t>D.10.1 A temporary safeguard, emergency measure, verification hold, or other authorized temporary restriction is recorded as an overlay on the underlying managed-access state. The overlay identifies its legal authority, product and transaction scope, start date, termination condition, and restoration trigger. It does not mutate the underlying Managed-Access Field, create a new designation, or become a new baseline. The permanent record continues to show the vesting trajectory that exists beneath the temporary measure.</w:t>
      </w:r>
    </w:p>
    <w:p>
      <w:pPr/>
      <w:r>
        <w:t>D.10.2 Underlying vesting continues during a temporary overlay unless the authorizing Chapter expressly and narrowly provides otherwise. An overlay does not postpone a Vesting Event, reset the commencement clock, enlarge the residual Managed-Access Field, or create a new transition track by administrative implication. A stage that becomes legally operative during the overlay remains part of the underlying state. Verification or administrative delay associated with the overlay does not acquire independent tolling effect.</w:t>
      </w:r>
    </w:p>
    <w:p>
      <w:pPr/>
      <w:r>
        <w:t>D.10.3 Restoration occurs automatically upon satisfaction of the controlling termination condition or restoration trigger. Administration returns to the underlying state legally controlling on the restoration date, including any vesting that became operative while the overlay existed. Restoration does not require a new Vesting Event, new baseline determination, or discretionary grant of access. A pre-overlay restrictive state is not revived merely because it was the last state actually administered before the temporary measure.</w:t>
      </w:r>
    </w:p>
    <w:p>
      <w:pPr/>
      <w:r>
        <w:t>D.10.4 Temporary-measure records remain historically traceable after termination and identify any implementation defect, cure, or dispute reference. Historical preservation does not convert the overlay into a continuing source of authority. Chapter 19, Chapter 20, and other expressly applicable provisions retain ownership of the substantive temporary authority, while Annex D records its interaction with managed access. Chapter 25 supplies cure where administration fails to restore the legally controlling state.</w:t>
      </w:r>
    </w:p>
    <w:p>
      <w:pPr>
        <w:pStyle w:val="Heading2"/>
      </w:pPr>
      <w:bookmarkStart w:id="1715" w:name="NAATOC_0150"/>
      <w:bookmarkStart w:id="1150" w:name="toc_Article_D_11___Full_Vesting__C"/>
      <w:r>
        <w:t xml:space="preserve">Article D.11 - Full-Vesting, Completion, and Non-Revival</w:t>
      </w:r>
      <w:bookmarkEnd w:id="1150"/>
      <w:bookmarkEnd w:id="1715"/>
    </w:p>
    <w:p>
      <w:pPr/>
      <w:r>
        <w:t>D.11.1 Full-Vesting State occurs automatically when every required Vesting Tranche for the applicable Managed-Access Field has become legally operative and the residual field equals zero. It depends on substantive completion rather than expiration of a TRQ label, verification completion, committee vote, publication, registry entry, or administrative retirement. No covered qualifying originating trade within the completed field remains subject to the displaced managed-access restriction. A historical reference remains available solely for provenance, audit, and reconstruction.</w:t>
      </w:r>
    </w:p>
    <w:p>
      <w:pPr/>
      <w:r>
        <w:t>D.11.2 Full-Vesting Confirmation records a Full-Vesting State that already exists and does not create that state. Annex D identifies the responsible recording authority, confirmation date, supporting tranche set, and resulting residual-field value. Delay, omission, or disagreement in issuing confirmation does not postpone, diminish, or reverse Full-Vesting State. Correction conforms the confirmation record to the substantive legal state rather than reopening completed vesting.</w:t>
      </w:r>
    </w:p>
    <w:p>
      <w:pPr/>
      <w:r>
        <w:t>D.11.3 Full-Vesting State remains distinct from Annex F Zero-Line Status. The D record establishes completed displacement of managed-access restrictions, while Annex F records the durable ordinary-duty end state assigned to Chapter 9. Completion in one record does not falsely certify completion in the other. Machine-readable cross-links permit integrated administration while preserving the separate legal tests and completion events.</w:t>
      </w:r>
    </w:p>
    <w:p>
      <w:pPr/>
      <w:r>
        <w:t>D.11.4 Full-Vesting triggers Administrative Retirement of machinery whose only legal function depended on the displaced Managed-Access Field. Failure to retire obsolete machinery does not preserve authority, recreate an allocation requirement, or delay unrestricted covered treatment. Full-Vesting is not reversed by ordinary review, nomenclature revision, clerical correction, administrative inaction, or passage of time. A substantive future change requires the legal authority and amendment procedure independently assigned by the Compact and does not arise from record maintenance.</w:t>
      </w:r>
    </w:p>
    <w:p>
      <w:pPr>
        <w:pStyle w:val="Heading2"/>
      </w:pPr>
      <w:bookmarkStart w:id="1716" w:name="NAATOC_0151"/>
      <w:bookmarkStart w:id="1151" w:name="toc_Article_D_12___Verification__C"/>
      <w:r>
        <w:t xml:space="preserve">Article D.12 - Verification, Correction, Versioning, and Publication</w:t>
      </w:r>
      <w:bookmarkEnd w:id="1151"/>
      <w:bookmarkEnd w:id="1716"/>
    </w:p>
    <w:p>
      <w:pPr/>
      <w:r>
        <w:t>D.12.1 Each material operative field carries Field Verification Status using the Chapter 3 controlled values Officially Verified, Technically Verified, Provisional Pending Verification, Disputed, or Retired, with Not Applicable used only as an applicability marker. Derived Record Verification Status uses Verified, Provisional Pending Verification, or Disputed and follows the field-to-record derivation rule in Article 3.3.5 rather than overriding a more specific field status. Verification confirms implementation and evidence but does not create a Vesting Event, Full-Vesting State, or authority to enlarge a Managed-Access Field. Missing information receives no default value, and a disputed record preserves competing assertions and identifies the last valid controlled state for administration.</w:t>
      </w:r>
    </w:p>
    <w:p>
      <w:pPr/>
      <w:r>
        <w:t>D.12.2 Corrections follow the Chapter 3 tracks for metadata maintenance, clerical correction, technical amendment, and substantive amendment. Clerical correction does not change legal effect, and technical amendment preserves the substantive bargain. A substantive change follows Chapters 29 and 30 and any applicable Chapter 8 synchronization rule. Every correction preserves the prior value and records the reason, authority, effective date, provenance, and affected dependencies.</w:t>
      </w:r>
    </w:p>
    <w:p>
      <w:pPr/>
      <w:r>
        <w:t>D.12.3 Annex D is published in synchronized human-readable and machine-readable forms under Chapter 22. Each release identifies DatasetVersion, SchemaVersion, effective date, responsible authority, source manifest, record counts, superseded version, and material change history. Historical versions remain archived and retrievable without being presented as current law. Confidential business information is protected without concealing the operative legal quantities, criteria, or statuses that the Compact requires to be public.</w:t>
      </w:r>
    </w:p>
    <w:p>
      <w:pPr/>
      <w:r>
        <w:t>D.12.4 Population of Annex D follows controlled-source and no-inference discipline. A product-specific quantity, allocation rule, utilization datum, tranche, vesting event, dependency, or completion status is promoted only when its controlling authority and required verification are established. Unresolved operative fields remain Provisional Pending Verification and do not receive administratively convenient estimates. Annex D therefore records and implements the Compact's managed-access bargain without becoming an independent source of substantive authority.</w:t>
      </w:r>
    </w:p>
    <w:p>
      <w:pPr>
        <w:pStyle w:val="Heading2"/>
      </w:pPr>
      <w:bookmarkStart w:id="1717" w:name="NAATOC_0152"/>
      <w:bookmarkStart w:id="1152" w:name="toc_Annex_D_Managed_Access_Vesting"/>
      <w:r>
        <w:t>Annex D Managed-Access Vesting and Displacement Schedule - Controlled Schema</w:t>
      </w:r>
      <w:bookmarkEnd w:id="1152"/>
      <w:bookmarkEnd w:id="1717"/>
    </w:p>
    <w:tbl>
      <w:tblPr>
        <w:tblStyle w:val="TableGrid"/>
        <w:tblW w:type="dxa" w:w="9994"/>
        <w:jc w:val="center"/>
        <w:tblLayout w:type="fixed"/>
        <w:tblLook w:firstColumn="1" w:firstRow="1" w:lastColumn="0" w:lastRow="0" w:noHBand="0" w:noVBand="1" w:val="04A0"/>
      </w:tblPr>
      <w:tblGrid>
        <w:gridCol w:w="3331"/>
        <w:gridCol w:w="3331"/>
        <w:gridCol w:w="3332"/>
      </w:tblGrid>
      <w:tr>
        <w:trPr>
          <w:tblHeader w:val="true"/>
        </w:trPr>
        <w:tc>
          <w:tcPr>
            <w:tcW w:type="dxa" w:w="3331"/>
          </w:tcPr>
          <w:p>
            <w:pPr>
              <w:spacing w:before="20" w:after="20"/>
            </w:pPr>
            <w:r>
              <w:rPr>
                <w:sz w:val="16"/>
                <w:szCs w:val="16"/>
              </w:rPr>
              <w:t>Field</w:t>
            </w:r>
          </w:p>
        </w:tc>
        <w:tc>
          <w:tcPr>
            <w:tcW w:type="dxa" w:w="3331"/>
          </w:tcPr>
          <w:p>
            <w:pPr>
              <w:spacing w:before="20" w:after="20"/>
            </w:pPr>
            <w:r>
              <w:rPr>
                <w:sz w:val="16"/>
                <w:szCs w:val="16"/>
              </w:rPr>
              <w:t>Governance</w:t>
            </w:r>
          </w:p>
        </w:tc>
        <w:tc>
          <w:tcPr>
            <w:tcW w:type="dxa" w:w="3332"/>
          </w:tcPr>
          <w:p>
            <w:pPr>
              <w:spacing w:before="20" w:after="20"/>
            </w:pPr>
            <w:r>
              <w:rPr>
                <w:sz w:val="16"/>
                <w:szCs w:val="16"/>
              </w:rPr>
              <w:t>Controlled meaning</w:t>
            </w:r>
          </w:p>
        </w:tc>
      </w:tr>
      <w:tr>
        <w:tc>
          <w:tcPr>
            <w:tcW w:type="dxa" w:w="3331"/>
            <w:vAlign w:val="top"/>
          </w:tcPr>
          <w:p>
            <w:pPr>
              <w:spacing w:before="20" w:after="20"/>
            </w:pPr>
            <w:r>
              <w:rPr>
                <w:sz w:val="16"/>
                <w:szCs w:val="16"/>
              </w:rPr>
              <w:t>ManagedAccessRecordID</w:t>
            </w:r>
          </w:p>
        </w:tc>
        <w:tc>
          <w:tcPr>
            <w:tcW w:type="dxa" w:w="3331"/>
            <w:vAlign w:val="top"/>
          </w:tcPr>
          <w:p>
            <w:pPr>
              <w:spacing w:before="20" w:after="20"/>
            </w:pPr>
            <w:r>
              <w:rPr>
                <w:sz w:val="16"/>
                <w:szCs w:val="16"/>
              </w:rPr>
              <w:t>Operative identity</w:t>
            </w:r>
          </w:p>
        </w:tc>
        <w:tc>
          <w:tcPr>
            <w:tcW w:type="dxa" w:w="3332"/>
            <w:vAlign w:val="top"/>
          </w:tcPr>
          <w:p>
            <w:pPr>
              <w:spacing w:before="20" w:after="20"/>
            </w:pPr>
            <w:r>
              <w:rPr>
                <w:sz w:val="16"/>
                <w:szCs w:val="16"/>
              </w:rPr>
              <w:t>Persistent unique identifier for the managed-access arrangement; never reassigned.</w:t>
            </w:r>
          </w:p>
        </w:tc>
      </w:tr>
      <w:tr>
        <w:tc>
          <w:tcPr>
            <w:tcW w:type="dxa" w:w="3331"/>
            <w:vAlign w:val="top"/>
          </w:tcPr>
          <w:p>
            <w:pPr>
              <w:spacing w:before="20" w:after="20"/>
            </w:pPr>
            <w:r>
              <w:rPr>
                <w:sz w:val="16"/>
                <w:szCs w:val="16"/>
              </w:rPr>
              <w:t>ProductRecordID</w:t>
            </w:r>
          </w:p>
        </w:tc>
        <w:tc>
          <w:tcPr>
            <w:tcW w:type="dxa" w:w="3331"/>
            <w:vAlign w:val="top"/>
          </w:tcPr>
          <w:p>
            <w:pPr>
              <w:spacing w:before="20" w:after="20"/>
            </w:pPr>
            <w:r>
              <w:rPr>
                <w:sz w:val="16"/>
                <w:szCs w:val="16"/>
              </w:rPr>
              <w:t>Navigational / operative link</w:t>
            </w:r>
          </w:p>
        </w:tc>
        <w:tc>
          <w:tcPr>
            <w:tcW w:type="dxa" w:w="3332"/>
            <w:vAlign w:val="top"/>
          </w:tcPr>
          <w:p>
            <w:pPr>
              <w:spacing w:before="20" w:after="20"/>
            </w:pPr>
            <w:r>
              <w:rPr>
                <w:sz w:val="16"/>
                <w:szCs w:val="16"/>
              </w:rPr>
              <w:t>Persistent Annex A product identity reference.</w:t>
            </w:r>
          </w:p>
        </w:tc>
      </w:tr>
      <w:tr>
        <w:tc>
          <w:tcPr>
            <w:tcW w:type="dxa" w:w="3331"/>
            <w:vAlign w:val="top"/>
          </w:tcPr>
          <w:p>
            <w:pPr>
              <w:spacing w:before="20" w:after="20"/>
            </w:pPr>
            <w:r>
              <w:rPr>
                <w:sz w:val="16"/>
                <w:szCs w:val="16"/>
              </w:rPr>
              <w:t>TariffScheduleRecordID</w:t>
            </w:r>
          </w:p>
        </w:tc>
        <w:tc>
          <w:tcPr>
            <w:tcW w:type="dxa" w:w="3331"/>
            <w:vAlign w:val="top"/>
          </w:tcPr>
          <w:p>
            <w:pPr>
              <w:spacing w:before="20" w:after="20"/>
            </w:pPr>
            <w:r>
              <w:rPr>
                <w:sz w:val="16"/>
                <w:szCs w:val="16"/>
              </w:rPr>
              <w:t>Navigational / operative link</w:t>
            </w:r>
          </w:p>
        </w:tc>
        <w:tc>
          <w:tcPr>
            <w:tcW w:type="dxa" w:w="3332"/>
            <w:vAlign w:val="top"/>
          </w:tcPr>
          <w:p>
            <w:pPr>
              <w:spacing w:before="20" w:after="20"/>
            </w:pPr>
            <w:r>
              <w:rPr>
                <w:sz w:val="16"/>
                <w:szCs w:val="16"/>
              </w:rPr>
              <w:t>Annex B tariff-treatment reference where applicable.</w:t>
            </w:r>
          </w:p>
        </w:tc>
      </w:tr>
      <w:tr>
        <w:tc>
          <w:tcPr>
            <w:tcW w:type="dxa" w:w="3331"/>
            <w:vAlign w:val="top"/>
          </w:tcPr>
          <w:p>
            <w:pPr>
              <w:spacing w:before="20" w:after="20"/>
            </w:pPr>
            <w:r>
              <w:rPr>
                <w:sz w:val="16"/>
                <w:szCs w:val="16"/>
              </w:rPr>
              <w:t>SensitiveTransitionRecordID</w:t>
            </w:r>
          </w:p>
        </w:tc>
        <w:tc>
          <w:tcPr>
            <w:tcW w:type="dxa" w:w="3331"/>
            <w:vAlign w:val="top"/>
          </w:tcPr>
          <w:p>
            <w:pPr>
              <w:spacing w:before="20" w:after="20"/>
            </w:pPr>
            <w:r>
              <w:rPr>
                <w:sz w:val="16"/>
                <w:szCs w:val="16"/>
              </w:rPr>
              <w:t>Navigational / dependency</w:t>
            </w:r>
          </w:p>
        </w:tc>
        <w:tc>
          <w:tcPr>
            <w:tcW w:type="dxa" w:w="3332"/>
            <w:vAlign w:val="top"/>
          </w:tcPr>
          <w:p>
            <w:pPr>
              <w:spacing w:before="20" w:after="20"/>
            </w:pPr>
            <w:r>
              <w:rPr>
                <w:sz w:val="16"/>
                <w:szCs w:val="16"/>
              </w:rPr>
              <w:t>Annex C transition reference where applicable.</w:t>
            </w:r>
          </w:p>
        </w:tc>
      </w:tr>
      <w:tr>
        <w:tc>
          <w:tcPr>
            <w:tcW w:type="dxa" w:w="3331"/>
            <w:vAlign w:val="top"/>
          </w:tcPr>
          <w:p>
            <w:pPr>
              <w:spacing w:before="20" w:after="20"/>
            </w:pPr>
            <w:r>
              <w:rPr>
                <w:sz w:val="16"/>
                <w:szCs w:val="16"/>
              </w:rPr>
              <w:t>SynchronizationRecordID</w:t>
            </w:r>
          </w:p>
        </w:tc>
        <w:tc>
          <w:tcPr>
            <w:tcW w:type="dxa" w:w="3331"/>
            <w:vAlign w:val="top"/>
          </w:tcPr>
          <w:p>
            <w:pPr>
              <w:spacing w:before="20" w:after="20"/>
            </w:pPr>
            <w:r>
              <w:rPr>
                <w:sz w:val="16"/>
                <w:szCs w:val="16"/>
              </w:rPr>
              <w:t>Navigational / dependency</w:t>
            </w:r>
          </w:p>
        </w:tc>
        <w:tc>
          <w:tcPr>
            <w:tcW w:type="dxa" w:w="3332"/>
            <w:vAlign w:val="top"/>
          </w:tcPr>
          <w:p>
            <w:pPr>
              <w:spacing w:before="20" w:after="20"/>
            </w:pPr>
            <w:r>
              <w:rPr>
                <w:sz w:val="16"/>
                <w:szCs w:val="16"/>
              </w:rPr>
              <w:t>Annex E synchronization reference where applicable.</w:t>
            </w:r>
          </w:p>
        </w:tc>
      </w:tr>
      <w:tr>
        <w:tc>
          <w:tcPr>
            <w:tcW w:type="dxa" w:w="3331"/>
            <w:vAlign w:val="top"/>
          </w:tcPr>
          <w:p>
            <w:pPr>
              <w:spacing w:before="20" w:after="20"/>
            </w:pPr>
            <w:r>
              <w:rPr>
                <w:sz w:val="16"/>
                <w:szCs w:val="16"/>
              </w:rPr>
              <w:t>AnnexFStatusReference</w:t>
            </w:r>
          </w:p>
        </w:tc>
        <w:tc>
          <w:tcPr>
            <w:tcW w:type="dxa" w:w="3331"/>
            <w:vAlign w:val="top"/>
          </w:tcPr>
          <w:p>
            <w:pPr>
              <w:spacing w:before="20" w:after="20"/>
            </w:pPr>
            <w:r>
              <w:rPr>
                <w:sz w:val="16"/>
                <w:szCs w:val="16"/>
              </w:rPr>
              <w:t>Navigational / completion</w:t>
            </w:r>
          </w:p>
        </w:tc>
        <w:tc>
          <w:tcPr>
            <w:tcW w:type="dxa" w:w="3332"/>
            <w:vAlign w:val="top"/>
          </w:tcPr>
          <w:p>
            <w:pPr>
              <w:spacing w:before="20" w:after="20"/>
            </w:pPr>
            <w:r>
              <w:rPr>
                <w:sz w:val="16"/>
                <w:szCs w:val="16"/>
              </w:rPr>
              <w:t>Annex F completion-status reference where applicable.</w:t>
            </w:r>
          </w:p>
        </w:tc>
      </w:tr>
      <w:tr>
        <w:tc>
          <w:tcPr>
            <w:tcW w:type="dxa" w:w="3331"/>
            <w:vAlign w:val="top"/>
          </w:tcPr>
          <w:p>
            <w:pPr>
              <w:spacing w:before="20" w:after="20"/>
            </w:pPr>
            <w:r>
              <w:rPr>
                <w:sz w:val="16"/>
                <w:szCs w:val="16"/>
              </w:rPr>
              <w:t>Party</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Canada, United States, or Mexico; identifies Party-specific application.</w:t>
            </w:r>
          </w:p>
        </w:tc>
      </w:tr>
      <w:tr>
        <w:tc>
          <w:tcPr>
            <w:tcW w:type="dxa" w:w="3331"/>
            <w:vAlign w:val="top"/>
          </w:tcPr>
          <w:p>
            <w:pPr>
              <w:spacing w:before="20" w:after="20"/>
            </w:pPr>
            <w:r>
              <w:rPr>
                <w:sz w:val="16"/>
                <w:szCs w:val="16"/>
              </w:rPr>
              <w:t>NationalTariffRecord</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Party-specific national tariff record reference.</w:t>
            </w:r>
          </w:p>
        </w:tc>
      </w:tr>
      <w:tr>
        <w:tc>
          <w:tcPr>
            <w:tcW w:type="dxa" w:w="3331"/>
            <w:vAlign w:val="top"/>
          </w:tcPr>
          <w:p>
            <w:pPr>
              <w:spacing w:before="20" w:after="20"/>
            </w:pPr>
            <w:r>
              <w:rPr>
                <w:sz w:val="16"/>
                <w:szCs w:val="16"/>
              </w:rPr>
              <w:t>ManagedAccessFieldID</w:t>
            </w:r>
          </w:p>
        </w:tc>
        <w:tc>
          <w:tcPr>
            <w:tcW w:type="dxa" w:w="3331"/>
            <w:vAlign w:val="top"/>
          </w:tcPr>
          <w:p>
            <w:pPr>
              <w:spacing w:before="20" w:after="20"/>
            </w:pPr>
            <w:r>
              <w:rPr>
                <w:sz w:val="16"/>
                <w:szCs w:val="16"/>
              </w:rPr>
              <w:t>Operative identity</w:t>
            </w:r>
          </w:p>
        </w:tc>
        <w:tc>
          <w:tcPr>
            <w:tcW w:type="dxa" w:w="3332"/>
            <w:vAlign w:val="top"/>
          </w:tcPr>
          <w:p>
            <w:pPr>
              <w:spacing w:before="20" w:after="20"/>
            </w:pPr>
            <w:r>
              <w:rPr>
                <w:sz w:val="16"/>
                <w:szCs w:val="16"/>
              </w:rPr>
              <w:t>Persistent identifier for the restrictive field; never regenerated by administrative maintenance.</w:t>
            </w:r>
          </w:p>
        </w:tc>
      </w:tr>
      <w:tr>
        <w:tc>
          <w:tcPr>
            <w:tcW w:type="dxa" w:w="3331"/>
            <w:vAlign w:val="top"/>
          </w:tcPr>
          <w:p>
            <w:pPr>
              <w:spacing w:before="20" w:after="20"/>
            </w:pPr>
            <w:r>
              <w:rPr>
                <w:sz w:val="16"/>
                <w:szCs w:val="16"/>
              </w:rPr>
              <w:t>ManagedAccessLegalBasis</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Controlling Compact provision or valid legal act.</w:t>
            </w:r>
          </w:p>
        </w:tc>
      </w:tr>
      <w:tr>
        <w:tc>
          <w:tcPr>
            <w:tcW w:type="dxa" w:w="3331"/>
            <w:vAlign w:val="top"/>
          </w:tcPr>
          <w:p>
            <w:pPr>
              <w:spacing w:before="20" w:after="20"/>
            </w:pPr>
            <w:r>
              <w:rPr>
                <w:sz w:val="16"/>
                <w:szCs w:val="16"/>
              </w:rPr>
              <w:t>AccessPeriod</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Quota year or other objectively defined access period.</w:t>
            </w:r>
          </w:p>
        </w:tc>
      </w:tr>
      <w:tr>
        <w:tc>
          <w:tcPr>
            <w:tcW w:type="dxa" w:w="3331"/>
            <w:vAlign w:val="top"/>
          </w:tcPr>
          <w:p>
            <w:pPr>
              <w:spacing w:before="20" w:after="20"/>
            </w:pPr>
            <w:r>
              <w:rPr>
                <w:sz w:val="16"/>
                <w:szCs w:val="16"/>
              </w:rPr>
              <w:t>CommencementEvent</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Legally determinate commencement event.</w:t>
            </w:r>
          </w:p>
        </w:tc>
      </w:tr>
      <w:tr>
        <w:tc>
          <w:tcPr>
            <w:tcW w:type="dxa" w:w="3331"/>
            <w:vAlign w:val="top"/>
          </w:tcPr>
          <w:p>
            <w:pPr>
              <w:spacing w:before="20" w:after="20"/>
            </w:pPr>
            <w:r>
              <w:rPr>
                <w:sz w:val="16"/>
                <w:szCs w:val="16"/>
              </w:rPr>
              <w:t>CommencementDate</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Date on which the commencement event became operative.</w:t>
            </w:r>
          </w:p>
        </w:tc>
      </w:tr>
      <w:tr>
        <w:tc>
          <w:tcPr>
            <w:tcW w:type="dxa" w:w="3331"/>
            <w:vAlign w:val="top"/>
          </w:tcPr>
          <w:p>
            <w:pPr>
              <w:spacing w:before="20" w:after="20"/>
            </w:pPr>
            <w:r>
              <w:rPr>
                <w:sz w:val="16"/>
                <w:szCs w:val="16"/>
              </w:rPr>
              <w:t>StartingManagedAccessField</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Original legally controlling field quantity or share.</w:t>
            </w:r>
          </w:p>
        </w:tc>
      </w:tr>
      <w:tr>
        <w:tc>
          <w:tcPr>
            <w:tcW w:type="dxa" w:w="3331"/>
            <w:vAlign w:val="top"/>
          </w:tcPr>
          <w:p>
            <w:pPr>
              <w:spacing w:before="20" w:after="20"/>
            </w:pPr>
            <w:r>
              <w:rPr>
                <w:sz w:val="16"/>
                <w:szCs w:val="16"/>
              </w:rPr>
              <w:t>WithinAccessQuantity</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Quantity or share eligible for within-access treatment.</w:t>
            </w:r>
          </w:p>
        </w:tc>
      </w:tr>
      <w:tr>
        <w:tc>
          <w:tcPr>
            <w:tcW w:type="dxa" w:w="3331"/>
            <w:vAlign w:val="top"/>
          </w:tcPr>
          <w:p>
            <w:pPr>
              <w:spacing w:before="20" w:after="20"/>
            </w:pPr>
            <w:r>
              <w:rPr>
                <w:sz w:val="16"/>
                <w:szCs w:val="16"/>
              </w:rPr>
              <w:t>UnitOfMeasure</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Legally relevant quantity unit.</w:t>
            </w:r>
          </w:p>
        </w:tc>
      </w:tr>
      <w:tr>
        <w:tc>
          <w:tcPr>
            <w:tcW w:type="dxa" w:w="3331"/>
            <w:vAlign w:val="top"/>
          </w:tcPr>
          <w:p>
            <w:pPr>
              <w:spacing w:before="20" w:after="20"/>
            </w:pPr>
            <w:r>
              <w:rPr>
                <w:sz w:val="16"/>
                <w:szCs w:val="16"/>
              </w:rPr>
              <w:t>UnitConversionReference</w:t>
            </w:r>
          </w:p>
        </w:tc>
        <w:tc>
          <w:tcPr>
            <w:tcW w:type="dxa" w:w="3331"/>
            <w:vAlign w:val="top"/>
          </w:tcPr>
          <w:p>
            <w:pPr>
              <w:spacing w:before="20" w:after="20"/>
            </w:pPr>
            <w:r>
              <w:rPr>
                <w:sz w:val="16"/>
                <w:szCs w:val="16"/>
              </w:rPr>
              <w:t>Navigational</w:t>
            </w:r>
          </w:p>
        </w:tc>
        <w:tc>
          <w:tcPr>
            <w:tcW w:type="dxa" w:w="3332"/>
            <w:vAlign w:val="top"/>
          </w:tcPr>
          <w:p>
            <w:pPr>
              <w:spacing w:before="20" w:after="20"/>
            </w:pPr>
            <w:r>
              <w:rPr>
                <w:sz w:val="16"/>
                <w:szCs w:val="16"/>
              </w:rPr>
              <w:t>Conversion method, source, version, and rounding rule where applicable.</w:t>
            </w:r>
          </w:p>
        </w:tc>
      </w:tr>
      <w:tr>
        <w:tc>
          <w:tcPr>
            <w:tcW w:type="dxa" w:w="3331"/>
            <w:vAlign w:val="top"/>
          </w:tcPr>
          <w:p>
            <w:pPr>
              <w:spacing w:before="20" w:after="20"/>
            </w:pPr>
            <w:r>
              <w:rPr>
                <w:sz w:val="16"/>
                <w:szCs w:val="16"/>
              </w:rPr>
              <w:t>AllocationMethod</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Published allocation mechanism.</w:t>
            </w:r>
          </w:p>
        </w:tc>
      </w:tr>
      <w:tr>
        <w:tc>
          <w:tcPr>
            <w:tcW w:type="dxa" w:w="3331"/>
            <w:vAlign w:val="top"/>
          </w:tcPr>
          <w:p>
            <w:pPr>
              <w:spacing w:before="20" w:after="20"/>
            </w:pPr>
            <w:r>
              <w:rPr>
                <w:sz w:val="16"/>
                <w:szCs w:val="16"/>
              </w:rPr>
              <w:t>EligibilityBasis</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Published eligibility criteria.</w:t>
            </w:r>
          </w:p>
        </w:tc>
      </w:tr>
      <w:tr>
        <w:tc>
          <w:tcPr>
            <w:tcW w:type="dxa" w:w="3331"/>
            <w:vAlign w:val="top"/>
          </w:tcPr>
          <w:p>
            <w:pPr>
              <w:spacing w:before="20" w:after="20"/>
            </w:pPr>
            <w:r>
              <w:rPr>
                <w:sz w:val="16"/>
                <w:szCs w:val="16"/>
              </w:rPr>
              <w:t>AllocatedQuantity</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Quantity allocated in the applicable Access Period.</w:t>
            </w:r>
          </w:p>
        </w:tc>
      </w:tr>
      <w:tr>
        <w:tc>
          <w:tcPr>
            <w:tcW w:type="dxa" w:w="3331"/>
            <w:vAlign w:val="top"/>
          </w:tcPr>
          <w:p>
            <w:pPr>
              <w:spacing w:before="20" w:after="20"/>
            </w:pPr>
            <w:r>
              <w:rPr>
                <w:sz w:val="16"/>
                <w:szCs w:val="16"/>
              </w:rPr>
              <w:t>ReturnedQuantity</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Quantity affirmatively returned.</w:t>
            </w:r>
          </w:p>
        </w:tc>
      </w:tr>
      <w:tr>
        <w:tc>
          <w:tcPr>
            <w:tcW w:type="dxa" w:w="3331"/>
            <w:vAlign w:val="top"/>
          </w:tcPr>
          <w:p>
            <w:pPr>
              <w:spacing w:before="20" w:after="20"/>
            </w:pPr>
            <w:r>
              <w:rPr>
                <w:sz w:val="16"/>
                <w:szCs w:val="16"/>
              </w:rPr>
              <w:t>ReallocatedQuantity</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Quantity made available through reallocation.</w:t>
            </w:r>
          </w:p>
        </w:tc>
      </w:tr>
      <w:tr>
        <w:tc>
          <w:tcPr>
            <w:tcW w:type="dxa" w:w="3331"/>
            <w:vAlign w:val="top"/>
          </w:tcPr>
          <w:p>
            <w:pPr>
              <w:spacing w:before="20" w:after="20"/>
            </w:pPr>
            <w:r>
              <w:rPr>
                <w:sz w:val="16"/>
                <w:szCs w:val="16"/>
              </w:rPr>
              <w:t>UtilizedQuantity</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Quantity actually used.</w:t>
            </w:r>
          </w:p>
        </w:tc>
      </w:tr>
      <w:tr>
        <w:tc>
          <w:tcPr>
            <w:tcW w:type="dxa" w:w="3331"/>
            <w:vAlign w:val="top"/>
          </w:tcPr>
          <w:p>
            <w:pPr>
              <w:spacing w:before="20" w:after="20"/>
            </w:pPr>
            <w:r>
              <w:rPr>
                <w:sz w:val="16"/>
                <w:szCs w:val="16"/>
              </w:rPr>
              <w:t>UtilizationRate</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Verified utilization metric with denominator discipline.</w:t>
            </w:r>
          </w:p>
        </w:tc>
      </w:tr>
      <w:tr>
        <w:tc>
          <w:tcPr>
            <w:tcW w:type="dxa" w:w="3331"/>
            <w:vAlign w:val="top"/>
          </w:tcPr>
          <w:p>
            <w:pPr>
              <w:spacing w:before="20" w:after="20"/>
            </w:pPr>
            <w:r>
              <w:rPr>
                <w:sz w:val="16"/>
                <w:szCs w:val="16"/>
              </w:rPr>
              <w:t>UnusedQuantity</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Quantity not utilized in the applicable period.</w:t>
            </w:r>
          </w:p>
        </w:tc>
      </w:tr>
      <w:tr>
        <w:tc>
          <w:tcPr>
            <w:tcW w:type="dxa" w:w="3331"/>
            <w:vAlign w:val="top"/>
          </w:tcPr>
          <w:p>
            <w:pPr>
              <w:spacing w:before="20" w:after="20"/>
            </w:pPr>
            <w:r>
              <w:rPr>
                <w:sz w:val="16"/>
                <w:szCs w:val="16"/>
              </w:rPr>
              <w:t>VestingTrancheID</w:t>
            </w:r>
          </w:p>
        </w:tc>
        <w:tc>
          <w:tcPr>
            <w:tcW w:type="dxa" w:w="3331"/>
            <w:vAlign w:val="top"/>
          </w:tcPr>
          <w:p>
            <w:pPr>
              <w:spacing w:before="20" w:after="20"/>
            </w:pPr>
            <w:r>
              <w:rPr>
                <w:sz w:val="16"/>
                <w:szCs w:val="16"/>
              </w:rPr>
              <w:t>Operative tranche identity</w:t>
            </w:r>
          </w:p>
        </w:tc>
        <w:tc>
          <w:tcPr>
            <w:tcW w:type="dxa" w:w="3332"/>
            <w:vAlign w:val="top"/>
          </w:tcPr>
          <w:p>
            <w:pPr>
              <w:spacing w:before="20" w:after="20"/>
            </w:pPr>
            <w:r>
              <w:rPr>
                <w:sz w:val="16"/>
                <w:szCs w:val="16"/>
              </w:rPr>
              <w:t>Persistent identifier for a Vesting Tranche; never reassigned.</w:t>
            </w:r>
          </w:p>
        </w:tc>
      </w:tr>
      <w:tr>
        <w:tc>
          <w:tcPr>
            <w:tcW w:type="dxa" w:w="3331"/>
            <w:vAlign w:val="top"/>
          </w:tcPr>
          <w:p>
            <w:pPr>
              <w:spacing w:before="20" w:after="20"/>
            </w:pPr>
            <w:r>
              <w:rPr>
                <w:sz w:val="16"/>
                <w:szCs w:val="16"/>
              </w:rPr>
              <w:t>StageRecordID</w:t>
            </w:r>
          </w:p>
        </w:tc>
        <w:tc>
          <w:tcPr>
            <w:tcW w:type="dxa" w:w="3331"/>
            <w:vAlign w:val="top"/>
          </w:tcPr>
          <w:p>
            <w:pPr>
              <w:spacing w:before="20" w:after="20"/>
            </w:pPr>
            <w:r>
              <w:rPr>
                <w:sz w:val="16"/>
                <w:szCs w:val="16"/>
              </w:rPr>
              <w:t>Operative temporal identity</w:t>
            </w:r>
          </w:p>
        </w:tc>
        <w:tc>
          <w:tcPr>
            <w:tcW w:type="dxa" w:w="3332"/>
            <w:vAlign w:val="top"/>
          </w:tcPr>
          <w:p>
            <w:pPr>
              <w:spacing w:before="20" w:after="20"/>
            </w:pPr>
            <w:r>
              <w:rPr>
                <w:sz w:val="16"/>
                <w:szCs w:val="16"/>
              </w:rPr>
              <w:t>Persistent identifier for a separately represented temporal stage where required.</w:t>
            </w:r>
          </w:p>
        </w:tc>
      </w:tr>
      <w:tr>
        <w:tc>
          <w:tcPr>
            <w:tcW w:type="dxa" w:w="3331"/>
            <w:vAlign w:val="top"/>
          </w:tcPr>
          <w:p>
            <w:pPr>
              <w:spacing w:before="20" w:after="20"/>
            </w:pPr>
            <w:r>
              <w:rPr>
                <w:sz w:val="16"/>
                <w:szCs w:val="16"/>
              </w:rPr>
              <w:t>StageSequenceOrdinal</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Controlled ordering of stages or tranches.</w:t>
            </w:r>
          </w:p>
        </w:tc>
      </w:tr>
      <w:tr>
        <w:tc>
          <w:tcPr>
            <w:tcW w:type="dxa" w:w="3331"/>
            <w:vAlign w:val="top"/>
          </w:tcPr>
          <w:p>
            <w:pPr>
              <w:spacing w:before="20" w:after="20"/>
            </w:pPr>
            <w:r>
              <w:rPr>
                <w:sz w:val="16"/>
                <w:szCs w:val="16"/>
              </w:rPr>
              <w:t>TrancheQuantityOrShare</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Objectively measurable amount assigned to the tranche.</w:t>
            </w:r>
          </w:p>
        </w:tc>
      </w:tr>
      <w:tr>
        <w:tc>
          <w:tcPr>
            <w:tcW w:type="dxa" w:w="3331"/>
            <w:vAlign w:val="top"/>
          </w:tcPr>
          <w:p>
            <w:pPr>
              <w:spacing w:before="20" w:after="20"/>
            </w:pPr>
            <w:r>
              <w:rPr>
                <w:sz w:val="16"/>
                <w:szCs w:val="16"/>
              </w:rPr>
              <w:t>VestingEvent</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Legally operative vesting event.</w:t>
            </w:r>
          </w:p>
        </w:tc>
      </w:tr>
      <w:tr>
        <w:tc>
          <w:tcPr>
            <w:tcW w:type="dxa" w:w="3331"/>
            <w:vAlign w:val="top"/>
          </w:tcPr>
          <w:p>
            <w:pPr>
              <w:spacing w:before="20" w:after="20"/>
            </w:pPr>
            <w:r>
              <w:rPr>
                <w:sz w:val="16"/>
                <w:szCs w:val="16"/>
              </w:rPr>
              <w:t>VestingEffectiveDate</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Date or event on which vesting becomes operative.</w:t>
            </w:r>
          </w:p>
        </w:tc>
      </w:tr>
      <w:tr>
        <w:tc>
          <w:tcPr>
            <w:tcW w:type="dxa" w:w="3331"/>
            <w:vAlign w:val="top"/>
          </w:tcPr>
          <w:p>
            <w:pPr>
              <w:spacing w:before="20" w:after="20"/>
            </w:pPr>
            <w:r>
              <w:rPr>
                <w:sz w:val="16"/>
                <w:szCs w:val="16"/>
              </w:rPr>
              <w:t>NewlyVestedQuantity</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Amount vested by the current event.</w:t>
            </w:r>
          </w:p>
        </w:tc>
      </w:tr>
      <w:tr>
        <w:tc>
          <w:tcPr>
            <w:tcW w:type="dxa" w:w="3331"/>
            <w:vAlign w:val="top"/>
          </w:tcPr>
          <w:p>
            <w:pPr>
              <w:spacing w:before="20" w:after="20"/>
            </w:pPr>
            <w:r>
              <w:rPr>
                <w:sz w:val="16"/>
                <w:szCs w:val="16"/>
              </w:rPr>
              <w:t>CumulativeVestedQuantity</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Cumulative amount permanently vested.</w:t>
            </w:r>
          </w:p>
        </w:tc>
      </w:tr>
      <w:tr>
        <w:tc>
          <w:tcPr>
            <w:tcW w:type="dxa" w:w="3331"/>
            <w:vAlign w:val="top"/>
          </w:tcPr>
          <w:p>
            <w:pPr>
              <w:spacing w:before="20" w:after="20"/>
            </w:pPr>
            <w:r>
              <w:rPr>
                <w:sz w:val="16"/>
                <w:szCs w:val="16"/>
              </w:rPr>
              <w:t>ResidualManagedAccessField</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Remaining legally permissible managed-access field.</w:t>
            </w:r>
          </w:p>
        </w:tc>
      </w:tr>
      <w:tr>
        <w:tc>
          <w:tcPr>
            <w:tcW w:type="dxa" w:w="3331"/>
            <w:vAlign w:val="top"/>
          </w:tcPr>
          <w:p>
            <w:pPr>
              <w:spacing w:before="20" w:after="20"/>
            </w:pPr>
            <w:r>
              <w:rPr>
                <w:sz w:val="16"/>
                <w:szCs w:val="16"/>
              </w:rPr>
              <w:t>FullVestingStatus</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Current Full-Vesting state.</w:t>
            </w:r>
          </w:p>
        </w:tc>
      </w:tr>
      <w:tr>
        <w:tc>
          <w:tcPr>
            <w:tcW w:type="dxa" w:w="3331"/>
            <w:vAlign w:val="top"/>
          </w:tcPr>
          <w:p>
            <w:pPr>
              <w:spacing w:before="20" w:after="20"/>
            </w:pPr>
            <w:r>
              <w:rPr>
                <w:sz w:val="16"/>
                <w:szCs w:val="16"/>
              </w:rPr>
              <w:t>FullVestingDate</w:t>
            </w:r>
          </w:p>
        </w:tc>
        <w:tc>
          <w:tcPr>
            <w:tcW w:type="dxa" w:w="3331"/>
            <w:vAlign w:val="top"/>
          </w:tcPr>
          <w:p>
            <w:pPr>
              <w:spacing w:before="20" w:after="20"/>
            </w:pPr>
            <w:r>
              <w:rPr>
                <w:sz w:val="16"/>
                <w:szCs w:val="16"/>
              </w:rPr>
              <w:t>Operative</w:t>
            </w:r>
          </w:p>
        </w:tc>
        <w:tc>
          <w:tcPr>
            <w:tcW w:type="dxa" w:w="3332"/>
            <w:vAlign w:val="top"/>
          </w:tcPr>
          <w:p>
            <w:pPr>
              <w:spacing w:before="20" w:after="20"/>
            </w:pPr>
            <w:r>
              <w:rPr>
                <w:sz w:val="16"/>
                <w:szCs w:val="16"/>
              </w:rPr>
              <w:t>Date Full-Vesting State becomes operative.</w:t>
            </w:r>
          </w:p>
        </w:tc>
      </w:tr>
      <w:tr>
        <w:tc>
          <w:tcPr>
            <w:tcW w:type="dxa" w:w="3331"/>
            <w:vAlign w:val="top"/>
          </w:tcPr>
          <w:p>
            <w:pPr>
              <w:spacing w:before="20" w:after="20"/>
            </w:pPr>
            <w:r>
              <w:rPr>
                <w:sz w:val="16"/>
                <w:szCs w:val="16"/>
              </w:rPr>
              <w:t>FullVestingConfirmationReference</w:t>
            </w:r>
          </w:p>
        </w:tc>
        <w:tc>
          <w:tcPr>
            <w:tcW w:type="dxa" w:w="3331"/>
            <w:vAlign w:val="top"/>
          </w:tcPr>
          <w:p>
            <w:pPr>
              <w:spacing w:before="20" w:after="20"/>
            </w:pPr>
            <w:r>
              <w:rPr>
                <w:sz w:val="16"/>
                <w:szCs w:val="16"/>
              </w:rPr>
              <w:t>Navigational</w:t>
            </w:r>
          </w:p>
        </w:tc>
        <w:tc>
          <w:tcPr>
            <w:tcW w:type="dxa" w:w="3332"/>
            <w:vAlign w:val="top"/>
          </w:tcPr>
          <w:p>
            <w:pPr>
              <w:spacing w:before="20" w:after="20"/>
            </w:pPr>
            <w:r>
              <w:rPr>
                <w:sz w:val="16"/>
                <w:szCs w:val="16"/>
              </w:rPr>
              <w:t>Administrative confirmation record, if issued.</w:t>
            </w:r>
          </w:p>
        </w:tc>
      </w:tr>
      <w:tr>
        <w:tc>
          <w:tcPr>
            <w:tcW w:type="dxa" w:w="3331"/>
            <w:vAlign w:val="top"/>
          </w:tcPr>
          <w:p>
            <w:pPr>
              <w:spacing w:before="20" w:after="20"/>
            </w:pPr>
            <w:r>
              <w:rPr>
                <w:sz w:val="16"/>
                <w:szCs w:val="16"/>
              </w:rPr>
              <w:t>TemporaryOverlayReference</w:t>
            </w:r>
          </w:p>
        </w:tc>
        <w:tc>
          <w:tcPr>
            <w:tcW w:type="dxa" w:w="3331"/>
            <w:vAlign w:val="top"/>
          </w:tcPr>
          <w:p>
            <w:pPr>
              <w:spacing w:before="20" w:after="20"/>
            </w:pPr>
            <w:r>
              <w:rPr>
                <w:sz w:val="16"/>
                <w:szCs w:val="16"/>
              </w:rPr>
              <w:t>Navigational</w:t>
            </w:r>
          </w:p>
        </w:tc>
        <w:tc>
          <w:tcPr>
            <w:tcW w:type="dxa" w:w="3332"/>
            <w:vAlign w:val="top"/>
          </w:tcPr>
          <w:p>
            <w:pPr>
              <w:spacing w:before="20" w:after="20"/>
            </w:pPr>
            <w:r>
              <w:rPr>
                <w:sz w:val="16"/>
                <w:szCs w:val="16"/>
              </w:rPr>
              <w:t>Reference to an applicable temporary measure.</w:t>
            </w:r>
          </w:p>
        </w:tc>
      </w:tr>
      <w:tr>
        <w:tc>
          <w:tcPr>
            <w:tcW w:type="dxa" w:w="3331"/>
            <w:vAlign w:val="top"/>
          </w:tcPr>
          <w:p>
            <w:pPr>
              <w:spacing w:before="20" w:after="20"/>
            </w:pPr>
            <w:r>
              <w:rPr>
                <w:sz w:val="16"/>
                <w:szCs w:val="16"/>
              </w:rPr>
              <w:t>TemporaryOverlayAuthority</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Legal authority for the overlay.</w:t>
            </w:r>
          </w:p>
        </w:tc>
      </w:tr>
      <w:tr>
        <w:tc>
          <w:tcPr>
            <w:tcW w:type="dxa" w:w="3331"/>
            <w:vAlign w:val="top"/>
          </w:tcPr>
          <w:p>
            <w:pPr>
              <w:spacing w:before="20" w:after="20"/>
            </w:pPr>
            <w:r>
              <w:rPr>
                <w:sz w:val="16"/>
                <w:szCs w:val="16"/>
              </w:rPr>
              <w:t>OverlayTerminationCondition</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Objective condition ending the overlay.</w:t>
            </w:r>
          </w:p>
        </w:tc>
      </w:tr>
      <w:tr>
        <w:tc>
          <w:tcPr>
            <w:tcW w:type="dxa" w:w="3331"/>
            <w:vAlign w:val="top"/>
          </w:tcPr>
          <w:p>
            <w:pPr>
              <w:spacing w:before="20" w:after="20"/>
            </w:pPr>
            <w:r>
              <w:rPr>
                <w:sz w:val="16"/>
                <w:szCs w:val="16"/>
              </w:rPr>
              <w:t>RestorationTrigger</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Objective restoration event.</w:t>
            </w:r>
          </w:p>
        </w:tc>
      </w:tr>
      <w:tr>
        <w:tc>
          <w:tcPr>
            <w:tcW w:type="dxa" w:w="3331"/>
            <w:vAlign w:val="top"/>
          </w:tcPr>
          <w:p>
            <w:pPr>
              <w:spacing w:before="20" w:after="20"/>
            </w:pPr>
            <w:r>
              <w:rPr>
                <w:sz w:val="16"/>
                <w:szCs w:val="16"/>
              </w:rPr>
              <w:t>RestorationStateDate</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Date and resulting underlying state after restoration.</w:t>
            </w:r>
          </w:p>
        </w:tc>
      </w:tr>
      <w:tr>
        <w:tc>
          <w:tcPr>
            <w:tcW w:type="dxa" w:w="3331"/>
            <w:vAlign w:val="top"/>
          </w:tcPr>
          <w:p>
            <w:pPr>
              <w:spacing w:before="20" w:after="20"/>
            </w:pPr>
            <w:r>
              <w:rPr>
                <w:sz w:val="16"/>
                <w:szCs w:val="16"/>
              </w:rPr>
              <w:t>ConcordanceReference</w:t>
            </w:r>
          </w:p>
        </w:tc>
        <w:tc>
          <w:tcPr>
            <w:tcW w:type="dxa" w:w="3331"/>
            <w:vAlign w:val="top"/>
          </w:tcPr>
          <w:p>
            <w:pPr>
              <w:spacing w:before="20" w:after="20"/>
            </w:pPr>
            <w:r>
              <w:rPr>
                <w:sz w:val="16"/>
                <w:szCs w:val="16"/>
              </w:rPr>
              <w:t>Navigational</w:t>
            </w:r>
          </w:p>
        </w:tc>
        <w:tc>
          <w:tcPr>
            <w:tcW w:type="dxa" w:w="3332"/>
            <w:vAlign w:val="top"/>
          </w:tcPr>
          <w:p>
            <w:pPr>
              <w:spacing w:before="20" w:after="20"/>
            </w:pPr>
            <w:r>
              <w:rPr>
                <w:sz w:val="16"/>
                <w:szCs w:val="16"/>
              </w:rPr>
              <w:t>Classification continuity or successor mapping.</w:t>
            </w:r>
          </w:p>
        </w:tc>
      </w:tr>
      <w:tr>
        <w:tc>
          <w:tcPr>
            <w:tcW w:type="dxa" w:w="3331"/>
            <w:vAlign w:val="top"/>
          </w:tcPr>
          <w:p>
            <w:pPr>
              <w:spacing w:before="20" w:after="20"/>
            </w:pPr>
            <w:r>
              <w:rPr>
                <w:sz w:val="16"/>
                <w:szCs w:val="16"/>
              </w:rPr>
              <w:t>DependencyLegalBasis</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Legal basis for each cross-Annex dependency.</w:t>
            </w:r>
          </w:p>
        </w:tc>
      </w:tr>
      <w:tr>
        <w:tc>
          <w:tcPr>
            <w:tcW w:type="dxa" w:w="3331"/>
            <w:vAlign w:val="top"/>
          </w:tcPr>
          <w:p>
            <w:pPr>
              <w:spacing w:before="20" w:after="20"/>
            </w:pPr>
            <w:r>
              <w:rPr>
                <w:sz w:val="16"/>
                <w:szCs w:val="16"/>
              </w:rPr>
              <w:t>FieldProvenanceReference</w:t>
            </w:r>
          </w:p>
        </w:tc>
        <w:tc>
          <w:tcPr>
            <w:tcW w:type="dxa" w:w="3331"/>
            <w:vAlign w:val="top"/>
          </w:tcPr>
          <w:p>
            <w:pPr>
              <w:spacing w:before="20" w:after="20"/>
            </w:pPr>
            <w:r>
              <w:rPr>
                <w:sz w:val="16"/>
                <w:szCs w:val="16"/>
              </w:rPr>
              <w:t>Evidentiary link</w:t>
            </w:r>
          </w:p>
        </w:tc>
        <w:tc>
          <w:tcPr>
            <w:tcW w:type="dxa" w:w="3332"/>
            <w:vAlign w:val="top"/>
          </w:tcPr>
          <w:p>
            <w:pPr>
              <w:spacing w:before="20" w:after="20"/>
            </w:pPr>
            <w:r>
              <w:rPr>
                <w:sz w:val="16"/>
                <w:szCs w:val="16"/>
              </w:rPr>
              <w:t>Field-level source, date, authority, provenance type, and limitation reference.</w:t>
            </w:r>
          </w:p>
        </w:tc>
      </w:tr>
      <w:tr>
        <w:tc>
          <w:tcPr>
            <w:tcW w:type="dxa" w:w="3331"/>
            <w:vAlign w:val="top"/>
          </w:tcPr>
          <w:p>
            <w:pPr>
              <w:spacing w:before="20" w:after="20"/>
            </w:pPr>
            <w:r>
              <w:rPr>
                <w:sz w:val="16"/>
                <w:szCs w:val="16"/>
              </w:rPr>
              <w:t>FieldVerificationReference</w:t>
            </w:r>
          </w:p>
        </w:tc>
        <w:tc>
          <w:tcPr>
            <w:tcW w:type="dxa" w:w="3331"/>
            <w:vAlign w:val="top"/>
          </w:tcPr>
          <w:p>
            <w:pPr>
              <w:spacing w:before="20" w:after="20"/>
            </w:pPr>
            <w:r>
              <w:rPr>
                <w:sz w:val="16"/>
                <w:szCs w:val="16"/>
              </w:rPr>
              <w:t>Field-status link</w:t>
            </w:r>
          </w:p>
        </w:tc>
        <w:tc>
          <w:tcPr>
            <w:tcW w:type="dxa" w:w="3332"/>
            <w:vAlign w:val="top"/>
          </w:tcPr>
          <w:p>
            <w:pPr>
              <w:spacing w:before="20" w:after="20"/>
            </w:pPr>
            <w:r>
              <w:rPr>
                <w:sz w:val="16"/>
                <w:szCs w:val="16"/>
              </w:rPr>
              <w:t>Field-level verifier, method, date, scope, controlled Field Verification Status, and limitation reference.</w:t>
            </w:r>
          </w:p>
        </w:tc>
      </w:tr>
      <w:tr>
        <w:tc>
          <w:tcPr>
            <w:tcW w:type="dxa" w:w="3331"/>
            <w:vAlign w:val="top"/>
          </w:tcPr>
          <w:p>
            <w:pPr>
              <w:spacing w:before="20" w:after="20"/>
            </w:pPr>
            <w:r>
              <w:rPr>
                <w:sz w:val="16"/>
                <w:szCs w:val="16"/>
              </w:rPr>
              <w:t>RecordVerificationStatus</w:t>
            </w:r>
          </w:p>
        </w:tc>
        <w:tc>
          <w:tcPr>
            <w:tcW w:type="dxa" w:w="3331"/>
            <w:vAlign w:val="top"/>
          </w:tcPr>
          <w:p>
            <w:pPr>
              <w:spacing w:before="20" w:after="20"/>
            </w:pPr>
            <w:r>
              <w:rPr>
                <w:sz w:val="16"/>
                <w:szCs w:val="16"/>
              </w:rPr>
              <w:t>Derived field-status</w:t>
            </w:r>
          </w:p>
        </w:tc>
        <w:tc>
          <w:tcPr>
            <w:tcW w:type="dxa" w:w="3332"/>
            <w:vAlign w:val="top"/>
          </w:tcPr>
          <w:p>
            <w:pPr>
              <w:spacing w:before="20" w:after="20"/>
            </w:pPr>
            <w:r>
              <w:rPr>
                <w:sz w:val="16"/>
                <w:szCs w:val="16"/>
              </w:rPr>
              <w:t>Derived Record Verification Status: Verified, Provisional Pending Verification, or Disputed under Article 3.3.5.</w:t>
            </w:r>
          </w:p>
        </w:tc>
      </w:tr>
      <w:tr>
        <w:tc>
          <w:tcPr>
            <w:tcW w:type="dxa" w:w="3331"/>
            <w:vAlign w:val="top"/>
          </w:tcPr>
          <w:p>
            <w:pPr>
              <w:spacing w:before="20" w:after="20"/>
            </w:pPr>
            <w:r>
              <w:rPr>
                <w:sz w:val="16"/>
                <w:szCs w:val="16"/>
              </w:rPr>
              <w:t>RecordStatus</w:t>
            </w:r>
          </w:p>
        </w:tc>
        <w:tc>
          <w:tcPr>
            <w:tcW w:type="dxa" w:w="3331"/>
            <w:vAlign w:val="top"/>
          </w:tcPr>
          <w:p>
            <w:pPr>
              <w:spacing w:before="20" w:after="20"/>
            </w:pPr>
            <w:r>
              <w:rPr>
                <w:sz w:val="16"/>
                <w:szCs w:val="16"/>
              </w:rPr>
              <w:t>Administrative lifecycle status</w:t>
            </w:r>
          </w:p>
        </w:tc>
        <w:tc>
          <w:tcPr>
            <w:tcW w:type="dxa" w:w="3332"/>
            <w:vAlign w:val="top"/>
          </w:tcPr>
          <w:p>
            <w:pPr>
              <w:spacing w:before="20" w:after="20"/>
            </w:pPr>
            <w:r>
              <w:rPr>
                <w:sz w:val="16"/>
                <w:szCs w:val="16"/>
              </w:rPr>
              <w:t>Active, Pending, Disputed, Superseded, Orphaned, or Archived; substantive Full-Vesting remains in FullVestingStatus.</w:t>
            </w:r>
          </w:p>
        </w:tc>
      </w:tr>
      <w:tr>
        <w:tc>
          <w:tcPr>
            <w:tcW w:type="dxa" w:w="3331"/>
            <w:vAlign w:val="top"/>
          </w:tcPr>
          <w:p>
            <w:pPr>
              <w:spacing w:before="20" w:after="20"/>
            </w:pPr>
            <w:r>
              <w:rPr>
                <w:sz w:val="16"/>
                <w:szCs w:val="16"/>
              </w:rPr>
              <w:t>RecordVersionID</w:t>
            </w:r>
          </w:p>
        </w:tc>
        <w:tc>
          <w:tcPr>
            <w:tcW w:type="dxa" w:w="3331"/>
            <w:vAlign w:val="top"/>
          </w:tcPr>
          <w:p>
            <w:pPr>
              <w:spacing w:before="20" w:after="20"/>
            </w:pPr>
            <w:r>
              <w:rPr>
                <w:sz w:val="16"/>
                <w:szCs w:val="16"/>
              </w:rPr>
              <w:t>Navigational</w:t>
            </w:r>
          </w:p>
        </w:tc>
        <w:tc>
          <w:tcPr>
            <w:tcW w:type="dxa" w:w="3332"/>
            <w:vAlign w:val="top"/>
          </w:tcPr>
          <w:p>
            <w:pPr>
              <w:spacing w:before="20" w:after="20"/>
            </w:pPr>
            <w:r>
              <w:rPr>
                <w:sz w:val="16"/>
                <w:szCs w:val="16"/>
              </w:rPr>
              <w:t>Persistent version identifier for a legally relevant state.</w:t>
            </w:r>
          </w:p>
        </w:tc>
      </w:tr>
      <w:tr>
        <w:tc>
          <w:tcPr>
            <w:tcW w:type="dxa" w:w="3331"/>
            <w:vAlign w:val="top"/>
          </w:tcPr>
          <w:p>
            <w:pPr>
              <w:spacing w:before="20" w:after="20"/>
            </w:pPr>
            <w:r>
              <w:rPr>
                <w:sz w:val="16"/>
                <w:szCs w:val="16"/>
              </w:rPr>
              <w:t>ValidFrom</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Beginning of temporal validity.</w:t>
            </w:r>
          </w:p>
        </w:tc>
      </w:tr>
      <w:tr>
        <w:tc>
          <w:tcPr>
            <w:tcW w:type="dxa" w:w="3331"/>
            <w:vAlign w:val="top"/>
          </w:tcPr>
          <w:p>
            <w:pPr>
              <w:spacing w:before="20" w:after="20"/>
            </w:pPr>
            <w:r>
              <w:rPr>
                <w:sz w:val="16"/>
                <w:szCs w:val="16"/>
              </w:rPr>
              <w:t>ValidTo</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End of temporal validity, if superseded.</w:t>
            </w:r>
          </w:p>
        </w:tc>
      </w:tr>
      <w:tr>
        <w:tc>
          <w:tcPr>
            <w:tcW w:type="dxa" w:w="3331"/>
            <w:vAlign w:val="top"/>
          </w:tcPr>
          <w:p>
            <w:pPr>
              <w:spacing w:before="20" w:after="20"/>
            </w:pPr>
            <w:r>
              <w:rPr>
                <w:sz w:val="16"/>
                <w:szCs w:val="16"/>
              </w:rPr>
              <w:t>DisputeReference</w:t>
            </w:r>
          </w:p>
        </w:tc>
        <w:tc>
          <w:tcPr>
            <w:tcW w:type="dxa" w:w="3331"/>
            <w:vAlign w:val="top"/>
          </w:tcPr>
          <w:p>
            <w:pPr>
              <w:spacing w:before="20" w:after="20"/>
            </w:pPr>
            <w:r>
              <w:rPr>
                <w:sz w:val="16"/>
                <w:szCs w:val="16"/>
              </w:rPr>
              <w:t>Navigational</w:t>
            </w:r>
          </w:p>
        </w:tc>
        <w:tc>
          <w:tcPr>
            <w:tcW w:type="dxa" w:w="3332"/>
            <w:vAlign w:val="top"/>
          </w:tcPr>
          <w:p>
            <w:pPr>
              <w:spacing w:before="20" w:after="20"/>
            </w:pPr>
            <w:r>
              <w:rPr>
                <w:sz w:val="16"/>
                <w:szCs w:val="16"/>
              </w:rPr>
              <w:t>Reference to a material dispute affecting the record.</w:t>
            </w:r>
          </w:p>
        </w:tc>
      </w:tr>
      <w:tr>
        <w:tc>
          <w:tcPr>
            <w:tcW w:type="dxa" w:w="3331"/>
            <w:vAlign w:val="top"/>
          </w:tcPr>
          <w:p>
            <w:pPr>
              <w:spacing w:before="20" w:after="20"/>
            </w:pPr>
            <w:r>
              <w:rPr>
                <w:sz w:val="16"/>
                <w:szCs w:val="16"/>
              </w:rPr>
              <w:t>LastValidControlledState</w:t>
            </w:r>
          </w:p>
        </w:tc>
        <w:tc>
          <w:tcPr>
            <w:tcW w:type="dxa" w:w="3331"/>
            <w:vAlign w:val="top"/>
          </w:tcPr>
          <w:p>
            <w:pPr>
              <w:spacing w:before="20" w:after="20"/>
            </w:pPr>
            <w:r>
              <w:rPr>
                <w:sz w:val="16"/>
                <w:szCs w:val="16"/>
              </w:rPr>
              <w:t>Administrative / evidentiary</w:t>
            </w:r>
          </w:p>
        </w:tc>
        <w:tc>
          <w:tcPr>
            <w:tcW w:type="dxa" w:w="3332"/>
            <w:vAlign w:val="top"/>
          </w:tcPr>
          <w:p>
            <w:pPr>
              <w:spacing w:before="20" w:after="20"/>
            </w:pPr>
            <w:r>
              <w:rPr>
                <w:sz w:val="16"/>
                <w:szCs w:val="16"/>
              </w:rPr>
              <w:t>Reference to the last valid controlled state during a dispute.</w:t>
            </w:r>
          </w:p>
        </w:tc>
      </w:tr>
      <w:tr>
        <w:tc>
          <w:tcPr>
            <w:tcW w:type="dxa" w:w="3331"/>
            <w:vAlign w:val="top"/>
          </w:tcPr>
          <w:p>
            <w:pPr>
              <w:spacing w:before="20" w:after="20"/>
            </w:pPr>
            <w:r>
              <w:rPr>
                <w:sz w:val="16"/>
                <w:szCs w:val="16"/>
              </w:rPr>
              <w:t>CorrectionHistoryReference</w:t>
            </w:r>
          </w:p>
        </w:tc>
        <w:tc>
          <w:tcPr>
            <w:tcW w:type="dxa" w:w="3331"/>
            <w:vAlign w:val="top"/>
          </w:tcPr>
          <w:p>
            <w:pPr>
              <w:spacing w:before="20" w:after="20"/>
            </w:pPr>
            <w:r>
              <w:rPr>
                <w:sz w:val="16"/>
                <w:szCs w:val="16"/>
              </w:rPr>
              <w:t>Navigational</w:t>
            </w:r>
          </w:p>
        </w:tc>
        <w:tc>
          <w:tcPr>
            <w:tcW w:type="dxa" w:w="3332"/>
            <w:vAlign w:val="top"/>
          </w:tcPr>
          <w:p>
            <w:pPr>
              <w:spacing w:before="20" w:after="20"/>
            </w:pPr>
            <w:r>
              <w:rPr>
                <w:sz w:val="16"/>
                <w:szCs w:val="16"/>
              </w:rPr>
              <w:t>Append-only correction and change history.</w:t>
            </w:r>
          </w:p>
        </w:tc>
      </w:tr>
      <w:tr>
        <w:tc>
          <w:tcPr>
            <w:tcW w:type="dxa" w:w="3331"/>
            <w:vAlign w:val="top"/>
          </w:tcPr>
          <w:p>
            <w:pPr>
              <w:spacing w:before="20" w:after="20"/>
            </w:pPr>
            <w:r>
              <w:rPr>
                <w:sz w:val="16"/>
                <w:szCs w:val="16"/>
              </w:rPr>
              <w:t>PublicationManifestReference</w:t>
            </w:r>
          </w:p>
        </w:tc>
        <w:tc>
          <w:tcPr>
            <w:tcW w:type="dxa" w:w="3331"/>
            <w:vAlign w:val="top"/>
          </w:tcPr>
          <w:p>
            <w:pPr>
              <w:spacing w:before="20" w:after="20"/>
            </w:pPr>
            <w:r>
              <w:rPr>
                <w:sz w:val="16"/>
                <w:szCs w:val="16"/>
              </w:rPr>
              <w:t>Navigational</w:t>
            </w:r>
          </w:p>
        </w:tc>
        <w:tc>
          <w:tcPr>
            <w:tcW w:type="dxa" w:w="3332"/>
            <w:vAlign w:val="top"/>
          </w:tcPr>
          <w:p>
            <w:pPr>
              <w:spacing w:before="20" w:after="20"/>
            </w:pPr>
            <w:r>
              <w:rPr>
                <w:sz w:val="16"/>
                <w:szCs w:val="16"/>
              </w:rPr>
              <w:t>Dataset/schema release and source-manifest reference.</w:t>
            </w:r>
          </w:p>
        </w:tc>
      </w:tr>
    </w:tbl>
    <w:p>
      <w:pPr/>
      <w:r>
        <w:t xml:space="preserve">Twelve Articles and forty-eight four-sentence operative clauses establish the managed-access state machine, with controlled product-specific population deferred until authoritative data and legal dependencies are verified.</w:t>
      </w:r>
    </w:p>
    <w:p>
      <w:pPr>
        <w:pStyle w:val="Heading1"/>
      </w:pPr>
      <w:bookmarkStart w:id="1731" w:name="NAATOC_0166"/>
      <w:bookmarkStart w:id="1166" w:name="toc_Annex_E___Synchronized_Recipro"/>
      <w:r>
        <w:t>Annex E - Synchronized Reciprocity and Activation Schedule</w:t>
      </w:r>
      <w:bookmarkEnd w:id="1166"/>
      <w:bookmarkEnd w:id="1731"/>
    </w:p>
    <w:p>
      <w:pPr/>
      <w:r>
        <w:t xml:space="preserve">Annex E operationalizes the express synchronization architecture of Chapter 8 without creating new reciprocity obligations, concessions, tariffs, tariff-rate quotas, vesting rights, remedies, or amendment authority. Product-specific synchronization sets remain controlled adoption decisions, and any source-dependent field within an adopted set retains the applicable verification state until supported by the controlling evidence.</w:t>
      </w:r>
    </w:p>
    <w:p>
      <w:pPr>
        <w:pStyle w:val="Heading2"/>
      </w:pPr>
      <w:bookmarkStart w:id="1732" w:name="NAATOC_0167"/>
      <w:bookmarkStart w:id="1167" w:name="toc_E_1___Purpose__Scope_and_Legal"/>
      <w:r>
        <w:t xml:space="preserve">Article E.1 - Purpose, Scope, and Legal Character</w:t>
      </w:r>
      <w:bookmarkEnd w:id="1167"/>
      <w:bookmarkEnd w:id="1732"/>
    </w:p>
    <w:p>
      <w:pPr/>
      <w:r>
        <w:t>E.1.1 Annex E is the controlled schedule for synchronized reciprocity, Material Performance measurement, activation, Deferred Activation, catch-up, and re-synchronization expressly governed by Chapter 8. It records whether predefined synchronization conditions and milestones have occurred and identifies the legal consequence already assigned by the controlling Compact provision. Annex E does not create reciprocity, invent a concession, or determine an obligation merely because two or more measures appear economically comparable. Independence remains the default where Chapter 8 and an operative Annex E record do not expressly establish synchronization.</w:t>
      </w:r>
    </w:p>
    <w:p>
      <w:pPr/>
      <w:r>
        <w:t>E.1.2 Annex E creates no tariff concession, tariff-rate quota, Managed-Access Field, Vesting Tranche, Zero-Line Status, retaliation authority, dispute jurisdiction, or amendment power. Annex B owns tariff truth, Annex C owns sensitive-sector transition, Annex D owns managed-access administration and vesting records, and Annex F owns durable completion status. The substantive Chapter continues to own the legal treatment produced after activation. Annex E functions only as the activation and synchronization bridge assigned by Chapter 8.</w:t>
      </w:r>
    </w:p>
    <w:p>
      <w:pPr/>
      <w:r>
        <w:t>E.1.3 Material Performance, Minor Technical Delay, Deferred Activation, Catch-Up Procedure, and re-synchronization have the meanings and legal effects assigned by Chapter 8 and other controlling provisions of the Compact. Annex E records the applicable criteria, measurements, events, and resulting status without redefining those concepts. A schedule field, database label, administrative note, political statement, committee expectation, or historical practice does not enlarge their legal meaning. Where Annex E and an operative Chapter conflict, the operative Chapter controls and the schedule is corrected through the Compact's controlled correction architecture.</w:t>
      </w:r>
    </w:p>
    <w:p>
      <w:pPr/>
      <w:r>
        <w:t>E.1.4 Annex E supports bilateral paired synchronization and trilateral synchronized sets only within the legal perimeter expressly established for each record. A bilateral set binds only its participating Parties and does not impose a reciprocal obligation on the third Party. A trilateral set requires the expressly identified three-Party architecture and does not arise from parallel unilateral action. Product, tranche, sector, or Party boundaries are not expanded by analogy, commercial similarity, indirect benefit, or administrative convenience.</w:t>
      </w:r>
    </w:p>
    <w:p>
      <w:pPr>
        <w:pStyle w:val="Heading2"/>
      </w:pPr>
      <w:bookmarkStart w:id="1733" w:name="NAATOC_0168"/>
      <w:bookmarkStart w:id="1168" w:name="toc_E_2___Record_Architecture_and_"/>
      <w:r>
        <w:t xml:space="preserve">Article E.2 - Record Architecture and Persistent Identity</w:t>
      </w:r>
      <w:bookmarkEnd w:id="1168"/>
      <w:bookmarkEnd w:id="1733"/>
    </w:p>
    <w:p>
      <w:pPr/>
      <w:r>
        <w:t>E.2.1 Each synchronized arrangement receives a persistent SynchronizationRecordID that survives administrative updates, nomenclature changes, verification activity, and later historical retention. Each legally distinct milestone receives a MilestoneRecordID, each condition receives a ConditionRecordID, and logically grouped conditions receive a ConditionGroupID. AssessmentRecordID identifies a particular controlled assessment of one or more conditions, while ActivationRecordID identifies the administrative record of an activation event. These identifiers preserve legal ancestry without making record creation constitutive of the underlying legal event.</w:t>
      </w:r>
    </w:p>
    <w:p>
      <w:pPr/>
      <w:r>
        <w:t>E.2.2 Each record links to the applicable ProductRecordID and, where relevant, TariffScheduleRecordID, SensitiveTransitionRecordID, ManagedAccessRecordID, and AnnexFStatusReference. A synchronization record identifies the participating Party, counterparty or counterparties, bilateral or trilateral set, substantive Chapter socket, and the precise treatment whose future activation is synchronized. Cross-links use persistent identities rather than tariff descriptions alone. A broken cross-link remains a controlled defect and does not authorize an inferred replacement.</w:t>
      </w:r>
    </w:p>
    <w:p>
      <w:pPr/>
      <w:r>
        <w:t>E.2.3 Every legally material state uses RecordVersionID, ValidFrom, and ValidTo so prior controlled states remain reconstructable. OriginalCommencementDate, ScheduledMilestoneDate, ObservedEventDate, VerificationDate, ActivationDate, and AdministrativeRecordingDate remain separate temporal fields and are not substituted for one another. Correction preserves the prior version and identifies the reason, authority, and effective scope of the change. Historical versions remain append-only evidence of the schedule state that existed at the relevant time.</w:t>
      </w:r>
    </w:p>
    <w:p>
      <w:pPr/>
      <w:r>
        <w:t>E.2.4 Condition, milestone, assessment, activation, verification, dispute, performance, asymmetry, and administrative lifecycle statuses remain separate axes and are recorded in distinct controlled fields. Pending verification does not mean a condition failed, a dispute does not mean activation was suspended, and an archived record does not mean the underlying right expired. Derived record status follows the field-level verification architecture assigned by Chapter 3 and does not overwrite substantive legal state. No blank field, default value, or status-label collision supplies a missing legal condition or consequence.</w:t>
      </w:r>
    </w:p>
    <w:p>
      <w:pPr>
        <w:pStyle w:val="Heading2"/>
      </w:pPr>
      <w:bookmarkStart w:id="1734" w:name="NAATOC_0169"/>
      <w:bookmarkStart w:id="1169" w:name="toc_E_3___Milestone_Establishment_"/>
      <w:r>
        <w:t xml:space="preserve">Article E.3 - Milestone Establishment and Legal Source</w:t>
      </w:r>
      <w:bookmarkEnd w:id="1169"/>
      <w:bookmarkEnd w:id="1734"/>
    </w:p>
    <w:p>
      <w:pPr/>
      <w:r>
        <w:t>E.3.1 Every Synchronization Milestone and Synchronization Condition traces to an operative Compact provision and a legally valid Annex E synchronization entry. The record identifies the LegalBasisCitation, OperativeProvision, substantive treatment, participating Parties, and affected product or tranche. Political statements, committee expectations, negotiating history, repeated practice, database entries, non-objection, silence, or an asserted spirit of reciprocity do not create a milestone. A proposed synchronization arrangement remains legally nonexistent until established through the authority required by the Compact.</w:t>
      </w:r>
    </w:p>
    <w:p>
      <w:pPr/>
      <w:r>
        <w:t>E.3.2 Annex E distinguishes a legal milestone from an administrative target, a reciprocal condition from a unilateral reform, and Material Performance from the consequence that follows it. It separately identifies automatic activation and any activation that another operative provision lawfully makes dependent on a further legal event. Administrative implementation after activation does not move the legal activation instant. A delayed record therefore cannot convert timely substantive performance into late performance.</w:t>
      </w:r>
    </w:p>
    <w:p>
      <w:pPr/>
      <w:r>
        <w:t>E.3.3 A synchronized set contains only the Parties, Product Records, treatments, tranches, conditions, measurement rules, and consequences expressly assigned to that set. Performance concerning another product, sector, Party, or synchronized set does not offset an unsatisfied condition unless the controlling provision expressly authorizes that equivalence. The same governmental act is not counted more than once toward distinct conditions unless the governing architecture expressly permits cumulative credit. These controls prevent cross-product offsetting, cross-sector offsetting, tolerance banking, and double counting from manufacturing Material Performance.</w:t>
      </w:r>
    </w:p>
    <w:p>
      <w:pPr/>
      <w:r>
        <w:t>E.3.4 A missing, defective, disputed, or technically indeterminate Annex E entry does not create an implied hold on an otherwise independent schedule. The last valid synchronized arrangement continues only to the extent its legal perimeter and operative content remain determinate. A proposed correction does not become renegotiation, and a proposed substantive change does not suspend the existing legal state. Substantive alteration requires Article 30.19 formal substantive amendment unless the proposed action fits an independently authorized Chapter 29 acceleration or technical-amendment lane.</w:t>
      </w:r>
    </w:p>
    <w:p>
      <w:pPr>
        <w:pStyle w:val="Heading2"/>
      </w:pPr>
      <w:bookmarkStart w:id="1735" w:name="NAATOC_0170"/>
      <w:bookmarkStart w:id="1170" w:name="toc_E_4___Condition_Logic__Measure"/>
      <w:r>
        <w:t xml:space="preserve">Article E.4 - Condition Logic, Measurement, and Assessment</w:t>
      </w:r>
      <w:bookmarkEnd w:id="1170"/>
      <w:bookmarkEnd w:id="1735"/>
    </w:p>
    <w:p>
      <w:pPr/>
      <w:r>
        <w:t>E.4.1 Each Synchronization Condition is objectively testable and identifies its ConditionType, MeasurementMethod, MeasurementUnit, ReferencePeriod, AssessmentPoint, data source, and any required threshold. Quantitative conditions identify numerator, denominator, conversion, rounding, and baseline rules where those elements affect the result. Qualitative conditions use objective criteria capable of documented assessment rather than open-ended policy judgment. A measurement field remains Pending Verification where the required evidence is unavailable or conflicting rather than receiving an inferred value.</w:t>
      </w:r>
    </w:p>
    <w:p>
      <w:pPr/>
      <w:r>
        <w:t>E.4.2 ConditionGroupID organizes conditions that operate together, and ConditionLogicOperator records AND, OR, NOT, conditional, or another expressly defined deterministic relationship. ConditionSequenceOrdinal records order only where legal sequence matters, while AlternativeRouteID distinguishes independent routes capable of satisfying the same milestone. A mandatory component does not become optional through implementation practice, and an alternative route does not become cumulative by administrative interpretation. ExceptionCondition and ConditionalTrigger fields identify the precise scope of any lawful exception or conditional branch.</w:t>
      </w:r>
    </w:p>
    <w:p>
      <w:pPr/>
      <w:r>
        <w:t>E.4.3 A tolerance exists only where Chapter 8 or another operative provision expressly authorizes it for the identified product, obligation, or synchronized set. Annex E records the numerical tolerance, measurement basis, period, and legal effect without creating a universal or transferable tolerance. Unused tolerance does not accumulate, transfer across products or Parties, or become a credit against another condition. A temporary discrepancy outside an authorized tolerance remains distinct from a Minor Technical Delay or another separately defined corrective state.</w:t>
      </w:r>
    </w:p>
    <w:p>
      <w:pPr/>
      <w:r>
        <w:t>E.4.4 AssessmentRecordID records the observed value or factual condition at the applicable AssessmentPoint and links to the EvidenceEventID and field-level provenance supporting that observation. EvidenceEventID identifies the factual event relied upon without turning Annex E into a repository for all underlying evidence. Assessment records distinguish occurrence, measurement, verification, and legal significance so the act of assessment does not itself create performance. Chapter 17 and Chapter 18 retain their assigned verification and technical-review functions.</w:t>
      </w:r>
    </w:p>
    <w:p>
      <w:pPr>
        <w:pStyle w:val="Heading2"/>
      </w:pPr>
      <w:bookmarkStart w:id="1736" w:name="NAATOC_0171"/>
      <w:bookmarkStart w:id="1171" w:name="toc_E_5___Party_Specific_Performan"/>
      <w:r>
        <w:t xml:space="preserve">Article E.5 - Party-Specific Performance and Asymmetry</w:t>
      </w:r>
      <w:bookmarkEnd w:id="1171"/>
      <w:bookmarkEnd w:id="1736"/>
    </w:p>
    <w:p>
      <w:pPr/>
      <w:r>
        <w:t>E.5.1 Annex E records performance separately for each Party, counterparty, product, tranche, milestone, condition, and assessment period within the synchronized set. Bilateral-set performance remains bilateral, and trilateral-set performance requires the three-Party architecture expressly assigned by Chapter 8. A Party's unilateral acceleration or more favorable treatment does not create an additional reciprocal obligation for another Party. Performance outside the legal perimeter remains relevant only if the controlling provision expressly makes it part of the measurement basis.</w:t>
      </w:r>
    </w:p>
    <w:p>
      <w:pPr/>
      <w:r>
        <w:t>E.5.2 AsymmetryStatus identifies whether participating Parties have reached the applicable synchronized state at different times and records any LeadingParty, LaggingParty, unmatched future treatment, and controlling catch-up route. Asymmetry is a factual and legal routing state rather than an independent breach determination. Annex E does not infer bad faith, breach, or remedy merely from a difference in timing. The consequence of material non-performance remains limited to the consequence assigned by Chapter 8 and the substantive Chapter.</w:t>
      </w:r>
    </w:p>
    <w:p>
      <w:pPr/>
      <w:r>
        <w:t>E.5.3 Administrative inaction cannot operate as an additional veto where the governing condition is objectively satisfied and activation is automatic. Withholding committee attendance, verification action, publication, registry entry, routine data processing, or political declaration does not postpone the legal activation instant unless the Compact expressly makes that act constitutive. A Party remains responsible for any substantive data-production or implementation obligation that forms part of the actual synchronization condition. The anti-hostage rule therefore removes administrative vetoes without excusing a legally required substantive act.</w:t>
      </w:r>
    </w:p>
    <w:p>
      <w:pPr/>
      <w:r>
        <w:t>E.5.4 Temporary waivers, emergency exemptions, discretionary forbearance, or other temporary measures neither establish nor defeat Material Performance merely because they are temporary. Annex E tests the measure against the controlling condition and records its actual legal and commercial effect. A temporary measure does not become permanent liberalization through performance laundering, and permanent performance does not become temporary merely because a separate overlay exists. The controlling Chapter determines whether the temporary measure itself constitutes performance, non-performance, or a legally neutral overlay.</w:t>
      </w:r>
    </w:p>
    <w:p>
      <w:pPr>
        <w:pStyle w:val="Heading2"/>
      </w:pPr>
      <w:bookmarkStart w:id="1737" w:name="NAATOC_0172"/>
      <w:bookmarkStart w:id="1172" w:name="toc_E_6___Material_Performance_and"/>
      <w:r>
        <w:t xml:space="preserve">Article E.6 - Material Performance and Activation</w:t>
      </w:r>
      <w:bookmarkEnd w:id="1172"/>
      <w:bookmarkEnd w:id="1737"/>
    </w:p>
    <w:p>
      <w:pPr/>
      <w:r>
        <w:t>E.6.1 Chapter 8 defines Material Performance and assigns the legal consequence of satisfying or failing the applicable requirement. Annex E records the objective weighting method, component measurements, authorized tolerance, and resulting performance state for the identified synchronized set. Weighting based on trade value, historical utilization, quantity, market significance, or another measure applies only where the controlling record lawfully assigns it. Annex E does not redesign the weighting method after observed commercial results are known.</w:t>
      </w:r>
    </w:p>
    <w:p>
      <w:pPr/>
      <w:r>
        <w:t>E.6.2 An Activation Event occurs at the legal instant the operative synchronization conditions assigned by Chapter 8 are satisfied. Activation is not conditioned on completion of ALVS processing, committee vote, publication, registry entry, political declaration, or a later verification finding unless another operative provision expressly supplies that condition. ActivationRecordID records the event, authority, affected treatment, and ActivationDate without creating the event. The substantive Chapter immediately owns the legal state produced by activation.</w:t>
      </w:r>
    </w:p>
    <w:p>
      <w:pPr/>
      <w:r>
        <w:t>E.6.3 ActivatedConsequenceReference identifies only the consequence already established by the substantive Chapter and does not permit Annex E to create a tariff, TRQ, vesting right, suspension, or remedy. Partial performance triggers only the consequence expressly assigned to the satisfied portion where the governing synchronized set makes partial activation severable. Partial performance does not trigger full activation merely because the remaining deficiency appears small. Full performance is not subjected to an additional unstated condition after the governing requirements are satisfied.</w:t>
      </w:r>
    </w:p>
    <w:p>
      <w:pPr/>
      <w:r>
        <w:t>E.6.4 ObservedEventDate, VerificationDate, ActivationDate, and AdministrativeRecordingDate remain independently recorded even when they coincide. Late verification or publication does not shift an objectively determinate legal event to the later administrative date. Where the operative provision lawfully requires a constitutive verification or decision, Annex E records that requirement expressly as part of the activation architecture. Silence never converts a non-constitutive administrative step into a constitutive one.</w:t>
      </w:r>
    </w:p>
    <w:p>
      <w:pPr>
        <w:pStyle w:val="Heading2"/>
      </w:pPr>
      <w:bookmarkStart w:id="1738" w:name="NAATOC_0173"/>
      <w:bookmarkStart w:id="1173" w:name="toc_E_7___Deferred_Activation__Cat"/>
      <w:r>
        <w:t xml:space="preserve">Article E.7 - Deferred Activation, Catch-Up, and Re-synchronization</w:t>
      </w:r>
      <w:bookmarkEnd w:id="1173"/>
      <w:bookmarkEnd w:id="1738"/>
    </w:p>
    <w:p>
      <w:pPr/>
      <w:r>
        <w:t>E.7.1 Deferred Activation applies only to the unmatched future treatment expressly assigned by Article 8.8 and the controlling synchronization record. The record identifies the affected future tranche or treatment, unmet substantive condition, date of the unmatched event, measurement basis, and CatchUpRoute. Deferred Activation does not reverse a completed tranche, enlarge a Managed-Access Field, recreate a tariff or TRQ, extinguish vested access, or reopen Zero-Line Status. Unrelated synchronized sets and independently due obligations remain outside the deferral.</w:t>
      </w:r>
    </w:p>
    <w:p>
      <w:pPr/>
      <w:r>
        <w:t>E.7.2 Catch-up records the completion of missing substantive performance and any implementation correction required by the controlling synchronized set. When the condition becomes satisfied, the affected treatment activates automatically at the resulting legal instant unless the Compact expressly requires another constitutive event. No second political bargain, committee release, ministerial declaration, or renegotiated concession is required. Activation terminates the corresponding deferral to the extent of the cured condition.</w:t>
      </w:r>
    </w:p>
    <w:p>
      <w:pPr/>
      <w:r>
        <w:t>E.7.3 Re-synchronization restores the affected treatment to its original trajectory and preserves OriginalCommencementDate and the controlling completion boundary. Catch-up does not create a new month-zero, re-age an existing obligation, reopen completed treatment, or manufacture a new extension right. ReSynchronizationRecord identifies the cure event, restored trajectory, remaining future synchronized stages, and any lawful prospective adjustment. Non-agreement on a prospective adjustment leaves the existing synchronized arrangement and underlying independent trajectories in force.</w:t>
      </w:r>
    </w:p>
    <w:p>
      <w:pPr/>
      <w:r>
        <w:t>E.7.4 Deferred activation, catch-up, and re-synchronization remain separate from cure and remedies under Chapters 25 and 26. Annex E records the applicable CureReference or DisputeReference without determining breach or creating a remedy. Ordinary catch-up may resolve the synchronization deficiency without transforming the matter into a broader dispute. An unresolved violation proceeds only through the Chapters assigned to consultation, cure, adjudication, and proportionate consequences.</w:t>
      </w:r>
    </w:p>
    <w:p>
      <w:pPr>
        <w:pStyle w:val="Heading2"/>
      </w:pPr>
      <w:bookmarkStart w:id="1739" w:name="NAATOC_0174"/>
      <w:bookmarkStart w:id="1174" w:name="toc_E_8___Clocks__Assessment_Point"/>
      <w:r>
        <w:t xml:space="preserve">Article E.8 - Clocks, Assessment Points, and Temporal Integrity</w:t>
      </w:r>
      <w:bookmarkEnd w:id="1174"/>
      <w:bookmarkEnd w:id="1739"/>
    </w:p>
    <w:p>
      <w:pPr/>
      <w:r>
        <w:t>E.8.1 OriginalCommencementDate is immutable for the synchronized trajectory unless an operative Compact provision expressly authorizes a substantive change. Administrative delay, re-synchronization, missed assessment, late verification, publication delay, registry outage, consultation, or committee inactivity does not reset or toll the clock by implication. A temporary measure, safeguard, SPS emergency, nomenclature change, product split, or product merger likewise does not alter the clock merely by occurring. Any authorized tolling, suspension, extension, or clock change identifies its express legal authority, scope, start, end, and resulting completion boundary.</w:t>
      </w:r>
    </w:p>
    <w:p>
      <w:pPr/>
      <w:r>
        <w:t>E.8.2 ScheduledMilestoneDate identifies the planned legal assessment or activation point, while AssessmentPeriodStart and AssessmentPeriodEnd identify the factual measurement window. ObservedEventDate records when the relevant event occurred, and VerificationDate records when the evidence was verified. A missed assessment point does not erase elapsed time or convert the later assessment into a new commencement event. Retroactive or prospective clock alteration cannot reach completed stages unless the Compact expressly supplies that authority.</w:t>
      </w:r>
    </w:p>
    <w:p>
      <w:pPr/>
      <w:r>
        <w:t>E.8.3 ClockOwnerReference identifies the substantive provision controlling the relevant timetable, and ClockStartEvidence identifies the event establishing commencement where factual confirmation is required. ClockStopEvidence is recorded only where the governing provision actually supplies a stop, suspension, completion, or expiry event. Annex E does not infer a clock stop from dispute, administrative incapacity, domestic litigation, technical outage, or political delay. ClockContinuityStatus records the resulting temporal state without becoming independent authority to alter it.</w:t>
      </w:r>
    </w:p>
    <w:p>
      <w:pPr/>
      <w:r>
        <w:t>E.8.4 A temporal dispute identifies the contested date, evidence, last valid controlled state, and applicable Chapter 18 or Chapter 26 route without freezing unrelated treatment. The objectively determinate legal state continues where the dispute concerns only later recording or verification. Where the operative state cannot be determined, interim administration follows the Compact's last-valid-record and dispute rules without manufacturing a new timetable. Resolution corrects the controlled record while preserving treatment that the governing law makes final or non-reversible.</w:t>
      </w:r>
    </w:p>
    <w:p>
      <w:pPr>
        <w:pStyle w:val="Heading2"/>
      </w:pPr>
      <w:bookmarkStart w:id="1740" w:name="NAATOC_0175"/>
      <w:bookmarkStart w:id="1175" w:name="toc_E_9___Temporary_Measures_and_O"/>
      <w:r>
        <w:t xml:space="preserve">Article E.9 - Temporary Measures and Overlays</w:t>
      </w:r>
      <w:bookmarkEnd w:id="1175"/>
      <w:bookmarkEnd w:id="1740"/>
    </w:p>
    <w:p>
      <w:pPr/>
      <w:r>
        <w:t>E.9.1 A TemporaryOverlayReference records a temporary measure separately from the underlying synchronization state. Each overlay identifies its legal authority, scope, start date, termination condition, restoration trigger, and affected Product Records or treatments. The overlay does not create a new baseline, milestone, concession, synchronization condition, or obligation merely because it temporarily changes commercial administration. Historical overlay records remain available after termination without preserving continuing authority.</w:t>
      </w:r>
    </w:p>
    <w:p>
      <w:pPr/>
      <w:r>
        <w:t>E.9.2 An overlay does not reset, re-age, or silently toll the underlying synchronization clock. It does not automatically count as performance, non-performance, satisfaction, or extinguishment of a condition. The controlling substantive and temporary-measure Chapters determine the overlay's legal interaction with the synchronized obligation. Annex E records that interaction and any resulting assessment effect without converting the overlay into a new reciprocity rule.</w:t>
      </w:r>
    </w:p>
    <w:p>
      <w:pPr/>
      <w:r>
        <w:t>E.9.3 Where an overlay exists before or after activation, Annex E separately records the underlying condition state, activation state, overlay state, and restoration state. A temporary restriction after completed activation does not reverse the historical activation or return the treatment to pre-activation status. Restoration returns administration to the legal state that would otherwise govern at the restoration instant. Any lawful temporary limitation remains confined to the authority and duration supplied by its controlling Chapter.</w:t>
      </w:r>
    </w:p>
    <w:p>
      <w:pPr/>
      <w:r>
        <w:t>E.9.4 Annex E cross-references relevant safeguards, food-security measures, SPS actions, anti-substitution measures, and other temporary authorities only where they actually intersect the synchronized set. Cross-reference does not transfer those Chapters' substantive authority into Annex E. A temporary-measure dispute follows the legal route assigned to that measure while the synchronization record preserves the underlying chronology. The same event is not counted twice as both a temporary overlay and a separate performance credit unless the governing provision expressly requires both legal characterizations.</w:t>
      </w:r>
    </w:p>
    <w:p>
      <w:pPr>
        <w:pStyle w:val="Heading2"/>
      </w:pPr>
      <w:bookmarkStart w:id="1741" w:name="NAATOC_0176"/>
      <w:bookmarkStart w:id="1176" w:name="toc_E_10___Verification__Correctio"/>
      <w:r>
        <w:t xml:space="preserve">Article E.10 - Verification, Correction, and Dispute State</w:t>
      </w:r>
      <w:bookmarkEnd w:id="1176"/>
      <w:bookmarkEnd w:id="1741"/>
    </w:p>
    <w:p>
      <w:pPr/>
      <w:r>
        <w:t>E.10.1 Verification confirms implementation evidence and measured facts within the functions assigned by Chapters 3, 17, and 18. It does not create activation, define Material Performance, postpone an automatic legal event, or reverse completed treatment merely because verification occurs later. FieldVerificationReference records the evidence and verification path applicable to each material field. RecordVerificationStatus is derived from the controlled field statuses and remains separate from performance, milestone, activation, dispute, and lifecycle states.</w:t>
      </w:r>
    </w:p>
    <w:p>
      <w:pPr/>
      <w:r>
        <w:t>E.10.2 A correction identifies whether it is metadata, clerical, technical, or substantive and follows the authority assigned by the Compact. Metadata and clerical correction cannot change legal effect, while technical correction preserves the controlling substantive bargain and historical state. A substantive change does not travel through the correction track and requires the applicable amendment or review authority. No correction backdates consent, creates a milestone, expands a synchronized set, or converts administrative practice into law.</w:t>
      </w:r>
    </w:p>
    <w:p>
      <w:pPr/>
      <w:r>
        <w:t>E.10.3 DisputeState and DisputeReference identify a contested condition, measurement, activation, or legal consequence without treating dispute itself as suspension. Technical questions route to Chapter 18 within its competence, legal disputes route to Chapter 26, and consultation or cure routes to Chapter 25 where assigned. Annex E creates no remedy and does not enlarge the consequence of an unresolved violation. Unrelated products, Parties, tranches, synchronized sets, vested rights, and completed treatment remain outside the dispute unless the controlling decision expressly reaches them.</w:t>
      </w:r>
    </w:p>
    <w:p>
      <w:pPr/>
      <w:r>
        <w:t>E.10.4 The schedule preserves the last valid controlled state, correction history, source provenance, and the specific fields under dispute. A disputed field does not contaminate unrelated verified fields merely because they share a record. Pending verification remains pending rather than being converted into failure or success by default. Resolution updates the affected controlled state prospectively or retrospectively only to the extent the governing legal authority permits.</w:t>
      </w:r>
    </w:p>
    <w:p>
      <w:pPr>
        <w:pStyle w:val="Heading2"/>
      </w:pPr>
      <w:bookmarkStart w:id="1742" w:name="NAATOC_0177"/>
      <w:bookmarkStart w:id="1177" w:name="toc_E_11___Anti_Hostage__Anti_Gami"/>
      <w:r>
        <w:t xml:space="preserve">Article E.11 - Anti-Hostage, Anti-Gaming, and Non-Circumvention</w:t>
      </w:r>
      <w:bookmarkEnd w:id="1177"/>
      <w:bookmarkEnd w:id="1742"/>
    </w:p>
    <w:p>
      <w:pPr/>
      <w:r>
        <w:t>E.11.1 No Party uses a non-constitutive administrative act as a veto over an objectively satisfied automatic activation condition. Withholding routine verification action, committee participation, publication, registry entry, administrative processing, or political declaration does not postpone activation where the Compact does not make that act legally necessary. This rule does not excuse failure to perform a substantive condition that itself requires data, notice, administration, or another affirmative act. Annex E distinguishes the substantive obligation from the administrative confirmation of its completion.</w:t>
      </w:r>
    </w:p>
    <w:p>
      <w:pPr/>
      <w:r>
        <w:t>E.11.2 A Party does not fragment, aggregate, sequence, reclassify, temporarily waive, or administratively relabel performance principally to manufacture apparent Material Performance while withholding the commercially significant substance of the synchronized obligation. Measurement follows the objective set perimeter, weighting method, and assessment basis fixed before the relevant result is known. Repeated near-miss performance, strategic underperformance, or artificial concentration is evaluated only through the Material Performance rules actually assigned by Chapter 8. Annex E does not create a free-standing intent test or penalty.</w:t>
      </w:r>
    </w:p>
    <w:p>
      <w:pPr/>
      <w:r>
        <w:t>E.11.3 One act satisfies one condition unless the controlling synchronized architecture expressly permits the same act to satisfy multiple conditions. Performance credit does not move across products, sectors, Parties, tranches, or synchronized sets without express authority. Unused tolerance is not banked, aggregated, transferred, or converted into future performance credit. Overperformance outside the deficient condition does not cure the deficiency merely because aggregate economic value appears comparable.</w:t>
      </w:r>
    </w:p>
    <w:p>
      <w:pPr/>
      <w:r>
        <w:t>E.11.4 Nomenclature changes, Product Record splits or mergers, database maintenance, discretionary waivers, emergency exemptions, or unpublished administrative practices do not alter the substantive synchronization bargain by themselves. Product identity and concordance follow Chapter 3 and the applicable Annex M architecture without resetting clocks or expanding legal perimeter. A technical change that reveals a genuine substantive ambiguity is flagged rather than resolved through administrative invention. Any substantive adjustment proceeds through the legal authority required by the Compact.</w:t>
      </w:r>
    </w:p>
    <w:p>
      <w:pPr>
        <w:pStyle w:val="Heading2"/>
      </w:pPr>
      <w:bookmarkStart w:id="1743" w:name="NAATOC_0178"/>
      <w:bookmarkStart w:id="1178" w:name="toc_E_12___Completion__Publication"/>
      <w:r>
        <w:t xml:space="preserve">Article E.12 - Completion, Publication, and Annex F Handoff</w:t>
      </w:r>
      <w:bookmarkEnd w:id="1178"/>
      <w:bookmarkEnd w:id="1743"/>
    </w:p>
    <w:p>
      <w:pPr/>
      <w:r>
        <w:t>E.12.1 Annex E publishes controlled synchronization, milestone, condition, assessment, activation, asymmetry, deferral, catch-up, re-synchronization, overlay, correction, verification, and dispute records in the form required by Chapter 22. Human-readable and machine-readable forms use stable identifiers and a version manifest sufficient to reconstruct the applicable historical state. Confidential business information and protected data remain subject to the Compact's confidentiality and data-governance rules. Publication and registry functions remain non-constitutive unless an operative provision expressly states otherwise.</w:t>
      </w:r>
    </w:p>
    <w:p>
      <w:pPr/>
      <w:r>
        <w:t>E.12.2 Registry omission, delayed publication, or an unavailable administrative system does not erase an objectively determinate legal event. Registry entry likewise does not create a synchronization condition, activation, concession, or legal consequence that the Compact does not otherwise supply. Superseded records remain historically traceable and are marked rather than deleted. Security, outage, and continuity procedures preserve the record without changing substantive rights.</w:t>
      </w:r>
    </w:p>
    <w:p>
      <w:pPr/>
      <w:r>
        <w:t>E.12.3 When the governing synchronization function for a treatment is complete, Annex E records the completion event and supplies the controlled historical references needed by Annex F. Annex F determines and records the durable completion status assigned to it by Chapter 9 and does not depend on Annex E inventing a new completion consequence. An unresolved verification or dispute is carried as a visible status without automatically vetoing a legal completion event that the controlling provision makes non-constitutive of verification. Temporary overlays remain separately identified and do not become part of the durable completed state merely through handoff.</w:t>
      </w:r>
    </w:p>
    <w:p>
      <w:pPr/>
      <w:r>
        <w:t>E.12.4 Annex E remains as historical evidence after handoff and does not disappear, reset, or retain a reversionary interest in treatment already activated. Completed activation remains governed by the substantive Chapter, while future synchronized stages continue under their own still-operative Annex E records. Historical retention supports auditability, correction, and later-stage administration without creating authority to reopen completed treatment. Product-specific population proceeds only from verified legal sources under the Compact's source, provenance, verification, and controlled-promotion architecture.</w:t>
      </w:r>
    </w:p>
    <w:p>
      <w:pPr>
        <w:pStyle w:val="Heading2"/>
      </w:pPr>
      <w:bookmarkStart w:id="1744" w:name="NAATOC_0179"/>
      <w:bookmarkStart w:id="1179" w:name="toc_Annex_E_Synchronized_Reciproci"/>
      <w:r>
        <w:t>Annex E Synchronized Reciprocity and Activation Schedule - Controlled Schema</w:t>
      </w:r>
      <w:bookmarkEnd w:id="1179"/>
      <w:bookmarkEnd w:id="1744"/>
    </w:p>
    <w:p>
      <w:pPr/>
      <w:r>
        <w:t>The controlled schema below defines the minimum record architecture for deterministic Annex E population. A field records only the function assigned to it and does not acquire substantive legal effect from database presence alone.</w:t>
      </w:r>
    </w:p>
    <w:tbl>
      <w:tblPr>
        <w:tblStyle w:val="TableGrid"/>
        <w:tblW w:type="dxa" w:w="9994"/>
        <w:jc w:val="center"/>
        <w:tblLayout w:type="fixed"/>
        <w:tblLook w:firstColumn="1" w:firstRow="1" w:lastColumn="0" w:lastRow="0" w:noHBand="0" w:noVBand="1" w:val="04A0"/>
      </w:tblPr>
      <w:tblGrid>
        <w:gridCol w:w="2295"/>
        <w:gridCol w:w="2147"/>
        <w:gridCol w:w="5552"/>
      </w:tblGrid>
      <w:tr>
        <w:trPr>
          <w:tblHeader w:val="true"/>
        </w:trPr>
        <w:tc>
          <w:tcPr>
            <w:tcW w:type="dxa" w:w="2295"/>
            <w:shd w:fill="D9EAF7"/>
            <w:vAlign w:val="center"/>
            <w:tcMar>
              <w:top w:w="70" w:type="dxa"/>
              <w:start w:w="70" w:type="dxa"/>
              <w:bottom w:w="70" w:type="dxa"/>
              <w:end w:w="70" w:type="dxa"/>
            </w:tcMar>
          </w:tcPr>
          <w:p>
            <w:pPr>
              <w:spacing w:before="20" w:after="20"/>
            </w:pPr>
            <w:r>
              <w:rPr>
                <w:sz w:val="16"/>
                <w:szCs w:val="16"/>
              </w:rPr>
              <w:t>Field</w:t>
            </w:r>
          </w:p>
        </w:tc>
        <w:tc>
          <w:tcPr>
            <w:tcW w:type="dxa" w:w="2147"/>
            <w:shd w:fill="D9EAF7"/>
            <w:vAlign w:val="center"/>
            <w:tcMar>
              <w:top w:w="70" w:type="dxa"/>
              <w:start w:w="70" w:type="dxa"/>
              <w:bottom w:w="70" w:type="dxa"/>
              <w:end w:w="70" w:type="dxa"/>
            </w:tcMar>
          </w:tcPr>
          <w:p>
            <w:pPr>
              <w:spacing w:before="20" w:after="20"/>
            </w:pPr>
            <w:r>
              <w:rPr>
                <w:sz w:val="16"/>
                <w:szCs w:val="16"/>
              </w:rPr>
              <w:t>Governance Class</w:t>
            </w:r>
          </w:p>
        </w:tc>
        <w:tc>
          <w:tcPr>
            <w:tcW w:type="dxa" w:w="5552"/>
            <w:shd w:fill="D9EAF7"/>
            <w:vAlign w:val="center"/>
            <w:tcMar>
              <w:top w:w="70" w:type="dxa"/>
              <w:start w:w="70" w:type="dxa"/>
              <w:bottom w:w="70" w:type="dxa"/>
              <w:end w:w="70" w:type="dxa"/>
            </w:tcMar>
          </w:tcPr>
          <w:p>
            <w:pPr>
              <w:spacing w:before="20" w:after="20"/>
            </w:pPr>
            <w:r>
              <w:rPr>
                <w:sz w:val="16"/>
                <w:szCs w:val="16"/>
              </w:rPr>
              <w:t>Controlled Function</w:t>
            </w:r>
          </w:p>
        </w:tc>
      </w:tr>
      <w:tr>
        <w:tc>
          <w:tcPr>
            <w:tcW w:type="dxa" w:w="2295"/>
            <w:vAlign w:val="top"/>
            <w:tcMar>
              <w:top w:w="70" w:type="dxa"/>
              <w:start w:w="70" w:type="dxa"/>
              <w:bottom w:w="70" w:type="dxa"/>
              <w:end w:w="70" w:type="dxa"/>
            </w:tcMar>
          </w:tcPr>
          <w:p>
            <w:pPr>
              <w:spacing w:before="20" w:after="20"/>
            </w:pPr>
            <w:r>
              <w:rPr>
                <w:sz w:val="16"/>
                <w:szCs w:val="16"/>
              </w:rPr>
              <w:t>SynchronizationRecordID</w:t>
            </w:r>
          </w:p>
        </w:tc>
        <w:tc>
          <w:tcPr>
            <w:tcW w:type="dxa" w:w="2147"/>
            <w:vAlign w:val="top"/>
            <w:tcMar>
              <w:top w:w="70" w:type="dxa"/>
              <w:start w:w="70" w:type="dxa"/>
              <w:bottom w:w="70" w:type="dxa"/>
              <w:end w:w="70" w:type="dxa"/>
            </w:tcMar>
          </w:tcPr>
          <w:p>
            <w:pPr>
              <w:spacing w:before="20" w:after="20"/>
            </w:pPr>
            <w:r>
              <w:rPr>
                <w:sz w:val="16"/>
                <w:szCs w:val="16"/>
              </w:rPr>
              <w:t>Persistent identity</w:t>
            </w:r>
          </w:p>
        </w:tc>
        <w:tc>
          <w:tcPr>
            <w:tcW w:type="dxa" w:w="5552"/>
            <w:vAlign w:val="top"/>
            <w:tcMar>
              <w:top w:w="70" w:type="dxa"/>
              <w:start w:w="70" w:type="dxa"/>
              <w:bottom w:w="70" w:type="dxa"/>
              <w:end w:w="70" w:type="dxa"/>
            </w:tcMar>
          </w:tcPr>
          <w:p>
            <w:pPr>
              <w:spacing w:before="20" w:after="20"/>
            </w:pPr>
            <w:r>
              <w:rPr>
                <w:sz w:val="16"/>
                <w:szCs w:val="16"/>
              </w:rPr>
              <w:t>Persistent identity of the synchronized set; survives versioning and administrative updates.</w:t>
            </w:r>
          </w:p>
        </w:tc>
      </w:tr>
      <w:tr>
        <w:tc>
          <w:tcPr>
            <w:tcW w:type="dxa" w:w="2295"/>
            <w:vAlign w:val="top"/>
            <w:tcMar>
              <w:top w:w="70" w:type="dxa"/>
              <w:start w:w="70" w:type="dxa"/>
              <w:bottom w:w="70" w:type="dxa"/>
              <w:end w:w="70" w:type="dxa"/>
            </w:tcMar>
          </w:tcPr>
          <w:p>
            <w:pPr>
              <w:spacing w:before="20" w:after="20"/>
            </w:pPr>
            <w:r>
              <w:rPr>
                <w:sz w:val="16"/>
                <w:szCs w:val="16"/>
              </w:rPr>
              <w:t>MilestoneRecordID</w:t>
            </w:r>
          </w:p>
        </w:tc>
        <w:tc>
          <w:tcPr>
            <w:tcW w:type="dxa" w:w="2147"/>
            <w:vAlign w:val="top"/>
            <w:tcMar>
              <w:top w:w="70" w:type="dxa"/>
              <w:start w:w="70" w:type="dxa"/>
              <w:bottom w:w="70" w:type="dxa"/>
              <w:end w:w="70" w:type="dxa"/>
            </w:tcMar>
          </w:tcPr>
          <w:p>
            <w:pPr>
              <w:spacing w:before="20" w:after="20"/>
            </w:pPr>
            <w:r>
              <w:rPr>
                <w:sz w:val="16"/>
                <w:szCs w:val="16"/>
              </w:rPr>
              <w:t>Persistent identity</w:t>
            </w:r>
          </w:p>
        </w:tc>
        <w:tc>
          <w:tcPr>
            <w:tcW w:type="dxa" w:w="5552"/>
            <w:vAlign w:val="top"/>
            <w:tcMar>
              <w:top w:w="70" w:type="dxa"/>
              <w:start w:w="70" w:type="dxa"/>
              <w:bottom w:w="70" w:type="dxa"/>
              <w:end w:w="70" w:type="dxa"/>
            </w:tcMar>
          </w:tcPr>
          <w:p>
            <w:pPr>
              <w:spacing w:before="20" w:after="20"/>
            </w:pPr>
            <w:r>
              <w:rPr>
                <w:sz w:val="16"/>
                <w:szCs w:val="16"/>
              </w:rPr>
              <w:t>Persistent identity of the legally defined synchronization milestone.</w:t>
            </w:r>
          </w:p>
        </w:tc>
      </w:tr>
      <w:tr>
        <w:tc>
          <w:tcPr>
            <w:tcW w:type="dxa" w:w="2295"/>
            <w:vAlign w:val="top"/>
            <w:tcMar>
              <w:top w:w="70" w:type="dxa"/>
              <w:start w:w="70" w:type="dxa"/>
              <w:bottom w:w="70" w:type="dxa"/>
              <w:end w:w="70" w:type="dxa"/>
            </w:tcMar>
          </w:tcPr>
          <w:p>
            <w:pPr>
              <w:spacing w:before="20" w:after="20"/>
            </w:pPr>
            <w:r>
              <w:rPr>
                <w:sz w:val="16"/>
                <w:szCs w:val="16"/>
              </w:rPr>
              <w:t>ConditionGroupID</w:t>
            </w:r>
          </w:p>
        </w:tc>
        <w:tc>
          <w:tcPr>
            <w:tcW w:type="dxa" w:w="2147"/>
            <w:vAlign w:val="top"/>
            <w:tcMar>
              <w:top w:w="70" w:type="dxa"/>
              <w:start w:w="70" w:type="dxa"/>
              <w:bottom w:w="70" w:type="dxa"/>
              <w:end w:w="70" w:type="dxa"/>
            </w:tcMar>
          </w:tcPr>
          <w:p>
            <w:pPr>
              <w:spacing w:before="20" w:after="20"/>
            </w:pPr>
            <w:r>
              <w:rPr>
                <w:sz w:val="16"/>
                <w:szCs w:val="16"/>
              </w:rPr>
              <w:t>Persistent identity</w:t>
            </w:r>
          </w:p>
        </w:tc>
        <w:tc>
          <w:tcPr>
            <w:tcW w:type="dxa" w:w="5552"/>
            <w:vAlign w:val="top"/>
            <w:tcMar>
              <w:top w:w="70" w:type="dxa"/>
              <w:start w:w="70" w:type="dxa"/>
              <w:bottom w:w="70" w:type="dxa"/>
              <w:end w:w="70" w:type="dxa"/>
            </w:tcMar>
          </w:tcPr>
          <w:p>
            <w:pPr>
              <w:spacing w:before="20" w:after="20"/>
            </w:pPr>
            <w:r>
              <w:rPr>
                <w:sz w:val="16"/>
                <w:szCs w:val="16"/>
              </w:rPr>
              <w:t>Groups conditions that operate together under deterministic logic.</w:t>
            </w:r>
          </w:p>
        </w:tc>
      </w:tr>
      <w:tr>
        <w:tc>
          <w:tcPr>
            <w:tcW w:type="dxa" w:w="2295"/>
            <w:vAlign w:val="top"/>
            <w:tcMar>
              <w:top w:w="70" w:type="dxa"/>
              <w:start w:w="70" w:type="dxa"/>
              <w:bottom w:w="70" w:type="dxa"/>
              <w:end w:w="70" w:type="dxa"/>
            </w:tcMar>
          </w:tcPr>
          <w:p>
            <w:pPr>
              <w:spacing w:before="20" w:after="20"/>
            </w:pPr>
            <w:r>
              <w:rPr>
                <w:sz w:val="16"/>
                <w:szCs w:val="16"/>
              </w:rPr>
              <w:t>ConditionRecordID</w:t>
            </w:r>
          </w:p>
        </w:tc>
        <w:tc>
          <w:tcPr>
            <w:tcW w:type="dxa" w:w="2147"/>
            <w:vAlign w:val="top"/>
            <w:tcMar>
              <w:top w:w="70" w:type="dxa"/>
              <w:start w:w="70" w:type="dxa"/>
              <w:bottom w:w="70" w:type="dxa"/>
              <w:end w:w="70" w:type="dxa"/>
            </w:tcMar>
          </w:tcPr>
          <w:p>
            <w:pPr>
              <w:spacing w:before="20" w:after="20"/>
            </w:pPr>
            <w:r>
              <w:rPr>
                <w:sz w:val="16"/>
                <w:szCs w:val="16"/>
              </w:rPr>
              <w:t>Persistent identity</w:t>
            </w:r>
          </w:p>
        </w:tc>
        <w:tc>
          <w:tcPr>
            <w:tcW w:type="dxa" w:w="5552"/>
            <w:vAlign w:val="top"/>
            <w:tcMar>
              <w:top w:w="70" w:type="dxa"/>
              <w:start w:w="70" w:type="dxa"/>
              <w:bottom w:w="70" w:type="dxa"/>
              <w:end w:w="70" w:type="dxa"/>
            </w:tcMar>
          </w:tcPr>
          <w:p>
            <w:pPr>
              <w:spacing w:before="20" w:after="20"/>
            </w:pPr>
            <w:r>
              <w:rPr>
                <w:sz w:val="16"/>
                <w:szCs w:val="16"/>
              </w:rPr>
              <w:t>Persistent identity of an atomic synchronization condition.</w:t>
            </w:r>
          </w:p>
        </w:tc>
      </w:tr>
      <w:tr>
        <w:tc>
          <w:tcPr>
            <w:tcW w:type="dxa" w:w="2295"/>
            <w:vAlign w:val="top"/>
            <w:tcMar>
              <w:top w:w="70" w:type="dxa"/>
              <w:start w:w="70" w:type="dxa"/>
              <w:bottom w:w="70" w:type="dxa"/>
              <w:end w:w="70" w:type="dxa"/>
            </w:tcMar>
          </w:tcPr>
          <w:p>
            <w:pPr>
              <w:spacing w:before="20" w:after="20"/>
            </w:pPr>
            <w:r>
              <w:rPr>
                <w:sz w:val="16"/>
                <w:szCs w:val="16"/>
              </w:rPr>
              <w:t>AssessmentRecordID</w:t>
            </w:r>
          </w:p>
        </w:tc>
        <w:tc>
          <w:tcPr>
            <w:tcW w:type="dxa" w:w="2147"/>
            <w:vAlign w:val="top"/>
            <w:tcMar>
              <w:top w:w="70" w:type="dxa"/>
              <w:start w:w="70" w:type="dxa"/>
              <w:bottom w:w="70" w:type="dxa"/>
              <w:end w:w="70" w:type="dxa"/>
            </w:tcMar>
          </w:tcPr>
          <w:p>
            <w:pPr>
              <w:spacing w:before="20" w:after="20"/>
            </w:pPr>
            <w:r>
              <w:rPr>
                <w:sz w:val="16"/>
                <w:szCs w:val="16"/>
              </w:rPr>
              <w:t>Persistent identity</w:t>
            </w:r>
          </w:p>
        </w:tc>
        <w:tc>
          <w:tcPr>
            <w:tcW w:type="dxa" w:w="5552"/>
            <w:vAlign w:val="top"/>
            <w:tcMar>
              <w:top w:w="70" w:type="dxa"/>
              <w:start w:w="70" w:type="dxa"/>
              <w:bottom w:w="70" w:type="dxa"/>
              <w:end w:w="70" w:type="dxa"/>
            </w:tcMar>
          </w:tcPr>
          <w:p>
            <w:pPr>
              <w:spacing w:before="20" w:after="20"/>
            </w:pPr>
            <w:r>
              <w:rPr>
                <w:sz w:val="16"/>
                <w:szCs w:val="16"/>
              </w:rPr>
              <w:t>Identifies a controlled assessment at a defined assessment point.</w:t>
            </w:r>
          </w:p>
        </w:tc>
      </w:tr>
      <w:tr>
        <w:tc>
          <w:tcPr>
            <w:tcW w:type="dxa" w:w="2295"/>
            <w:vAlign w:val="top"/>
            <w:tcMar>
              <w:top w:w="70" w:type="dxa"/>
              <w:start w:w="70" w:type="dxa"/>
              <w:bottom w:w="70" w:type="dxa"/>
              <w:end w:w="70" w:type="dxa"/>
            </w:tcMar>
          </w:tcPr>
          <w:p>
            <w:pPr>
              <w:spacing w:before="20" w:after="20"/>
            </w:pPr>
            <w:r>
              <w:rPr>
                <w:sz w:val="16"/>
                <w:szCs w:val="16"/>
              </w:rPr>
              <w:t>ActivationRecordID</w:t>
            </w:r>
          </w:p>
        </w:tc>
        <w:tc>
          <w:tcPr>
            <w:tcW w:type="dxa" w:w="2147"/>
            <w:vAlign w:val="top"/>
            <w:tcMar>
              <w:top w:w="70" w:type="dxa"/>
              <w:start w:w="70" w:type="dxa"/>
              <w:bottom w:w="70" w:type="dxa"/>
              <w:end w:w="70" w:type="dxa"/>
            </w:tcMar>
          </w:tcPr>
          <w:p>
            <w:pPr>
              <w:spacing w:before="20" w:after="20"/>
            </w:pPr>
            <w:r>
              <w:rPr>
                <w:sz w:val="16"/>
                <w:szCs w:val="16"/>
              </w:rPr>
              <w:t>Persistent identity</w:t>
            </w:r>
          </w:p>
        </w:tc>
        <w:tc>
          <w:tcPr>
            <w:tcW w:type="dxa" w:w="5552"/>
            <w:vAlign w:val="top"/>
            <w:tcMar>
              <w:top w:w="70" w:type="dxa"/>
              <w:start w:w="70" w:type="dxa"/>
              <w:bottom w:w="70" w:type="dxa"/>
              <w:end w:w="70" w:type="dxa"/>
            </w:tcMar>
          </w:tcPr>
          <w:p>
            <w:pPr>
              <w:spacing w:before="20" w:after="20"/>
            </w:pPr>
            <w:r>
              <w:rPr>
                <w:sz w:val="16"/>
                <w:szCs w:val="16"/>
              </w:rPr>
              <w:t>Identifies the administrative record of an activation event; non-constitutive unless expressly stated.</w:t>
            </w:r>
          </w:p>
        </w:tc>
      </w:tr>
      <w:tr>
        <w:tc>
          <w:tcPr>
            <w:tcW w:type="dxa" w:w="2295"/>
            <w:vAlign w:val="top"/>
            <w:tcMar>
              <w:top w:w="70" w:type="dxa"/>
              <w:start w:w="70" w:type="dxa"/>
              <w:bottom w:w="70" w:type="dxa"/>
              <w:end w:w="70" w:type="dxa"/>
            </w:tcMar>
          </w:tcPr>
          <w:p>
            <w:pPr>
              <w:spacing w:before="20" w:after="20"/>
            </w:pPr>
            <w:r>
              <w:rPr>
                <w:sz w:val="16"/>
                <w:szCs w:val="16"/>
              </w:rPr>
              <w:t>EvidenceEventID</w:t>
            </w:r>
          </w:p>
        </w:tc>
        <w:tc>
          <w:tcPr>
            <w:tcW w:type="dxa" w:w="2147"/>
            <w:vAlign w:val="top"/>
            <w:tcMar>
              <w:top w:w="70" w:type="dxa"/>
              <w:start w:w="70" w:type="dxa"/>
              <w:bottom w:w="70" w:type="dxa"/>
              <w:end w:w="70" w:type="dxa"/>
            </w:tcMar>
          </w:tcPr>
          <w:p>
            <w:pPr>
              <w:spacing w:before="20" w:after="20"/>
            </w:pPr>
            <w:r>
              <w:rPr>
                <w:sz w:val="16"/>
                <w:szCs w:val="16"/>
              </w:rPr>
              <w:t>Evidence reference</w:t>
            </w:r>
          </w:p>
        </w:tc>
        <w:tc>
          <w:tcPr>
            <w:tcW w:type="dxa" w:w="5552"/>
            <w:vAlign w:val="top"/>
            <w:tcMar>
              <w:top w:w="70" w:type="dxa"/>
              <w:start w:w="70" w:type="dxa"/>
              <w:bottom w:w="70" w:type="dxa"/>
              <w:end w:w="70" w:type="dxa"/>
            </w:tcMar>
          </w:tcPr>
          <w:p>
            <w:pPr>
              <w:spacing w:before="20" w:after="20"/>
            </w:pPr>
            <w:r>
              <w:rPr>
                <w:sz w:val="16"/>
                <w:szCs w:val="16"/>
              </w:rPr>
              <w:t>Identifies the factual event supporting an assessment without storing the entire evidentiary record.</w:t>
            </w:r>
          </w:p>
        </w:tc>
      </w:tr>
      <w:tr>
        <w:tc>
          <w:tcPr>
            <w:tcW w:type="dxa" w:w="2295"/>
            <w:vAlign w:val="top"/>
            <w:tcMar>
              <w:top w:w="70" w:type="dxa"/>
              <w:start w:w="70" w:type="dxa"/>
              <w:bottom w:w="70" w:type="dxa"/>
              <w:end w:w="70" w:type="dxa"/>
            </w:tcMar>
          </w:tcPr>
          <w:p>
            <w:pPr>
              <w:spacing w:before="20" w:after="20"/>
            </w:pPr>
            <w:r>
              <w:rPr>
                <w:sz w:val="16"/>
                <w:szCs w:val="16"/>
              </w:rPr>
              <w:t>ProductRecordID</w:t>
            </w:r>
          </w:p>
        </w:tc>
        <w:tc>
          <w:tcPr>
            <w:tcW w:type="dxa" w:w="2147"/>
            <w:vAlign w:val="top"/>
            <w:tcMar>
              <w:top w:w="70" w:type="dxa"/>
              <w:start w:w="70" w:type="dxa"/>
              <w:bottom w:w="70" w:type="dxa"/>
              <w:end w:w="70" w:type="dxa"/>
            </w:tcMar>
          </w:tcPr>
          <w:p>
            <w:pPr>
              <w:spacing w:before="20" w:after="20"/>
            </w:pPr>
            <w:r>
              <w:rPr>
                <w:sz w:val="16"/>
                <w:szCs w:val="16"/>
              </w:rPr>
              <w:t>Cross-annex identity</w:t>
            </w:r>
          </w:p>
        </w:tc>
        <w:tc>
          <w:tcPr>
            <w:tcW w:type="dxa" w:w="5552"/>
            <w:vAlign w:val="top"/>
            <w:tcMar>
              <w:top w:w="70" w:type="dxa"/>
              <w:start w:w="70" w:type="dxa"/>
              <w:bottom w:w="70" w:type="dxa"/>
              <w:end w:w="70" w:type="dxa"/>
            </w:tcMar>
          </w:tcPr>
          <w:p>
            <w:pPr>
              <w:spacing w:before="20" w:after="20"/>
            </w:pPr>
            <w:r>
              <w:rPr>
                <w:sz w:val="16"/>
                <w:szCs w:val="16"/>
              </w:rPr>
              <w:t>Persistent Annex A product identity.</w:t>
            </w:r>
          </w:p>
        </w:tc>
      </w:tr>
      <w:tr>
        <w:tc>
          <w:tcPr>
            <w:tcW w:type="dxa" w:w="2295"/>
            <w:vAlign w:val="top"/>
            <w:tcMar>
              <w:top w:w="70" w:type="dxa"/>
              <w:start w:w="70" w:type="dxa"/>
              <w:bottom w:w="70" w:type="dxa"/>
              <w:end w:w="70" w:type="dxa"/>
            </w:tcMar>
          </w:tcPr>
          <w:p>
            <w:pPr>
              <w:spacing w:before="20" w:after="20"/>
            </w:pPr>
            <w:r>
              <w:rPr>
                <w:sz w:val="16"/>
                <w:szCs w:val="16"/>
              </w:rPr>
              <w:t>TariffScheduleRecordID</w:t>
            </w:r>
          </w:p>
        </w:tc>
        <w:tc>
          <w:tcPr>
            <w:tcW w:type="dxa" w:w="2147"/>
            <w:vAlign w:val="top"/>
            <w:tcMar>
              <w:top w:w="70" w:type="dxa"/>
              <w:start w:w="70" w:type="dxa"/>
              <w:bottom w:w="70" w:type="dxa"/>
              <w:end w:w="70" w:type="dxa"/>
            </w:tcMar>
          </w:tcPr>
          <w:p>
            <w:pPr>
              <w:spacing w:before="20" w:after="20"/>
            </w:pPr>
            <w:r>
              <w:rPr>
                <w:sz w:val="16"/>
                <w:szCs w:val="16"/>
              </w:rPr>
              <w:t>Cross-annex reference</w:t>
            </w:r>
          </w:p>
        </w:tc>
        <w:tc>
          <w:tcPr>
            <w:tcW w:type="dxa" w:w="5552"/>
            <w:vAlign w:val="top"/>
            <w:tcMar>
              <w:top w:w="70" w:type="dxa"/>
              <w:start w:w="70" w:type="dxa"/>
              <w:bottom w:w="70" w:type="dxa"/>
              <w:end w:w="70" w:type="dxa"/>
            </w:tcMar>
          </w:tcPr>
          <w:p>
            <w:pPr>
              <w:spacing w:before="20" w:after="20"/>
            </w:pPr>
            <w:r>
              <w:rPr>
                <w:sz w:val="16"/>
                <w:szCs w:val="16"/>
              </w:rPr>
              <w:t>Relevant Annex B tariff-state record where applicable.</w:t>
            </w:r>
          </w:p>
        </w:tc>
      </w:tr>
      <w:tr>
        <w:tc>
          <w:tcPr>
            <w:tcW w:type="dxa" w:w="2295"/>
            <w:vAlign w:val="top"/>
            <w:tcMar>
              <w:top w:w="70" w:type="dxa"/>
              <w:start w:w="70" w:type="dxa"/>
              <w:bottom w:w="70" w:type="dxa"/>
              <w:end w:w="70" w:type="dxa"/>
            </w:tcMar>
          </w:tcPr>
          <w:p>
            <w:pPr>
              <w:spacing w:before="20" w:after="20"/>
            </w:pPr>
            <w:r>
              <w:rPr>
                <w:sz w:val="16"/>
                <w:szCs w:val="16"/>
              </w:rPr>
              <w:t>SensitiveTransitionRecordID</w:t>
            </w:r>
          </w:p>
        </w:tc>
        <w:tc>
          <w:tcPr>
            <w:tcW w:type="dxa" w:w="2147"/>
            <w:vAlign w:val="top"/>
            <w:tcMar>
              <w:top w:w="70" w:type="dxa"/>
              <w:start w:w="70" w:type="dxa"/>
              <w:bottom w:w="70" w:type="dxa"/>
              <w:end w:w="70" w:type="dxa"/>
            </w:tcMar>
          </w:tcPr>
          <w:p>
            <w:pPr>
              <w:spacing w:before="20" w:after="20"/>
            </w:pPr>
            <w:r>
              <w:rPr>
                <w:sz w:val="16"/>
                <w:szCs w:val="16"/>
              </w:rPr>
              <w:t>Cross-annex reference</w:t>
            </w:r>
          </w:p>
        </w:tc>
        <w:tc>
          <w:tcPr>
            <w:tcW w:type="dxa" w:w="5552"/>
            <w:vAlign w:val="top"/>
            <w:tcMar>
              <w:top w:w="70" w:type="dxa"/>
              <w:start w:w="70" w:type="dxa"/>
              <w:bottom w:w="70" w:type="dxa"/>
              <w:end w:w="70" w:type="dxa"/>
            </w:tcMar>
          </w:tcPr>
          <w:p>
            <w:pPr>
              <w:spacing w:before="20" w:after="20"/>
            </w:pPr>
            <w:r>
              <w:rPr>
                <w:sz w:val="16"/>
                <w:szCs w:val="16"/>
              </w:rPr>
              <w:t>Relevant Annex C transition record where applicable.</w:t>
            </w:r>
          </w:p>
        </w:tc>
      </w:tr>
      <w:tr>
        <w:tc>
          <w:tcPr>
            <w:tcW w:type="dxa" w:w="2295"/>
            <w:vAlign w:val="top"/>
            <w:tcMar>
              <w:top w:w="70" w:type="dxa"/>
              <w:start w:w="70" w:type="dxa"/>
              <w:bottom w:w="70" w:type="dxa"/>
              <w:end w:w="70" w:type="dxa"/>
            </w:tcMar>
          </w:tcPr>
          <w:p>
            <w:pPr>
              <w:spacing w:before="20" w:after="20"/>
            </w:pPr>
            <w:r>
              <w:rPr>
                <w:sz w:val="16"/>
                <w:szCs w:val="16"/>
              </w:rPr>
              <w:t>ManagedAccessRecordID</w:t>
            </w:r>
          </w:p>
        </w:tc>
        <w:tc>
          <w:tcPr>
            <w:tcW w:type="dxa" w:w="2147"/>
            <w:vAlign w:val="top"/>
            <w:tcMar>
              <w:top w:w="70" w:type="dxa"/>
              <w:start w:w="70" w:type="dxa"/>
              <w:bottom w:w="70" w:type="dxa"/>
              <w:end w:w="70" w:type="dxa"/>
            </w:tcMar>
          </w:tcPr>
          <w:p>
            <w:pPr>
              <w:spacing w:before="20" w:after="20"/>
            </w:pPr>
            <w:r>
              <w:rPr>
                <w:sz w:val="16"/>
                <w:szCs w:val="16"/>
              </w:rPr>
              <w:t>Cross-annex reference</w:t>
            </w:r>
          </w:p>
        </w:tc>
        <w:tc>
          <w:tcPr>
            <w:tcW w:type="dxa" w:w="5552"/>
            <w:vAlign w:val="top"/>
            <w:tcMar>
              <w:top w:w="70" w:type="dxa"/>
              <w:start w:w="70" w:type="dxa"/>
              <w:bottom w:w="70" w:type="dxa"/>
              <w:end w:w="70" w:type="dxa"/>
            </w:tcMar>
          </w:tcPr>
          <w:p>
            <w:pPr>
              <w:spacing w:before="20" w:after="20"/>
            </w:pPr>
            <w:r>
              <w:rPr>
                <w:sz w:val="16"/>
                <w:szCs w:val="16"/>
              </w:rPr>
              <w:t>Relevant Annex D managed-access record where applicable.</w:t>
            </w:r>
          </w:p>
        </w:tc>
      </w:tr>
      <w:tr>
        <w:tc>
          <w:tcPr>
            <w:tcW w:type="dxa" w:w="2295"/>
            <w:vAlign w:val="top"/>
            <w:tcMar>
              <w:top w:w="70" w:type="dxa"/>
              <w:start w:w="70" w:type="dxa"/>
              <w:bottom w:w="70" w:type="dxa"/>
              <w:end w:w="70" w:type="dxa"/>
            </w:tcMar>
          </w:tcPr>
          <w:p>
            <w:pPr>
              <w:spacing w:before="20" w:after="20"/>
            </w:pPr>
            <w:r>
              <w:rPr>
                <w:sz w:val="16"/>
                <w:szCs w:val="16"/>
              </w:rPr>
              <w:t>AnnexFStatusReference</w:t>
            </w:r>
          </w:p>
        </w:tc>
        <w:tc>
          <w:tcPr>
            <w:tcW w:type="dxa" w:w="2147"/>
            <w:vAlign w:val="top"/>
            <w:tcMar>
              <w:top w:w="70" w:type="dxa"/>
              <w:start w:w="70" w:type="dxa"/>
              <w:bottom w:w="70" w:type="dxa"/>
              <w:end w:w="70" w:type="dxa"/>
            </w:tcMar>
          </w:tcPr>
          <w:p>
            <w:pPr>
              <w:spacing w:before="20" w:after="20"/>
            </w:pPr>
            <w:r>
              <w:rPr>
                <w:sz w:val="16"/>
                <w:szCs w:val="16"/>
              </w:rPr>
              <w:t>Cross-annex reference</w:t>
            </w:r>
          </w:p>
        </w:tc>
        <w:tc>
          <w:tcPr>
            <w:tcW w:type="dxa" w:w="5552"/>
            <w:vAlign w:val="top"/>
            <w:tcMar>
              <w:top w:w="70" w:type="dxa"/>
              <w:start w:w="70" w:type="dxa"/>
              <w:bottom w:w="70" w:type="dxa"/>
              <w:end w:w="70" w:type="dxa"/>
            </w:tcMar>
          </w:tcPr>
          <w:p>
            <w:pPr>
              <w:spacing w:before="20" w:after="20"/>
            </w:pPr>
            <w:r>
              <w:rPr>
                <w:sz w:val="16"/>
                <w:szCs w:val="16"/>
              </w:rPr>
              <w:t>Reference used for durable-completion handoff where applicable.</w:t>
            </w:r>
          </w:p>
        </w:tc>
      </w:tr>
      <w:tr>
        <w:tc>
          <w:tcPr>
            <w:tcW w:type="dxa" w:w="2295"/>
            <w:vAlign w:val="top"/>
            <w:tcMar>
              <w:top w:w="70" w:type="dxa"/>
              <w:start w:w="70" w:type="dxa"/>
              <w:bottom w:w="70" w:type="dxa"/>
              <w:end w:w="70" w:type="dxa"/>
            </w:tcMar>
          </w:tcPr>
          <w:p>
            <w:pPr>
              <w:spacing w:before="20" w:after="20"/>
            </w:pPr>
            <w:r>
              <w:rPr>
                <w:sz w:val="16"/>
                <w:szCs w:val="16"/>
              </w:rPr>
              <w:t>Party</w:t>
            </w:r>
          </w:p>
        </w:tc>
        <w:tc>
          <w:tcPr>
            <w:tcW w:type="dxa" w:w="2147"/>
            <w:vAlign w:val="top"/>
            <w:tcMar>
              <w:top w:w="70" w:type="dxa"/>
              <w:start w:w="70" w:type="dxa"/>
              <w:bottom w:w="70" w:type="dxa"/>
              <w:end w:w="70" w:type="dxa"/>
            </w:tcMar>
          </w:tcPr>
          <w:p>
            <w:pPr>
              <w:spacing w:before="20" w:after="20"/>
            </w:pPr>
            <w:r>
              <w:rPr>
                <w:sz w:val="16"/>
                <w:szCs w:val="16"/>
              </w:rPr>
              <w:t>Legal perimeter</w:t>
            </w:r>
          </w:p>
        </w:tc>
        <w:tc>
          <w:tcPr>
            <w:tcW w:type="dxa" w:w="5552"/>
            <w:vAlign w:val="top"/>
            <w:tcMar>
              <w:top w:w="70" w:type="dxa"/>
              <w:start w:w="70" w:type="dxa"/>
              <w:bottom w:w="70" w:type="dxa"/>
              <w:end w:w="70" w:type="dxa"/>
            </w:tcMar>
          </w:tcPr>
          <w:p>
            <w:pPr>
              <w:spacing w:before="20" w:after="20"/>
            </w:pPr>
            <w:r>
              <w:rPr>
                <w:sz w:val="16"/>
                <w:szCs w:val="16"/>
              </w:rPr>
              <w:t>Party whose performance or treatment is recorded.</w:t>
            </w:r>
          </w:p>
        </w:tc>
      </w:tr>
      <w:tr>
        <w:tc>
          <w:tcPr>
            <w:tcW w:type="dxa" w:w="2295"/>
            <w:vAlign w:val="top"/>
            <w:tcMar>
              <w:top w:w="70" w:type="dxa"/>
              <w:start w:w="70" w:type="dxa"/>
              <w:bottom w:w="70" w:type="dxa"/>
              <w:end w:w="70" w:type="dxa"/>
            </w:tcMar>
          </w:tcPr>
          <w:p>
            <w:pPr>
              <w:spacing w:before="20" w:after="20"/>
            </w:pPr>
            <w:r>
              <w:rPr>
                <w:sz w:val="16"/>
                <w:szCs w:val="16"/>
              </w:rPr>
              <w:t>Counterparty</w:t>
            </w:r>
          </w:p>
        </w:tc>
        <w:tc>
          <w:tcPr>
            <w:tcW w:type="dxa" w:w="2147"/>
            <w:vAlign w:val="top"/>
            <w:tcMar>
              <w:top w:w="70" w:type="dxa"/>
              <w:start w:w="70" w:type="dxa"/>
              <w:bottom w:w="70" w:type="dxa"/>
              <w:end w:w="70" w:type="dxa"/>
            </w:tcMar>
          </w:tcPr>
          <w:p>
            <w:pPr>
              <w:spacing w:before="20" w:after="20"/>
            </w:pPr>
            <w:r>
              <w:rPr>
                <w:sz w:val="16"/>
                <w:szCs w:val="16"/>
              </w:rPr>
              <w:t>Legal perimeter</w:t>
            </w:r>
          </w:p>
        </w:tc>
        <w:tc>
          <w:tcPr>
            <w:tcW w:type="dxa" w:w="5552"/>
            <w:vAlign w:val="top"/>
            <w:tcMar>
              <w:top w:w="70" w:type="dxa"/>
              <w:start w:w="70" w:type="dxa"/>
              <w:bottom w:w="70" w:type="dxa"/>
              <w:end w:w="70" w:type="dxa"/>
            </w:tcMar>
          </w:tcPr>
          <w:p>
            <w:pPr>
              <w:spacing w:before="20" w:after="20"/>
            </w:pPr>
            <w:r>
              <w:rPr>
                <w:sz w:val="16"/>
                <w:szCs w:val="16"/>
              </w:rPr>
              <w:t>Counterparty participating in a paired or trilateral synchronized set.</w:t>
            </w:r>
          </w:p>
        </w:tc>
      </w:tr>
      <w:tr>
        <w:tc>
          <w:tcPr>
            <w:tcW w:type="dxa" w:w="2295"/>
            <w:vAlign w:val="top"/>
            <w:tcMar>
              <w:top w:w="70" w:type="dxa"/>
              <w:start w:w="70" w:type="dxa"/>
              <w:bottom w:w="70" w:type="dxa"/>
              <w:end w:w="70" w:type="dxa"/>
            </w:tcMar>
          </w:tcPr>
          <w:p>
            <w:pPr>
              <w:spacing w:before="20" w:after="20"/>
            </w:pPr>
            <w:r>
              <w:rPr>
                <w:sz w:val="16"/>
                <w:szCs w:val="16"/>
              </w:rPr>
              <w:t>SynchronizationForm</w:t>
            </w:r>
          </w:p>
        </w:tc>
        <w:tc>
          <w:tcPr>
            <w:tcW w:type="dxa" w:w="2147"/>
            <w:vAlign w:val="top"/>
            <w:tcMar>
              <w:top w:w="70" w:type="dxa"/>
              <w:start w:w="70" w:type="dxa"/>
              <w:bottom w:w="70" w:type="dxa"/>
              <w:end w:w="70" w:type="dxa"/>
            </w:tcMar>
          </w:tcPr>
          <w:p>
            <w:pPr>
              <w:spacing w:before="20" w:after="20"/>
            </w:pPr>
            <w:r>
              <w:rPr>
                <w:sz w:val="16"/>
                <w:szCs w:val="16"/>
              </w:rPr>
              <w:t>Legal perimeter</w:t>
            </w:r>
          </w:p>
        </w:tc>
        <w:tc>
          <w:tcPr>
            <w:tcW w:type="dxa" w:w="5552"/>
            <w:vAlign w:val="top"/>
            <w:tcMar>
              <w:top w:w="70" w:type="dxa"/>
              <w:start w:w="70" w:type="dxa"/>
              <w:bottom w:w="70" w:type="dxa"/>
              <w:end w:w="70" w:type="dxa"/>
            </w:tcMar>
          </w:tcPr>
          <w:p>
            <w:pPr>
              <w:spacing w:before="20" w:after="20"/>
            </w:pPr>
            <w:r>
              <w:rPr>
                <w:sz w:val="16"/>
                <w:szCs w:val="16"/>
              </w:rPr>
              <w:t>Paired, trilateral, or another expressly authorized form.</w:t>
            </w:r>
          </w:p>
        </w:tc>
      </w:tr>
      <w:tr>
        <w:tc>
          <w:tcPr>
            <w:tcW w:type="dxa" w:w="2295"/>
            <w:vAlign w:val="top"/>
            <w:tcMar>
              <w:top w:w="70" w:type="dxa"/>
              <w:start w:w="70" w:type="dxa"/>
              <w:bottom w:w="70" w:type="dxa"/>
              <w:end w:w="70" w:type="dxa"/>
            </w:tcMar>
          </w:tcPr>
          <w:p>
            <w:pPr>
              <w:spacing w:before="20" w:after="20"/>
            </w:pPr>
            <w:r>
              <w:rPr>
                <w:sz w:val="16"/>
                <w:szCs w:val="16"/>
              </w:rPr>
              <w:t>BilateralPairID</w:t>
            </w:r>
          </w:p>
        </w:tc>
        <w:tc>
          <w:tcPr>
            <w:tcW w:type="dxa" w:w="2147"/>
            <w:vAlign w:val="top"/>
            <w:tcMar>
              <w:top w:w="70" w:type="dxa"/>
              <w:start w:w="70" w:type="dxa"/>
              <w:bottom w:w="70" w:type="dxa"/>
              <w:end w:w="70" w:type="dxa"/>
            </w:tcMar>
          </w:tcPr>
          <w:p>
            <w:pPr>
              <w:spacing w:before="20" w:after="20"/>
            </w:pPr>
            <w:r>
              <w:rPr>
                <w:sz w:val="16"/>
                <w:szCs w:val="16"/>
              </w:rPr>
              <w:t>Legal perimeter</w:t>
            </w:r>
          </w:p>
        </w:tc>
        <w:tc>
          <w:tcPr>
            <w:tcW w:type="dxa" w:w="5552"/>
            <w:vAlign w:val="top"/>
            <w:tcMar>
              <w:top w:w="70" w:type="dxa"/>
              <w:start w:w="70" w:type="dxa"/>
              <w:bottom w:w="70" w:type="dxa"/>
              <w:end w:w="70" w:type="dxa"/>
            </w:tcMar>
          </w:tcPr>
          <w:p>
            <w:pPr>
              <w:spacing w:before="20" w:after="20"/>
            </w:pPr>
            <w:r>
              <w:rPr>
                <w:sz w:val="16"/>
                <w:szCs w:val="16"/>
              </w:rPr>
              <w:t>Persistent identifier for an expressly authorized bilateral synchronized pair.</w:t>
            </w:r>
          </w:p>
        </w:tc>
      </w:tr>
      <w:tr>
        <w:tc>
          <w:tcPr>
            <w:tcW w:type="dxa" w:w="2295"/>
            <w:vAlign w:val="top"/>
            <w:tcMar>
              <w:top w:w="70" w:type="dxa"/>
              <w:start w:w="70" w:type="dxa"/>
              <w:bottom w:w="70" w:type="dxa"/>
              <w:end w:w="70" w:type="dxa"/>
            </w:tcMar>
          </w:tcPr>
          <w:p>
            <w:pPr>
              <w:spacing w:before="20" w:after="20"/>
            </w:pPr>
            <w:r>
              <w:rPr>
                <w:sz w:val="16"/>
                <w:szCs w:val="16"/>
              </w:rPr>
              <w:t>TrilateralSetIndicator</w:t>
            </w:r>
          </w:p>
        </w:tc>
        <w:tc>
          <w:tcPr>
            <w:tcW w:type="dxa" w:w="2147"/>
            <w:vAlign w:val="top"/>
            <w:tcMar>
              <w:top w:w="70" w:type="dxa"/>
              <w:start w:w="70" w:type="dxa"/>
              <w:bottom w:w="70" w:type="dxa"/>
              <w:end w:w="70" w:type="dxa"/>
            </w:tcMar>
          </w:tcPr>
          <w:p>
            <w:pPr>
              <w:spacing w:before="20" w:after="20"/>
            </w:pPr>
            <w:r>
              <w:rPr>
                <w:sz w:val="16"/>
                <w:szCs w:val="16"/>
              </w:rPr>
              <w:t>Legal perimeter</w:t>
            </w:r>
          </w:p>
        </w:tc>
        <w:tc>
          <w:tcPr>
            <w:tcW w:type="dxa" w:w="5552"/>
            <w:vAlign w:val="top"/>
            <w:tcMar>
              <w:top w:w="70" w:type="dxa"/>
              <w:start w:w="70" w:type="dxa"/>
              <w:bottom w:w="70" w:type="dxa"/>
              <w:end w:w="70" w:type="dxa"/>
            </w:tcMar>
          </w:tcPr>
          <w:p>
            <w:pPr>
              <w:spacing w:before="20" w:after="20"/>
            </w:pPr>
            <w:r>
              <w:rPr>
                <w:sz w:val="16"/>
                <w:szCs w:val="16"/>
              </w:rPr>
              <w:t>Indicates an expressly authorized three-Party synchronized set.</w:t>
            </w:r>
          </w:p>
        </w:tc>
      </w:tr>
      <w:tr>
        <w:tc>
          <w:tcPr>
            <w:tcW w:type="dxa" w:w="2295"/>
            <w:vAlign w:val="top"/>
            <w:tcMar>
              <w:top w:w="70" w:type="dxa"/>
              <w:start w:w="70" w:type="dxa"/>
              <w:bottom w:w="70" w:type="dxa"/>
              <w:end w:w="70" w:type="dxa"/>
            </w:tcMar>
          </w:tcPr>
          <w:p>
            <w:pPr>
              <w:spacing w:before="20" w:after="20"/>
            </w:pPr>
            <w:r>
              <w:rPr>
                <w:sz w:val="16"/>
                <w:szCs w:val="16"/>
              </w:rPr>
              <w:t>SynchronizationScope</w:t>
            </w:r>
          </w:p>
        </w:tc>
        <w:tc>
          <w:tcPr>
            <w:tcW w:type="dxa" w:w="2147"/>
            <w:vAlign w:val="top"/>
            <w:tcMar>
              <w:top w:w="70" w:type="dxa"/>
              <w:start w:w="70" w:type="dxa"/>
              <w:bottom w:w="70" w:type="dxa"/>
              <w:end w:w="70" w:type="dxa"/>
            </w:tcMar>
          </w:tcPr>
          <w:p>
            <w:pPr>
              <w:spacing w:before="20" w:after="20"/>
            </w:pPr>
            <w:r>
              <w:rPr>
                <w:sz w:val="16"/>
                <w:szCs w:val="16"/>
              </w:rPr>
              <w:t>Legal perimeter</w:t>
            </w:r>
          </w:p>
        </w:tc>
        <w:tc>
          <w:tcPr>
            <w:tcW w:type="dxa" w:w="5552"/>
            <w:vAlign w:val="top"/>
            <w:tcMar>
              <w:top w:w="70" w:type="dxa"/>
              <w:start w:w="70" w:type="dxa"/>
              <w:bottom w:w="70" w:type="dxa"/>
              <w:end w:w="70" w:type="dxa"/>
            </w:tcMar>
          </w:tcPr>
          <w:p>
            <w:pPr>
              <w:spacing w:before="20" w:after="20"/>
            </w:pPr>
            <w:r>
              <w:rPr>
                <w:sz w:val="16"/>
                <w:szCs w:val="16"/>
              </w:rPr>
              <w:t>Product, tranche, treatment, and Party perimeter of the synchronized set.</w:t>
            </w:r>
          </w:p>
        </w:tc>
      </w:tr>
      <w:tr>
        <w:tc>
          <w:tcPr>
            <w:tcW w:type="dxa" w:w="2295"/>
            <w:vAlign w:val="top"/>
            <w:tcMar>
              <w:top w:w="70" w:type="dxa"/>
              <w:start w:w="70" w:type="dxa"/>
              <w:bottom w:w="70" w:type="dxa"/>
              <w:end w:w="70" w:type="dxa"/>
            </w:tcMar>
          </w:tcPr>
          <w:p>
            <w:pPr>
              <w:spacing w:before="20" w:after="20"/>
            </w:pPr>
            <w:r>
              <w:rPr>
                <w:sz w:val="16"/>
                <w:szCs w:val="16"/>
              </w:rPr>
              <w:t>LegalBasisCitation</w:t>
            </w:r>
          </w:p>
        </w:tc>
        <w:tc>
          <w:tcPr>
            <w:tcW w:type="dxa" w:w="2147"/>
            <w:vAlign w:val="top"/>
            <w:tcMar>
              <w:top w:w="70" w:type="dxa"/>
              <w:start w:w="70" w:type="dxa"/>
              <w:bottom w:w="70" w:type="dxa"/>
              <w:end w:w="70" w:type="dxa"/>
            </w:tcMar>
          </w:tcPr>
          <w:p>
            <w:pPr>
              <w:spacing w:before="20" w:after="20"/>
            </w:pPr>
            <w:r>
              <w:rPr>
                <w:sz w:val="16"/>
                <w:szCs w:val="16"/>
              </w:rPr>
              <w:t>Legal source</w:t>
            </w:r>
          </w:p>
        </w:tc>
        <w:tc>
          <w:tcPr>
            <w:tcW w:type="dxa" w:w="5552"/>
            <w:vAlign w:val="top"/>
            <w:tcMar>
              <w:top w:w="70" w:type="dxa"/>
              <w:start w:w="70" w:type="dxa"/>
              <w:bottom w:w="70" w:type="dxa"/>
              <w:end w:w="70" w:type="dxa"/>
            </w:tcMar>
          </w:tcPr>
          <w:p>
            <w:pPr>
              <w:spacing w:before="20" w:after="20"/>
            </w:pPr>
            <w:r>
              <w:rPr>
                <w:sz w:val="16"/>
                <w:szCs w:val="16"/>
              </w:rPr>
              <w:t>Controlling Compact authority establishing the synchronization architecture.</w:t>
            </w:r>
          </w:p>
        </w:tc>
      </w:tr>
      <w:tr>
        <w:tc>
          <w:tcPr>
            <w:tcW w:type="dxa" w:w="2295"/>
            <w:vAlign w:val="top"/>
            <w:tcMar>
              <w:top w:w="70" w:type="dxa"/>
              <w:start w:w="70" w:type="dxa"/>
              <w:bottom w:w="70" w:type="dxa"/>
              <w:end w:w="70" w:type="dxa"/>
            </w:tcMar>
          </w:tcPr>
          <w:p>
            <w:pPr>
              <w:spacing w:before="20" w:after="20"/>
            </w:pPr>
            <w:r>
              <w:rPr>
                <w:sz w:val="16"/>
                <w:szCs w:val="16"/>
              </w:rPr>
              <w:t>OperativeProvision</w:t>
            </w:r>
          </w:p>
        </w:tc>
        <w:tc>
          <w:tcPr>
            <w:tcW w:type="dxa" w:w="2147"/>
            <w:vAlign w:val="top"/>
            <w:tcMar>
              <w:top w:w="70" w:type="dxa"/>
              <w:start w:w="70" w:type="dxa"/>
              <w:bottom w:w="70" w:type="dxa"/>
              <w:end w:w="70" w:type="dxa"/>
            </w:tcMar>
          </w:tcPr>
          <w:p>
            <w:pPr>
              <w:spacing w:before="20" w:after="20"/>
            </w:pPr>
            <w:r>
              <w:rPr>
                <w:sz w:val="16"/>
                <w:szCs w:val="16"/>
              </w:rPr>
              <w:t>Legal source</w:t>
            </w:r>
          </w:p>
        </w:tc>
        <w:tc>
          <w:tcPr>
            <w:tcW w:type="dxa" w:w="5552"/>
            <w:vAlign w:val="top"/>
            <w:tcMar>
              <w:top w:w="70" w:type="dxa"/>
              <w:start w:w="70" w:type="dxa"/>
              <w:bottom w:w="70" w:type="dxa"/>
              <w:end w:w="70" w:type="dxa"/>
            </w:tcMar>
          </w:tcPr>
          <w:p>
            <w:pPr>
              <w:spacing w:before="20" w:after="20"/>
            </w:pPr>
            <w:r>
              <w:rPr>
                <w:sz w:val="16"/>
                <w:szCs w:val="16"/>
              </w:rPr>
              <w:t>Specific operative provision owning the condition or consequence.</w:t>
            </w:r>
          </w:p>
        </w:tc>
      </w:tr>
      <w:tr>
        <w:tc>
          <w:tcPr>
            <w:tcW w:type="dxa" w:w="2295"/>
            <w:vAlign w:val="top"/>
            <w:tcMar>
              <w:top w:w="70" w:type="dxa"/>
              <w:start w:w="70" w:type="dxa"/>
              <w:bottom w:w="70" w:type="dxa"/>
              <w:end w:w="70" w:type="dxa"/>
            </w:tcMar>
          </w:tcPr>
          <w:p>
            <w:pPr>
              <w:spacing w:before="20" w:after="20"/>
            </w:pPr>
            <w:r>
              <w:rPr>
                <w:sz w:val="16"/>
                <w:szCs w:val="16"/>
              </w:rPr>
              <w:t>MilestoneType</w:t>
            </w:r>
          </w:p>
        </w:tc>
        <w:tc>
          <w:tcPr>
            <w:tcW w:type="dxa" w:w="2147"/>
            <w:vAlign w:val="top"/>
            <w:tcMar>
              <w:top w:w="70" w:type="dxa"/>
              <w:start w:w="70" w:type="dxa"/>
              <w:bottom w:w="70" w:type="dxa"/>
              <w:end w:w="70" w:type="dxa"/>
            </w:tcMar>
          </w:tcPr>
          <w:p>
            <w:pPr>
              <w:spacing w:before="20" w:after="20"/>
            </w:pPr>
            <w:r>
              <w:rPr>
                <w:sz w:val="16"/>
                <w:szCs w:val="16"/>
              </w:rPr>
              <w:t>Condition architecture</w:t>
            </w:r>
          </w:p>
        </w:tc>
        <w:tc>
          <w:tcPr>
            <w:tcW w:type="dxa" w:w="5552"/>
            <w:vAlign w:val="top"/>
            <w:tcMar>
              <w:top w:w="70" w:type="dxa"/>
              <w:start w:w="70" w:type="dxa"/>
              <w:bottom w:w="70" w:type="dxa"/>
              <w:end w:w="70" w:type="dxa"/>
            </w:tcMar>
          </w:tcPr>
          <w:p>
            <w:pPr>
              <w:spacing w:before="20" w:after="20"/>
            </w:pPr>
            <w:r>
              <w:rPr>
                <w:sz w:val="16"/>
                <w:szCs w:val="16"/>
              </w:rPr>
              <w:t>Controlled classification of the synchronization milestone.</w:t>
            </w:r>
          </w:p>
        </w:tc>
      </w:tr>
      <w:tr>
        <w:tc>
          <w:tcPr>
            <w:tcW w:type="dxa" w:w="2295"/>
            <w:vAlign w:val="top"/>
            <w:tcMar>
              <w:top w:w="70" w:type="dxa"/>
              <w:start w:w="70" w:type="dxa"/>
              <w:bottom w:w="70" w:type="dxa"/>
              <w:end w:w="70" w:type="dxa"/>
            </w:tcMar>
          </w:tcPr>
          <w:p>
            <w:pPr>
              <w:spacing w:before="20" w:after="20"/>
            </w:pPr>
            <w:r>
              <w:rPr>
                <w:sz w:val="16"/>
                <w:szCs w:val="16"/>
              </w:rPr>
              <w:t>ConditionType</w:t>
            </w:r>
          </w:p>
        </w:tc>
        <w:tc>
          <w:tcPr>
            <w:tcW w:type="dxa" w:w="2147"/>
            <w:vAlign w:val="top"/>
            <w:tcMar>
              <w:top w:w="70" w:type="dxa"/>
              <w:start w:w="70" w:type="dxa"/>
              <w:bottom w:w="70" w:type="dxa"/>
              <w:end w:w="70" w:type="dxa"/>
            </w:tcMar>
          </w:tcPr>
          <w:p>
            <w:pPr>
              <w:spacing w:before="20" w:after="20"/>
            </w:pPr>
            <w:r>
              <w:rPr>
                <w:sz w:val="16"/>
                <w:szCs w:val="16"/>
              </w:rPr>
              <w:t>Condition architecture</w:t>
            </w:r>
          </w:p>
        </w:tc>
        <w:tc>
          <w:tcPr>
            <w:tcW w:type="dxa" w:w="5552"/>
            <w:vAlign w:val="top"/>
            <w:tcMar>
              <w:top w:w="70" w:type="dxa"/>
              <w:start w:w="70" w:type="dxa"/>
              <w:bottom w:w="70" w:type="dxa"/>
              <w:end w:w="70" w:type="dxa"/>
            </w:tcMar>
          </w:tcPr>
          <w:p>
            <w:pPr>
              <w:spacing w:before="20" w:after="20"/>
            </w:pPr>
            <w:r>
              <w:rPr>
                <w:sz w:val="16"/>
                <w:szCs w:val="16"/>
              </w:rPr>
              <w:t>Controlled classification of the atomic condition.</w:t>
            </w:r>
          </w:p>
        </w:tc>
      </w:tr>
      <w:tr>
        <w:tc>
          <w:tcPr>
            <w:tcW w:type="dxa" w:w="2295"/>
            <w:vAlign w:val="top"/>
            <w:tcMar>
              <w:top w:w="70" w:type="dxa"/>
              <w:start w:w="70" w:type="dxa"/>
              <w:bottom w:w="70" w:type="dxa"/>
              <w:end w:w="70" w:type="dxa"/>
            </w:tcMar>
          </w:tcPr>
          <w:p>
            <w:pPr>
              <w:spacing w:before="20" w:after="20"/>
            </w:pPr>
            <w:r>
              <w:rPr>
                <w:sz w:val="16"/>
                <w:szCs w:val="16"/>
              </w:rPr>
              <w:t>ConditionLogicOperator</w:t>
            </w:r>
          </w:p>
        </w:tc>
        <w:tc>
          <w:tcPr>
            <w:tcW w:type="dxa" w:w="2147"/>
            <w:vAlign w:val="top"/>
            <w:tcMar>
              <w:top w:w="70" w:type="dxa"/>
              <w:start w:w="70" w:type="dxa"/>
              <w:bottom w:w="70" w:type="dxa"/>
              <w:end w:w="70" w:type="dxa"/>
            </w:tcMar>
          </w:tcPr>
          <w:p>
            <w:pPr>
              <w:spacing w:before="20" w:after="20"/>
            </w:pPr>
            <w:r>
              <w:rPr>
                <w:sz w:val="16"/>
                <w:szCs w:val="16"/>
              </w:rPr>
              <w:t>Condition architecture</w:t>
            </w:r>
          </w:p>
        </w:tc>
        <w:tc>
          <w:tcPr>
            <w:tcW w:type="dxa" w:w="5552"/>
            <w:vAlign w:val="top"/>
            <w:tcMar>
              <w:top w:w="70" w:type="dxa"/>
              <w:start w:w="70" w:type="dxa"/>
              <w:bottom w:w="70" w:type="dxa"/>
              <w:end w:w="70" w:type="dxa"/>
            </w:tcMar>
          </w:tcPr>
          <w:p>
            <w:pPr>
              <w:spacing w:before="20" w:after="20"/>
            </w:pPr>
            <w:r>
              <w:rPr>
                <w:sz w:val="16"/>
                <w:szCs w:val="16"/>
              </w:rPr>
              <w:t>AND, OR, NOT, conditional, or another expressly defined deterministic operator.</w:t>
            </w:r>
          </w:p>
        </w:tc>
      </w:tr>
      <w:tr>
        <w:tc>
          <w:tcPr>
            <w:tcW w:type="dxa" w:w="2295"/>
            <w:vAlign w:val="top"/>
            <w:tcMar>
              <w:top w:w="70" w:type="dxa"/>
              <w:start w:w="70" w:type="dxa"/>
              <w:bottom w:w="70" w:type="dxa"/>
              <w:end w:w="70" w:type="dxa"/>
            </w:tcMar>
          </w:tcPr>
          <w:p>
            <w:pPr>
              <w:spacing w:before="20" w:after="20"/>
            </w:pPr>
            <w:r>
              <w:rPr>
                <w:sz w:val="16"/>
                <w:szCs w:val="16"/>
              </w:rPr>
              <w:t>ConditionSequenceOrdinal</w:t>
            </w:r>
          </w:p>
        </w:tc>
        <w:tc>
          <w:tcPr>
            <w:tcW w:type="dxa" w:w="2147"/>
            <w:vAlign w:val="top"/>
            <w:tcMar>
              <w:top w:w="70" w:type="dxa"/>
              <w:start w:w="70" w:type="dxa"/>
              <w:bottom w:w="70" w:type="dxa"/>
              <w:end w:w="70" w:type="dxa"/>
            </w:tcMar>
          </w:tcPr>
          <w:p>
            <w:pPr>
              <w:spacing w:before="20" w:after="20"/>
            </w:pPr>
            <w:r>
              <w:rPr>
                <w:sz w:val="16"/>
                <w:szCs w:val="16"/>
              </w:rPr>
              <w:t>Condition architecture</w:t>
            </w:r>
          </w:p>
        </w:tc>
        <w:tc>
          <w:tcPr>
            <w:tcW w:type="dxa" w:w="5552"/>
            <w:vAlign w:val="top"/>
            <w:tcMar>
              <w:top w:w="70" w:type="dxa"/>
              <w:start w:w="70" w:type="dxa"/>
              <w:bottom w:w="70" w:type="dxa"/>
              <w:end w:w="70" w:type="dxa"/>
            </w:tcMar>
          </w:tcPr>
          <w:p>
            <w:pPr>
              <w:spacing w:before="20" w:after="20"/>
            </w:pPr>
            <w:r>
              <w:rPr>
                <w:sz w:val="16"/>
                <w:szCs w:val="16"/>
              </w:rPr>
              <w:t>Order where legal sequence matters.</w:t>
            </w:r>
          </w:p>
        </w:tc>
      </w:tr>
      <w:tr>
        <w:tc>
          <w:tcPr>
            <w:tcW w:type="dxa" w:w="2295"/>
            <w:vAlign w:val="top"/>
            <w:tcMar>
              <w:top w:w="70" w:type="dxa"/>
              <w:start w:w="70" w:type="dxa"/>
              <w:bottom w:w="70" w:type="dxa"/>
              <w:end w:w="70" w:type="dxa"/>
            </w:tcMar>
          </w:tcPr>
          <w:p>
            <w:pPr>
              <w:spacing w:before="20" w:after="20"/>
            </w:pPr>
            <w:r>
              <w:rPr>
                <w:sz w:val="16"/>
                <w:szCs w:val="16"/>
              </w:rPr>
              <w:t>AlternativeRouteID</w:t>
            </w:r>
          </w:p>
        </w:tc>
        <w:tc>
          <w:tcPr>
            <w:tcW w:type="dxa" w:w="2147"/>
            <w:vAlign w:val="top"/>
            <w:tcMar>
              <w:top w:w="70" w:type="dxa"/>
              <w:start w:w="70" w:type="dxa"/>
              <w:bottom w:w="70" w:type="dxa"/>
              <w:end w:w="70" w:type="dxa"/>
            </w:tcMar>
          </w:tcPr>
          <w:p>
            <w:pPr>
              <w:spacing w:before="20" w:after="20"/>
            </w:pPr>
            <w:r>
              <w:rPr>
                <w:sz w:val="16"/>
                <w:szCs w:val="16"/>
              </w:rPr>
              <w:t>Condition architecture</w:t>
            </w:r>
          </w:p>
        </w:tc>
        <w:tc>
          <w:tcPr>
            <w:tcW w:type="dxa" w:w="5552"/>
            <w:vAlign w:val="top"/>
            <w:tcMar>
              <w:top w:w="70" w:type="dxa"/>
              <w:start w:w="70" w:type="dxa"/>
              <w:bottom w:w="70" w:type="dxa"/>
              <w:end w:w="70" w:type="dxa"/>
            </w:tcMar>
          </w:tcPr>
          <w:p>
            <w:pPr>
              <w:spacing w:before="20" w:after="20"/>
            </w:pPr>
            <w:r>
              <w:rPr>
                <w:sz w:val="16"/>
                <w:szCs w:val="16"/>
              </w:rPr>
              <w:t>Identifies an alternative route capable of satisfying a milestone.</w:t>
            </w:r>
          </w:p>
        </w:tc>
      </w:tr>
      <w:tr>
        <w:tc>
          <w:tcPr>
            <w:tcW w:type="dxa" w:w="2295"/>
            <w:vAlign w:val="top"/>
            <w:tcMar>
              <w:top w:w="70" w:type="dxa"/>
              <w:start w:w="70" w:type="dxa"/>
              <w:bottom w:w="70" w:type="dxa"/>
              <w:end w:w="70" w:type="dxa"/>
            </w:tcMar>
          </w:tcPr>
          <w:p>
            <w:pPr>
              <w:spacing w:before="20" w:after="20"/>
            </w:pPr>
            <w:r>
              <w:rPr>
                <w:sz w:val="16"/>
                <w:szCs w:val="16"/>
              </w:rPr>
              <w:t>ConditionalTrigger</w:t>
            </w:r>
          </w:p>
        </w:tc>
        <w:tc>
          <w:tcPr>
            <w:tcW w:type="dxa" w:w="2147"/>
            <w:vAlign w:val="top"/>
            <w:tcMar>
              <w:top w:w="70" w:type="dxa"/>
              <w:start w:w="70" w:type="dxa"/>
              <w:bottom w:w="70" w:type="dxa"/>
              <w:end w:w="70" w:type="dxa"/>
            </w:tcMar>
          </w:tcPr>
          <w:p>
            <w:pPr>
              <w:spacing w:before="20" w:after="20"/>
            </w:pPr>
            <w:r>
              <w:rPr>
                <w:sz w:val="16"/>
                <w:szCs w:val="16"/>
              </w:rPr>
              <w:t>Condition architecture</w:t>
            </w:r>
          </w:p>
        </w:tc>
        <w:tc>
          <w:tcPr>
            <w:tcW w:type="dxa" w:w="5552"/>
            <w:vAlign w:val="top"/>
            <w:tcMar>
              <w:top w:w="70" w:type="dxa"/>
              <w:start w:w="70" w:type="dxa"/>
              <w:bottom w:w="70" w:type="dxa"/>
              <w:end w:w="70" w:type="dxa"/>
            </w:tcMar>
          </w:tcPr>
          <w:p>
            <w:pPr>
              <w:spacing w:before="20" w:after="20"/>
            </w:pPr>
            <w:r>
              <w:rPr>
                <w:sz w:val="16"/>
                <w:szCs w:val="16"/>
              </w:rPr>
              <w:t>Condition activating a conditional branch.</w:t>
            </w:r>
          </w:p>
        </w:tc>
      </w:tr>
      <w:tr>
        <w:tc>
          <w:tcPr>
            <w:tcW w:type="dxa" w:w="2295"/>
            <w:vAlign w:val="top"/>
            <w:tcMar>
              <w:top w:w="70" w:type="dxa"/>
              <w:start w:w="70" w:type="dxa"/>
              <w:bottom w:w="70" w:type="dxa"/>
              <w:end w:w="70" w:type="dxa"/>
            </w:tcMar>
          </w:tcPr>
          <w:p>
            <w:pPr>
              <w:spacing w:before="20" w:after="20"/>
            </w:pPr>
            <w:r>
              <w:rPr>
                <w:sz w:val="16"/>
                <w:szCs w:val="16"/>
              </w:rPr>
              <w:t>ExceptionCondition</w:t>
            </w:r>
          </w:p>
        </w:tc>
        <w:tc>
          <w:tcPr>
            <w:tcW w:type="dxa" w:w="2147"/>
            <w:vAlign w:val="top"/>
            <w:tcMar>
              <w:top w:w="70" w:type="dxa"/>
              <w:start w:w="70" w:type="dxa"/>
              <w:bottom w:w="70" w:type="dxa"/>
              <w:end w:w="70" w:type="dxa"/>
            </w:tcMar>
          </w:tcPr>
          <w:p>
            <w:pPr>
              <w:spacing w:before="20" w:after="20"/>
            </w:pPr>
            <w:r>
              <w:rPr>
                <w:sz w:val="16"/>
                <w:szCs w:val="16"/>
              </w:rPr>
              <w:t>Condition architecture</w:t>
            </w:r>
          </w:p>
        </w:tc>
        <w:tc>
          <w:tcPr>
            <w:tcW w:type="dxa" w:w="5552"/>
            <w:vAlign w:val="top"/>
            <w:tcMar>
              <w:top w:w="70" w:type="dxa"/>
              <w:start w:w="70" w:type="dxa"/>
              <w:bottom w:w="70" w:type="dxa"/>
              <w:end w:w="70" w:type="dxa"/>
            </w:tcMar>
          </w:tcPr>
          <w:p>
            <w:pPr>
              <w:spacing w:before="20" w:after="20"/>
            </w:pPr>
            <w:r>
              <w:rPr>
                <w:sz w:val="16"/>
                <w:szCs w:val="16"/>
              </w:rPr>
              <w:t>Express exception and its bounded scope.</w:t>
            </w:r>
          </w:p>
        </w:tc>
      </w:tr>
      <w:tr>
        <w:tc>
          <w:tcPr>
            <w:tcW w:type="dxa" w:w="2295"/>
            <w:vAlign w:val="top"/>
            <w:tcMar>
              <w:top w:w="70" w:type="dxa"/>
              <w:start w:w="70" w:type="dxa"/>
              <w:bottom w:w="70" w:type="dxa"/>
              <w:end w:w="70" w:type="dxa"/>
            </w:tcMar>
          </w:tcPr>
          <w:p>
            <w:pPr>
              <w:spacing w:before="20" w:after="20"/>
            </w:pPr>
            <w:r>
              <w:rPr>
                <w:sz w:val="16"/>
                <w:szCs w:val="16"/>
              </w:rPr>
              <w:t>MeasurementMethod</w:t>
            </w:r>
          </w:p>
        </w:tc>
        <w:tc>
          <w:tcPr>
            <w:tcW w:type="dxa" w:w="2147"/>
            <w:vAlign w:val="top"/>
            <w:tcMar>
              <w:top w:w="70" w:type="dxa"/>
              <w:start w:w="70" w:type="dxa"/>
              <w:bottom w:w="70" w:type="dxa"/>
              <w:end w:w="70" w:type="dxa"/>
            </w:tcMar>
          </w:tcPr>
          <w:p>
            <w:pPr>
              <w:spacing w:before="20" w:after="20"/>
            </w:pPr>
            <w:r>
              <w:rPr>
                <w:sz w:val="16"/>
                <w:szCs w:val="16"/>
              </w:rPr>
              <w:t>Measurement</w:t>
            </w:r>
          </w:p>
        </w:tc>
        <w:tc>
          <w:tcPr>
            <w:tcW w:type="dxa" w:w="5552"/>
            <w:vAlign w:val="top"/>
            <w:tcMar>
              <w:top w:w="70" w:type="dxa"/>
              <w:start w:w="70" w:type="dxa"/>
              <w:bottom w:w="70" w:type="dxa"/>
              <w:end w:w="70" w:type="dxa"/>
            </w:tcMar>
          </w:tcPr>
          <w:p>
            <w:pPr>
              <w:spacing w:before="20" w:after="20"/>
            </w:pPr>
            <w:r>
              <w:rPr>
                <w:sz w:val="16"/>
                <w:szCs w:val="16"/>
              </w:rPr>
              <w:t>Objective method used to assess the condition.</w:t>
            </w:r>
          </w:p>
        </w:tc>
      </w:tr>
      <w:tr>
        <w:tc>
          <w:tcPr>
            <w:tcW w:type="dxa" w:w="2295"/>
            <w:vAlign w:val="top"/>
            <w:tcMar>
              <w:top w:w="70" w:type="dxa"/>
              <w:start w:w="70" w:type="dxa"/>
              <w:bottom w:w="70" w:type="dxa"/>
              <w:end w:w="70" w:type="dxa"/>
            </w:tcMar>
          </w:tcPr>
          <w:p>
            <w:pPr>
              <w:spacing w:before="20" w:after="20"/>
            </w:pPr>
            <w:r>
              <w:rPr>
                <w:sz w:val="16"/>
                <w:szCs w:val="16"/>
              </w:rPr>
              <w:t>MeasurementUnit</w:t>
            </w:r>
          </w:p>
        </w:tc>
        <w:tc>
          <w:tcPr>
            <w:tcW w:type="dxa" w:w="2147"/>
            <w:vAlign w:val="top"/>
            <w:tcMar>
              <w:top w:w="70" w:type="dxa"/>
              <w:start w:w="70" w:type="dxa"/>
              <w:bottom w:w="70" w:type="dxa"/>
              <w:end w:w="70" w:type="dxa"/>
            </w:tcMar>
          </w:tcPr>
          <w:p>
            <w:pPr>
              <w:spacing w:before="20" w:after="20"/>
            </w:pPr>
            <w:r>
              <w:rPr>
                <w:sz w:val="16"/>
                <w:szCs w:val="16"/>
              </w:rPr>
              <w:t>Measurement</w:t>
            </w:r>
          </w:p>
        </w:tc>
        <w:tc>
          <w:tcPr>
            <w:tcW w:type="dxa" w:w="5552"/>
            <w:vAlign w:val="top"/>
            <w:tcMar>
              <w:top w:w="70" w:type="dxa"/>
              <w:start w:w="70" w:type="dxa"/>
              <w:bottom w:w="70" w:type="dxa"/>
              <w:end w:w="70" w:type="dxa"/>
            </w:tcMar>
          </w:tcPr>
          <w:p>
            <w:pPr>
              <w:spacing w:before="20" w:after="20"/>
            </w:pPr>
            <w:r>
              <w:rPr>
                <w:sz w:val="16"/>
                <w:szCs w:val="16"/>
              </w:rPr>
              <w:t>Unit used for the controlled measurement.</w:t>
            </w:r>
          </w:p>
        </w:tc>
      </w:tr>
      <w:tr>
        <w:tc>
          <w:tcPr>
            <w:tcW w:type="dxa" w:w="2295"/>
            <w:vAlign w:val="top"/>
            <w:tcMar>
              <w:top w:w="70" w:type="dxa"/>
              <w:start w:w="70" w:type="dxa"/>
              <w:bottom w:w="70" w:type="dxa"/>
              <w:end w:w="70" w:type="dxa"/>
            </w:tcMar>
          </w:tcPr>
          <w:p>
            <w:pPr>
              <w:spacing w:before="20" w:after="20"/>
            </w:pPr>
            <w:r>
              <w:rPr>
                <w:sz w:val="16"/>
                <w:szCs w:val="16"/>
              </w:rPr>
              <w:t>ReferencePeriod</w:t>
            </w:r>
          </w:p>
        </w:tc>
        <w:tc>
          <w:tcPr>
            <w:tcW w:type="dxa" w:w="2147"/>
            <w:vAlign w:val="top"/>
            <w:tcMar>
              <w:top w:w="70" w:type="dxa"/>
              <w:start w:w="70" w:type="dxa"/>
              <w:bottom w:w="70" w:type="dxa"/>
              <w:end w:w="70" w:type="dxa"/>
            </w:tcMar>
          </w:tcPr>
          <w:p>
            <w:pPr>
              <w:spacing w:before="20" w:after="20"/>
            </w:pPr>
            <w:r>
              <w:rPr>
                <w:sz w:val="16"/>
                <w:szCs w:val="16"/>
              </w:rPr>
              <w:t>Measurement</w:t>
            </w:r>
          </w:p>
        </w:tc>
        <w:tc>
          <w:tcPr>
            <w:tcW w:type="dxa" w:w="5552"/>
            <w:vAlign w:val="top"/>
            <w:tcMar>
              <w:top w:w="70" w:type="dxa"/>
              <w:start w:w="70" w:type="dxa"/>
              <w:bottom w:w="70" w:type="dxa"/>
              <w:end w:w="70" w:type="dxa"/>
            </w:tcMar>
          </w:tcPr>
          <w:p>
            <w:pPr>
              <w:spacing w:before="20" w:after="20"/>
            </w:pPr>
            <w:r>
              <w:rPr>
                <w:sz w:val="16"/>
                <w:szCs w:val="16"/>
              </w:rPr>
              <w:t>Period against which performance is assessed.</w:t>
            </w:r>
          </w:p>
        </w:tc>
      </w:tr>
      <w:tr>
        <w:tc>
          <w:tcPr>
            <w:tcW w:type="dxa" w:w="2295"/>
            <w:vAlign w:val="top"/>
            <w:tcMar>
              <w:top w:w="70" w:type="dxa"/>
              <w:start w:w="70" w:type="dxa"/>
              <w:bottom w:w="70" w:type="dxa"/>
              <w:end w:w="70" w:type="dxa"/>
            </w:tcMar>
          </w:tcPr>
          <w:p>
            <w:pPr>
              <w:spacing w:before="20" w:after="20"/>
            </w:pPr>
            <w:r>
              <w:rPr>
                <w:sz w:val="16"/>
                <w:szCs w:val="16"/>
              </w:rPr>
              <w:t>AssessmentPoint</w:t>
            </w:r>
          </w:p>
        </w:tc>
        <w:tc>
          <w:tcPr>
            <w:tcW w:type="dxa" w:w="2147"/>
            <w:vAlign w:val="top"/>
            <w:tcMar>
              <w:top w:w="70" w:type="dxa"/>
              <w:start w:w="70" w:type="dxa"/>
              <w:bottom w:w="70" w:type="dxa"/>
              <w:end w:w="70" w:type="dxa"/>
            </w:tcMar>
          </w:tcPr>
          <w:p>
            <w:pPr>
              <w:spacing w:before="20" w:after="20"/>
            </w:pPr>
            <w:r>
              <w:rPr>
                <w:sz w:val="16"/>
                <w:szCs w:val="16"/>
              </w:rPr>
              <w:t>Measurement</w:t>
            </w:r>
          </w:p>
        </w:tc>
        <w:tc>
          <w:tcPr>
            <w:tcW w:type="dxa" w:w="5552"/>
            <w:vAlign w:val="top"/>
            <w:tcMar>
              <w:top w:w="70" w:type="dxa"/>
              <w:start w:w="70" w:type="dxa"/>
              <w:bottom w:w="70" w:type="dxa"/>
              <w:end w:w="70" w:type="dxa"/>
            </w:tcMar>
          </w:tcPr>
          <w:p>
            <w:pPr>
              <w:spacing w:before="20" w:after="20"/>
            </w:pPr>
            <w:r>
              <w:rPr>
                <w:sz w:val="16"/>
                <w:szCs w:val="16"/>
              </w:rPr>
              <w:t>Legally relevant point at which assessment occurs.</w:t>
            </w:r>
          </w:p>
        </w:tc>
      </w:tr>
      <w:tr>
        <w:tc>
          <w:tcPr>
            <w:tcW w:type="dxa" w:w="2295"/>
            <w:vAlign w:val="top"/>
            <w:tcMar>
              <w:top w:w="70" w:type="dxa"/>
              <w:start w:w="70" w:type="dxa"/>
              <w:bottom w:w="70" w:type="dxa"/>
              <w:end w:w="70" w:type="dxa"/>
            </w:tcMar>
          </w:tcPr>
          <w:p>
            <w:pPr>
              <w:spacing w:before="20" w:after="20"/>
            </w:pPr>
            <w:r>
              <w:rPr>
                <w:sz w:val="16"/>
                <w:szCs w:val="16"/>
              </w:rPr>
              <w:t>MeasurementSource</w:t>
            </w:r>
          </w:p>
        </w:tc>
        <w:tc>
          <w:tcPr>
            <w:tcW w:type="dxa" w:w="2147"/>
            <w:vAlign w:val="top"/>
            <w:tcMar>
              <w:top w:w="70" w:type="dxa"/>
              <w:start w:w="70" w:type="dxa"/>
              <w:bottom w:w="70" w:type="dxa"/>
              <w:end w:w="70" w:type="dxa"/>
            </w:tcMar>
          </w:tcPr>
          <w:p>
            <w:pPr>
              <w:spacing w:before="20" w:after="20"/>
            </w:pPr>
            <w:r>
              <w:rPr>
                <w:sz w:val="16"/>
                <w:szCs w:val="16"/>
              </w:rPr>
              <w:t>Measurement</w:t>
            </w:r>
          </w:p>
        </w:tc>
        <w:tc>
          <w:tcPr>
            <w:tcW w:type="dxa" w:w="5552"/>
            <w:vAlign w:val="top"/>
            <w:tcMar>
              <w:top w:w="70" w:type="dxa"/>
              <w:start w:w="70" w:type="dxa"/>
              <w:bottom w:w="70" w:type="dxa"/>
              <w:end w:w="70" w:type="dxa"/>
            </w:tcMar>
          </w:tcPr>
          <w:p>
            <w:pPr>
              <w:spacing w:before="20" w:after="20"/>
            </w:pPr>
            <w:r>
              <w:rPr>
                <w:sz w:val="16"/>
                <w:szCs w:val="16"/>
              </w:rPr>
              <w:t>Controlled source supplying the observed data.</w:t>
            </w:r>
          </w:p>
        </w:tc>
      </w:tr>
      <w:tr>
        <w:tc>
          <w:tcPr>
            <w:tcW w:type="dxa" w:w="2295"/>
            <w:vAlign w:val="top"/>
            <w:tcMar>
              <w:top w:w="70" w:type="dxa"/>
              <w:start w:w="70" w:type="dxa"/>
              <w:bottom w:w="70" w:type="dxa"/>
              <w:end w:w="70" w:type="dxa"/>
            </w:tcMar>
          </w:tcPr>
          <w:p>
            <w:pPr>
              <w:spacing w:before="20" w:after="20"/>
            </w:pPr>
            <w:r>
              <w:rPr>
                <w:sz w:val="16"/>
                <w:szCs w:val="16"/>
              </w:rPr>
              <w:t>NumeratorDefinition</w:t>
            </w:r>
          </w:p>
        </w:tc>
        <w:tc>
          <w:tcPr>
            <w:tcW w:type="dxa" w:w="2147"/>
            <w:vAlign w:val="top"/>
            <w:tcMar>
              <w:top w:w="70" w:type="dxa"/>
              <w:start w:w="70" w:type="dxa"/>
              <w:bottom w:w="70" w:type="dxa"/>
              <w:end w:w="70" w:type="dxa"/>
            </w:tcMar>
          </w:tcPr>
          <w:p>
            <w:pPr>
              <w:spacing w:before="20" w:after="20"/>
            </w:pPr>
            <w:r>
              <w:rPr>
                <w:sz w:val="16"/>
                <w:szCs w:val="16"/>
              </w:rPr>
              <w:t>Measurement</w:t>
            </w:r>
          </w:p>
        </w:tc>
        <w:tc>
          <w:tcPr>
            <w:tcW w:type="dxa" w:w="5552"/>
            <w:vAlign w:val="top"/>
            <w:tcMar>
              <w:top w:w="70" w:type="dxa"/>
              <w:start w:w="70" w:type="dxa"/>
              <w:bottom w:w="70" w:type="dxa"/>
              <w:end w:w="70" w:type="dxa"/>
            </w:tcMar>
          </w:tcPr>
          <w:p>
            <w:pPr>
              <w:spacing w:before="20" w:after="20"/>
            </w:pPr>
            <w:r>
              <w:rPr>
                <w:sz w:val="16"/>
                <w:szCs w:val="16"/>
              </w:rPr>
              <w:t>Numerator definition where a ratio or rate is used.</w:t>
            </w:r>
          </w:p>
        </w:tc>
      </w:tr>
      <w:tr>
        <w:tc>
          <w:tcPr>
            <w:tcW w:type="dxa" w:w="2295"/>
            <w:vAlign w:val="top"/>
            <w:tcMar>
              <w:top w:w="70" w:type="dxa"/>
              <w:start w:w="70" w:type="dxa"/>
              <w:bottom w:w="70" w:type="dxa"/>
              <w:end w:w="70" w:type="dxa"/>
            </w:tcMar>
          </w:tcPr>
          <w:p>
            <w:pPr>
              <w:spacing w:before="20" w:after="20"/>
            </w:pPr>
            <w:r>
              <w:rPr>
                <w:sz w:val="16"/>
                <w:szCs w:val="16"/>
              </w:rPr>
              <w:t>DenominatorDefinition</w:t>
            </w:r>
          </w:p>
        </w:tc>
        <w:tc>
          <w:tcPr>
            <w:tcW w:type="dxa" w:w="2147"/>
            <w:vAlign w:val="top"/>
            <w:tcMar>
              <w:top w:w="70" w:type="dxa"/>
              <w:start w:w="70" w:type="dxa"/>
              <w:bottom w:w="70" w:type="dxa"/>
              <w:end w:w="70" w:type="dxa"/>
            </w:tcMar>
          </w:tcPr>
          <w:p>
            <w:pPr>
              <w:spacing w:before="20" w:after="20"/>
            </w:pPr>
            <w:r>
              <w:rPr>
                <w:sz w:val="16"/>
                <w:szCs w:val="16"/>
              </w:rPr>
              <w:t>Measurement</w:t>
            </w:r>
          </w:p>
        </w:tc>
        <w:tc>
          <w:tcPr>
            <w:tcW w:type="dxa" w:w="5552"/>
            <w:vAlign w:val="top"/>
            <w:tcMar>
              <w:top w:w="70" w:type="dxa"/>
              <w:start w:w="70" w:type="dxa"/>
              <w:bottom w:w="70" w:type="dxa"/>
              <w:end w:w="70" w:type="dxa"/>
            </w:tcMar>
          </w:tcPr>
          <w:p>
            <w:pPr>
              <w:spacing w:before="20" w:after="20"/>
            </w:pPr>
            <w:r>
              <w:rPr>
                <w:sz w:val="16"/>
                <w:szCs w:val="16"/>
              </w:rPr>
              <w:t>Denominator definition where a ratio or rate is used.</w:t>
            </w:r>
          </w:p>
        </w:tc>
      </w:tr>
      <w:tr>
        <w:tc>
          <w:tcPr>
            <w:tcW w:type="dxa" w:w="2295"/>
            <w:vAlign w:val="top"/>
            <w:tcMar>
              <w:top w:w="70" w:type="dxa"/>
              <w:start w:w="70" w:type="dxa"/>
              <w:bottom w:w="70" w:type="dxa"/>
              <w:end w:w="70" w:type="dxa"/>
            </w:tcMar>
          </w:tcPr>
          <w:p>
            <w:pPr>
              <w:spacing w:before="20" w:after="20"/>
            </w:pPr>
            <w:r>
              <w:rPr>
                <w:sz w:val="16"/>
                <w:szCs w:val="16"/>
              </w:rPr>
              <w:t>ReferenceValue</w:t>
            </w:r>
          </w:p>
        </w:tc>
        <w:tc>
          <w:tcPr>
            <w:tcW w:type="dxa" w:w="2147"/>
            <w:vAlign w:val="top"/>
            <w:tcMar>
              <w:top w:w="70" w:type="dxa"/>
              <w:start w:w="70" w:type="dxa"/>
              <w:bottom w:w="70" w:type="dxa"/>
              <w:end w:w="70" w:type="dxa"/>
            </w:tcMar>
          </w:tcPr>
          <w:p>
            <w:pPr>
              <w:spacing w:before="20" w:after="20"/>
            </w:pPr>
            <w:r>
              <w:rPr>
                <w:sz w:val="16"/>
                <w:szCs w:val="16"/>
              </w:rPr>
              <w:t>Measurement</w:t>
            </w:r>
          </w:p>
        </w:tc>
        <w:tc>
          <w:tcPr>
            <w:tcW w:type="dxa" w:w="5552"/>
            <w:vAlign w:val="top"/>
            <w:tcMar>
              <w:top w:w="70" w:type="dxa"/>
              <w:start w:w="70" w:type="dxa"/>
              <w:bottom w:w="70" w:type="dxa"/>
              <w:end w:w="70" w:type="dxa"/>
            </w:tcMar>
          </w:tcPr>
          <w:p>
            <w:pPr>
              <w:spacing w:before="20" w:after="20"/>
            </w:pPr>
            <w:r>
              <w:rPr>
                <w:sz w:val="16"/>
                <w:szCs w:val="16"/>
              </w:rPr>
              <w:t>Applicable baseline or comparison value.</w:t>
            </w:r>
          </w:p>
        </w:tc>
      </w:tr>
      <w:tr>
        <w:tc>
          <w:tcPr>
            <w:tcW w:type="dxa" w:w="2295"/>
            <w:vAlign w:val="top"/>
            <w:tcMar>
              <w:top w:w="70" w:type="dxa"/>
              <w:start w:w="70" w:type="dxa"/>
              <w:bottom w:w="70" w:type="dxa"/>
              <w:end w:w="70" w:type="dxa"/>
            </w:tcMar>
          </w:tcPr>
          <w:p>
            <w:pPr>
              <w:spacing w:before="20" w:after="20"/>
            </w:pPr>
            <w:r>
              <w:rPr>
                <w:sz w:val="16"/>
                <w:szCs w:val="16"/>
              </w:rPr>
              <w:t>RequiredValue</w:t>
            </w:r>
          </w:p>
        </w:tc>
        <w:tc>
          <w:tcPr>
            <w:tcW w:type="dxa" w:w="2147"/>
            <w:vAlign w:val="top"/>
            <w:tcMar>
              <w:top w:w="70" w:type="dxa"/>
              <w:start w:w="70" w:type="dxa"/>
              <w:bottom w:w="70" w:type="dxa"/>
              <w:end w:w="70" w:type="dxa"/>
            </w:tcMar>
          </w:tcPr>
          <w:p>
            <w:pPr>
              <w:spacing w:before="20" w:after="20"/>
            </w:pPr>
            <w:r>
              <w:rPr>
                <w:sz w:val="16"/>
                <w:szCs w:val="16"/>
              </w:rPr>
              <w:t>Measurement</w:t>
            </w:r>
          </w:p>
        </w:tc>
        <w:tc>
          <w:tcPr>
            <w:tcW w:type="dxa" w:w="5552"/>
            <w:vAlign w:val="top"/>
            <w:tcMar>
              <w:top w:w="70" w:type="dxa"/>
              <w:start w:w="70" w:type="dxa"/>
              <w:bottom w:w="70" w:type="dxa"/>
              <w:end w:w="70" w:type="dxa"/>
            </w:tcMar>
          </w:tcPr>
          <w:p>
            <w:pPr>
              <w:spacing w:before="20" w:after="20"/>
            </w:pPr>
            <w:r>
              <w:rPr>
                <w:sz w:val="16"/>
                <w:szCs w:val="16"/>
              </w:rPr>
              <w:t>Threshold or value required by the controlling condition.</w:t>
            </w:r>
          </w:p>
        </w:tc>
      </w:tr>
      <w:tr>
        <w:tc>
          <w:tcPr>
            <w:tcW w:type="dxa" w:w="2295"/>
            <w:vAlign w:val="top"/>
            <w:tcMar>
              <w:top w:w="70" w:type="dxa"/>
              <w:start w:w="70" w:type="dxa"/>
              <w:bottom w:w="70" w:type="dxa"/>
              <w:end w:w="70" w:type="dxa"/>
            </w:tcMar>
          </w:tcPr>
          <w:p>
            <w:pPr>
              <w:spacing w:before="20" w:after="20"/>
            </w:pPr>
            <w:r>
              <w:rPr>
                <w:sz w:val="16"/>
                <w:szCs w:val="16"/>
              </w:rPr>
              <w:t>ObservedValue</w:t>
            </w:r>
          </w:p>
        </w:tc>
        <w:tc>
          <w:tcPr>
            <w:tcW w:type="dxa" w:w="2147"/>
            <w:vAlign w:val="top"/>
            <w:tcMar>
              <w:top w:w="70" w:type="dxa"/>
              <w:start w:w="70" w:type="dxa"/>
              <w:bottom w:w="70" w:type="dxa"/>
              <w:end w:w="70" w:type="dxa"/>
            </w:tcMar>
          </w:tcPr>
          <w:p>
            <w:pPr>
              <w:spacing w:before="20" w:after="20"/>
            </w:pPr>
            <w:r>
              <w:rPr>
                <w:sz w:val="16"/>
                <w:szCs w:val="16"/>
              </w:rPr>
              <w:t>Measurement</w:t>
            </w:r>
          </w:p>
        </w:tc>
        <w:tc>
          <w:tcPr>
            <w:tcW w:type="dxa" w:w="5552"/>
            <w:vAlign w:val="top"/>
            <w:tcMar>
              <w:top w:w="70" w:type="dxa"/>
              <w:start w:w="70" w:type="dxa"/>
              <w:bottom w:w="70" w:type="dxa"/>
              <w:end w:w="70" w:type="dxa"/>
            </w:tcMar>
          </w:tcPr>
          <w:p>
            <w:pPr>
              <w:spacing w:before="20" w:after="20"/>
            </w:pPr>
            <w:r>
              <w:rPr>
                <w:sz w:val="16"/>
                <w:szCs w:val="16"/>
              </w:rPr>
              <w:t>Observed result for the identified assessment.</w:t>
            </w:r>
          </w:p>
        </w:tc>
      </w:tr>
      <w:tr>
        <w:tc>
          <w:tcPr>
            <w:tcW w:type="dxa" w:w="2295"/>
            <w:vAlign w:val="top"/>
            <w:tcMar>
              <w:top w:w="70" w:type="dxa"/>
              <w:start w:w="70" w:type="dxa"/>
              <w:bottom w:w="70" w:type="dxa"/>
              <w:end w:w="70" w:type="dxa"/>
            </w:tcMar>
          </w:tcPr>
          <w:p>
            <w:pPr>
              <w:spacing w:before="20" w:after="20"/>
            </w:pPr>
            <w:r>
              <w:rPr>
                <w:sz w:val="16"/>
                <w:szCs w:val="16"/>
              </w:rPr>
              <w:t>AuthorizedTolerance</w:t>
            </w:r>
          </w:p>
        </w:tc>
        <w:tc>
          <w:tcPr>
            <w:tcW w:type="dxa" w:w="2147"/>
            <w:vAlign w:val="top"/>
            <w:tcMar>
              <w:top w:w="70" w:type="dxa"/>
              <w:start w:w="70" w:type="dxa"/>
              <w:bottom w:w="70" w:type="dxa"/>
              <w:end w:w="70" w:type="dxa"/>
            </w:tcMar>
          </w:tcPr>
          <w:p>
            <w:pPr>
              <w:spacing w:before="20" w:after="20"/>
            </w:pPr>
            <w:r>
              <w:rPr>
                <w:sz w:val="16"/>
                <w:szCs w:val="16"/>
              </w:rPr>
              <w:t>Measurement</w:t>
            </w:r>
          </w:p>
        </w:tc>
        <w:tc>
          <w:tcPr>
            <w:tcW w:type="dxa" w:w="5552"/>
            <w:vAlign w:val="top"/>
            <w:tcMar>
              <w:top w:w="70" w:type="dxa"/>
              <w:start w:w="70" w:type="dxa"/>
              <w:bottom w:w="70" w:type="dxa"/>
              <w:end w:w="70" w:type="dxa"/>
            </w:tcMar>
          </w:tcPr>
          <w:p>
            <w:pPr>
              <w:spacing w:before="20" w:after="20"/>
            </w:pPr>
            <w:r>
              <w:rPr>
                <w:sz w:val="16"/>
                <w:szCs w:val="16"/>
              </w:rPr>
              <w:t>Express numerical tolerance, if any; blank does not imply tolerance.</w:t>
            </w:r>
          </w:p>
        </w:tc>
      </w:tr>
      <w:tr>
        <w:tc>
          <w:tcPr>
            <w:tcW w:type="dxa" w:w="2295"/>
            <w:vAlign w:val="top"/>
            <w:tcMar>
              <w:top w:w="70" w:type="dxa"/>
              <w:start w:w="70" w:type="dxa"/>
              <w:bottom w:w="70" w:type="dxa"/>
              <w:end w:w="70" w:type="dxa"/>
            </w:tcMar>
          </w:tcPr>
          <w:p>
            <w:pPr>
              <w:spacing w:before="20" w:after="20"/>
            </w:pPr>
            <w:r>
              <w:rPr>
                <w:sz w:val="16"/>
                <w:szCs w:val="16"/>
              </w:rPr>
              <w:t>ConversionRuleReference</w:t>
            </w:r>
          </w:p>
        </w:tc>
        <w:tc>
          <w:tcPr>
            <w:tcW w:type="dxa" w:w="2147"/>
            <w:vAlign w:val="top"/>
            <w:tcMar>
              <w:top w:w="70" w:type="dxa"/>
              <w:start w:w="70" w:type="dxa"/>
              <w:bottom w:w="70" w:type="dxa"/>
              <w:end w:w="70" w:type="dxa"/>
            </w:tcMar>
          </w:tcPr>
          <w:p>
            <w:pPr>
              <w:spacing w:before="20" w:after="20"/>
            </w:pPr>
            <w:r>
              <w:rPr>
                <w:sz w:val="16"/>
                <w:szCs w:val="16"/>
              </w:rPr>
              <w:t>Measurement</w:t>
            </w:r>
          </w:p>
        </w:tc>
        <w:tc>
          <w:tcPr>
            <w:tcW w:type="dxa" w:w="5552"/>
            <w:vAlign w:val="top"/>
            <w:tcMar>
              <w:top w:w="70" w:type="dxa"/>
              <w:start w:w="70" w:type="dxa"/>
              <w:bottom w:w="70" w:type="dxa"/>
              <w:end w:w="70" w:type="dxa"/>
            </w:tcMar>
          </w:tcPr>
          <w:p>
            <w:pPr>
              <w:spacing w:before="20" w:after="20"/>
            </w:pPr>
            <w:r>
              <w:rPr>
                <w:sz w:val="16"/>
                <w:szCs w:val="16"/>
              </w:rPr>
              <w:t>Authorized unit or currency conversion rule where applicable.</w:t>
            </w:r>
          </w:p>
        </w:tc>
      </w:tr>
      <w:tr>
        <w:tc>
          <w:tcPr>
            <w:tcW w:type="dxa" w:w="2295"/>
            <w:vAlign w:val="top"/>
            <w:tcMar>
              <w:top w:w="70" w:type="dxa"/>
              <w:start w:w="70" w:type="dxa"/>
              <w:bottom w:w="70" w:type="dxa"/>
              <w:end w:w="70" w:type="dxa"/>
            </w:tcMar>
          </w:tcPr>
          <w:p>
            <w:pPr>
              <w:spacing w:before="20" w:after="20"/>
            </w:pPr>
            <w:r>
              <w:rPr>
                <w:sz w:val="16"/>
                <w:szCs w:val="16"/>
              </w:rPr>
              <w:t>WeightingMethodReference</w:t>
            </w:r>
          </w:p>
        </w:tc>
        <w:tc>
          <w:tcPr>
            <w:tcW w:type="dxa" w:w="2147"/>
            <w:vAlign w:val="top"/>
            <w:tcMar>
              <w:top w:w="70" w:type="dxa"/>
              <w:start w:w="70" w:type="dxa"/>
              <w:bottom w:w="70" w:type="dxa"/>
              <w:end w:w="70" w:type="dxa"/>
            </w:tcMar>
          </w:tcPr>
          <w:p>
            <w:pPr>
              <w:spacing w:before="20" w:after="20"/>
            </w:pPr>
            <w:r>
              <w:rPr>
                <w:sz w:val="16"/>
                <w:szCs w:val="16"/>
              </w:rPr>
              <w:t>Material Performance</w:t>
            </w:r>
          </w:p>
        </w:tc>
        <w:tc>
          <w:tcPr>
            <w:tcW w:type="dxa" w:w="5552"/>
            <w:vAlign w:val="top"/>
            <w:tcMar>
              <w:top w:w="70" w:type="dxa"/>
              <w:start w:w="70" w:type="dxa"/>
              <w:bottom w:w="70" w:type="dxa"/>
              <w:end w:w="70" w:type="dxa"/>
            </w:tcMar>
          </w:tcPr>
          <w:p>
            <w:pPr>
              <w:spacing w:before="20" w:after="20"/>
            </w:pPr>
            <w:r>
              <w:rPr>
                <w:sz w:val="16"/>
                <w:szCs w:val="16"/>
              </w:rPr>
              <w:t>Objective weighting method assigned by Chapter 8 where applicable.</w:t>
            </w:r>
          </w:p>
        </w:tc>
      </w:tr>
      <w:tr>
        <w:tc>
          <w:tcPr>
            <w:tcW w:type="dxa" w:w="2295"/>
            <w:vAlign w:val="top"/>
            <w:tcMar>
              <w:top w:w="70" w:type="dxa"/>
              <w:start w:w="70" w:type="dxa"/>
              <w:bottom w:w="70" w:type="dxa"/>
              <w:end w:w="70" w:type="dxa"/>
            </w:tcMar>
          </w:tcPr>
          <w:p>
            <w:pPr>
              <w:spacing w:before="20" w:after="20"/>
            </w:pPr>
            <w:r>
              <w:rPr>
                <w:sz w:val="16"/>
                <w:szCs w:val="16"/>
              </w:rPr>
              <w:t>PerformanceState</w:t>
            </w:r>
          </w:p>
        </w:tc>
        <w:tc>
          <w:tcPr>
            <w:tcW w:type="dxa" w:w="2147"/>
            <w:vAlign w:val="top"/>
            <w:tcMar>
              <w:top w:w="70" w:type="dxa"/>
              <w:start w:w="70" w:type="dxa"/>
              <w:bottom w:w="70" w:type="dxa"/>
              <w:end w:w="70" w:type="dxa"/>
            </w:tcMar>
          </w:tcPr>
          <w:p>
            <w:pPr>
              <w:spacing w:before="20" w:after="20"/>
            </w:pPr>
            <w:r>
              <w:rPr>
                <w:sz w:val="16"/>
                <w:szCs w:val="16"/>
              </w:rPr>
              <w:t>Substantive state</w:t>
            </w:r>
          </w:p>
        </w:tc>
        <w:tc>
          <w:tcPr>
            <w:tcW w:type="dxa" w:w="5552"/>
            <w:vAlign w:val="top"/>
            <w:tcMar>
              <w:top w:w="70" w:type="dxa"/>
              <w:start w:w="70" w:type="dxa"/>
              <w:bottom w:w="70" w:type="dxa"/>
              <w:end w:w="70" w:type="dxa"/>
            </w:tcMar>
          </w:tcPr>
          <w:p>
            <w:pPr>
              <w:spacing w:before="20" w:after="20"/>
            </w:pPr>
            <w:r>
              <w:rPr>
                <w:sz w:val="16"/>
                <w:szCs w:val="16"/>
              </w:rPr>
              <w:t>Factual performance state, separate from verification, activation, dispute, and lifecycle status.</w:t>
            </w:r>
          </w:p>
        </w:tc>
      </w:tr>
      <w:tr>
        <w:tc>
          <w:tcPr>
            <w:tcW w:type="dxa" w:w="2295"/>
            <w:vAlign w:val="top"/>
            <w:tcMar>
              <w:top w:w="70" w:type="dxa"/>
              <w:start w:w="70" w:type="dxa"/>
              <w:bottom w:w="70" w:type="dxa"/>
              <w:end w:w="70" w:type="dxa"/>
            </w:tcMar>
          </w:tcPr>
          <w:p>
            <w:pPr>
              <w:spacing w:before="20" w:after="20"/>
            </w:pPr>
            <w:r>
              <w:rPr>
                <w:sz w:val="16"/>
                <w:szCs w:val="16"/>
              </w:rPr>
              <w:t>AsymmetryStatus</w:t>
            </w:r>
          </w:p>
        </w:tc>
        <w:tc>
          <w:tcPr>
            <w:tcW w:type="dxa" w:w="2147"/>
            <w:vAlign w:val="top"/>
            <w:tcMar>
              <w:top w:w="70" w:type="dxa"/>
              <w:start w:w="70" w:type="dxa"/>
              <w:bottom w:w="70" w:type="dxa"/>
              <w:end w:w="70" w:type="dxa"/>
            </w:tcMar>
          </w:tcPr>
          <w:p>
            <w:pPr>
              <w:spacing w:before="20" w:after="20"/>
            </w:pPr>
            <w:r>
              <w:rPr>
                <w:sz w:val="16"/>
                <w:szCs w:val="16"/>
              </w:rPr>
              <w:t>Substantive state</w:t>
            </w:r>
          </w:p>
        </w:tc>
        <w:tc>
          <w:tcPr>
            <w:tcW w:type="dxa" w:w="5552"/>
            <w:vAlign w:val="top"/>
            <w:tcMar>
              <w:top w:w="70" w:type="dxa"/>
              <w:start w:w="70" w:type="dxa"/>
              <w:bottom w:w="70" w:type="dxa"/>
              <w:end w:w="70" w:type="dxa"/>
            </w:tcMar>
          </w:tcPr>
          <w:p>
            <w:pPr>
              <w:spacing w:before="20" w:after="20"/>
            </w:pPr>
            <w:r>
              <w:rPr>
                <w:sz w:val="16"/>
                <w:szCs w:val="16"/>
              </w:rPr>
              <w:t>Records whether participating Parties are at different synchronized states.</w:t>
            </w:r>
          </w:p>
        </w:tc>
      </w:tr>
      <w:tr>
        <w:tc>
          <w:tcPr>
            <w:tcW w:type="dxa" w:w="2295"/>
            <w:vAlign w:val="top"/>
            <w:tcMar>
              <w:top w:w="70" w:type="dxa"/>
              <w:start w:w="70" w:type="dxa"/>
              <w:bottom w:w="70" w:type="dxa"/>
              <w:end w:w="70" w:type="dxa"/>
            </w:tcMar>
          </w:tcPr>
          <w:p>
            <w:pPr>
              <w:spacing w:before="20" w:after="20"/>
            </w:pPr>
            <w:r>
              <w:rPr>
                <w:sz w:val="16"/>
                <w:szCs w:val="16"/>
              </w:rPr>
              <w:t>LeadingParty</w:t>
            </w:r>
          </w:p>
        </w:tc>
        <w:tc>
          <w:tcPr>
            <w:tcW w:type="dxa" w:w="2147"/>
            <w:vAlign w:val="top"/>
            <w:tcMar>
              <w:top w:w="70" w:type="dxa"/>
              <w:start w:w="70" w:type="dxa"/>
              <w:bottom w:w="70" w:type="dxa"/>
              <w:end w:w="70" w:type="dxa"/>
            </w:tcMar>
          </w:tcPr>
          <w:p>
            <w:pPr>
              <w:spacing w:before="20" w:after="20"/>
            </w:pPr>
            <w:r>
              <w:rPr>
                <w:sz w:val="16"/>
                <w:szCs w:val="16"/>
              </w:rPr>
              <w:t>Asymmetry</w:t>
            </w:r>
          </w:p>
        </w:tc>
        <w:tc>
          <w:tcPr>
            <w:tcW w:type="dxa" w:w="5552"/>
            <w:vAlign w:val="top"/>
            <w:tcMar>
              <w:top w:w="70" w:type="dxa"/>
              <w:start w:w="70" w:type="dxa"/>
              <w:bottom w:w="70" w:type="dxa"/>
              <w:end w:w="70" w:type="dxa"/>
            </w:tcMar>
          </w:tcPr>
          <w:p>
            <w:pPr>
              <w:spacing w:before="20" w:after="20"/>
            </w:pPr>
            <w:r>
              <w:rPr>
                <w:sz w:val="16"/>
                <w:szCs w:val="16"/>
              </w:rPr>
              <w:t>Party ahead within the defined synchronized set, if applicable.</w:t>
            </w:r>
          </w:p>
        </w:tc>
      </w:tr>
      <w:tr>
        <w:tc>
          <w:tcPr>
            <w:tcW w:type="dxa" w:w="2295"/>
            <w:vAlign w:val="top"/>
            <w:tcMar>
              <w:top w:w="70" w:type="dxa"/>
              <w:start w:w="70" w:type="dxa"/>
              <w:bottom w:w="70" w:type="dxa"/>
              <w:end w:w="70" w:type="dxa"/>
            </w:tcMar>
          </w:tcPr>
          <w:p>
            <w:pPr>
              <w:spacing w:before="20" w:after="20"/>
            </w:pPr>
            <w:r>
              <w:rPr>
                <w:sz w:val="16"/>
                <w:szCs w:val="16"/>
              </w:rPr>
              <w:t>LaggingParty</w:t>
            </w:r>
          </w:p>
        </w:tc>
        <w:tc>
          <w:tcPr>
            <w:tcW w:type="dxa" w:w="2147"/>
            <w:vAlign w:val="top"/>
            <w:tcMar>
              <w:top w:w="70" w:type="dxa"/>
              <w:start w:w="70" w:type="dxa"/>
              <w:bottom w:w="70" w:type="dxa"/>
              <w:end w:w="70" w:type="dxa"/>
            </w:tcMar>
          </w:tcPr>
          <w:p>
            <w:pPr>
              <w:spacing w:before="20" w:after="20"/>
            </w:pPr>
            <w:r>
              <w:rPr>
                <w:sz w:val="16"/>
                <w:szCs w:val="16"/>
              </w:rPr>
              <w:t>Asymmetry</w:t>
            </w:r>
          </w:p>
        </w:tc>
        <w:tc>
          <w:tcPr>
            <w:tcW w:type="dxa" w:w="5552"/>
            <w:vAlign w:val="top"/>
            <w:tcMar>
              <w:top w:w="70" w:type="dxa"/>
              <w:start w:w="70" w:type="dxa"/>
              <w:bottom w:w="70" w:type="dxa"/>
              <w:end w:w="70" w:type="dxa"/>
            </w:tcMar>
          </w:tcPr>
          <w:p>
            <w:pPr>
              <w:spacing w:before="20" w:after="20"/>
            </w:pPr>
            <w:r>
              <w:rPr>
                <w:sz w:val="16"/>
                <w:szCs w:val="16"/>
              </w:rPr>
              <w:t>Party with unmatched future performance, if applicable.</w:t>
            </w:r>
          </w:p>
        </w:tc>
      </w:tr>
      <w:tr>
        <w:tc>
          <w:tcPr>
            <w:tcW w:type="dxa" w:w="2295"/>
            <w:vAlign w:val="top"/>
            <w:tcMar>
              <w:top w:w="70" w:type="dxa"/>
              <w:start w:w="70" w:type="dxa"/>
              <w:bottom w:w="70" w:type="dxa"/>
              <w:end w:w="70" w:type="dxa"/>
            </w:tcMar>
          </w:tcPr>
          <w:p>
            <w:pPr>
              <w:spacing w:before="20" w:after="20"/>
            </w:pPr>
            <w:r>
              <w:rPr>
                <w:sz w:val="16"/>
                <w:szCs w:val="16"/>
              </w:rPr>
              <w:t>DeferredActivationStatus</w:t>
            </w:r>
          </w:p>
        </w:tc>
        <w:tc>
          <w:tcPr>
            <w:tcW w:type="dxa" w:w="2147"/>
            <w:vAlign w:val="top"/>
            <w:tcMar>
              <w:top w:w="70" w:type="dxa"/>
              <w:start w:w="70" w:type="dxa"/>
              <w:bottom w:w="70" w:type="dxa"/>
              <w:end w:w="70" w:type="dxa"/>
            </w:tcMar>
          </w:tcPr>
          <w:p>
            <w:pPr>
              <w:spacing w:before="20" w:after="20"/>
            </w:pPr>
            <w:r>
              <w:rPr>
                <w:sz w:val="16"/>
                <w:szCs w:val="16"/>
              </w:rPr>
              <w:t>Activation</w:t>
            </w:r>
          </w:p>
        </w:tc>
        <w:tc>
          <w:tcPr>
            <w:tcW w:type="dxa" w:w="5552"/>
            <w:vAlign w:val="top"/>
            <w:tcMar>
              <w:top w:w="70" w:type="dxa"/>
              <w:start w:w="70" w:type="dxa"/>
              <w:bottom w:w="70" w:type="dxa"/>
              <w:end w:w="70" w:type="dxa"/>
            </w:tcMar>
          </w:tcPr>
          <w:p>
            <w:pPr>
              <w:spacing w:before="20" w:after="20"/>
            </w:pPr>
            <w:r>
              <w:rPr>
                <w:sz w:val="16"/>
                <w:szCs w:val="16"/>
              </w:rPr>
              <w:t>Status of any expressly authorized Deferred Activation.</w:t>
            </w:r>
          </w:p>
        </w:tc>
      </w:tr>
      <w:tr>
        <w:tc>
          <w:tcPr>
            <w:tcW w:type="dxa" w:w="2295"/>
            <w:vAlign w:val="top"/>
            <w:tcMar>
              <w:top w:w="70" w:type="dxa"/>
              <w:start w:w="70" w:type="dxa"/>
              <w:bottom w:w="70" w:type="dxa"/>
              <w:end w:w="70" w:type="dxa"/>
            </w:tcMar>
          </w:tcPr>
          <w:p>
            <w:pPr>
              <w:spacing w:before="20" w:after="20"/>
            </w:pPr>
            <w:r>
              <w:rPr>
                <w:sz w:val="16"/>
                <w:szCs w:val="16"/>
              </w:rPr>
              <w:t>CatchUpRoute</w:t>
            </w:r>
          </w:p>
        </w:tc>
        <w:tc>
          <w:tcPr>
            <w:tcW w:type="dxa" w:w="2147"/>
            <w:vAlign w:val="top"/>
            <w:tcMar>
              <w:top w:w="70" w:type="dxa"/>
              <w:start w:w="70" w:type="dxa"/>
              <w:bottom w:w="70" w:type="dxa"/>
              <w:end w:w="70" w:type="dxa"/>
            </w:tcMar>
          </w:tcPr>
          <w:p>
            <w:pPr>
              <w:spacing w:before="20" w:after="20"/>
            </w:pPr>
            <w:r>
              <w:rPr>
                <w:sz w:val="16"/>
                <w:szCs w:val="16"/>
              </w:rPr>
              <w:t>Activation</w:t>
            </w:r>
          </w:p>
        </w:tc>
        <w:tc>
          <w:tcPr>
            <w:tcW w:type="dxa" w:w="5552"/>
            <w:vAlign w:val="top"/>
            <w:tcMar>
              <w:top w:w="70" w:type="dxa"/>
              <w:start w:w="70" w:type="dxa"/>
              <w:bottom w:w="70" w:type="dxa"/>
              <w:end w:w="70" w:type="dxa"/>
            </w:tcMar>
          </w:tcPr>
          <w:p>
            <w:pPr>
              <w:spacing w:before="20" w:after="20"/>
            </w:pPr>
            <w:r>
              <w:rPr>
                <w:sz w:val="16"/>
                <w:szCs w:val="16"/>
              </w:rPr>
              <w:t>Controlling route for completing missing substantive performance.</w:t>
            </w:r>
          </w:p>
        </w:tc>
      </w:tr>
      <w:tr>
        <w:tc>
          <w:tcPr>
            <w:tcW w:type="dxa" w:w="2295"/>
            <w:vAlign w:val="top"/>
            <w:tcMar>
              <w:top w:w="70" w:type="dxa"/>
              <w:start w:w="70" w:type="dxa"/>
              <w:bottom w:w="70" w:type="dxa"/>
              <w:end w:w="70" w:type="dxa"/>
            </w:tcMar>
          </w:tcPr>
          <w:p>
            <w:pPr>
              <w:spacing w:before="20" w:after="20"/>
            </w:pPr>
            <w:r>
              <w:rPr>
                <w:sz w:val="16"/>
                <w:szCs w:val="16"/>
              </w:rPr>
              <w:t>ReSynchronizationReference</w:t>
            </w:r>
          </w:p>
        </w:tc>
        <w:tc>
          <w:tcPr>
            <w:tcW w:type="dxa" w:w="2147"/>
            <w:vAlign w:val="top"/>
            <w:tcMar>
              <w:top w:w="70" w:type="dxa"/>
              <w:start w:w="70" w:type="dxa"/>
              <w:bottom w:w="70" w:type="dxa"/>
              <w:end w:w="70" w:type="dxa"/>
            </w:tcMar>
          </w:tcPr>
          <w:p>
            <w:pPr>
              <w:spacing w:before="20" w:after="20"/>
            </w:pPr>
            <w:r>
              <w:rPr>
                <w:sz w:val="16"/>
                <w:szCs w:val="16"/>
              </w:rPr>
              <w:t>Activation</w:t>
            </w:r>
          </w:p>
        </w:tc>
        <w:tc>
          <w:tcPr>
            <w:tcW w:type="dxa" w:w="5552"/>
            <w:vAlign w:val="top"/>
            <w:tcMar>
              <w:top w:w="70" w:type="dxa"/>
              <w:start w:w="70" w:type="dxa"/>
              <w:bottom w:w="70" w:type="dxa"/>
              <w:end w:w="70" w:type="dxa"/>
            </w:tcMar>
          </w:tcPr>
          <w:p>
            <w:pPr>
              <w:spacing w:before="20" w:after="20"/>
            </w:pPr>
            <w:r>
              <w:rPr>
                <w:sz w:val="16"/>
                <w:szCs w:val="16"/>
              </w:rPr>
              <w:t>Reference to the controlled re-synchronization event and restored trajectory.</w:t>
            </w:r>
          </w:p>
        </w:tc>
      </w:tr>
      <w:tr>
        <w:tc>
          <w:tcPr>
            <w:tcW w:type="dxa" w:w="2295"/>
            <w:vAlign w:val="top"/>
            <w:tcMar>
              <w:top w:w="70" w:type="dxa"/>
              <w:start w:w="70" w:type="dxa"/>
              <w:bottom w:w="70" w:type="dxa"/>
              <w:end w:w="70" w:type="dxa"/>
            </w:tcMar>
          </w:tcPr>
          <w:p>
            <w:pPr>
              <w:spacing w:before="20" w:after="20"/>
            </w:pPr>
            <w:r>
              <w:rPr>
                <w:sz w:val="16"/>
                <w:szCs w:val="16"/>
              </w:rPr>
              <w:t>OriginalCommencementDate</w:t>
            </w:r>
          </w:p>
        </w:tc>
        <w:tc>
          <w:tcPr>
            <w:tcW w:type="dxa" w:w="2147"/>
            <w:vAlign w:val="top"/>
            <w:tcMar>
              <w:top w:w="70" w:type="dxa"/>
              <w:start w:w="70" w:type="dxa"/>
              <w:bottom w:w="70" w:type="dxa"/>
              <w:end w:w="70" w:type="dxa"/>
            </w:tcMar>
          </w:tcPr>
          <w:p>
            <w:pPr>
              <w:spacing w:before="20" w:after="20"/>
            </w:pPr>
            <w:r>
              <w:rPr>
                <w:sz w:val="16"/>
                <w:szCs w:val="16"/>
              </w:rPr>
              <w:t>Temporal integrity</w:t>
            </w:r>
          </w:p>
        </w:tc>
        <w:tc>
          <w:tcPr>
            <w:tcW w:type="dxa" w:w="5552"/>
            <w:vAlign w:val="top"/>
            <w:tcMar>
              <w:top w:w="70" w:type="dxa"/>
              <w:start w:w="70" w:type="dxa"/>
              <w:bottom w:w="70" w:type="dxa"/>
              <w:end w:w="70" w:type="dxa"/>
            </w:tcMar>
          </w:tcPr>
          <w:p>
            <w:pPr>
              <w:spacing w:before="20" w:after="20"/>
            </w:pPr>
            <w:r>
              <w:rPr>
                <w:sz w:val="16"/>
                <w:szCs w:val="16"/>
              </w:rPr>
              <w:t>Immutable original commencement date unless express authority changes it.</w:t>
            </w:r>
          </w:p>
        </w:tc>
      </w:tr>
      <w:tr>
        <w:tc>
          <w:tcPr>
            <w:tcW w:type="dxa" w:w="2295"/>
            <w:vAlign w:val="top"/>
            <w:tcMar>
              <w:top w:w="70" w:type="dxa"/>
              <w:start w:w="70" w:type="dxa"/>
              <w:bottom w:w="70" w:type="dxa"/>
              <w:end w:w="70" w:type="dxa"/>
            </w:tcMar>
          </w:tcPr>
          <w:p>
            <w:pPr>
              <w:spacing w:before="20" w:after="20"/>
            </w:pPr>
            <w:r>
              <w:rPr>
                <w:sz w:val="16"/>
                <w:szCs w:val="16"/>
              </w:rPr>
              <w:t>ScheduledMilestoneDate</w:t>
            </w:r>
          </w:p>
        </w:tc>
        <w:tc>
          <w:tcPr>
            <w:tcW w:type="dxa" w:w="2147"/>
            <w:vAlign w:val="top"/>
            <w:tcMar>
              <w:top w:w="70" w:type="dxa"/>
              <w:start w:w="70" w:type="dxa"/>
              <w:bottom w:w="70" w:type="dxa"/>
              <w:end w:w="70" w:type="dxa"/>
            </w:tcMar>
          </w:tcPr>
          <w:p>
            <w:pPr>
              <w:spacing w:before="20" w:after="20"/>
            </w:pPr>
            <w:r>
              <w:rPr>
                <w:sz w:val="16"/>
                <w:szCs w:val="16"/>
              </w:rPr>
              <w:t>Temporal integrity</w:t>
            </w:r>
          </w:p>
        </w:tc>
        <w:tc>
          <w:tcPr>
            <w:tcW w:type="dxa" w:w="5552"/>
            <w:vAlign w:val="top"/>
            <w:tcMar>
              <w:top w:w="70" w:type="dxa"/>
              <w:start w:w="70" w:type="dxa"/>
              <w:bottom w:w="70" w:type="dxa"/>
              <w:end w:w="70" w:type="dxa"/>
            </w:tcMar>
          </w:tcPr>
          <w:p>
            <w:pPr>
              <w:spacing w:before="20" w:after="20"/>
            </w:pPr>
            <w:r>
              <w:rPr>
                <w:sz w:val="16"/>
                <w:szCs w:val="16"/>
              </w:rPr>
              <w:t>Scheduled milestone or assessment date.</w:t>
            </w:r>
          </w:p>
        </w:tc>
      </w:tr>
      <w:tr>
        <w:tc>
          <w:tcPr>
            <w:tcW w:type="dxa" w:w="2295"/>
            <w:vAlign w:val="top"/>
            <w:tcMar>
              <w:top w:w="70" w:type="dxa"/>
              <w:start w:w="70" w:type="dxa"/>
              <w:bottom w:w="70" w:type="dxa"/>
              <w:end w:w="70" w:type="dxa"/>
            </w:tcMar>
          </w:tcPr>
          <w:p>
            <w:pPr>
              <w:spacing w:before="20" w:after="20"/>
            </w:pPr>
            <w:r>
              <w:rPr>
                <w:sz w:val="16"/>
                <w:szCs w:val="16"/>
              </w:rPr>
              <w:t>AssessmentPeriodStart</w:t>
            </w:r>
          </w:p>
        </w:tc>
        <w:tc>
          <w:tcPr>
            <w:tcW w:type="dxa" w:w="2147"/>
            <w:vAlign w:val="top"/>
            <w:tcMar>
              <w:top w:w="70" w:type="dxa"/>
              <w:start w:w="70" w:type="dxa"/>
              <w:bottom w:w="70" w:type="dxa"/>
              <w:end w:w="70" w:type="dxa"/>
            </w:tcMar>
          </w:tcPr>
          <w:p>
            <w:pPr>
              <w:spacing w:before="20" w:after="20"/>
            </w:pPr>
            <w:r>
              <w:rPr>
                <w:sz w:val="16"/>
                <w:szCs w:val="16"/>
              </w:rPr>
              <w:t>Temporal integrity</w:t>
            </w:r>
          </w:p>
        </w:tc>
        <w:tc>
          <w:tcPr>
            <w:tcW w:type="dxa" w:w="5552"/>
            <w:vAlign w:val="top"/>
            <w:tcMar>
              <w:top w:w="70" w:type="dxa"/>
              <w:start w:w="70" w:type="dxa"/>
              <w:bottom w:w="70" w:type="dxa"/>
              <w:end w:w="70" w:type="dxa"/>
            </w:tcMar>
          </w:tcPr>
          <w:p>
            <w:pPr>
              <w:spacing w:before="20" w:after="20"/>
            </w:pPr>
            <w:r>
              <w:rPr>
                <w:sz w:val="16"/>
                <w:szCs w:val="16"/>
              </w:rPr>
              <w:t>Start of the factual assessment period.</w:t>
            </w:r>
          </w:p>
        </w:tc>
      </w:tr>
      <w:tr>
        <w:tc>
          <w:tcPr>
            <w:tcW w:type="dxa" w:w="2295"/>
            <w:vAlign w:val="top"/>
            <w:tcMar>
              <w:top w:w="70" w:type="dxa"/>
              <w:start w:w="70" w:type="dxa"/>
              <w:bottom w:w="70" w:type="dxa"/>
              <w:end w:w="70" w:type="dxa"/>
            </w:tcMar>
          </w:tcPr>
          <w:p>
            <w:pPr>
              <w:spacing w:before="20" w:after="20"/>
            </w:pPr>
            <w:r>
              <w:rPr>
                <w:sz w:val="16"/>
                <w:szCs w:val="16"/>
              </w:rPr>
              <w:t>AssessmentPeriodEnd</w:t>
            </w:r>
          </w:p>
        </w:tc>
        <w:tc>
          <w:tcPr>
            <w:tcW w:type="dxa" w:w="2147"/>
            <w:vAlign w:val="top"/>
            <w:tcMar>
              <w:top w:w="70" w:type="dxa"/>
              <w:start w:w="70" w:type="dxa"/>
              <w:bottom w:w="70" w:type="dxa"/>
              <w:end w:w="70" w:type="dxa"/>
            </w:tcMar>
          </w:tcPr>
          <w:p>
            <w:pPr>
              <w:spacing w:before="20" w:after="20"/>
            </w:pPr>
            <w:r>
              <w:rPr>
                <w:sz w:val="16"/>
                <w:szCs w:val="16"/>
              </w:rPr>
              <w:t>Temporal integrity</w:t>
            </w:r>
          </w:p>
        </w:tc>
        <w:tc>
          <w:tcPr>
            <w:tcW w:type="dxa" w:w="5552"/>
            <w:vAlign w:val="top"/>
            <w:tcMar>
              <w:top w:w="70" w:type="dxa"/>
              <w:start w:w="70" w:type="dxa"/>
              <w:bottom w:w="70" w:type="dxa"/>
              <w:end w:w="70" w:type="dxa"/>
            </w:tcMar>
          </w:tcPr>
          <w:p>
            <w:pPr>
              <w:spacing w:before="20" w:after="20"/>
            </w:pPr>
            <w:r>
              <w:rPr>
                <w:sz w:val="16"/>
                <w:szCs w:val="16"/>
              </w:rPr>
              <w:t>End of the factual assessment period.</w:t>
            </w:r>
          </w:p>
        </w:tc>
      </w:tr>
      <w:tr>
        <w:tc>
          <w:tcPr>
            <w:tcW w:type="dxa" w:w="2295"/>
            <w:vAlign w:val="top"/>
            <w:tcMar>
              <w:top w:w="70" w:type="dxa"/>
              <w:start w:w="70" w:type="dxa"/>
              <w:bottom w:w="70" w:type="dxa"/>
              <w:end w:w="70" w:type="dxa"/>
            </w:tcMar>
          </w:tcPr>
          <w:p>
            <w:pPr>
              <w:spacing w:before="20" w:after="20"/>
            </w:pPr>
            <w:r>
              <w:rPr>
                <w:sz w:val="16"/>
                <w:szCs w:val="16"/>
              </w:rPr>
              <w:t>ObservedEventDate</w:t>
            </w:r>
          </w:p>
        </w:tc>
        <w:tc>
          <w:tcPr>
            <w:tcW w:type="dxa" w:w="2147"/>
            <w:vAlign w:val="top"/>
            <w:tcMar>
              <w:top w:w="70" w:type="dxa"/>
              <w:start w:w="70" w:type="dxa"/>
              <w:bottom w:w="70" w:type="dxa"/>
              <w:end w:w="70" w:type="dxa"/>
            </w:tcMar>
          </w:tcPr>
          <w:p>
            <w:pPr>
              <w:spacing w:before="20" w:after="20"/>
            </w:pPr>
            <w:r>
              <w:rPr>
                <w:sz w:val="16"/>
                <w:szCs w:val="16"/>
              </w:rPr>
              <w:t>Temporal integrity</w:t>
            </w:r>
          </w:p>
        </w:tc>
        <w:tc>
          <w:tcPr>
            <w:tcW w:type="dxa" w:w="5552"/>
            <w:vAlign w:val="top"/>
            <w:tcMar>
              <w:top w:w="70" w:type="dxa"/>
              <w:start w:w="70" w:type="dxa"/>
              <w:bottom w:w="70" w:type="dxa"/>
              <w:end w:w="70" w:type="dxa"/>
            </w:tcMar>
          </w:tcPr>
          <w:p>
            <w:pPr>
              <w:spacing w:before="20" w:after="20"/>
            </w:pPr>
            <w:r>
              <w:rPr>
                <w:sz w:val="16"/>
                <w:szCs w:val="16"/>
              </w:rPr>
              <w:t>Date the underlying factual event occurred.</w:t>
            </w:r>
          </w:p>
        </w:tc>
      </w:tr>
      <w:tr>
        <w:tc>
          <w:tcPr>
            <w:tcW w:type="dxa" w:w="2295"/>
            <w:vAlign w:val="top"/>
            <w:tcMar>
              <w:top w:w="70" w:type="dxa"/>
              <w:start w:w="70" w:type="dxa"/>
              <w:bottom w:w="70" w:type="dxa"/>
              <w:end w:w="70" w:type="dxa"/>
            </w:tcMar>
          </w:tcPr>
          <w:p>
            <w:pPr>
              <w:spacing w:before="20" w:after="20"/>
            </w:pPr>
            <w:r>
              <w:rPr>
                <w:sz w:val="16"/>
                <w:szCs w:val="16"/>
              </w:rPr>
              <w:t>VerificationDate</w:t>
            </w:r>
          </w:p>
        </w:tc>
        <w:tc>
          <w:tcPr>
            <w:tcW w:type="dxa" w:w="2147"/>
            <w:vAlign w:val="top"/>
            <w:tcMar>
              <w:top w:w="70" w:type="dxa"/>
              <w:start w:w="70" w:type="dxa"/>
              <w:bottom w:w="70" w:type="dxa"/>
              <w:end w:w="70" w:type="dxa"/>
            </w:tcMar>
          </w:tcPr>
          <w:p>
            <w:pPr>
              <w:spacing w:before="20" w:after="20"/>
            </w:pPr>
            <w:r>
              <w:rPr>
                <w:sz w:val="16"/>
                <w:szCs w:val="16"/>
              </w:rPr>
              <w:t>Temporal integrity</w:t>
            </w:r>
          </w:p>
        </w:tc>
        <w:tc>
          <w:tcPr>
            <w:tcW w:type="dxa" w:w="5552"/>
            <w:vAlign w:val="top"/>
            <w:tcMar>
              <w:top w:w="70" w:type="dxa"/>
              <w:start w:w="70" w:type="dxa"/>
              <w:bottom w:w="70" w:type="dxa"/>
              <w:end w:w="70" w:type="dxa"/>
            </w:tcMar>
          </w:tcPr>
          <w:p>
            <w:pPr>
              <w:spacing w:before="20" w:after="20"/>
            </w:pPr>
            <w:r>
              <w:rPr>
                <w:sz w:val="16"/>
                <w:szCs w:val="16"/>
              </w:rPr>
              <w:t>Date the relevant evidence or field was verified.</w:t>
            </w:r>
          </w:p>
        </w:tc>
      </w:tr>
      <w:tr>
        <w:tc>
          <w:tcPr>
            <w:tcW w:type="dxa" w:w="2295"/>
            <w:vAlign w:val="top"/>
            <w:tcMar>
              <w:top w:w="70" w:type="dxa"/>
              <w:start w:w="70" w:type="dxa"/>
              <w:bottom w:w="70" w:type="dxa"/>
              <w:end w:w="70" w:type="dxa"/>
            </w:tcMar>
          </w:tcPr>
          <w:p>
            <w:pPr>
              <w:spacing w:before="20" w:after="20"/>
            </w:pPr>
            <w:r>
              <w:rPr>
                <w:sz w:val="16"/>
                <w:szCs w:val="16"/>
              </w:rPr>
              <w:t>ActivationDate</w:t>
            </w:r>
          </w:p>
        </w:tc>
        <w:tc>
          <w:tcPr>
            <w:tcW w:type="dxa" w:w="2147"/>
            <w:vAlign w:val="top"/>
            <w:tcMar>
              <w:top w:w="70" w:type="dxa"/>
              <w:start w:w="70" w:type="dxa"/>
              <w:bottom w:w="70" w:type="dxa"/>
              <w:end w:w="70" w:type="dxa"/>
            </w:tcMar>
          </w:tcPr>
          <w:p>
            <w:pPr>
              <w:spacing w:before="20" w:after="20"/>
            </w:pPr>
            <w:r>
              <w:rPr>
                <w:sz w:val="16"/>
                <w:szCs w:val="16"/>
              </w:rPr>
              <w:t>Temporal integrity</w:t>
            </w:r>
          </w:p>
        </w:tc>
        <w:tc>
          <w:tcPr>
            <w:tcW w:type="dxa" w:w="5552"/>
            <w:vAlign w:val="top"/>
            <w:tcMar>
              <w:top w:w="70" w:type="dxa"/>
              <w:start w:w="70" w:type="dxa"/>
              <w:bottom w:w="70" w:type="dxa"/>
              <w:end w:w="70" w:type="dxa"/>
            </w:tcMar>
          </w:tcPr>
          <w:p>
            <w:pPr>
              <w:spacing w:before="20" w:after="20"/>
            </w:pPr>
            <w:r>
              <w:rPr>
                <w:sz w:val="16"/>
                <w:szCs w:val="16"/>
              </w:rPr>
              <w:t>Legal activation instant.</w:t>
            </w:r>
          </w:p>
        </w:tc>
      </w:tr>
      <w:tr>
        <w:tc>
          <w:tcPr>
            <w:tcW w:type="dxa" w:w="2295"/>
            <w:vAlign w:val="top"/>
            <w:tcMar>
              <w:top w:w="70" w:type="dxa"/>
              <w:start w:w="70" w:type="dxa"/>
              <w:bottom w:w="70" w:type="dxa"/>
              <w:end w:w="70" w:type="dxa"/>
            </w:tcMar>
          </w:tcPr>
          <w:p>
            <w:pPr>
              <w:spacing w:before="20" w:after="20"/>
            </w:pPr>
            <w:r>
              <w:rPr>
                <w:sz w:val="16"/>
                <w:szCs w:val="16"/>
              </w:rPr>
              <w:t>AdministrativeRecordingDate</w:t>
            </w:r>
          </w:p>
        </w:tc>
        <w:tc>
          <w:tcPr>
            <w:tcW w:type="dxa" w:w="2147"/>
            <w:vAlign w:val="top"/>
            <w:tcMar>
              <w:top w:w="70" w:type="dxa"/>
              <w:start w:w="70" w:type="dxa"/>
              <w:bottom w:w="70" w:type="dxa"/>
              <w:end w:w="70" w:type="dxa"/>
            </w:tcMar>
          </w:tcPr>
          <w:p>
            <w:pPr>
              <w:spacing w:before="20" w:after="20"/>
            </w:pPr>
            <w:r>
              <w:rPr>
                <w:sz w:val="16"/>
                <w:szCs w:val="16"/>
              </w:rPr>
              <w:t>Temporal integrity</w:t>
            </w:r>
          </w:p>
        </w:tc>
        <w:tc>
          <w:tcPr>
            <w:tcW w:type="dxa" w:w="5552"/>
            <w:vAlign w:val="top"/>
            <w:tcMar>
              <w:top w:w="70" w:type="dxa"/>
              <w:start w:w="70" w:type="dxa"/>
              <w:bottom w:w="70" w:type="dxa"/>
              <w:end w:w="70" w:type="dxa"/>
            </w:tcMar>
          </w:tcPr>
          <w:p>
            <w:pPr>
              <w:spacing w:before="20" w:after="20"/>
            </w:pPr>
            <w:r>
              <w:rPr>
                <w:sz w:val="16"/>
                <w:szCs w:val="16"/>
              </w:rPr>
              <w:t>Date the event was entered into the controlled record.</w:t>
            </w:r>
          </w:p>
        </w:tc>
      </w:tr>
      <w:tr>
        <w:tc>
          <w:tcPr>
            <w:tcW w:type="dxa" w:w="2295"/>
            <w:vAlign w:val="top"/>
            <w:tcMar>
              <w:top w:w="70" w:type="dxa"/>
              <w:start w:w="70" w:type="dxa"/>
              <w:bottom w:w="70" w:type="dxa"/>
              <w:end w:w="70" w:type="dxa"/>
            </w:tcMar>
          </w:tcPr>
          <w:p>
            <w:pPr>
              <w:spacing w:before="20" w:after="20"/>
            </w:pPr>
            <w:r>
              <w:rPr>
                <w:sz w:val="16"/>
                <w:szCs w:val="16"/>
              </w:rPr>
              <w:t>ClockOwnerReference</w:t>
            </w:r>
          </w:p>
        </w:tc>
        <w:tc>
          <w:tcPr>
            <w:tcW w:type="dxa" w:w="2147"/>
            <w:vAlign w:val="top"/>
            <w:tcMar>
              <w:top w:w="70" w:type="dxa"/>
              <w:start w:w="70" w:type="dxa"/>
              <w:bottom w:w="70" w:type="dxa"/>
              <w:end w:w="70" w:type="dxa"/>
            </w:tcMar>
          </w:tcPr>
          <w:p>
            <w:pPr>
              <w:spacing w:before="20" w:after="20"/>
            </w:pPr>
            <w:r>
              <w:rPr>
                <w:sz w:val="16"/>
                <w:szCs w:val="16"/>
              </w:rPr>
              <w:t>Temporal integrity</w:t>
            </w:r>
          </w:p>
        </w:tc>
        <w:tc>
          <w:tcPr>
            <w:tcW w:type="dxa" w:w="5552"/>
            <w:vAlign w:val="top"/>
            <w:tcMar>
              <w:top w:w="70" w:type="dxa"/>
              <w:start w:w="70" w:type="dxa"/>
              <w:bottom w:w="70" w:type="dxa"/>
              <w:end w:w="70" w:type="dxa"/>
            </w:tcMar>
          </w:tcPr>
          <w:p>
            <w:pPr>
              <w:spacing w:before="20" w:after="20"/>
            </w:pPr>
            <w:r>
              <w:rPr>
                <w:sz w:val="16"/>
                <w:szCs w:val="16"/>
              </w:rPr>
              <w:t>Substantive provision controlling the timetable.</w:t>
            </w:r>
          </w:p>
        </w:tc>
      </w:tr>
      <w:tr>
        <w:tc>
          <w:tcPr>
            <w:tcW w:type="dxa" w:w="2295"/>
            <w:vAlign w:val="top"/>
            <w:tcMar>
              <w:top w:w="70" w:type="dxa"/>
              <w:start w:w="70" w:type="dxa"/>
              <w:bottom w:w="70" w:type="dxa"/>
              <w:end w:w="70" w:type="dxa"/>
            </w:tcMar>
          </w:tcPr>
          <w:p>
            <w:pPr>
              <w:spacing w:before="20" w:after="20"/>
            </w:pPr>
            <w:r>
              <w:rPr>
                <w:sz w:val="16"/>
                <w:szCs w:val="16"/>
              </w:rPr>
              <w:t>ClockContinuityStatus</w:t>
            </w:r>
          </w:p>
        </w:tc>
        <w:tc>
          <w:tcPr>
            <w:tcW w:type="dxa" w:w="2147"/>
            <w:vAlign w:val="top"/>
            <w:tcMar>
              <w:top w:w="70" w:type="dxa"/>
              <w:start w:w="70" w:type="dxa"/>
              <w:bottom w:w="70" w:type="dxa"/>
              <w:end w:w="70" w:type="dxa"/>
            </w:tcMar>
          </w:tcPr>
          <w:p>
            <w:pPr>
              <w:spacing w:before="20" w:after="20"/>
            </w:pPr>
            <w:r>
              <w:rPr>
                <w:sz w:val="16"/>
                <w:szCs w:val="16"/>
              </w:rPr>
              <w:t>Temporal integrity</w:t>
            </w:r>
          </w:p>
        </w:tc>
        <w:tc>
          <w:tcPr>
            <w:tcW w:type="dxa" w:w="5552"/>
            <w:vAlign w:val="top"/>
            <w:tcMar>
              <w:top w:w="70" w:type="dxa"/>
              <w:start w:w="70" w:type="dxa"/>
              <w:bottom w:w="70" w:type="dxa"/>
              <w:end w:w="70" w:type="dxa"/>
            </w:tcMar>
          </w:tcPr>
          <w:p>
            <w:pPr>
              <w:spacing w:before="20" w:after="20"/>
            </w:pPr>
            <w:r>
              <w:rPr>
                <w:sz w:val="16"/>
                <w:szCs w:val="16"/>
              </w:rPr>
              <w:t>Records continuation, authorized tolling, completion, or another controlled clock state.</w:t>
            </w:r>
          </w:p>
        </w:tc>
      </w:tr>
      <w:tr>
        <w:tc>
          <w:tcPr>
            <w:tcW w:type="dxa" w:w="2295"/>
            <w:vAlign w:val="top"/>
            <w:tcMar>
              <w:top w:w="70" w:type="dxa"/>
              <w:start w:w="70" w:type="dxa"/>
              <w:bottom w:w="70" w:type="dxa"/>
              <w:end w:w="70" w:type="dxa"/>
            </w:tcMar>
          </w:tcPr>
          <w:p>
            <w:pPr>
              <w:spacing w:before="20" w:after="20"/>
            </w:pPr>
            <w:r>
              <w:rPr>
                <w:sz w:val="16"/>
                <w:szCs w:val="16"/>
              </w:rPr>
              <w:t>ActivatedConsequenceReference</w:t>
            </w:r>
          </w:p>
        </w:tc>
        <w:tc>
          <w:tcPr>
            <w:tcW w:type="dxa" w:w="2147"/>
            <w:vAlign w:val="top"/>
            <w:tcMar>
              <w:top w:w="70" w:type="dxa"/>
              <w:start w:w="70" w:type="dxa"/>
              <w:bottom w:w="70" w:type="dxa"/>
              <w:end w:w="70" w:type="dxa"/>
            </w:tcMar>
          </w:tcPr>
          <w:p>
            <w:pPr>
              <w:spacing w:before="20" w:after="20"/>
            </w:pPr>
            <w:r>
              <w:rPr>
                <w:sz w:val="16"/>
                <w:szCs w:val="16"/>
              </w:rPr>
              <w:t>Legal consequence</w:t>
            </w:r>
          </w:p>
        </w:tc>
        <w:tc>
          <w:tcPr>
            <w:tcW w:type="dxa" w:w="5552"/>
            <w:vAlign w:val="top"/>
            <w:tcMar>
              <w:top w:w="70" w:type="dxa"/>
              <w:start w:w="70" w:type="dxa"/>
              <w:bottom w:w="70" w:type="dxa"/>
              <w:end w:w="70" w:type="dxa"/>
            </w:tcMar>
          </w:tcPr>
          <w:p>
            <w:pPr>
              <w:spacing w:before="20" w:after="20"/>
            </w:pPr>
            <w:r>
              <w:rPr>
                <w:sz w:val="16"/>
                <w:szCs w:val="16"/>
              </w:rPr>
              <w:t>Reference to the consequence already assigned by the substantive Chapter.</w:t>
            </w:r>
          </w:p>
        </w:tc>
      </w:tr>
      <w:tr>
        <w:tc>
          <w:tcPr>
            <w:tcW w:type="dxa" w:w="2295"/>
            <w:vAlign w:val="top"/>
            <w:tcMar>
              <w:top w:w="70" w:type="dxa"/>
              <w:start w:w="70" w:type="dxa"/>
              <w:bottom w:w="70" w:type="dxa"/>
              <w:end w:w="70" w:type="dxa"/>
            </w:tcMar>
          </w:tcPr>
          <w:p>
            <w:pPr>
              <w:spacing w:before="20" w:after="20"/>
            </w:pPr>
            <w:r>
              <w:rPr>
                <w:sz w:val="16"/>
                <w:szCs w:val="16"/>
              </w:rPr>
              <w:t>TemporaryOverlayReference</w:t>
            </w:r>
          </w:p>
        </w:tc>
        <w:tc>
          <w:tcPr>
            <w:tcW w:type="dxa" w:w="2147"/>
            <w:vAlign w:val="top"/>
            <w:tcMar>
              <w:top w:w="70" w:type="dxa"/>
              <w:start w:w="70" w:type="dxa"/>
              <w:bottom w:w="70" w:type="dxa"/>
              <w:end w:w="70" w:type="dxa"/>
            </w:tcMar>
          </w:tcPr>
          <w:p>
            <w:pPr>
              <w:spacing w:before="20" w:after="20"/>
            </w:pPr>
            <w:r>
              <w:rPr>
                <w:sz w:val="16"/>
                <w:szCs w:val="16"/>
              </w:rPr>
              <w:t>Temporary overlay</w:t>
            </w:r>
          </w:p>
        </w:tc>
        <w:tc>
          <w:tcPr>
            <w:tcW w:type="dxa" w:w="5552"/>
            <w:vAlign w:val="top"/>
            <w:tcMar>
              <w:top w:w="70" w:type="dxa"/>
              <w:start w:w="70" w:type="dxa"/>
              <w:bottom w:w="70" w:type="dxa"/>
              <w:end w:w="70" w:type="dxa"/>
            </w:tcMar>
          </w:tcPr>
          <w:p>
            <w:pPr>
              <w:spacing w:before="20" w:after="20"/>
            </w:pPr>
            <w:r>
              <w:rPr>
                <w:sz w:val="16"/>
                <w:szCs w:val="16"/>
              </w:rPr>
              <w:t>Persistent reference to a temporary measure affecting administration.</w:t>
            </w:r>
          </w:p>
        </w:tc>
      </w:tr>
      <w:tr>
        <w:tc>
          <w:tcPr>
            <w:tcW w:type="dxa" w:w="2295"/>
            <w:vAlign w:val="top"/>
            <w:tcMar>
              <w:top w:w="70" w:type="dxa"/>
              <w:start w:w="70" w:type="dxa"/>
              <w:bottom w:w="70" w:type="dxa"/>
              <w:end w:w="70" w:type="dxa"/>
            </w:tcMar>
          </w:tcPr>
          <w:p>
            <w:pPr>
              <w:spacing w:before="20" w:after="20"/>
            </w:pPr>
            <w:r>
              <w:rPr>
                <w:sz w:val="16"/>
                <w:szCs w:val="16"/>
              </w:rPr>
              <w:t>OverlayLegalAuthority</w:t>
            </w:r>
          </w:p>
        </w:tc>
        <w:tc>
          <w:tcPr>
            <w:tcW w:type="dxa" w:w="2147"/>
            <w:vAlign w:val="top"/>
            <w:tcMar>
              <w:top w:w="70" w:type="dxa"/>
              <w:start w:w="70" w:type="dxa"/>
              <w:bottom w:w="70" w:type="dxa"/>
              <w:end w:w="70" w:type="dxa"/>
            </w:tcMar>
          </w:tcPr>
          <w:p>
            <w:pPr>
              <w:spacing w:before="20" w:after="20"/>
            </w:pPr>
            <w:r>
              <w:rPr>
                <w:sz w:val="16"/>
                <w:szCs w:val="16"/>
              </w:rPr>
              <w:t>Temporary overlay</w:t>
            </w:r>
          </w:p>
        </w:tc>
        <w:tc>
          <w:tcPr>
            <w:tcW w:type="dxa" w:w="5552"/>
            <w:vAlign w:val="top"/>
            <w:tcMar>
              <w:top w:w="70" w:type="dxa"/>
              <w:start w:w="70" w:type="dxa"/>
              <w:bottom w:w="70" w:type="dxa"/>
              <w:end w:w="70" w:type="dxa"/>
            </w:tcMar>
          </w:tcPr>
          <w:p>
            <w:pPr>
              <w:spacing w:before="20" w:after="20"/>
            </w:pPr>
            <w:r>
              <w:rPr>
                <w:sz w:val="16"/>
                <w:szCs w:val="16"/>
              </w:rPr>
              <w:t>Controlling legal authority for the temporary measure.</w:t>
            </w:r>
          </w:p>
        </w:tc>
      </w:tr>
      <w:tr>
        <w:tc>
          <w:tcPr>
            <w:tcW w:type="dxa" w:w="2295"/>
            <w:vAlign w:val="top"/>
            <w:tcMar>
              <w:top w:w="70" w:type="dxa"/>
              <w:start w:w="70" w:type="dxa"/>
              <w:bottom w:w="70" w:type="dxa"/>
              <w:end w:w="70" w:type="dxa"/>
            </w:tcMar>
          </w:tcPr>
          <w:p>
            <w:pPr>
              <w:spacing w:before="20" w:after="20"/>
            </w:pPr>
            <w:r>
              <w:rPr>
                <w:sz w:val="16"/>
                <w:szCs w:val="16"/>
              </w:rPr>
              <w:t>OverlayScope</w:t>
            </w:r>
          </w:p>
        </w:tc>
        <w:tc>
          <w:tcPr>
            <w:tcW w:type="dxa" w:w="2147"/>
            <w:vAlign w:val="top"/>
            <w:tcMar>
              <w:top w:w="70" w:type="dxa"/>
              <w:start w:w="70" w:type="dxa"/>
              <w:bottom w:w="70" w:type="dxa"/>
              <w:end w:w="70" w:type="dxa"/>
            </w:tcMar>
          </w:tcPr>
          <w:p>
            <w:pPr>
              <w:spacing w:before="20" w:after="20"/>
            </w:pPr>
            <w:r>
              <w:rPr>
                <w:sz w:val="16"/>
                <w:szCs w:val="16"/>
              </w:rPr>
              <w:t>Temporary overlay</w:t>
            </w:r>
          </w:p>
        </w:tc>
        <w:tc>
          <w:tcPr>
            <w:tcW w:type="dxa" w:w="5552"/>
            <w:vAlign w:val="top"/>
            <w:tcMar>
              <w:top w:w="70" w:type="dxa"/>
              <w:start w:w="70" w:type="dxa"/>
              <w:bottom w:w="70" w:type="dxa"/>
              <w:end w:w="70" w:type="dxa"/>
            </w:tcMar>
          </w:tcPr>
          <w:p>
            <w:pPr>
              <w:spacing w:before="20" w:after="20"/>
            </w:pPr>
            <w:r>
              <w:rPr>
                <w:sz w:val="16"/>
                <w:szCs w:val="16"/>
              </w:rPr>
              <w:t>Product, treatment, Party, and temporal scope of the overlay.</w:t>
            </w:r>
          </w:p>
        </w:tc>
      </w:tr>
      <w:tr>
        <w:tc>
          <w:tcPr>
            <w:tcW w:type="dxa" w:w="2295"/>
            <w:vAlign w:val="top"/>
            <w:tcMar>
              <w:top w:w="70" w:type="dxa"/>
              <w:start w:w="70" w:type="dxa"/>
              <w:bottom w:w="70" w:type="dxa"/>
              <w:end w:w="70" w:type="dxa"/>
            </w:tcMar>
          </w:tcPr>
          <w:p>
            <w:pPr>
              <w:spacing w:before="20" w:after="20"/>
            </w:pPr>
            <w:r>
              <w:rPr>
                <w:sz w:val="16"/>
                <w:szCs w:val="16"/>
              </w:rPr>
              <w:t>OverlayTerminationCondition</w:t>
            </w:r>
          </w:p>
        </w:tc>
        <w:tc>
          <w:tcPr>
            <w:tcW w:type="dxa" w:w="2147"/>
            <w:vAlign w:val="top"/>
            <w:tcMar>
              <w:top w:w="70" w:type="dxa"/>
              <w:start w:w="70" w:type="dxa"/>
              <w:bottom w:w="70" w:type="dxa"/>
              <w:end w:w="70" w:type="dxa"/>
            </w:tcMar>
          </w:tcPr>
          <w:p>
            <w:pPr>
              <w:spacing w:before="20" w:after="20"/>
            </w:pPr>
            <w:r>
              <w:rPr>
                <w:sz w:val="16"/>
                <w:szCs w:val="16"/>
              </w:rPr>
              <w:t>Temporary overlay</w:t>
            </w:r>
          </w:p>
        </w:tc>
        <w:tc>
          <w:tcPr>
            <w:tcW w:type="dxa" w:w="5552"/>
            <w:vAlign w:val="top"/>
            <w:tcMar>
              <w:top w:w="70" w:type="dxa"/>
              <w:start w:w="70" w:type="dxa"/>
              <w:bottom w:w="70" w:type="dxa"/>
              <w:end w:w="70" w:type="dxa"/>
            </w:tcMar>
          </w:tcPr>
          <w:p>
            <w:pPr>
              <w:spacing w:before="20" w:after="20"/>
            </w:pPr>
            <w:r>
              <w:rPr>
                <w:sz w:val="16"/>
                <w:szCs w:val="16"/>
              </w:rPr>
              <w:t>Condition terminating the temporary overlay.</w:t>
            </w:r>
          </w:p>
        </w:tc>
      </w:tr>
      <w:tr>
        <w:tc>
          <w:tcPr>
            <w:tcW w:type="dxa" w:w="2295"/>
            <w:vAlign w:val="top"/>
            <w:tcMar>
              <w:top w:w="70" w:type="dxa"/>
              <w:start w:w="70" w:type="dxa"/>
              <w:bottom w:w="70" w:type="dxa"/>
              <w:end w:w="70" w:type="dxa"/>
            </w:tcMar>
          </w:tcPr>
          <w:p>
            <w:pPr>
              <w:spacing w:before="20" w:after="20"/>
            </w:pPr>
            <w:r>
              <w:rPr>
                <w:sz w:val="16"/>
                <w:szCs w:val="16"/>
              </w:rPr>
              <w:t>OverlayRestorationTrigger</w:t>
            </w:r>
          </w:p>
        </w:tc>
        <w:tc>
          <w:tcPr>
            <w:tcW w:type="dxa" w:w="2147"/>
            <w:vAlign w:val="top"/>
            <w:tcMar>
              <w:top w:w="70" w:type="dxa"/>
              <w:start w:w="70" w:type="dxa"/>
              <w:bottom w:w="70" w:type="dxa"/>
              <w:end w:w="70" w:type="dxa"/>
            </w:tcMar>
          </w:tcPr>
          <w:p>
            <w:pPr>
              <w:spacing w:before="20" w:after="20"/>
            </w:pPr>
            <w:r>
              <w:rPr>
                <w:sz w:val="16"/>
                <w:szCs w:val="16"/>
              </w:rPr>
              <w:t>Temporary overlay</w:t>
            </w:r>
          </w:p>
        </w:tc>
        <w:tc>
          <w:tcPr>
            <w:tcW w:type="dxa" w:w="5552"/>
            <w:vAlign w:val="top"/>
            <w:tcMar>
              <w:top w:w="70" w:type="dxa"/>
              <w:start w:w="70" w:type="dxa"/>
              <w:bottom w:w="70" w:type="dxa"/>
              <w:end w:w="70" w:type="dxa"/>
            </w:tcMar>
          </w:tcPr>
          <w:p>
            <w:pPr>
              <w:spacing w:before="20" w:after="20"/>
            </w:pPr>
            <w:r>
              <w:rPr>
                <w:sz w:val="16"/>
                <w:szCs w:val="16"/>
              </w:rPr>
              <w:t>Event restoring administration to the underlying legal state.</w:t>
            </w:r>
          </w:p>
        </w:tc>
      </w:tr>
      <w:tr>
        <w:tc>
          <w:tcPr>
            <w:tcW w:type="dxa" w:w="2295"/>
            <w:vAlign w:val="top"/>
            <w:tcMar>
              <w:top w:w="70" w:type="dxa"/>
              <w:start w:w="70" w:type="dxa"/>
              <w:bottom w:w="70" w:type="dxa"/>
              <w:end w:w="70" w:type="dxa"/>
            </w:tcMar>
          </w:tcPr>
          <w:p>
            <w:pPr>
              <w:spacing w:before="20" w:after="20"/>
            </w:pPr>
            <w:r>
              <w:rPr>
                <w:sz w:val="16"/>
                <w:szCs w:val="16"/>
              </w:rPr>
              <w:t>FieldProvenanceReference</w:t>
            </w:r>
          </w:p>
        </w:tc>
        <w:tc>
          <w:tcPr>
            <w:tcW w:type="dxa" w:w="2147"/>
            <w:vAlign w:val="top"/>
            <w:tcMar>
              <w:top w:w="70" w:type="dxa"/>
              <w:start w:w="70" w:type="dxa"/>
              <w:bottom w:w="70" w:type="dxa"/>
              <w:end w:w="70" w:type="dxa"/>
            </w:tcMar>
          </w:tcPr>
          <w:p>
            <w:pPr>
              <w:spacing w:before="20" w:after="20"/>
            </w:pPr>
            <w:r>
              <w:rPr>
                <w:sz w:val="16"/>
                <w:szCs w:val="16"/>
              </w:rPr>
              <w:t>Verification</w:t>
            </w:r>
          </w:p>
        </w:tc>
        <w:tc>
          <w:tcPr>
            <w:tcW w:type="dxa" w:w="5552"/>
            <w:vAlign w:val="top"/>
            <w:tcMar>
              <w:top w:w="70" w:type="dxa"/>
              <w:start w:w="70" w:type="dxa"/>
              <w:bottom w:w="70" w:type="dxa"/>
              <w:end w:w="70" w:type="dxa"/>
            </w:tcMar>
          </w:tcPr>
          <w:p>
            <w:pPr>
              <w:spacing w:before="20" w:after="20"/>
            </w:pPr>
            <w:r>
              <w:rPr>
                <w:sz w:val="16"/>
                <w:szCs w:val="16"/>
              </w:rPr>
              <w:t>Source provenance for the material field.</w:t>
            </w:r>
          </w:p>
        </w:tc>
      </w:tr>
      <w:tr>
        <w:tc>
          <w:tcPr>
            <w:tcW w:type="dxa" w:w="2295"/>
            <w:vAlign w:val="top"/>
            <w:tcMar>
              <w:top w:w="70" w:type="dxa"/>
              <w:start w:w="70" w:type="dxa"/>
              <w:bottom w:w="70" w:type="dxa"/>
              <w:end w:w="70" w:type="dxa"/>
            </w:tcMar>
          </w:tcPr>
          <w:p>
            <w:pPr>
              <w:spacing w:before="20" w:after="20"/>
            </w:pPr>
            <w:r>
              <w:rPr>
                <w:sz w:val="16"/>
                <w:szCs w:val="16"/>
              </w:rPr>
              <w:t>FieldVerificationReference</w:t>
            </w:r>
          </w:p>
        </w:tc>
        <w:tc>
          <w:tcPr>
            <w:tcW w:type="dxa" w:w="2147"/>
            <w:vAlign w:val="top"/>
            <w:tcMar>
              <w:top w:w="70" w:type="dxa"/>
              <w:start w:w="70" w:type="dxa"/>
              <w:bottom w:w="70" w:type="dxa"/>
              <w:end w:w="70" w:type="dxa"/>
            </w:tcMar>
          </w:tcPr>
          <w:p>
            <w:pPr>
              <w:spacing w:before="20" w:after="20"/>
            </w:pPr>
            <w:r>
              <w:rPr>
                <w:sz w:val="16"/>
                <w:szCs w:val="16"/>
              </w:rPr>
              <w:t>Verification</w:t>
            </w:r>
          </w:p>
        </w:tc>
        <w:tc>
          <w:tcPr>
            <w:tcW w:type="dxa" w:w="5552"/>
            <w:vAlign w:val="top"/>
            <w:tcMar>
              <w:top w:w="70" w:type="dxa"/>
              <w:start w:w="70" w:type="dxa"/>
              <w:bottom w:w="70" w:type="dxa"/>
              <w:end w:w="70" w:type="dxa"/>
            </w:tcMar>
          </w:tcPr>
          <w:p>
            <w:pPr>
              <w:spacing w:before="20" w:after="20"/>
            </w:pPr>
            <w:r>
              <w:rPr>
                <w:sz w:val="16"/>
                <w:szCs w:val="16"/>
              </w:rPr>
              <w:t>Controlled verification evidence or record for the material field.</w:t>
            </w:r>
          </w:p>
        </w:tc>
      </w:tr>
      <w:tr>
        <w:tc>
          <w:tcPr>
            <w:tcW w:type="dxa" w:w="2295"/>
            <w:vAlign w:val="top"/>
            <w:tcMar>
              <w:top w:w="70" w:type="dxa"/>
              <w:start w:w="70" w:type="dxa"/>
              <w:bottom w:w="70" w:type="dxa"/>
              <w:end w:w="70" w:type="dxa"/>
            </w:tcMar>
          </w:tcPr>
          <w:p>
            <w:pPr>
              <w:spacing w:before="20" w:after="20"/>
            </w:pPr>
            <w:r>
              <w:rPr>
                <w:sz w:val="16"/>
                <w:szCs w:val="16"/>
              </w:rPr>
              <w:t>RecordVerificationStatus</w:t>
            </w:r>
          </w:p>
        </w:tc>
        <w:tc>
          <w:tcPr>
            <w:tcW w:type="dxa" w:w="2147"/>
            <w:vAlign w:val="top"/>
            <w:tcMar>
              <w:top w:w="70" w:type="dxa"/>
              <w:start w:w="70" w:type="dxa"/>
              <w:bottom w:w="70" w:type="dxa"/>
              <w:end w:w="70" w:type="dxa"/>
            </w:tcMar>
          </w:tcPr>
          <w:p>
            <w:pPr>
              <w:spacing w:before="20" w:after="20"/>
            </w:pPr>
            <w:r>
              <w:rPr>
                <w:sz w:val="16"/>
                <w:szCs w:val="16"/>
              </w:rPr>
              <w:t>Verification</w:t>
            </w:r>
          </w:p>
        </w:tc>
        <w:tc>
          <w:tcPr>
            <w:tcW w:type="dxa" w:w="5552"/>
            <w:vAlign w:val="top"/>
            <w:tcMar>
              <w:top w:w="70" w:type="dxa"/>
              <w:start w:w="70" w:type="dxa"/>
              <w:bottom w:w="70" w:type="dxa"/>
              <w:end w:w="70" w:type="dxa"/>
            </w:tcMar>
          </w:tcPr>
          <w:p>
            <w:pPr>
              <w:spacing w:before="20" w:after="20"/>
            </w:pPr>
            <w:r>
              <w:rPr>
                <w:sz w:val="16"/>
                <w:szCs w:val="16"/>
              </w:rPr>
              <w:t>Derived record-level verification status under Chapter 3 architecture.</w:t>
            </w:r>
          </w:p>
        </w:tc>
      </w:tr>
      <w:tr>
        <w:tc>
          <w:tcPr>
            <w:tcW w:type="dxa" w:w="2295"/>
            <w:vAlign w:val="top"/>
            <w:tcMar>
              <w:top w:w="70" w:type="dxa"/>
              <w:start w:w="70" w:type="dxa"/>
              <w:bottom w:w="70" w:type="dxa"/>
              <w:end w:w="70" w:type="dxa"/>
            </w:tcMar>
          </w:tcPr>
          <w:p>
            <w:pPr>
              <w:spacing w:before="20" w:after="20"/>
            </w:pPr>
            <w:r>
              <w:rPr>
                <w:sz w:val="16"/>
                <w:szCs w:val="16"/>
              </w:rPr>
              <w:t>DisputeState</w:t>
            </w:r>
          </w:p>
        </w:tc>
        <w:tc>
          <w:tcPr>
            <w:tcW w:type="dxa" w:w="2147"/>
            <w:vAlign w:val="top"/>
            <w:tcMar>
              <w:top w:w="70" w:type="dxa"/>
              <w:start w:w="70" w:type="dxa"/>
              <w:bottom w:w="70" w:type="dxa"/>
              <w:end w:w="70" w:type="dxa"/>
            </w:tcMar>
          </w:tcPr>
          <w:p>
            <w:pPr>
              <w:spacing w:before="20" w:after="20"/>
            </w:pPr>
            <w:r>
              <w:rPr>
                <w:sz w:val="16"/>
                <w:szCs w:val="16"/>
              </w:rPr>
              <w:t>Dispute</w:t>
            </w:r>
          </w:p>
        </w:tc>
        <w:tc>
          <w:tcPr>
            <w:tcW w:type="dxa" w:w="5552"/>
            <w:vAlign w:val="top"/>
            <w:tcMar>
              <w:top w:w="70" w:type="dxa"/>
              <w:start w:w="70" w:type="dxa"/>
              <w:bottom w:w="70" w:type="dxa"/>
              <w:end w:w="70" w:type="dxa"/>
            </w:tcMar>
          </w:tcPr>
          <w:p>
            <w:pPr>
              <w:spacing w:before="20" w:after="20"/>
            </w:pPr>
            <w:r>
              <w:rPr>
                <w:sz w:val="16"/>
                <w:szCs w:val="16"/>
              </w:rPr>
              <w:t>Status of a dispute without implying suspension or remedy.</w:t>
            </w:r>
          </w:p>
        </w:tc>
      </w:tr>
      <w:tr>
        <w:tc>
          <w:tcPr>
            <w:tcW w:type="dxa" w:w="2295"/>
            <w:vAlign w:val="top"/>
            <w:tcMar>
              <w:top w:w="70" w:type="dxa"/>
              <w:start w:w="70" w:type="dxa"/>
              <w:bottom w:w="70" w:type="dxa"/>
              <w:end w:w="70" w:type="dxa"/>
            </w:tcMar>
          </w:tcPr>
          <w:p>
            <w:pPr>
              <w:spacing w:before="20" w:after="20"/>
            </w:pPr>
            <w:r>
              <w:rPr>
                <w:sz w:val="16"/>
                <w:szCs w:val="16"/>
              </w:rPr>
              <w:t>DisputeReference</w:t>
            </w:r>
          </w:p>
        </w:tc>
        <w:tc>
          <w:tcPr>
            <w:tcW w:type="dxa" w:w="2147"/>
            <w:vAlign w:val="top"/>
            <w:tcMar>
              <w:top w:w="70" w:type="dxa"/>
              <w:start w:w="70" w:type="dxa"/>
              <w:bottom w:w="70" w:type="dxa"/>
              <w:end w:w="70" w:type="dxa"/>
            </w:tcMar>
          </w:tcPr>
          <w:p>
            <w:pPr>
              <w:spacing w:before="20" w:after="20"/>
            </w:pPr>
            <w:r>
              <w:rPr>
                <w:sz w:val="16"/>
                <w:szCs w:val="16"/>
              </w:rPr>
              <w:t>Dispute</w:t>
            </w:r>
          </w:p>
        </w:tc>
        <w:tc>
          <w:tcPr>
            <w:tcW w:type="dxa" w:w="5552"/>
            <w:vAlign w:val="top"/>
            <w:tcMar>
              <w:top w:w="70" w:type="dxa"/>
              <w:start w:w="70" w:type="dxa"/>
              <w:bottom w:w="70" w:type="dxa"/>
              <w:end w:w="70" w:type="dxa"/>
            </w:tcMar>
          </w:tcPr>
          <w:p>
            <w:pPr>
              <w:spacing w:before="20" w:after="20"/>
            </w:pPr>
            <w:r>
              <w:rPr>
                <w:sz w:val="16"/>
                <w:szCs w:val="16"/>
              </w:rPr>
              <w:t>Reference to the applicable technical, cure, or legal dispute record.</w:t>
            </w:r>
          </w:p>
        </w:tc>
      </w:tr>
      <w:tr>
        <w:tc>
          <w:tcPr>
            <w:tcW w:type="dxa" w:w="2295"/>
            <w:vAlign w:val="top"/>
            <w:tcMar>
              <w:top w:w="70" w:type="dxa"/>
              <w:start w:w="70" w:type="dxa"/>
              <w:bottom w:w="70" w:type="dxa"/>
              <w:end w:w="70" w:type="dxa"/>
            </w:tcMar>
          </w:tcPr>
          <w:p>
            <w:pPr>
              <w:spacing w:before="20" w:after="20"/>
            </w:pPr>
            <w:r>
              <w:rPr>
                <w:sz w:val="16"/>
                <w:szCs w:val="16"/>
              </w:rPr>
              <w:t>CureReference</w:t>
            </w:r>
          </w:p>
        </w:tc>
        <w:tc>
          <w:tcPr>
            <w:tcW w:type="dxa" w:w="2147"/>
            <w:vAlign w:val="top"/>
            <w:tcMar>
              <w:top w:w="70" w:type="dxa"/>
              <w:start w:w="70" w:type="dxa"/>
              <w:bottom w:w="70" w:type="dxa"/>
              <w:end w:w="70" w:type="dxa"/>
            </w:tcMar>
          </w:tcPr>
          <w:p>
            <w:pPr>
              <w:spacing w:before="20" w:after="20"/>
            </w:pPr>
            <w:r>
              <w:rPr>
                <w:sz w:val="16"/>
                <w:szCs w:val="16"/>
              </w:rPr>
              <w:t>Cure</w:t>
            </w:r>
          </w:p>
        </w:tc>
        <w:tc>
          <w:tcPr>
            <w:tcW w:type="dxa" w:w="5552"/>
            <w:vAlign w:val="top"/>
            <w:tcMar>
              <w:top w:w="70" w:type="dxa"/>
              <w:start w:w="70" w:type="dxa"/>
              <w:bottom w:w="70" w:type="dxa"/>
              <w:end w:w="70" w:type="dxa"/>
            </w:tcMar>
          </w:tcPr>
          <w:p>
            <w:pPr>
              <w:spacing w:before="20" w:after="20"/>
            </w:pPr>
            <w:r>
              <w:rPr>
                <w:sz w:val="16"/>
                <w:szCs w:val="16"/>
              </w:rPr>
              <w:t>Reference to Chapter 25 cure or implementation correction where applicable.</w:t>
            </w:r>
          </w:p>
        </w:tc>
      </w:tr>
      <w:tr>
        <w:tc>
          <w:tcPr>
            <w:tcW w:type="dxa" w:w="2295"/>
            <w:vAlign w:val="top"/>
            <w:tcMar>
              <w:top w:w="70" w:type="dxa"/>
              <w:start w:w="70" w:type="dxa"/>
              <w:bottom w:w="70" w:type="dxa"/>
              <w:end w:w="70" w:type="dxa"/>
            </w:tcMar>
          </w:tcPr>
          <w:p>
            <w:pPr>
              <w:spacing w:before="20" w:after="20"/>
            </w:pPr>
            <w:r>
              <w:rPr>
                <w:sz w:val="16"/>
                <w:szCs w:val="16"/>
              </w:rPr>
              <w:t>AdministrativeLifecycleStatus</w:t>
            </w:r>
          </w:p>
        </w:tc>
        <w:tc>
          <w:tcPr>
            <w:tcW w:type="dxa" w:w="2147"/>
            <w:vAlign w:val="top"/>
            <w:tcMar>
              <w:top w:w="70" w:type="dxa"/>
              <w:start w:w="70" w:type="dxa"/>
              <w:bottom w:w="70" w:type="dxa"/>
              <w:end w:w="70" w:type="dxa"/>
            </w:tcMar>
          </w:tcPr>
          <w:p>
            <w:pPr>
              <w:spacing w:before="20" w:after="20"/>
            </w:pPr>
            <w:r>
              <w:rPr>
                <w:sz w:val="16"/>
                <w:szCs w:val="16"/>
              </w:rPr>
              <w:t>Administration</w:t>
            </w:r>
          </w:p>
        </w:tc>
        <w:tc>
          <w:tcPr>
            <w:tcW w:type="dxa" w:w="5552"/>
            <w:vAlign w:val="top"/>
            <w:tcMar>
              <w:top w:w="70" w:type="dxa"/>
              <w:start w:w="70" w:type="dxa"/>
              <w:bottom w:w="70" w:type="dxa"/>
              <w:end w:w="70" w:type="dxa"/>
            </w:tcMar>
          </w:tcPr>
          <w:p>
            <w:pPr>
              <w:spacing w:before="20" w:after="20"/>
            </w:pPr>
            <w:r>
              <w:rPr>
                <w:sz w:val="16"/>
                <w:szCs w:val="16"/>
              </w:rPr>
              <w:t>Active, superseded, retired, or another controlled administrative lifecycle state.</w:t>
            </w:r>
          </w:p>
        </w:tc>
      </w:tr>
      <w:tr>
        <w:tc>
          <w:tcPr>
            <w:tcW w:type="dxa" w:w="2295"/>
            <w:vAlign w:val="top"/>
            <w:tcMar>
              <w:top w:w="70" w:type="dxa"/>
              <w:start w:w="70" w:type="dxa"/>
              <w:bottom w:w="70" w:type="dxa"/>
              <w:end w:w="70" w:type="dxa"/>
            </w:tcMar>
          </w:tcPr>
          <w:p>
            <w:pPr>
              <w:spacing w:before="20" w:after="20"/>
            </w:pPr>
            <w:r>
              <w:rPr>
                <w:sz w:val="16"/>
                <w:szCs w:val="16"/>
              </w:rPr>
              <w:t>RecordVersionID</w:t>
            </w:r>
          </w:p>
        </w:tc>
        <w:tc>
          <w:tcPr>
            <w:tcW w:type="dxa" w:w="2147"/>
            <w:vAlign w:val="top"/>
            <w:tcMar>
              <w:top w:w="70" w:type="dxa"/>
              <w:start w:w="70" w:type="dxa"/>
              <w:bottom w:w="70" w:type="dxa"/>
              <w:end w:w="70" w:type="dxa"/>
            </w:tcMar>
          </w:tcPr>
          <w:p>
            <w:pPr>
              <w:spacing w:before="20" w:after="20"/>
            </w:pPr>
            <w:r>
              <w:rPr>
                <w:sz w:val="16"/>
                <w:szCs w:val="16"/>
              </w:rPr>
              <w:t>Versioning</w:t>
            </w:r>
          </w:p>
        </w:tc>
        <w:tc>
          <w:tcPr>
            <w:tcW w:type="dxa" w:w="5552"/>
            <w:vAlign w:val="top"/>
            <w:tcMar>
              <w:top w:w="70" w:type="dxa"/>
              <w:start w:w="70" w:type="dxa"/>
              <w:bottom w:w="70" w:type="dxa"/>
              <w:end w:w="70" w:type="dxa"/>
            </w:tcMar>
          </w:tcPr>
          <w:p>
            <w:pPr>
              <w:spacing w:before="20" w:after="20"/>
            </w:pPr>
            <w:r>
              <w:rPr>
                <w:sz w:val="16"/>
                <w:szCs w:val="16"/>
              </w:rPr>
              <w:t>Persistent version identifier for a legally material record state.</w:t>
            </w:r>
          </w:p>
        </w:tc>
      </w:tr>
      <w:tr>
        <w:tc>
          <w:tcPr>
            <w:tcW w:type="dxa" w:w="2295"/>
            <w:vAlign w:val="top"/>
            <w:tcMar>
              <w:top w:w="70" w:type="dxa"/>
              <w:start w:w="70" w:type="dxa"/>
              <w:bottom w:w="70" w:type="dxa"/>
              <w:end w:w="70" w:type="dxa"/>
            </w:tcMar>
          </w:tcPr>
          <w:p>
            <w:pPr>
              <w:spacing w:before="20" w:after="20"/>
            </w:pPr>
            <w:r>
              <w:rPr>
                <w:sz w:val="16"/>
                <w:szCs w:val="16"/>
              </w:rPr>
              <w:t>ValidFrom</w:t>
            </w:r>
          </w:p>
        </w:tc>
        <w:tc>
          <w:tcPr>
            <w:tcW w:type="dxa" w:w="2147"/>
            <w:vAlign w:val="top"/>
            <w:tcMar>
              <w:top w:w="70" w:type="dxa"/>
              <w:start w:w="70" w:type="dxa"/>
              <w:bottom w:w="70" w:type="dxa"/>
              <w:end w:w="70" w:type="dxa"/>
            </w:tcMar>
          </w:tcPr>
          <w:p>
            <w:pPr>
              <w:spacing w:before="20" w:after="20"/>
            </w:pPr>
            <w:r>
              <w:rPr>
                <w:sz w:val="16"/>
                <w:szCs w:val="16"/>
              </w:rPr>
              <w:t>Versioning</w:t>
            </w:r>
          </w:p>
        </w:tc>
        <w:tc>
          <w:tcPr>
            <w:tcW w:type="dxa" w:w="5552"/>
            <w:vAlign w:val="top"/>
            <w:tcMar>
              <w:top w:w="70" w:type="dxa"/>
              <w:start w:w="70" w:type="dxa"/>
              <w:bottom w:w="70" w:type="dxa"/>
              <w:end w:w="70" w:type="dxa"/>
            </w:tcMar>
          </w:tcPr>
          <w:p>
            <w:pPr>
              <w:spacing w:before="20" w:after="20"/>
            </w:pPr>
            <w:r>
              <w:rPr>
                <w:sz w:val="16"/>
                <w:szCs w:val="16"/>
              </w:rPr>
              <w:t>Start of validity for the controlled record version.</w:t>
            </w:r>
          </w:p>
        </w:tc>
      </w:tr>
      <w:tr>
        <w:tc>
          <w:tcPr>
            <w:tcW w:type="dxa" w:w="2295"/>
            <w:vAlign w:val="top"/>
            <w:tcMar>
              <w:top w:w="70" w:type="dxa"/>
              <w:start w:w="70" w:type="dxa"/>
              <w:bottom w:w="70" w:type="dxa"/>
              <w:end w:w="70" w:type="dxa"/>
            </w:tcMar>
          </w:tcPr>
          <w:p>
            <w:pPr>
              <w:spacing w:before="20" w:after="20"/>
            </w:pPr>
            <w:r>
              <w:rPr>
                <w:sz w:val="16"/>
                <w:szCs w:val="16"/>
              </w:rPr>
              <w:t>ValidTo</w:t>
            </w:r>
          </w:p>
        </w:tc>
        <w:tc>
          <w:tcPr>
            <w:tcW w:type="dxa" w:w="2147"/>
            <w:vAlign w:val="top"/>
            <w:tcMar>
              <w:top w:w="70" w:type="dxa"/>
              <w:start w:w="70" w:type="dxa"/>
              <w:bottom w:w="70" w:type="dxa"/>
              <w:end w:w="70" w:type="dxa"/>
            </w:tcMar>
          </w:tcPr>
          <w:p>
            <w:pPr>
              <w:spacing w:before="20" w:after="20"/>
            </w:pPr>
            <w:r>
              <w:rPr>
                <w:sz w:val="16"/>
                <w:szCs w:val="16"/>
              </w:rPr>
              <w:t>Versioning</w:t>
            </w:r>
          </w:p>
        </w:tc>
        <w:tc>
          <w:tcPr>
            <w:tcW w:type="dxa" w:w="5552"/>
            <w:vAlign w:val="top"/>
            <w:tcMar>
              <w:top w:w="70" w:type="dxa"/>
              <w:start w:w="70" w:type="dxa"/>
              <w:bottom w:w="70" w:type="dxa"/>
              <w:end w:w="70" w:type="dxa"/>
            </w:tcMar>
          </w:tcPr>
          <w:p>
            <w:pPr>
              <w:spacing w:before="20" w:after="20"/>
            </w:pPr>
            <w:r>
              <w:rPr>
                <w:sz w:val="16"/>
                <w:szCs w:val="16"/>
              </w:rPr>
              <w:t>End of validity for the controlled record version, if superseded.</w:t>
            </w:r>
          </w:p>
        </w:tc>
      </w:tr>
      <w:tr>
        <w:tc>
          <w:tcPr>
            <w:tcW w:type="dxa" w:w="2295"/>
            <w:vAlign w:val="top"/>
            <w:tcMar>
              <w:top w:w="70" w:type="dxa"/>
              <w:start w:w="70" w:type="dxa"/>
              <w:bottom w:w="70" w:type="dxa"/>
              <w:end w:w="70" w:type="dxa"/>
            </w:tcMar>
          </w:tcPr>
          <w:p>
            <w:pPr>
              <w:spacing w:before="20" w:after="20"/>
            </w:pPr>
            <w:r>
              <w:rPr>
                <w:sz w:val="16"/>
                <w:szCs w:val="16"/>
              </w:rPr>
              <w:t>CorrectionHistoryReference</w:t>
            </w:r>
          </w:p>
        </w:tc>
        <w:tc>
          <w:tcPr>
            <w:tcW w:type="dxa" w:w="2147"/>
            <w:vAlign w:val="top"/>
            <w:tcMar>
              <w:top w:w="70" w:type="dxa"/>
              <w:start w:w="70" w:type="dxa"/>
              <w:bottom w:w="70" w:type="dxa"/>
              <w:end w:w="70" w:type="dxa"/>
            </w:tcMar>
          </w:tcPr>
          <w:p>
            <w:pPr>
              <w:spacing w:before="20" w:after="20"/>
            </w:pPr>
            <w:r>
              <w:rPr>
                <w:sz w:val="16"/>
                <w:szCs w:val="16"/>
              </w:rPr>
              <w:t>Versioning</w:t>
            </w:r>
          </w:p>
        </w:tc>
        <w:tc>
          <w:tcPr>
            <w:tcW w:type="dxa" w:w="5552"/>
            <w:vAlign w:val="top"/>
            <w:tcMar>
              <w:top w:w="70" w:type="dxa"/>
              <w:start w:w="70" w:type="dxa"/>
              <w:bottom w:w="70" w:type="dxa"/>
              <w:end w:w="70" w:type="dxa"/>
            </w:tcMar>
          </w:tcPr>
          <w:p>
            <w:pPr>
              <w:spacing w:before="20" w:after="20"/>
            </w:pPr>
            <w:r>
              <w:rPr>
                <w:sz w:val="16"/>
                <w:szCs w:val="16"/>
              </w:rPr>
              <w:t>Append-only reference to controlled corrections and reasons.</w:t>
            </w:r>
          </w:p>
        </w:tc>
      </w:tr>
      <w:tr>
        <w:tc>
          <w:tcPr>
            <w:tcW w:type="dxa" w:w="2295"/>
            <w:vAlign w:val="top"/>
            <w:tcMar>
              <w:top w:w="70" w:type="dxa"/>
              <w:start w:w="70" w:type="dxa"/>
              <w:bottom w:w="70" w:type="dxa"/>
              <w:end w:w="70" w:type="dxa"/>
            </w:tcMar>
          </w:tcPr>
          <w:p>
            <w:pPr>
              <w:spacing w:before="20" w:after="20"/>
            </w:pPr>
            <w:r>
              <w:rPr>
                <w:sz w:val="16"/>
                <w:szCs w:val="16"/>
              </w:rPr>
              <w:t>LastValidControlledState</w:t>
            </w:r>
          </w:p>
        </w:tc>
        <w:tc>
          <w:tcPr>
            <w:tcW w:type="dxa" w:w="2147"/>
            <w:vAlign w:val="top"/>
            <w:tcMar>
              <w:top w:w="70" w:type="dxa"/>
              <w:start w:w="70" w:type="dxa"/>
              <w:bottom w:w="70" w:type="dxa"/>
              <w:end w:w="70" w:type="dxa"/>
            </w:tcMar>
          </w:tcPr>
          <w:p>
            <w:pPr>
              <w:spacing w:before="20" w:after="20"/>
            </w:pPr>
            <w:r>
              <w:rPr>
                <w:sz w:val="16"/>
                <w:szCs w:val="16"/>
              </w:rPr>
              <w:t>Versioning</w:t>
            </w:r>
          </w:p>
        </w:tc>
        <w:tc>
          <w:tcPr>
            <w:tcW w:type="dxa" w:w="5552"/>
            <w:vAlign w:val="top"/>
            <w:tcMar>
              <w:top w:w="70" w:type="dxa"/>
              <w:start w:w="70" w:type="dxa"/>
              <w:bottom w:w="70" w:type="dxa"/>
              <w:end w:w="70" w:type="dxa"/>
            </w:tcMar>
          </w:tcPr>
          <w:p>
            <w:pPr>
              <w:spacing w:before="20" w:after="20"/>
            </w:pPr>
            <w:r>
              <w:rPr>
                <w:sz w:val="16"/>
                <w:szCs w:val="16"/>
              </w:rPr>
              <w:t>Reference to the last valid state used where the current state is indeterminate.</w:t>
            </w:r>
          </w:p>
        </w:tc>
      </w:tr>
      <w:tr>
        <w:tc>
          <w:tcPr>
            <w:tcW w:type="dxa" w:w="2295"/>
            <w:vAlign w:val="top"/>
            <w:tcMar>
              <w:top w:w="70" w:type="dxa"/>
              <w:start w:w="70" w:type="dxa"/>
              <w:bottom w:w="70" w:type="dxa"/>
              <w:end w:w="70" w:type="dxa"/>
            </w:tcMar>
          </w:tcPr>
          <w:p>
            <w:pPr>
              <w:spacing w:before="20" w:after="20"/>
            </w:pPr>
            <w:r>
              <w:rPr>
                <w:sz w:val="16"/>
                <w:szCs w:val="16"/>
              </w:rPr>
              <w:t>PublicationManifestReference</w:t>
            </w:r>
          </w:p>
        </w:tc>
        <w:tc>
          <w:tcPr>
            <w:tcW w:type="dxa" w:w="2147"/>
            <w:vAlign w:val="top"/>
            <w:tcMar>
              <w:top w:w="70" w:type="dxa"/>
              <w:start w:w="70" w:type="dxa"/>
              <w:bottom w:w="70" w:type="dxa"/>
              <w:end w:w="70" w:type="dxa"/>
            </w:tcMar>
          </w:tcPr>
          <w:p>
            <w:pPr>
              <w:spacing w:before="20" w:after="20"/>
            </w:pPr>
            <w:r>
              <w:rPr>
                <w:sz w:val="16"/>
                <w:szCs w:val="16"/>
              </w:rPr>
              <w:t>Publication</w:t>
            </w:r>
          </w:p>
        </w:tc>
        <w:tc>
          <w:tcPr>
            <w:tcW w:type="dxa" w:w="5552"/>
            <w:vAlign w:val="top"/>
            <w:tcMar>
              <w:top w:w="70" w:type="dxa"/>
              <w:start w:w="70" w:type="dxa"/>
              <w:bottom w:w="70" w:type="dxa"/>
              <w:end w:w="70" w:type="dxa"/>
            </w:tcMar>
          </w:tcPr>
          <w:p>
            <w:pPr>
              <w:spacing w:before="20" w:after="20"/>
            </w:pPr>
            <w:r>
              <w:rPr>
                <w:sz w:val="16"/>
                <w:szCs w:val="16"/>
              </w:rPr>
              <w:t>Reference to the Chapter 22 human- and machine-readable publication manifest.</w:t>
            </w:r>
          </w:p>
        </w:tc>
      </w:tr>
      <w:tr>
        <w:tc>
          <w:tcPr>
            <w:tcW w:type="dxa" w:w="2295"/>
          </w:tcPr>
          <w:p>
            <w:pPr>
              <w:spacing w:before="20" w:after="20"/>
            </w:pPr>
            <w:r>
              <w:rPr>
                <w:sz w:val="16"/>
                <w:szCs w:val="16"/>
              </w:rPr>
              <w:t>ConditionStatus</w:t>
            </w:r>
          </w:p>
        </w:tc>
        <w:tc>
          <w:tcPr>
            <w:tcW w:type="dxa" w:w="2147"/>
          </w:tcPr>
          <w:p>
            <w:pPr>
              <w:spacing w:before="20" w:after="20"/>
            </w:pPr>
            <w:r>
              <w:rPr>
                <w:sz w:val="16"/>
                <w:szCs w:val="16"/>
              </w:rPr>
              <w:t>Substantive state</w:t>
            </w:r>
          </w:p>
        </w:tc>
        <w:tc>
          <w:tcPr>
            <w:tcW w:type="dxa" w:w="5552"/>
          </w:tcPr>
          <w:p>
            <w:pPr>
              <w:spacing w:before="20" w:after="20"/>
            </w:pPr>
            <w:r>
              <w:rPr>
                <w:sz w:val="16"/>
                <w:szCs w:val="16"/>
              </w:rPr>
              <w:t>Current factual/legal condition state, separate from verification, milestone, activation, dispute, and lifecycle status.</w:t>
            </w:r>
          </w:p>
        </w:tc>
      </w:tr>
      <w:tr>
        <w:tc>
          <w:tcPr>
            <w:tcW w:type="dxa" w:w="2295"/>
          </w:tcPr>
          <w:p>
            <w:pPr>
              <w:spacing w:before="20" w:after="20"/>
            </w:pPr>
            <w:r>
              <w:rPr>
                <w:sz w:val="16"/>
                <w:szCs w:val="16"/>
              </w:rPr>
              <w:t>MilestoneStatus</w:t>
            </w:r>
          </w:p>
        </w:tc>
        <w:tc>
          <w:tcPr>
            <w:tcW w:type="dxa" w:w="2147"/>
          </w:tcPr>
          <w:p>
            <w:pPr>
              <w:spacing w:before="20" w:after="20"/>
            </w:pPr>
            <w:r>
              <w:rPr>
                <w:sz w:val="16"/>
                <w:szCs w:val="16"/>
              </w:rPr>
              <w:t>Substantive state</w:t>
            </w:r>
          </w:p>
        </w:tc>
        <w:tc>
          <w:tcPr>
            <w:tcW w:type="dxa" w:w="5552"/>
          </w:tcPr>
          <w:p>
            <w:pPr>
              <w:spacing w:before="20" w:after="20"/>
            </w:pPr>
            <w:r>
              <w:rPr>
                <w:sz w:val="16"/>
                <w:szCs w:val="16"/>
              </w:rPr>
              <w:t>Current milestone state derived from its controlling conditions without substituting for verification or activation status.</w:t>
            </w:r>
          </w:p>
        </w:tc>
      </w:tr>
      <w:tr>
        <w:tc>
          <w:tcPr>
            <w:tcW w:type="dxa" w:w="2295"/>
          </w:tcPr>
          <w:p>
            <w:pPr>
              <w:spacing w:before="20" w:after="20"/>
            </w:pPr>
            <w:r>
              <w:rPr>
                <w:sz w:val="16"/>
                <w:szCs w:val="16"/>
              </w:rPr>
              <w:t>AssessmentStatus</w:t>
            </w:r>
          </w:p>
        </w:tc>
        <w:tc>
          <w:tcPr>
            <w:tcW w:type="dxa" w:w="2147"/>
          </w:tcPr>
          <w:p>
            <w:pPr>
              <w:spacing w:before="20" w:after="20"/>
            </w:pPr>
            <w:r>
              <w:rPr>
                <w:sz w:val="16"/>
                <w:szCs w:val="16"/>
              </w:rPr>
              <w:t>Assessment state</w:t>
            </w:r>
          </w:p>
        </w:tc>
        <w:tc>
          <w:tcPr>
            <w:tcW w:type="dxa" w:w="5552"/>
          </w:tcPr>
          <w:p>
            <w:pPr>
              <w:spacing w:before="20" w:after="20"/>
            </w:pPr>
            <w:r>
              <w:rPr>
                <w:sz w:val="16"/>
                <w:szCs w:val="16"/>
              </w:rPr>
              <w:t>Administrative state of the identified assessment; does not itself determine Material Performance or legal activation.</w:t>
            </w:r>
          </w:p>
        </w:tc>
      </w:tr>
      <w:tr>
        <w:tc>
          <w:tcPr>
            <w:tcW w:type="dxa" w:w="2295"/>
          </w:tcPr>
          <w:p>
            <w:pPr>
              <w:spacing w:before="20" w:after="20"/>
            </w:pPr>
            <w:r>
              <w:rPr>
                <w:sz w:val="16"/>
                <w:szCs w:val="16"/>
              </w:rPr>
              <w:t>ActivationStatus</w:t>
            </w:r>
          </w:p>
        </w:tc>
        <w:tc>
          <w:tcPr>
            <w:tcW w:type="dxa" w:w="2147"/>
          </w:tcPr>
          <w:p>
            <w:pPr>
              <w:spacing w:before="20" w:after="20"/>
            </w:pPr>
            <w:r>
              <w:rPr>
                <w:sz w:val="16"/>
                <w:szCs w:val="16"/>
              </w:rPr>
              <w:t>Activation state</w:t>
            </w:r>
          </w:p>
        </w:tc>
        <w:tc>
          <w:tcPr>
            <w:tcW w:type="dxa" w:w="5552"/>
          </w:tcPr>
          <w:p>
            <w:pPr>
              <w:spacing w:before="20" w:after="20"/>
            </w:pPr>
            <w:r>
              <w:rPr>
                <w:sz w:val="16"/>
                <w:szCs w:val="16"/>
              </w:rPr>
              <w:t>Records whether the legally assigned activation event is pending, effective, deferred, completed, or otherwise expressly classified without making record entry constitutive.</w:t>
            </w:r>
          </w:p>
        </w:tc>
      </w:tr>
      <w:tr>
        <w:tc>
          <w:tcPr>
            <w:tcW w:type="dxa" w:w="2295"/>
          </w:tcPr>
          <w:p>
            <w:pPr>
              <w:spacing w:before="20" w:after="20"/>
            </w:pPr>
            <w:r>
              <w:rPr>
                <w:sz w:val="16"/>
                <w:szCs w:val="16"/>
              </w:rPr>
              <w:t>ActivationAuthorityCitation</w:t>
            </w:r>
          </w:p>
        </w:tc>
        <w:tc>
          <w:tcPr>
            <w:tcW w:type="dxa" w:w="2147"/>
          </w:tcPr>
          <w:p>
            <w:pPr>
              <w:spacing w:before="20" w:after="20"/>
            </w:pPr>
            <w:r>
              <w:rPr>
                <w:sz w:val="16"/>
                <w:szCs w:val="16"/>
              </w:rPr>
              <w:t>Legal source</w:t>
            </w:r>
          </w:p>
        </w:tc>
        <w:tc>
          <w:tcPr>
            <w:tcW w:type="dxa" w:w="5552"/>
          </w:tcPr>
          <w:p>
            <w:pPr>
              <w:spacing w:before="20" w:after="20"/>
            </w:pPr>
            <w:r>
              <w:rPr>
                <w:sz w:val="16"/>
                <w:szCs w:val="16"/>
              </w:rPr>
              <w:t>Specific operative authority establishing the activation condition and legal consequence; registry presence does not supply missing authority.</w:t>
            </w:r>
          </w:p>
        </w:tc>
      </w:tr>
      <w:tr>
        <w:tc>
          <w:tcPr>
            <w:tcW w:type="dxa" w:w="2295"/>
          </w:tcPr>
          <w:p>
            <w:pPr>
              <w:spacing w:before="20" w:after="20"/>
            </w:pPr>
            <w:r>
              <w:rPr>
                <w:sz w:val="16"/>
                <w:szCs w:val="16"/>
              </w:rPr>
              <w:t>MaterialPerformanceReference</w:t>
            </w:r>
          </w:p>
        </w:tc>
        <w:tc>
          <w:tcPr>
            <w:tcW w:type="dxa" w:w="2147"/>
          </w:tcPr>
          <w:p>
            <w:pPr>
              <w:spacing w:before="20" w:after="20"/>
            </w:pPr>
            <w:r>
              <w:rPr>
                <w:sz w:val="16"/>
                <w:szCs w:val="16"/>
              </w:rPr>
              <w:t>Material Performance</w:t>
            </w:r>
          </w:p>
        </w:tc>
        <w:tc>
          <w:tcPr>
            <w:tcW w:type="dxa" w:w="5552"/>
          </w:tcPr>
          <w:p>
            <w:pPr>
              <w:spacing w:before="20" w:after="20"/>
            </w:pPr>
            <w:r>
              <w:rPr>
                <w:sz w:val="16"/>
                <w:szCs w:val="16"/>
              </w:rPr>
              <w:t>Reference to the Chapter 8 Material Performance architecture and any lawfully assigned product-specific weighting or tolerance rule.</w:t>
            </w:r>
          </w:p>
        </w:tc>
      </w:tr>
    </w:tbl>
    <w:p>
      <w:pPr/>
      <w:r>
        <w:t xml:space="preserve">Product-specific synchronization sets become operative only through authenticated adoption, and unresolved source-dependent fields do not proceed by inference.</w:t>
      </w:r>
    </w:p>
    <w:p>
      <w:pPr/>
      <w:r>
        <w:t xml:space="preserve">The Chapter 9 operative architecture and Annex F operate as a tested completed-state interface in which Chapter 9 governs Zero-Line Status and no-backsliding while Annex F records the broader durable completed-state architecture without becoming constitutive of completion. The interface preserves separate tariff, managed-access, vesting, synchronization, verification, dispute, overlay, and administrative state axes. Product-specific Annex F records arise only after the controlling upstream legal event occurs and the resulting state is verified; future completed states are therefore event-dependent rather than missing schedule content.</w:t>
      </w:r>
    </w:p>
    <w:p>
      <w:pPr>
        <w:pStyle w:val="Heading1"/>
      </w:pPr>
      <w:bookmarkStart w:id="1758" w:name="NAATOC_0193"/>
      <w:bookmarkStart w:id="1193" w:name="toc_ANNEX_F___DURABLE_COMPLETED_ST"/>
      <w:r>
        <w:t xml:space="preserve">Annex F - Durable Completed-State Register</w:t>
      </w:r>
      <w:bookmarkEnd w:id="1193"/>
      <w:bookmarkEnd w:id="1758"/>
    </w:p>
    <w:p>
      <w:pPr/>
      <w:r>
        <w:t xml:space="preserve">Annex F records durable completed tariff, managed-access, vesting, synchronization, and Zero-Line states without creating completion. Product-specific records remain unpopulated until the controlling upstream event and required verification establish the completed state, and they do not proceed by inference.</w:t>
      </w:r>
    </w:p>
    <w:p>
      <w:pPr/>
      <w:r>
        <w:t>Governing principle: F records completion; F does not create completion. Preserve exactly what legally vested, no more and no less.</w:t>
      </w:r>
    </w:p>
    <w:p>
      <w:pPr>
        <w:pStyle w:val="Heading2"/>
      </w:pPr>
      <w:bookmarkStart w:id="1759" w:name="NAATOC_0194"/>
      <w:bookmarkStart w:id="1194" w:name="toc_Article_F_1___Purpose__Scope_a"/>
      <w:r>
        <w:t xml:space="preserve">Article F.1 - Purpose, Scope, and Legal Character</w:t>
      </w:r>
      <w:bookmarkEnd w:id="1194"/>
      <w:bookmarkEnd w:id="1759"/>
    </w:p>
    <w:p>
      <w:pPr/>
      <w:r>
        <w:t>F.1.1 [COMPLETION REGISTER] Annex F is the controlled durable completed-state register for liberalization results established elsewhere in this Compact. It records completion and does not create completion, accelerate an incomplete obligation, or substitute administrative judgment for a controlling substantive rule. Its governing interpretive principle is to preserve exactly what legally vested, no more and no less. A record in Annex F therefore evidences and administers a completed legal state without becoming the source of that state.</w:t>
      </w:r>
    </w:p>
    <w:p>
      <w:pPr/>
      <w:r>
        <w:t>F.1.2 [FUNCTIONAL FIREWALL] Annex F creates no tariff concession, tariff-rate quota, Managed-Access Field, vesting tranche, synchronization condition, origin rule, sanitary or phytosanitary right, safeguard, remedy, or amendment power. Annex B owns tariff-state records, Annex C owns sensitive-sector transition records, Annex D owns managed-access administration and vesting records, Annex E owns synchronized activation records, and Chapter 10 with Annex G owns origin qualification. Annex F receives completed states from those instruments only where the controlling Compact provision establishes completion. A cross-reference into Annex F supports administration and historical continuity without transferring substantive authority to the Registry.</w:t>
      </w:r>
    </w:p>
    <w:p>
      <w:pPr/>
      <w:r>
        <w:t>F.1.3 [NON-CONSTITUTIVE EFFECT] Entry, omission, delay, publication, verification, database migration, or administrative retirement in Annex F does not create, postpone, suspend, expand, contract, or extinguish a completed legal state. Where completion is objectively determinate under the controlling provision, administration conforms to that state while any Annex F defect is corrected. Where the legal state itself is genuinely unresolved, the applicable review, cure, or dispute machinery governs without allowing Annex F to decide the question by default. Administrative completeness and legal completion remain separate concepts throughout this Annex.</w:t>
      </w:r>
    </w:p>
    <w:p>
      <w:pPr/>
      <w:r>
        <w:t>F.1.4 [SCOPE DISCIPLINE] Annex F records only the Party-specific, counterparty-specific, product-specific, tranche-specific, or treatment-specific scope that has actually completed under the Compact. Completion for one product, tranche, treatment axis, bilateral pair, or Party does not establish completion for another unless the controlling legal source expressly links them. An adjacent tariff record, related product, predecessor code, sector label, repeated practice, or political statement supplies no independent basis for an F record. The Registry is not a second transition engine and does not reopen the Chapters that produced the completed result.</w:t>
      </w:r>
    </w:p>
    <w:p>
      <w:pPr>
        <w:pStyle w:val="Heading2"/>
      </w:pPr>
      <w:bookmarkStart w:id="1760" w:name="NAATOC_0195"/>
      <w:bookmarkStart w:id="1195" w:name="toc_Article_F_2___Completion_Recor"/>
      <w:r>
        <w:t>Article F.2 - Completion Record Architecture and Persistent Identity</w:t>
      </w:r>
      <w:bookmarkEnd w:id="1195"/>
      <w:bookmarkEnd w:id="1760"/>
    </w:p>
    <w:p>
      <w:pPr/>
      <w:r>
        <w:t>F.2.1 [PERSISTENT IDENTITIES] Each legally distinct completed state receives a persistent CompletionRecordID, and each legally distinct completion event receives a persistent CompletionEventID. A CompletedTreatmentStateID identifies the durable treatment state resulting from that event, while specialized identifiers distinguish vested, Zero-Line, managed-access-completion, and synchronized-completion records where applicable. Persistent identifiers are never reassigned merely because a tariff nomenclature, database, responsible authority, or publication system changes. Record identity therefore survives administrative and classification change independently from the text labels used to display the record.</w:t>
      </w:r>
    </w:p>
    <w:p>
      <w:pPr/>
      <w:r>
        <w:t>F.2.2 [DEPENDENCY LINKS] Each CompletionRecord links to the applicable ProductRecordID and identifies the Party, counterparty where relevant, controlling legal source, and precise completed treatment scope. It cross-references the applicable Annex B TariffScheduleRecordID, Annex C SensitiveTransitionRecordID, Annex D ManagedAccessRecordID, Annex E SynchronizationRecordID or ActivationRecordID, and Annex G origin-rule reference only where those dependencies are legally relevant. A missing administrative cross-link does not erase an independently established completed state, and a populated cross-link does not create one. Dependency records preserve ancestry and auditability without becoming continuing conditions after lawful completion.</w:t>
      </w:r>
    </w:p>
    <w:p>
      <w:pPr/>
      <w:r>
        <w:t>F.2.3 [VERSION AND VALIDITY] Every legally or administratively material record state receives a RecordVersionID with ValidFrom and, where superseded, ValidTo values. Correction produces an append-only successor version or correction record and preserves the prior state for audit, provenance, refund, cure, or dispute purposes. LegalEffectiveDate, CompletionEventDate, AdministrativeRecordingDate, and any verification date remain separate temporal fields. A later administrative action does not silently rewrite the historical instant at which the completed legal state arose.</w:t>
      </w:r>
    </w:p>
    <w:p>
      <w:pPr/>
      <w:r>
        <w:t>F.2.4 [SEPARATE STATE AXES] CompletionConditionStatus, CompletionLegalStatus, VestingStatus, ZeroLineStatus, ManagedAccessCompletionStatus, VerificationStatus, DisputeStatus, TemporaryOverlayStatus, and AdministrativeLifecycleStatus operate as separate controlled axes. A record may therefore be legally Completed while verification remains pending, a dispute remains open, or a temporary overlay is active. No generic status field substitutes for those distinct legal and administrative questions. Software, publication, and human-readable displays preserve the separation rather than collapsing several meanings into a single label such as complete or pending.</w:t>
      </w:r>
    </w:p>
    <w:p>
      <w:pPr>
        <w:pStyle w:val="Heading2"/>
      </w:pPr>
      <w:bookmarkStart w:id="1761" w:name="NAATOC_0196"/>
      <w:bookmarkStart w:id="1196" w:name="toc_Article_F_3___Completion_Condi"/>
      <w:r>
        <w:t xml:space="preserve">Article F.3 - Completion Conditions, Source Authority, and Anti-Bootstrap</w:t>
      </w:r>
      <w:bookmarkEnd w:id="1196"/>
      <w:bookmarkEnd w:id="1761"/>
    </w:p>
    <w:p>
      <w:pPr/>
      <w:r>
        <w:t>F.3.1 [CONTROLLING SOURCE] Every completed state recorded in Annex F traces to an operative Compact provision or other legal source expressly authorized by the Compact. The record identifies the CompletionType, CompletionConditionReference, CompletionLegalBasis, and objectively determinable CompletionEventDate. Database entry, silence, committee expectation, political declaration, repeated administrative practice, automated validation, or convenient assumption does not establish completion. Annex F records the legal result supplied by the controlling source and does not manufacture a result from administrative evidence.</w:t>
      </w:r>
    </w:p>
    <w:p>
      <w:pPr/>
      <w:r>
        <w:t>F.3.2 [AUTOMATIC COMPLETION] Where the controlling substantive rule makes completion automatic upon satisfaction of specified conditions, the completed legal state arises at the legally effective instant without a second political or administrative decision. Verification, publication, registry entry, certification, or committee action becomes a condition precedent only where the controlling Compact provision expressly assigns that effect. Delayed confirmation does not postpone an objectively determinate automatic completion event. The Registry records the event according to its true legal effective date rather than the later date on which an authority noticed or entered it.</w:t>
      </w:r>
    </w:p>
    <w:p>
      <w:pPr/>
      <w:r>
        <w:t>F.3.3 [ANTI-BOOTSTRAP] No CompletionRecord is inferred from an adjacent tariff line, related product, product family, sector, predecessor classification, successor classification, Party similarity, counterparty treatment, or another Annex F record. A record in Annex B, C, D, E, or G supplies completion only to the extent the controlling substantive law expressly gives the referenced event that consequence. Silence, non-objection, publication, registry entry, data migration, or administrative convenience cannot fill a missing legal condition. Each completed state stands on its own controlled legal source and documented product scope.</w:t>
      </w:r>
    </w:p>
    <w:p>
      <w:pPr/>
      <w:r>
        <w:t>F.3.4 [CLOSED LEGAL STATUS] CompletionLegalStatus uses the closed values Not Yet Eligible, Partially Completed, Completed, and Superseded by Successor Record. Partially Completed is used only where the governing treatment is legally severable by product, tranche, Party, counterparty, or independent treatment axis. Superseded by Successor Record denotes continuity into a controlled successor and does not mean extinguishment of the completed right. Verification, dispute, overlay, and administrative lifecycle states remain outside this legal-status vocabulary.</w:t>
      </w:r>
    </w:p>
    <w:p>
      <w:pPr>
        <w:pStyle w:val="Heading2"/>
      </w:pPr>
      <w:bookmarkStart w:id="1762" w:name="NAATOC_0197"/>
      <w:bookmarkStart w:id="1197" w:name="toc_Article_F_4___Full_Vesting_and"/>
      <w:r>
        <w:t>Article F.4 - Full Vesting and Accrued Market-Access State</w:t>
      </w:r>
      <w:bookmarkEnd w:id="1197"/>
      <w:bookmarkEnd w:id="1762"/>
    </w:p>
    <w:p>
      <w:pPr/>
      <w:r>
        <w:t>F.4.1 [FULL VESTING RECORD] Where Chapter 7 establishes Full-Vesting State or another completed vested market-access right, Annex F records that durable result and links it to the controlling Annex D record. The VestedStatusRecordID identifies the completed vested state while the Annex D record preserves the displacement, tranche, quantity, allocation, and utilization history that produced it. Administrative confirmation of full vesting is non-constitutive unless the controlling provision expressly provides otherwise. Annex F does not independently determine whether Chapter 7 vesting conditions have been satisfied.</w:t>
      </w:r>
    </w:p>
    <w:p>
      <w:pPr/>
      <w:r>
        <w:t>F.4.2 [NO RE-AGING] A completed vested state does not re-age because later utilization falls, trade patterns change, administrative systems change, a committee fails to meet, or a government changes policy. Correction of an ancestor Annex D record does not by itself unwind a vested state that was legally completed under the controlling Compact rule. Where a correction reveals a genuine substantive legal issue, the applicable review and dispute architecture determines the consequence rather than Annex F presuming forfeiture. Historical ancestry remains visible so the completed state can be tested without converting record maintenance into a new transition.</w:t>
      </w:r>
    </w:p>
    <w:p>
      <w:pPr/>
      <w:r>
        <w:t>F.4.3 [SEVERABLE VESTING] Where Chapter 7 lawfully permits tranche-specific or otherwise severable vesting, Annex F records each completed portion independently and preserves any unresolved portion on its own axis. Completion of one tranche does not falsely certify completion of another, and an unresolved future tranche does not contaminate a completed tranche. Cumulative vested amounts and any ResidualManagedAccessField are recorded from the controlling Annex D state without recomputation by Annex F. A completed portion retains its legal effective date even if later portions complete at different times.</w:t>
      </w:r>
    </w:p>
    <w:p>
      <w:pPr/>
      <w:r>
        <w:t>F.4.4 [VESTING VERSUS ZERO-LINE] VestingStatus and ZeroLineStatus remain legally distinct even when both ultimately apply to the same ProductRecord. Full vesting concerns completed displacement of managed-access restrictions, while Zero-Line Status concerns completed zero ordinary customs-duty treatment under Chapter 9. Completion on one axis does not bootstrap completion on the other. Machine-readable cross-links support integrated administration while preserving the independent legal tests, event dates, and source authorities for each state.</w:t>
      </w:r>
    </w:p>
    <w:p>
      <w:pPr>
        <w:pStyle w:val="Heading2"/>
      </w:pPr>
      <w:bookmarkStart w:id="1763" w:name="NAATOC_0198"/>
      <w:bookmarkStart w:id="1198" w:name="toc_Article_F_5___Zero_Line_Status"/>
      <w:r>
        <w:t>Article F.5 - Zero-Line Status and Completed Tariff State</w:t>
      </w:r>
      <w:bookmarkEnd w:id="1198"/>
      <w:bookmarkEnd w:id="1763"/>
    </w:p>
    <w:p>
      <w:pPr/>
      <w:r>
        <w:t>F.5.1 [ZERO-LINE RECORD] Annex F provides the controlled operational home for Zero-Line Status established under Chapter 9. A ZeroLineStatusID identifies the Party-specific completed permanent zero ordinary customs-duty state and links it to the applicable ProductRecordID and tariff-state ancestry. Zero-Line Status arises only through the controlling Compact rule and not from the mere numerical appearance of a zero rate in a tariff display. Annex F records the status without recreating the Chapter 9 legal test.</w:t>
      </w:r>
    </w:p>
    <w:p>
      <w:pPr/>
      <w:r>
        <w:t>F.5.2 [ZERO IS NOT ZERO-LINE] An applied rate of zero does not by itself establish Zero-Line Status. A temporary zero, autonomous suspension, discretionary waiver, emergency exemption, or within-access zero remains legally distinct unless the controlling Compact provision establishes completed permanent zero ordinary customs-duty treatment for the relevant scope. The Registry records RouteToZero, ZeroLineEffectiveDate, and originating-treatment scope so the basis of the completed state remains auditable. Administrative systems do not promote a temporary or limited zero into durable completed treatment merely because the displayed rate is numerically identical.</w:t>
      </w:r>
    </w:p>
    <w:p>
      <w:pPr/>
      <w:r>
        <w:t>F.5.3 [NO POSITIVE-DUTY REGENERATION] Once Zero-Line Status is legally established, Annex F records the completed state and Chapter 9 supplies the applicable no-backsliding protection. An administrative authority does not restore a positive ordinary customs duty through stale coding, tariff-equivalent repackaging, reclassification, registry correction, or failure to update a local system. A different legally applied treatment requires independent authority under the Compact and remains separately characterized according to that authority. Annex F therefore preserves the completed tariff state without becoming an independent prohibition or remedy chapter.</w:t>
      </w:r>
    </w:p>
    <w:p>
      <w:pPr/>
      <w:r>
        <w:t>F.5.4 [ROUTE AND SCOPE] Each Zero-Line record identifies the route by which the treatment reached its completed state, including Chapter 4 preservation or a later Chapter 5 or Chapter 6 elimination pathway where applicable. The record states the precise Party, counterparty, ProductRecord, originating-treatment scope, and any severable tranche or product boundary relevant to the event. A route label supplies provenance and does not create rights outside the completed scope. Where a separate managed-access or synchronized-completion state is relevant, Annex F cross-links the records without merging their legal functions.</w:t>
      </w:r>
    </w:p>
    <w:p>
      <w:pPr>
        <w:pStyle w:val="Heading2"/>
      </w:pPr>
      <w:bookmarkStart w:id="1764" w:name="NAATOC_0199"/>
      <w:bookmarkStart w:id="1199" w:name="toc_Article_F_6___Completed_Manage"/>
      <w:r>
        <w:t>Article F.6 - Completed Managed-Access Displacement</w:t>
      </w:r>
      <w:bookmarkEnd w:id="1199"/>
      <w:bookmarkEnd w:id="1764"/>
    </w:p>
    <w:p>
      <w:pPr/>
      <w:r>
        <w:t>F.6.1 [D-AXIS COMPLETION] Where Chapter 7 and Annex D establish completed displacement of the Managed-Access Field, Annex F records the resulting durable completion state through a ManagedAccessCompletionRecordID. The record identifies the controlling Full-Vesting or displacement event, legal effective date, and ResidualManagedAccessField supplied by the controlling Annex D state. Annex F does not declare managed-access completion before the substantive D-axis conditions are satisfied. Administrative retirement of a quota mechanism neither creates completion nor preserves authority after lawful completion has already occurred.</w:t>
      </w:r>
    </w:p>
    <w:p>
      <w:pPr/>
      <w:r>
        <w:t>F.6.2 [NO REGENERATION] A Managed-Access Field that has legally completed its displacement does not regenerate through an obsolete TRQ label, historical schedule notation, later utilization decline, seasonal administration, reclassification, or administrative inertia. A historical TRQ reference remains provenance rather than present authority. Annex F does not create a new TRQ, eligibility barrier, allocation restriction, equivalent fee, or seasonal limitation after completion. Any later substantive restriction requires independent legal authority under the Compact rather than resurrection of the completed transitional mechanism.</w:t>
      </w:r>
    </w:p>
    <w:p>
      <w:pPr/>
      <w:r>
        <w:t>F.6.3 [INDEPENDENT AXES] Managed-access completion may occur before, after, or independently from completion on another treatment axis where the controlling Compact architecture permits that sequence. Annex F records each completed state separately and does not force tariff, vesting, synchronization, or origin states into artificial simultaneity. A pending state on one axis does not reopen a completed state on another merely because both concern the same ProductRecord. Cross-links show the relationship while separate status fields preserve the legal boundary.</w:t>
      </w:r>
    </w:p>
    <w:p>
      <w:pPr/>
      <w:r>
        <w:t>F.6.4 [TRANCHE COMPLETION] Where managed-access displacement is legally organized by severable tranches, each completed tranche receives a traceable completion event and the cumulative completed amount remains linked to Annex D. An unresolved tranche remains pending without reducing the completed legal effect of earlier tranches. Completion history records the path from the original Managed-Access Field to the residual field applicable at each legally relevant point. When the residual field reaches its legally completed state, Annex F preserves that result without retaining obsolete administration as a continuing condition.</w:t>
      </w:r>
    </w:p>
    <w:p>
      <w:pPr>
        <w:pStyle w:val="Heading2"/>
      </w:pPr>
      <w:bookmarkStart w:id="1765" w:name="NAATOC_0200"/>
      <w:bookmarkStart w:id="1200" w:name="toc_Article_F_7___Synchronized_Com"/>
      <w:r>
        <w:t>Article F.7 - Synchronized Completion and Annex E Handoff</w:t>
      </w:r>
      <w:bookmarkEnd w:id="1200"/>
      <w:bookmarkEnd w:id="1765"/>
    </w:p>
    <w:p>
      <w:pPr/>
      <w:r>
        <w:t>F.7.1 [E-AXIS HANDOFF] Annex E determines and records synchronized activation within its assigned Chapter 8 function, while Annex F records the durable completed state only when the controlling substantive law assigns such completion. A SynchronizedCompletionRecordID links the completed result to the applicable SynchronizationRecordID, MilestoneRecordID, and ActivationRecordID without re-litigating those E-axis determinations. Annex F does not create a synchronization condition, Material Performance rule, catch-up route, or Deferred Activation consequence. The handoff preserves the distinction between activation machinery and the substantive completed state produced after lawful activation.</w:t>
      </w:r>
    </w:p>
    <w:p>
      <w:pPr/>
      <w:r>
        <w:t>F.7.2 [SEVERABLE COMPLETION] A completed synchronized portion is recorded independently where Chapter 8 or the controlling substantive Chapter makes the treatment legally severable. One unresolved future tranche, unmatched condition, or lagging Party does not contaminate a portion that has already completed within its lawful scope. Annex F records leading and lagging history only as provenance and does not convert asymmetry into a permanent penalty. Later catch-up receives its own completion event without resetting the original commencement date of previously completed treatment.</w:t>
      </w:r>
    </w:p>
    <w:p>
      <w:pPr/>
      <w:r>
        <w:t>F.7.3 [NO DEACTIVATION BY DRIFT] A completed activation does not deactivate merely because reciprocity later deteriorates, a committee becomes inactive, an administrative record is corrected, or political circumstances change. Where the Compact expressly authorizes a later legal consequence for new non-performance, that consequence operates through the Chapter that creates it and does not arise from Annex F. The completed historical activation remains preserved even when a legally distinct later measure affects current applied treatment. Annex F therefore records finality without inventing immunity from express future Compact mechanisms.</w:t>
      </w:r>
    </w:p>
    <w:p>
      <w:pPr/>
      <w:r>
        <w:t>F.7.4 [ORIGINAL CLOCK PRESERVATION] Annex F preserves the OriginalCommencementDate, relevant activation date, and completion date supplied by the controlling records. Re-synchronization, catch-up, delayed verification, or later publication does not create a new month-zero for a completed stage. A successor record carries the historical dates necessary to prove continuity rather than re-aging the right on migration. Any lawful prospective change to an incomplete future obligation remains distinct from the already completed state recorded in F.</w:t>
      </w:r>
    </w:p>
    <w:p>
      <w:pPr>
        <w:pStyle w:val="Heading2"/>
      </w:pPr>
      <w:bookmarkStart w:id="1766" w:name="NAATOC_0201"/>
      <w:bookmarkStart w:id="1201" w:name="toc_Article_F_8___Classification__"/>
      <w:r>
        <w:t xml:space="preserve">Article F.8 - Classification, Concordance, and Successor Continuity</w:t>
      </w:r>
      <w:bookmarkEnd w:id="1201"/>
      <w:bookmarkEnd w:id="1766"/>
    </w:p>
    <w:p>
      <w:pPr/>
      <w:r>
        <w:t>F.8.1 [CLASSIFICATION CONTINUITY] A tariff nomenclature revision, national-line change, statistical subdivision, or classification-system migration does not by itself erase, expand, contract, or restart a completed state. ProductRecordID and CompletionRecordID remain the controlling persistent identities while tariff codes operate as time-bounded classification attributes. Annex M supplies the controlled concordance and successor-mapping function where applicable. Annex F consumes that mapping for completed-state continuity and does not independently invent a classification succession.</w:t>
      </w:r>
    </w:p>
    <w:p>
      <w:pPr/>
      <w:r>
        <w:t>F.8.2 [ONE-TO-MANY SPLIT] Where a predecessor classification splits into multiple successors, completed treatment follows only the objectively corresponding predecessor product scope established by controlled mapping evidence. A successor covering the same old scope preserves the completed state, while newly introduced or expanded scope does not inherit the right merely because it shares the successor code. Ex-outs or other controlled scope distinctions are retained where necessary to prevent silent expansion. An unresolved mapping remains flagged and does not authorize an administrator to choose the most favorable or restrictive succession by convenience.</w:t>
      </w:r>
    </w:p>
    <w:p>
      <w:pPr/>
      <w:r>
        <w:t>F.8.3 [MANY-TO-ONE MERGER] Where multiple predecessor classifications merge, Annex F preserves each legally completed predecessor scope within the merged nomenclature and retains distinctions necessary to prevent uncovered scope from inheriting completed treatment. The merger does not extinguish a completed right merely because several historical records now share one classification code. Historical predecessor links and effective dates remain available for audit and administration. Classification consolidation therefore changes the map without silently changing the substantive territory.</w:t>
      </w:r>
    </w:p>
    <w:p>
      <w:pPr/>
      <w:r>
        <w:t>F.8.4 [SUPERSEDED IS NOT EXTINGUISHED] A CompletionRecord marked Superseded by Successor Record remains part of the controlled legal ancestry and is not treated as extinguished. The successor record identifies the predecessor, concordance authority, mapping evidence, corresponding scope, and continuity date. A successor mapping does not create a new substantive right for goods outside the predecessor entitlement. Annex F preserves exactly the completed scope that lawfully carries forward, no more and no less.</w:t>
      </w:r>
    </w:p>
    <w:p>
      <w:pPr>
        <w:pStyle w:val="Heading2"/>
      </w:pPr>
      <w:bookmarkStart w:id="1767" w:name="NAATOC_0202"/>
      <w:bookmarkStart w:id="1202" w:name="toc_Article_F_9___Temporary_Measur"/>
      <w:r>
        <w:t>Article F.9 - Temporary Measures and Underlying Completed State</w:t>
      </w:r>
      <w:bookmarkEnd w:id="1202"/>
      <w:bookmarkEnd w:id="1767"/>
    </w:p>
    <w:p>
      <w:pPr/>
      <w:r>
        <w:t>F.9.1 [OVERLAY SEPARATION] A temporary measure lawfully authorized elsewhere in the Compact is recorded as a TemporaryOverlayStatus or reference and remains separate from the underlying completed state. Temporary restriction does not equal revival of transitional status. The overlay record identifies its authorizing provision, scope, start date, termination condition, and restoration trigger without treating Annex F as the source of the measure. The underlying CompletionLegalStatus, VestingStatus, or ZeroLineStatus remains visible throughout the temporary period.</w:t>
      </w:r>
    </w:p>
    <w:p>
      <w:pPr/>
      <w:r>
        <w:t>F.9.2 [NO NEW BASELINE] A temporary overlay does not create a new baseline, restart a transition clock, re-age vesting, restore a Managed-Access Field, or delete Zero-Line Status merely because the applied treatment temporarily differs from the completed state. Expiration or cessation of the overlay returns administration to the legal position then controlling under the Compact without requiring a new completion event. Repeated notation of the overlay does not convert it into permanent authority. Any lasting substantive change requires the legal mechanism assigned by the Compact rather than administrative inertia.</w:t>
      </w:r>
    </w:p>
    <w:p>
      <w:pPr/>
      <w:r>
        <w:t>F.9.3 [NO AUTOMATIC VALIDATION] Appearance of a safeguard, sanitary or phytosanitary emergency, food-security measure, or other temporary action in Annex F does not validate that measure. The authorizing Chapter alone determines whether its substantive conditions, scope, duration, and procedural requirements are satisfied. A defective temporary measure gains no legality from being linked to a completed-state record. Annex F records the relationship necessary for administration while leaving legality and remedies to the Chapters that own them.</w:t>
      </w:r>
    </w:p>
    <w:p>
      <w:pPr/>
      <w:r>
        <w:t>F.9.4 [HISTORICAL TRACE] Annex F preserves the start, modification, cessation, and restoration history of a temporary overlay to the extent needed to explain applied treatment around a completed state. Overlay history remains distinct from the completion ancestry that established the durable underlying right. A later auditor can therefore reconstruct both what the completed state was and why applied treatment temporarily differed from it. Historical traceability does not convert the temporary episode into a new completion condition or successor right.</w:t>
      </w:r>
    </w:p>
    <w:p>
      <w:pPr>
        <w:pStyle w:val="Heading2"/>
      </w:pPr>
      <w:bookmarkStart w:id="1768" w:name="NAATOC_0203"/>
      <w:bookmarkStart w:id="1203" w:name="toc_Article_F_10___Verification__C"/>
      <w:r>
        <w:t xml:space="preserve">Article F.10 - Verification, Correction, and Controlled Record Integrity</w:t>
      </w:r>
      <w:bookmarkEnd w:id="1203"/>
      <w:bookmarkEnd w:id="1768"/>
    </w:p>
    <w:p>
      <w:pPr/>
      <w:r>
        <w:t>F.10.1 [NON-CONSTITUTIVE VERIFICATION] Verification confirms implementation and record accuracy within the authority assigned by the Compact and does not create completion. Pending or delayed verification does not postpone an objectively determinate completed legal state unless the controlling substantive provision expressly makes verification a condition precedent. FieldVerificationReference and record-level VerificationStatus remain separate from CompletionLegalStatus and every other substantive state axis. An authority does not use verification delay as an administrative veto over a completed right.</w:t>
      </w:r>
    </w:p>
    <w:p>
      <w:pPr/>
      <w:r>
        <w:t>F.10.2 [FIELD PROVENANCE] Each legally material Annex F field carries a FieldProvenanceReference and, where verification applies, a FieldVerificationReference sufficient to trace the value to its controlling source. Derived record status follows the Chapter 3 verification architecture and does not overwrite the status of individual source fields. A missing or disputed field is flagged rather than guessed from adjacency, historical practice, or another product record. Population and correction therefore remain evidence-led rather than inference-led.</w:t>
      </w:r>
    </w:p>
    <w:p>
      <w:pPr/>
      <w:r>
        <w:t>F.10.3 [CORRECTION BOUNDARY] Clerical, metadata, technical, concordance, and data-quality corrections conform Annex F to the controlling law without becoming substantive amendment. Correction of an Annex B, C, D, E, G, classification, or data record does not automatically reopen a completed F state merely because the ancestor record changed. Where the correction reveals a genuine conflict about the underlying substantive entitlement, the applicable review, cure, and dispute mechanisms determine the consequence. Formal substantive change to the Compact follows Article 30.19, while Chapter 29 remains confined to the review, acceleration, technical amendment, and other authority expressly assigned to it.</w:t>
      </w:r>
    </w:p>
    <w:p>
      <w:pPr/>
      <w:r>
        <w:t>F.10.4 [LAST VALID CONTROLLED STATE] Where an Annex F administrative record is erroneous or temporarily incomplete but the underlying legal state is objectively determinate, administration follows that controlling legal state while correction proceeds. Where the legal state itself cannot yet be determined, the last valid controlled state remains identified as the interim administrative reference subject to any contrary rule expressly supplied by the Compact. No adverse inference arises merely from a missing Registry entry or publication failure. Correction history remains append-only so later users can distinguish the law, the erroneous record, and the corrected administrative state.</w:t>
      </w:r>
    </w:p>
    <w:p>
      <w:pPr>
        <w:pStyle w:val="Heading2"/>
      </w:pPr>
      <w:bookmarkStart w:id="1769" w:name="NAATOC_0204"/>
      <w:bookmarkStart w:id="1204" w:name="toc_Article_F_11___Non_Revival__No"/>
      <w:r>
        <w:t xml:space="preserve">Article F.11 - Non-Revival, No-Fade, and Anti-Rollback Controls</w:t>
      </w:r>
      <w:bookmarkEnd w:id="1204"/>
      <w:bookmarkEnd w:id="1769"/>
    </w:p>
    <w:p>
      <w:pPr/>
      <w:r>
        <w:t>F.11.1 [NO-FADE] A completed state recorded in Annex F does not expire, fade, or restart merely through passage of time, administrative turnover, system migration, committee inactivity, publication error, or disappearance of a local record. Review agendas, non-objection, repeated practice, or silence likewise do not make continued completion depend on periodic renewal. The durable state continues according to the controlling substantive law until a legally authorized later event changes the applicable treatment. Annex F preserves that continuity without claiming power to override an express Compact mechanism.</w:t>
      </w:r>
    </w:p>
    <w:p>
      <w:pPr/>
      <w:r>
        <w:t>F.11.2 [NO TRANSITIONAL REVIVAL] A completed transition does not revive because utilization declines, trade patterns change, a historical TRQ label remains visible, a safeguard expires, an emergency ends, or an administrative authority fails to issue a confirmation. Obsolete transitional machinery remains historical unless the Compact independently creates a new legal basis for its operation. Annex F does not treat a changed economic circumstance as permission to reconstruct a completed tariff, quota, vesting, or synchronization condition. This rule prevents administrative or factual drift from becoming a backdoor reset.</w:t>
      </w:r>
    </w:p>
    <w:p>
      <w:pPr/>
      <w:r>
        <w:t>F.11.3 [DISPUTE SEPARATION] A dispute, technical review, consultation, or cure process does not by itself erase or suspend a completed state. DisputeStatus and DisputeReference identify the pending matter while the Chapter owning the legal consequence determines whether any different treatment is authorized. Annex F creates no self-help tariff restoration, quota revival, retaliation, suspension, or forfeiture remedy. A later lawful consequence is recorded as a distinct event rather than retroactively pretending that the original completion never occurred.</w:t>
      </w:r>
    </w:p>
    <w:p>
      <w:pPr/>
      <w:r>
        <w:t>F.11.4 [AMENDMENT AND WITHDRAWAL BOUNDARY] Annex F does not make the Compact unamendable and does not independently decide withdrawal or survival consequences. A formal substantive amendment follows Article 30.19, and Chapter 29 action remains within the review, acceleration, technical amendment, or other authority expressly assigned to that Chapter. Withdrawal, survival, and treatment of accrued or completed rights after withdrawal remain governed by Chapter 30. Annex F preserves the historical completed state needed to administer those rules without becoming an independent amendment, survival, or forfeiture clause.</w:t>
      </w:r>
    </w:p>
    <w:p>
      <w:pPr>
        <w:pStyle w:val="Heading2"/>
      </w:pPr>
      <w:bookmarkStart w:id="1770" w:name="NAATOC_0205"/>
      <w:bookmarkStart w:id="1205" w:name="toc_Article_F_12___Publication__Hi"/>
      <w:r>
        <w:t xml:space="preserve">Article F.12 - Publication, Historical Preservation, and Controlled Population</w:t>
      </w:r>
      <w:bookmarkEnd w:id="1205"/>
      <w:bookmarkEnd w:id="1770"/>
    </w:p>
    <w:p>
      <w:pPr/>
      <w:r>
        <w:t>F.12.1 [PUBLICATION] Annex F is maintained in controlled human-readable and machine-readable forms using stable identifiers, a documented schema version, dataset version, source manifest, and effective-date manifest. Public legal status remains visible subject to the Compact rules protecting confidential or otherwise protected information. Publication improves transparency and administration but remains non-constitutive unless an operative Compact provision expressly provides otherwise. A publication outage, stale display, or registry omission does not alter the controlling completed legal state.</w:t>
      </w:r>
    </w:p>
    <w:p>
      <w:pPr/>
      <w:r>
        <w:t>F.12.2 [HISTORICAL PRESERVATION] Superseded records, correction history, predecessor and successor mappings, temporary-overlay history, and prior verification states remain retained according to the Compact records architecture. Historical versions are marked as superseded rather than deleted or presented as current. The Registry preserves enough ancestry to reconstruct how each durable state arose and how later administrative changes affected its representation. Retention supports audit and legal continuity without preserving obsolete transitional authority.</w:t>
      </w:r>
    </w:p>
    <w:p>
      <w:pPr/>
      <w:r>
        <w:t>F.12.3 [CONTROLLED POPULATION] Population of Annex F proceeds only from verified ProductRecord identities, controlling legal sources, completed event evidence, and the cross-annex dependencies required by the applicable CompletionType. A record with unresolved source, scope, mapping, or verification questions is visibly classified under the appropriate separate status axis rather than completed by inference. Automated validation may detect missing fields, broken links, impossible dates, or status collisions but does not decide the substantive legal state. Promotion into the controlled population requires the evidence and authority assigned by the Compact and the Annex F schema.</w:t>
      </w:r>
    </w:p>
    <w:p>
      <w:pPr/>
      <w:r>
        <w:t>F.12.4 [FINAL AUTHORITY BOUNDARY] No institution, Secretariat process, database rule, software validation, committee practice, or publication convention may use Annex F to expand authority beyond the Compact. The Registry records completed tariff, managed-access, vesting, synchronization, and Zero-Line states only within their legally established scope. Its finality function protects completed results from administrative drift while preserving lawful correction, expressly authorized temporary measures, dispute processes, formal amendment, and Chapter 30 consequences. Annex F therefore closes completed transitions without becoming a new source of transition, restriction, concession, or governmental power.</w:t>
      </w:r>
    </w:p>
    <w:p>
      <w:pPr>
        <w:pStyle w:val="Heading2"/>
      </w:pPr>
      <w:bookmarkStart w:id="1771" w:name="NAATOC_0206"/>
      <w:bookmarkStart w:id="1206" w:name="toc_Annex_F_Durable_Completed_Stat"/>
      <w:r>
        <w:t>Annex F Durable Completed-State Register - Controlled Schema</w:t>
      </w:r>
      <w:bookmarkEnd w:id="1206"/>
      <w:bookmarkEnd w:id="1771"/>
    </w:p>
    <w:p>
      <w:pPr/>
      <w:r>
        <w:t>The controlled schema below defines the minimum record architecture for deterministic Annex F population. A field records only its assigned identity, dependency, state, provenance, continuity, or administrative function and does not acquire substantive legal effect from database presence alone.</w:t>
      </w:r>
    </w:p>
    <w:tbl>
      <w:tblPr>
        <w:tblStyle w:val="TableGrid"/>
        <w:tblW w:type="dxa" w:w="9994"/>
        <w:tblLayout w:type="fixed"/>
        <w:tblLook w:firstColumn="1" w:firstRow="1" w:lastColumn="0" w:lastRow="0" w:noHBand="0" w:noVBand="1" w:val="04A0"/>
      </w:tblPr>
      <w:tblGrid>
        <w:gridCol w:w="3331"/>
        <w:gridCol w:w="3331"/>
        <w:gridCol w:w="3332"/>
      </w:tblGrid>
      <w:tr>
        <w:trPr>
          <w:tblHeader w:val="true"/>
        </w:trPr>
        <w:tc>
          <w:tcPr>
            <w:tcW w:type="dxa" w:w="3331"/>
          </w:tcPr>
          <w:p>
            <w:pPr>
              <w:spacing w:before="20" w:after="20"/>
            </w:pPr>
            <w:r>
              <w:rPr>
                <w:sz w:val="16"/>
                <w:szCs w:val="16"/>
              </w:rPr>
              <w:t>Field</w:t>
            </w:r>
          </w:p>
        </w:tc>
        <w:tc>
          <w:tcPr>
            <w:tcW w:type="dxa" w:w="3331"/>
          </w:tcPr>
          <w:p>
            <w:pPr>
              <w:spacing w:before="20" w:after="20"/>
            </w:pPr>
            <w:r>
              <w:rPr>
                <w:sz w:val="16"/>
                <w:szCs w:val="16"/>
              </w:rPr>
              <w:t>Governance Class</w:t>
            </w:r>
          </w:p>
        </w:tc>
        <w:tc>
          <w:tcPr>
            <w:tcW w:type="dxa" w:w="3332"/>
          </w:tcPr>
          <w:p>
            <w:pPr>
              <w:spacing w:before="20" w:after="20"/>
            </w:pPr>
            <w:r>
              <w:rPr>
                <w:sz w:val="16"/>
                <w:szCs w:val="16"/>
              </w:rPr>
              <w:t>Controlled Function</w:t>
            </w:r>
          </w:p>
        </w:tc>
      </w:tr>
      <w:tr>
        <w:tc>
          <w:tcPr>
            <w:tcW w:type="dxa" w:w="3331"/>
          </w:tcPr>
          <w:p>
            <w:pPr>
              <w:spacing w:before="20" w:after="20"/>
            </w:pPr>
            <w:r>
              <w:rPr>
                <w:sz w:val="16"/>
                <w:szCs w:val="16"/>
              </w:rPr>
              <w:t>CompletionRecordID</w:t>
            </w:r>
          </w:p>
        </w:tc>
        <w:tc>
          <w:tcPr>
            <w:tcW w:type="dxa" w:w="3331"/>
          </w:tcPr>
          <w:p>
            <w:pPr>
              <w:spacing w:before="20" w:after="20"/>
            </w:pPr>
            <w:r>
              <w:rPr>
                <w:sz w:val="16"/>
                <w:szCs w:val="16"/>
              </w:rPr>
              <w:t>Identity</w:t>
            </w:r>
          </w:p>
        </w:tc>
        <w:tc>
          <w:tcPr>
            <w:tcW w:type="dxa" w:w="3332"/>
          </w:tcPr>
          <w:p>
            <w:pPr>
              <w:spacing w:before="20" w:after="20"/>
            </w:pPr>
            <w:r>
              <w:rPr>
                <w:sz w:val="16"/>
                <w:szCs w:val="16"/>
              </w:rPr>
              <w:t>Persistent identifier for the legally distinct completed-state record.</w:t>
            </w:r>
          </w:p>
        </w:tc>
      </w:tr>
      <w:tr>
        <w:tc>
          <w:tcPr>
            <w:tcW w:type="dxa" w:w="3331"/>
          </w:tcPr>
          <w:p>
            <w:pPr>
              <w:spacing w:before="20" w:after="20"/>
            </w:pPr>
            <w:r>
              <w:rPr>
                <w:sz w:val="16"/>
                <w:szCs w:val="16"/>
              </w:rPr>
              <w:t>CompletionEventID</w:t>
            </w:r>
          </w:p>
        </w:tc>
        <w:tc>
          <w:tcPr>
            <w:tcW w:type="dxa" w:w="3331"/>
          </w:tcPr>
          <w:p>
            <w:pPr>
              <w:spacing w:before="20" w:after="20"/>
            </w:pPr>
            <w:r>
              <w:rPr>
                <w:sz w:val="16"/>
                <w:szCs w:val="16"/>
              </w:rPr>
              <w:t>Identity</w:t>
            </w:r>
          </w:p>
        </w:tc>
        <w:tc>
          <w:tcPr>
            <w:tcW w:type="dxa" w:w="3332"/>
          </w:tcPr>
          <w:p>
            <w:pPr>
              <w:spacing w:before="20" w:after="20"/>
            </w:pPr>
            <w:r>
              <w:rPr>
                <w:sz w:val="16"/>
                <w:szCs w:val="16"/>
              </w:rPr>
              <w:t>Persistent identifier for the legally distinct completion event.</w:t>
            </w:r>
          </w:p>
        </w:tc>
      </w:tr>
      <w:tr>
        <w:tc>
          <w:tcPr>
            <w:tcW w:type="dxa" w:w="3331"/>
          </w:tcPr>
          <w:p>
            <w:pPr>
              <w:spacing w:before="20" w:after="20"/>
            </w:pPr>
            <w:r>
              <w:rPr>
                <w:sz w:val="16"/>
                <w:szCs w:val="16"/>
              </w:rPr>
              <w:t>CompletedTreatmentStateID</w:t>
            </w:r>
          </w:p>
        </w:tc>
        <w:tc>
          <w:tcPr>
            <w:tcW w:type="dxa" w:w="3331"/>
          </w:tcPr>
          <w:p>
            <w:pPr>
              <w:spacing w:before="20" w:after="20"/>
            </w:pPr>
            <w:r>
              <w:rPr>
                <w:sz w:val="16"/>
                <w:szCs w:val="16"/>
              </w:rPr>
              <w:t>Identity</w:t>
            </w:r>
          </w:p>
        </w:tc>
        <w:tc>
          <w:tcPr>
            <w:tcW w:type="dxa" w:w="3332"/>
          </w:tcPr>
          <w:p>
            <w:pPr>
              <w:spacing w:before="20" w:after="20"/>
            </w:pPr>
            <w:r>
              <w:rPr>
                <w:sz w:val="16"/>
                <w:szCs w:val="16"/>
              </w:rPr>
              <w:t>Persistent identifier for the durable treatment state produced by completion.</w:t>
            </w:r>
          </w:p>
        </w:tc>
      </w:tr>
      <w:tr>
        <w:tc>
          <w:tcPr>
            <w:tcW w:type="dxa" w:w="3331"/>
          </w:tcPr>
          <w:p>
            <w:pPr>
              <w:spacing w:before="20" w:after="20"/>
            </w:pPr>
            <w:r>
              <w:rPr>
                <w:sz w:val="16"/>
                <w:szCs w:val="16"/>
              </w:rPr>
              <w:t>VestedStatusRecordID</w:t>
            </w:r>
          </w:p>
        </w:tc>
        <w:tc>
          <w:tcPr>
            <w:tcW w:type="dxa" w:w="3331"/>
          </w:tcPr>
          <w:p>
            <w:pPr>
              <w:spacing w:before="20" w:after="20"/>
            </w:pPr>
            <w:r>
              <w:rPr>
                <w:sz w:val="16"/>
                <w:szCs w:val="16"/>
              </w:rPr>
              <w:t>Identity</w:t>
            </w:r>
          </w:p>
        </w:tc>
        <w:tc>
          <w:tcPr>
            <w:tcW w:type="dxa" w:w="3332"/>
          </w:tcPr>
          <w:p>
            <w:pPr>
              <w:spacing w:before="20" w:after="20"/>
            </w:pPr>
            <w:r>
              <w:rPr>
                <w:sz w:val="16"/>
                <w:szCs w:val="16"/>
              </w:rPr>
              <w:t>Identifier for a completed vested market-access state where applicable.</w:t>
            </w:r>
          </w:p>
        </w:tc>
      </w:tr>
      <w:tr>
        <w:tc>
          <w:tcPr>
            <w:tcW w:type="dxa" w:w="3331"/>
          </w:tcPr>
          <w:p>
            <w:pPr>
              <w:spacing w:before="20" w:after="20"/>
            </w:pPr>
            <w:r>
              <w:rPr>
                <w:sz w:val="16"/>
                <w:szCs w:val="16"/>
              </w:rPr>
              <w:t>ZeroLineStatusID</w:t>
            </w:r>
          </w:p>
        </w:tc>
        <w:tc>
          <w:tcPr>
            <w:tcW w:type="dxa" w:w="3331"/>
          </w:tcPr>
          <w:p>
            <w:pPr>
              <w:spacing w:before="20" w:after="20"/>
            </w:pPr>
            <w:r>
              <w:rPr>
                <w:sz w:val="16"/>
                <w:szCs w:val="16"/>
              </w:rPr>
              <w:t>Identity</w:t>
            </w:r>
          </w:p>
        </w:tc>
        <w:tc>
          <w:tcPr>
            <w:tcW w:type="dxa" w:w="3332"/>
          </w:tcPr>
          <w:p>
            <w:pPr>
              <w:spacing w:before="20" w:after="20"/>
            </w:pPr>
            <w:r>
              <w:rPr>
                <w:sz w:val="16"/>
                <w:szCs w:val="16"/>
              </w:rPr>
              <w:t>Identifier for Chapter 9 Zero-Line Status where applicable.</w:t>
            </w:r>
          </w:p>
        </w:tc>
      </w:tr>
      <w:tr>
        <w:tc>
          <w:tcPr>
            <w:tcW w:type="dxa" w:w="3331"/>
          </w:tcPr>
          <w:p>
            <w:pPr>
              <w:spacing w:before="20" w:after="20"/>
            </w:pPr>
            <w:r>
              <w:rPr>
                <w:sz w:val="16"/>
                <w:szCs w:val="16"/>
              </w:rPr>
              <w:t>ManagedAccessCompletionRecordID</w:t>
            </w:r>
          </w:p>
        </w:tc>
        <w:tc>
          <w:tcPr>
            <w:tcW w:type="dxa" w:w="3331"/>
          </w:tcPr>
          <w:p>
            <w:pPr>
              <w:spacing w:before="20" w:after="20"/>
            </w:pPr>
            <w:r>
              <w:rPr>
                <w:sz w:val="16"/>
                <w:szCs w:val="16"/>
              </w:rPr>
              <w:t>Identity</w:t>
            </w:r>
          </w:p>
        </w:tc>
        <w:tc>
          <w:tcPr>
            <w:tcW w:type="dxa" w:w="3332"/>
          </w:tcPr>
          <w:p>
            <w:pPr>
              <w:spacing w:before="20" w:after="20"/>
            </w:pPr>
            <w:r>
              <w:rPr>
                <w:sz w:val="16"/>
                <w:szCs w:val="16"/>
              </w:rPr>
              <w:t>Identifier for completed Annex D managed-access displacement.</w:t>
            </w:r>
          </w:p>
        </w:tc>
      </w:tr>
      <w:tr>
        <w:tc>
          <w:tcPr>
            <w:tcW w:type="dxa" w:w="3331"/>
          </w:tcPr>
          <w:p>
            <w:pPr>
              <w:spacing w:before="20" w:after="20"/>
            </w:pPr>
            <w:r>
              <w:rPr>
                <w:sz w:val="16"/>
                <w:szCs w:val="16"/>
              </w:rPr>
              <w:t>SynchronizedCompletionRecordID</w:t>
            </w:r>
          </w:p>
        </w:tc>
        <w:tc>
          <w:tcPr>
            <w:tcW w:type="dxa" w:w="3331"/>
          </w:tcPr>
          <w:p>
            <w:pPr>
              <w:spacing w:before="20" w:after="20"/>
            </w:pPr>
            <w:r>
              <w:rPr>
                <w:sz w:val="16"/>
                <w:szCs w:val="16"/>
              </w:rPr>
              <w:t>Identity</w:t>
            </w:r>
          </w:p>
        </w:tc>
        <w:tc>
          <w:tcPr>
            <w:tcW w:type="dxa" w:w="3332"/>
          </w:tcPr>
          <w:p>
            <w:pPr>
              <w:spacing w:before="20" w:after="20"/>
            </w:pPr>
            <w:r>
              <w:rPr>
                <w:sz w:val="16"/>
                <w:szCs w:val="16"/>
              </w:rPr>
              <w:t>Identifier for a completed state arising through an Annex E synchronized pathway.</w:t>
            </w:r>
          </w:p>
        </w:tc>
      </w:tr>
      <w:tr>
        <w:tc>
          <w:tcPr>
            <w:tcW w:type="dxa" w:w="3331"/>
          </w:tcPr>
          <w:p>
            <w:pPr>
              <w:spacing w:before="20" w:after="20"/>
            </w:pPr>
            <w:r>
              <w:rPr>
                <w:sz w:val="16"/>
                <w:szCs w:val="16"/>
              </w:rPr>
              <w:t>ProductRecordID</w:t>
            </w:r>
          </w:p>
        </w:tc>
        <w:tc>
          <w:tcPr>
            <w:tcW w:type="dxa" w:w="3331"/>
          </w:tcPr>
          <w:p>
            <w:pPr>
              <w:spacing w:before="20" w:after="20"/>
            </w:pPr>
            <w:r>
              <w:rPr>
                <w:sz w:val="16"/>
                <w:szCs w:val="16"/>
              </w:rPr>
              <w:t>Dependency</w:t>
            </w:r>
          </w:p>
        </w:tc>
        <w:tc>
          <w:tcPr>
            <w:tcW w:type="dxa" w:w="3332"/>
          </w:tcPr>
          <w:p>
            <w:pPr>
              <w:spacing w:before="20" w:after="20"/>
            </w:pPr>
            <w:r>
              <w:rPr>
                <w:sz w:val="16"/>
                <w:szCs w:val="16"/>
              </w:rPr>
              <w:t>Persistent Annex A product identity to which the completed state attaches.</w:t>
            </w:r>
          </w:p>
        </w:tc>
      </w:tr>
      <w:tr>
        <w:tc>
          <w:tcPr>
            <w:tcW w:type="dxa" w:w="3331"/>
          </w:tcPr>
          <w:p>
            <w:pPr>
              <w:spacing w:before="20" w:after="20"/>
            </w:pPr>
            <w:r>
              <w:rPr>
                <w:sz w:val="16"/>
                <w:szCs w:val="16"/>
              </w:rPr>
              <w:t>Party</w:t>
            </w:r>
          </w:p>
        </w:tc>
        <w:tc>
          <w:tcPr>
            <w:tcW w:type="dxa" w:w="3331"/>
          </w:tcPr>
          <w:p>
            <w:pPr>
              <w:spacing w:before="20" w:after="20"/>
            </w:pPr>
            <w:r>
              <w:rPr>
                <w:sz w:val="16"/>
                <w:szCs w:val="16"/>
              </w:rPr>
              <w:t>Scope</w:t>
            </w:r>
          </w:p>
        </w:tc>
        <w:tc>
          <w:tcPr>
            <w:tcW w:type="dxa" w:w="3332"/>
          </w:tcPr>
          <w:p>
            <w:pPr>
              <w:spacing w:before="20" w:after="20"/>
            </w:pPr>
            <w:r>
              <w:rPr>
                <w:sz w:val="16"/>
                <w:szCs w:val="16"/>
              </w:rPr>
              <w:t>Party whose treatment or obligation is represented.</w:t>
            </w:r>
          </w:p>
        </w:tc>
      </w:tr>
      <w:tr>
        <w:tc>
          <w:tcPr>
            <w:tcW w:type="dxa" w:w="3331"/>
          </w:tcPr>
          <w:p>
            <w:pPr>
              <w:spacing w:before="20" w:after="20"/>
            </w:pPr>
            <w:r>
              <w:rPr>
                <w:sz w:val="16"/>
                <w:szCs w:val="16"/>
              </w:rPr>
              <w:t>Counterparty</w:t>
            </w:r>
          </w:p>
        </w:tc>
        <w:tc>
          <w:tcPr>
            <w:tcW w:type="dxa" w:w="3331"/>
          </w:tcPr>
          <w:p>
            <w:pPr>
              <w:spacing w:before="20" w:after="20"/>
            </w:pPr>
            <w:r>
              <w:rPr>
                <w:sz w:val="16"/>
                <w:szCs w:val="16"/>
              </w:rPr>
              <w:t>Scope</w:t>
            </w:r>
          </w:p>
        </w:tc>
        <w:tc>
          <w:tcPr>
            <w:tcW w:type="dxa" w:w="3332"/>
          </w:tcPr>
          <w:p>
            <w:pPr>
              <w:spacing w:before="20" w:after="20"/>
            </w:pPr>
            <w:r>
              <w:rPr>
                <w:sz w:val="16"/>
                <w:szCs w:val="16"/>
              </w:rPr>
              <w:t>Counterparty for bilateral or Party-specific treatment where legally relevant.</w:t>
            </w:r>
          </w:p>
        </w:tc>
      </w:tr>
      <w:tr>
        <w:tc>
          <w:tcPr>
            <w:tcW w:type="dxa" w:w="3331"/>
          </w:tcPr>
          <w:p>
            <w:pPr>
              <w:spacing w:before="20" w:after="20"/>
            </w:pPr>
            <w:r>
              <w:rPr>
                <w:sz w:val="16"/>
                <w:szCs w:val="16"/>
              </w:rPr>
              <w:t>CompletionScope</w:t>
            </w:r>
          </w:p>
        </w:tc>
        <w:tc>
          <w:tcPr>
            <w:tcW w:type="dxa" w:w="3331"/>
          </w:tcPr>
          <w:p>
            <w:pPr>
              <w:spacing w:before="20" w:after="20"/>
            </w:pPr>
            <w:r>
              <w:rPr>
                <w:sz w:val="16"/>
                <w:szCs w:val="16"/>
              </w:rPr>
              <w:t>Scope</w:t>
            </w:r>
          </w:p>
        </w:tc>
        <w:tc>
          <w:tcPr>
            <w:tcW w:type="dxa" w:w="3332"/>
          </w:tcPr>
          <w:p>
            <w:pPr>
              <w:spacing w:before="20" w:after="20"/>
            </w:pPr>
            <w:r>
              <w:rPr>
                <w:sz w:val="16"/>
                <w:szCs w:val="16"/>
              </w:rPr>
              <w:t>Exact product, tranche, treatment, Party, and counterparty scope of completion.</w:t>
            </w:r>
          </w:p>
        </w:tc>
      </w:tr>
      <w:tr>
        <w:tc>
          <w:tcPr>
            <w:tcW w:type="dxa" w:w="3331"/>
          </w:tcPr>
          <w:p>
            <w:pPr>
              <w:spacing w:before="20" w:after="20"/>
            </w:pPr>
            <w:r>
              <w:rPr>
                <w:sz w:val="16"/>
                <w:szCs w:val="16"/>
              </w:rPr>
              <w:t>CompletionType</w:t>
            </w:r>
          </w:p>
        </w:tc>
        <w:tc>
          <w:tcPr>
            <w:tcW w:type="dxa" w:w="3331"/>
          </w:tcPr>
          <w:p>
            <w:pPr>
              <w:spacing w:before="20" w:after="20"/>
            </w:pPr>
            <w:r>
              <w:rPr>
                <w:sz w:val="16"/>
                <w:szCs w:val="16"/>
              </w:rPr>
              <w:t>Legal state</w:t>
            </w:r>
          </w:p>
        </w:tc>
        <w:tc>
          <w:tcPr>
            <w:tcW w:type="dxa" w:w="3332"/>
          </w:tcPr>
          <w:p>
            <w:pPr>
              <w:spacing w:before="20" w:after="20"/>
            </w:pPr>
            <w:r>
              <w:rPr>
                <w:sz w:val="16"/>
                <w:szCs w:val="16"/>
              </w:rPr>
              <w:t>Controlled type of completed legal state.</w:t>
            </w:r>
          </w:p>
        </w:tc>
      </w:tr>
      <w:tr>
        <w:tc>
          <w:tcPr>
            <w:tcW w:type="dxa" w:w="3331"/>
          </w:tcPr>
          <w:p>
            <w:pPr>
              <w:spacing w:before="20" w:after="20"/>
            </w:pPr>
            <w:r>
              <w:rPr>
                <w:sz w:val="16"/>
                <w:szCs w:val="16"/>
              </w:rPr>
              <w:t>CompletionConditionReference</w:t>
            </w:r>
          </w:p>
        </w:tc>
        <w:tc>
          <w:tcPr>
            <w:tcW w:type="dxa" w:w="3331"/>
          </w:tcPr>
          <w:p>
            <w:pPr>
              <w:spacing w:before="20" w:after="20"/>
            </w:pPr>
            <w:r>
              <w:rPr>
                <w:sz w:val="16"/>
                <w:szCs w:val="16"/>
              </w:rPr>
              <w:t>Legal source</w:t>
            </w:r>
          </w:p>
        </w:tc>
        <w:tc>
          <w:tcPr>
            <w:tcW w:type="dxa" w:w="3332"/>
          </w:tcPr>
          <w:p>
            <w:pPr>
              <w:spacing w:before="20" w:after="20"/>
            </w:pPr>
            <w:r>
              <w:rPr>
                <w:sz w:val="16"/>
                <w:szCs w:val="16"/>
              </w:rPr>
              <w:t>Reference to the condition whose satisfaction establishes completion.</w:t>
            </w:r>
          </w:p>
        </w:tc>
      </w:tr>
      <w:tr>
        <w:tc>
          <w:tcPr>
            <w:tcW w:type="dxa" w:w="3331"/>
          </w:tcPr>
          <w:p>
            <w:pPr>
              <w:spacing w:before="20" w:after="20"/>
            </w:pPr>
            <w:r>
              <w:rPr>
                <w:sz w:val="16"/>
                <w:szCs w:val="16"/>
              </w:rPr>
              <w:t>CompletionLegalBasis</w:t>
            </w:r>
          </w:p>
        </w:tc>
        <w:tc>
          <w:tcPr>
            <w:tcW w:type="dxa" w:w="3331"/>
          </w:tcPr>
          <w:p>
            <w:pPr>
              <w:spacing w:before="20" w:after="20"/>
            </w:pPr>
            <w:r>
              <w:rPr>
                <w:sz w:val="16"/>
                <w:szCs w:val="16"/>
              </w:rPr>
              <w:t>Legal source</w:t>
            </w:r>
          </w:p>
        </w:tc>
        <w:tc>
          <w:tcPr>
            <w:tcW w:type="dxa" w:w="3332"/>
          </w:tcPr>
          <w:p>
            <w:pPr>
              <w:spacing w:before="20" w:after="20"/>
            </w:pPr>
            <w:r>
              <w:rPr>
                <w:sz w:val="16"/>
                <w:szCs w:val="16"/>
              </w:rPr>
              <w:t>Controlling operative Compact provision or authorized legal source.</w:t>
            </w:r>
          </w:p>
        </w:tc>
      </w:tr>
      <w:tr>
        <w:tc>
          <w:tcPr>
            <w:tcW w:type="dxa" w:w="3331"/>
          </w:tcPr>
          <w:p>
            <w:pPr>
              <w:spacing w:before="20" w:after="20"/>
            </w:pPr>
            <w:r>
              <w:rPr>
                <w:sz w:val="16"/>
                <w:szCs w:val="16"/>
              </w:rPr>
              <w:t>SourceAuthority</w:t>
            </w:r>
          </w:p>
        </w:tc>
        <w:tc>
          <w:tcPr>
            <w:tcW w:type="dxa" w:w="3331"/>
          </w:tcPr>
          <w:p>
            <w:pPr>
              <w:spacing w:before="20" w:after="20"/>
            </w:pPr>
            <w:r>
              <w:rPr>
                <w:sz w:val="16"/>
                <w:szCs w:val="16"/>
              </w:rPr>
              <w:t>Provenance</w:t>
            </w:r>
          </w:p>
        </w:tc>
        <w:tc>
          <w:tcPr>
            <w:tcW w:type="dxa" w:w="3332"/>
          </w:tcPr>
          <w:p>
            <w:pPr>
              <w:spacing w:before="20" w:after="20"/>
            </w:pPr>
            <w:r>
              <w:rPr>
                <w:sz w:val="16"/>
                <w:szCs w:val="16"/>
              </w:rPr>
              <w:t>Authority responsible for the controlling source.</w:t>
            </w:r>
          </w:p>
        </w:tc>
      </w:tr>
      <w:tr>
        <w:tc>
          <w:tcPr>
            <w:tcW w:type="dxa" w:w="3331"/>
          </w:tcPr>
          <w:p>
            <w:pPr>
              <w:spacing w:before="20" w:after="20"/>
            </w:pPr>
            <w:r>
              <w:rPr>
                <w:sz w:val="16"/>
                <w:szCs w:val="16"/>
              </w:rPr>
              <w:t>SourceDate</w:t>
            </w:r>
          </w:p>
        </w:tc>
        <w:tc>
          <w:tcPr>
            <w:tcW w:type="dxa" w:w="3331"/>
          </w:tcPr>
          <w:p>
            <w:pPr>
              <w:spacing w:before="20" w:after="20"/>
            </w:pPr>
            <w:r>
              <w:rPr>
                <w:sz w:val="16"/>
                <w:szCs w:val="16"/>
              </w:rPr>
              <w:t>Provenance</w:t>
            </w:r>
          </w:p>
        </w:tc>
        <w:tc>
          <w:tcPr>
            <w:tcW w:type="dxa" w:w="3332"/>
          </w:tcPr>
          <w:p>
            <w:pPr>
              <w:spacing w:before="20" w:after="20"/>
            </w:pPr>
            <w:r>
              <w:rPr>
                <w:sz w:val="16"/>
                <w:szCs w:val="16"/>
              </w:rPr>
              <w:t>Date associated with the controlling source version.</w:t>
            </w:r>
          </w:p>
        </w:tc>
      </w:tr>
      <w:tr>
        <w:tc>
          <w:tcPr>
            <w:tcW w:type="dxa" w:w="3331"/>
          </w:tcPr>
          <w:p>
            <w:pPr>
              <w:spacing w:before="20" w:after="20"/>
            </w:pPr>
            <w:r>
              <w:rPr>
                <w:sz w:val="16"/>
                <w:szCs w:val="16"/>
              </w:rPr>
              <w:t>CompletionEventDate</w:t>
            </w:r>
          </w:p>
        </w:tc>
        <w:tc>
          <w:tcPr>
            <w:tcW w:type="dxa" w:w="3331"/>
          </w:tcPr>
          <w:p>
            <w:pPr>
              <w:spacing w:before="20" w:after="20"/>
            </w:pPr>
            <w:r>
              <w:rPr>
                <w:sz w:val="16"/>
                <w:szCs w:val="16"/>
              </w:rPr>
              <w:t>Time</w:t>
            </w:r>
          </w:p>
        </w:tc>
        <w:tc>
          <w:tcPr>
            <w:tcW w:type="dxa" w:w="3332"/>
          </w:tcPr>
          <w:p>
            <w:pPr>
              <w:spacing w:before="20" w:after="20"/>
            </w:pPr>
            <w:r>
              <w:rPr>
                <w:sz w:val="16"/>
                <w:szCs w:val="16"/>
              </w:rPr>
              <w:t>Date on which the legally relevant completion event occurred.</w:t>
            </w:r>
          </w:p>
        </w:tc>
      </w:tr>
      <w:tr>
        <w:tc>
          <w:tcPr>
            <w:tcW w:type="dxa" w:w="3331"/>
          </w:tcPr>
          <w:p>
            <w:pPr>
              <w:spacing w:before="20" w:after="20"/>
            </w:pPr>
            <w:r>
              <w:rPr>
                <w:sz w:val="16"/>
                <w:szCs w:val="16"/>
              </w:rPr>
              <w:t>LegalEffectiveDate</w:t>
            </w:r>
          </w:p>
        </w:tc>
        <w:tc>
          <w:tcPr>
            <w:tcW w:type="dxa" w:w="3331"/>
          </w:tcPr>
          <w:p>
            <w:pPr>
              <w:spacing w:before="20" w:after="20"/>
            </w:pPr>
            <w:r>
              <w:rPr>
                <w:sz w:val="16"/>
                <w:szCs w:val="16"/>
              </w:rPr>
              <w:t>Time</w:t>
            </w:r>
          </w:p>
        </w:tc>
        <w:tc>
          <w:tcPr>
            <w:tcW w:type="dxa" w:w="3332"/>
          </w:tcPr>
          <w:p>
            <w:pPr>
              <w:spacing w:before="20" w:after="20"/>
            </w:pPr>
            <w:r>
              <w:rPr>
                <w:sz w:val="16"/>
                <w:szCs w:val="16"/>
              </w:rPr>
              <w:t>Instant from which the completed legal state has effect.</w:t>
            </w:r>
          </w:p>
        </w:tc>
      </w:tr>
      <w:tr>
        <w:tc>
          <w:tcPr>
            <w:tcW w:type="dxa" w:w="3331"/>
          </w:tcPr>
          <w:p>
            <w:pPr>
              <w:spacing w:before="20" w:after="20"/>
            </w:pPr>
            <w:r>
              <w:rPr>
                <w:sz w:val="16"/>
                <w:szCs w:val="16"/>
              </w:rPr>
              <w:t>AdministrativeRecordingDate</w:t>
            </w:r>
          </w:p>
        </w:tc>
        <w:tc>
          <w:tcPr>
            <w:tcW w:type="dxa" w:w="3331"/>
          </w:tcPr>
          <w:p>
            <w:pPr>
              <w:spacing w:before="20" w:after="20"/>
            </w:pPr>
            <w:r>
              <w:rPr>
                <w:sz w:val="16"/>
                <w:szCs w:val="16"/>
              </w:rPr>
              <w:t>Time</w:t>
            </w:r>
          </w:p>
        </w:tc>
        <w:tc>
          <w:tcPr>
            <w:tcW w:type="dxa" w:w="3332"/>
          </w:tcPr>
          <w:p>
            <w:pPr>
              <w:spacing w:before="20" w:after="20"/>
            </w:pPr>
            <w:r>
              <w:rPr>
                <w:sz w:val="16"/>
                <w:szCs w:val="16"/>
              </w:rPr>
              <w:t>Date on which Annex F recorded the pre-existing or contemporaneous state.</w:t>
            </w:r>
          </w:p>
        </w:tc>
      </w:tr>
      <w:tr>
        <w:tc>
          <w:tcPr>
            <w:tcW w:type="dxa" w:w="3331"/>
          </w:tcPr>
          <w:p>
            <w:pPr>
              <w:spacing w:before="20" w:after="20"/>
            </w:pPr>
            <w:r>
              <w:rPr>
                <w:sz w:val="16"/>
                <w:szCs w:val="16"/>
              </w:rPr>
              <w:t>OriginalCommencementDate</w:t>
            </w:r>
          </w:p>
        </w:tc>
        <w:tc>
          <w:tcPr>
            <w:tcW w:type="dxa" w:w="3331"/>
          </w:tcPr>
          <w:p>
            <w:pPr>
              <w:spacing w:before="20" w:after="20"/>
            </w:pPr>
            <w:r>
              <w:rPr>
                <w:sz w:val="16"/>
                <w:szCs w:val="16"/>
              </w:rPr>
              <w:t>Time</w:t>
            </w:r>
          </w:p>
        </w:tc>
        <w:tc>
          <w:tcPr>
            <w:tcW w:type="dxa" w:w="3332"/>
          </w:tcPr>
          <w:p>
            <w:pPr>
              <w:spacing w:before="20" w:after="20"/>
            </w:pPr>
            <w:r>
              <w:rPr>
                <w:sz w:val="16"/>
                <w:szCs w:val="16"/>
              </w:rPr>
              <w:t>Original commencement date inherited from the controlling transition where relevant.</w:t>
            </w:r>
          </w:p>
        </w:tc>
      </w:tr>
      <w:tr>
        <w:tc>
          <w:tcPr>
            <w:tcW w:type="dxa" w:w="3331"/>
          </w:tcPr>
          <w:p>
            <w:pPr>
              <w:spacing w:before="20" w:after="20"/>
            </w:pPr>
            <w:r>
              <w:rPr>
                <w:sz w:val="16"/>
                <w:szCs w:val="16"/>
              </w:rPr>
              <w:t>TariffScheduleRecordID</w:t>
            </w:r>
          </w:p>
        </w:tc>
        <w:tc>
          <w:tcPr>
            <w:tcW w:type="dxa" w:w="3331"/>
          </w:tcPr>
          <w:p>
            <w:pPr>
              <w:spacing w:before="20" w:after="20"/>
            </w:pPr>
            <w:r>
              <w:rPr>
                <w:sz w:val="16"/>
                <w:szCs w:val="16"/>
              </w:rPr>
              <w:t>Dependency</w:t>
            </w:r>
          </w:p>
        </w:tc>
        <w:tc>
          <w:tcPr>
            <w:tcW w:type="dxa" w:w="3332"/>
          </w:tcPr>
          <w:p>
            <w:pPr>
              <w:spacing w:before="20" w:after="20"/>
            </w:pPr>
            <w:r>
              <w:rPr>
                <w:sz w:val="16"/>
                <w:szCs w:val="16"/>
              </w:rPr>
              <w:t>Applicable Annex B tariff-state record.</w:t>
            </w:r>
          </w:p>
        </w:tc>
      </w:tr>
      <w:tr>
        <w:tc>
          <w:tcPr>
            <w:tcW w:type="dxa" w:w="3331"/>
          </w:tcPr>
          <w:p>
            <w:pPr>
              <w:spacing w:before="20" w:after="20"/>
            </w:pPr>
            <w:r>
              <w:rPr>
                <w:sz w:val="16"/>
                <w:szCs w:val="16"/>
              </w:rPr>
              <w:t>SensitiveTransitionRecordID</w:t>
            </w:r>
          </w:p>
        </w:tc>
        <w:tc>
          <w:tcPr>
            <w:tcW w:type="dxa" w:w="3331"/>
          </w:tcPr>
          <w:p>
            <w:pPr>
              <w:spacing w:before="20" w:after="20"/>
            </w:pPr>
            <w:r>
              <w:rPr>
                <w:sz w:val="16"/>
                <w:szCs w:val="16"/>
              </w:rPr>
              <w:t>Dependency</w:t>
            </w:r>
          </w:p>
        </w:tc>
        <w:tc>
          <w:tcPr>
            <w:tcW w:type="dxa" w:w="3332"/>
          </w:tcPr>
          <w:p>
            <w:pPr>
              <w:spacing w:before="20" w:after="20"/>
            </w:pPr>
            <w:r>
              <w:rPr>
                <w:sz w:val="16"/>
                <w:szCs w:val="16"/>
              </w:rPr>
              <w:t>Applicable Annex C sensitive-sector transition record.</w:t>
            </w:r>
          </w:p>
        </w:tc>
      </w:tr>
      <w:tr>
        <w:tc>
          <w:tcPr>
            <w:tcW w:type="dxa" w:w="3331"/>
          </w:tcPr>
          <w:p>
            <w:pPr>
              <w:spacing w:before="20" w:after="20"/>
            </w:pPr>
            <w:r>
              <w:rPr>
                <w:sz w:val="16"/>
                <w:szCs w:val="16"/>
              </w:rPr>
              <w:t>ManagedAccessRecordID</w:t>
            </w:r>
          </w:p>
        </w:tc>
        <w:tc>
          <w:tcPr>
            <w:tcW w:type="dxa" w:w="3331"/>
          </w:tcPr>
          <w:p>
            <w:pPr>
              <w:spacing w:before="20" w:after="20"/>
            </w:pPr>
            <w:r>
              <w:rPr>
                <w:sz w:val="16"/>
                <w:szCs w:val="16"/>
              </w:rPr>
              <w:t>Dependency</w:t>
            </w:r>
          </w:p>
        </w:tc>
        <w:tc>
          <w:tcPr>
            <w:tcW w:type="dxa" w:w="3332"/>
          </w:tcPr>
          <w:p>
            <w:pPr>
              <w:spacing w:before="20" w:after="20"/>
            </w:pPr>
            <w:r>
              <w:rPr>
                <w:sz w:val="16"/>
                <w:szCs w:val="16"/>
              </w:rPr>
              <w:t>Applicable Annex D managed-access record.</w:t>
            </w:r>
          </w:p>
        </w:tc>
      </w:tr>
      <w:tr>
        <w:tc>
          <w:tcPr>
            <w:tcW w:type="dxa" w:w="3331"/>
          </w:tcPr>
          <w:p>
            <w:pPr>
              <w:spacing w:before="20" w:after="20"/>
            </w:pPr>
            <w:r>
              <w:rPr>
                <w:sz w:val="16"/>
                <w:szCs w:val="16"/>
              </w:rPr>
              <w:t>SynchronizationRecordID</w:t>
            </w:r>
          </w:p>
        </w:tc>
        <w:tc>
          <w:tcPr>
            <w:tcW w:type="dxa" w:w="3331"/>
          </w:tcPr>
          <w:p>
            <w:pPr>
              <w:spacing w:before="20" w:after="20"/>
            </w:pPr>
            <w:r>
              <w:rPr>
                <w:sz w:val="16"/>
                <w:szCs w:val="16"/>
              </w:rPr>
              <w:t>Dependency</w:t>
            </w:r>
          </w:p>
        </w:tc>
        <w:tc>
          <w:tcPr>
            <w:tcW w:type="dxa" w:w="3332"/>
          </w:tcPr>
          <w:p>
            <w:pPr>
              <w:spacing w:before="20" w:after="20"/>
            </w:pPr>
            <w:r>
              <w:rPr>
                <w:sz w:val="16"/>
                <w:szCs w:val="16"/>
              </w:rPr>
              <w:t>Applicable Annex E synchronization record.</w:t>
            </w:r>
          </w:p>
        </w:tc>
      </w:tr>
      <w:tr>
        <w:tc>
          <w:tcPr>
            <w:tcW w:type="dxa" w:w="3331"/>
          </w:tcPr>
          <w:p>
            <w:pPr>
              <w:spacing w:before="20" w:after="20"/>
            </w:pPr>
            <w:r>
              <w:rPr>
                <w:sz w:val="16"/>
                <w:szCs w:val="16"/>
              </w:rPr>
              <w:t>MilestoneRecordID</w:t>
            </w:r>
          </w:p>
        </w:tc>
        <w:tc>
          <w:tcPr>
            <w:tcW w:type="dxa" w:w="3331"/>
          </w:tcPr>
          <w:p>
            <w:pPr>
              <w:spacing w:before="20" w:after="20"/>
            </w:pPr>
            <w:r>
              <w:rPr>
                <w:sz w:val="16"/>
                <w:szCs w:val="16"/>
              </w:rPr>
              <w:t>Dependency</w:t>
            </w:r>
          </w:p>
        </w:tc>
        <w:tc>
          <w:tcPr>
            <w:tcW w:type="dxa" w:w="3332"/>
          </w:tcPr>
          <w:p>
            <w:pPr>
              <w:spacing w:before="20" w:after="20"/>
            </w:pPr>
            <w:r>
              <w:rPr>
                <w:sz w:val="16"/>
                <w:szCs w:val="16"/>
              </w:rPr>
              <w:t>Applicable Annex E milestone record where completion depends on it.</w:t>
            </w:r>
          </w:p>
        </w:tc>
      </w:tr>
      <w:tr>
        <w:tc>
          <w:tcPr>
            <w:tcW w:type="dxa" w:w="3331"/>
          </w:tcPr>
          <w:p>
            <w:pPr>
              <w:spacing w:before="20" w:after="20"/>
            </w:pPr>
            <w:r>
              <w:rPr>
                <w:sz w:val="16"/>
                <w:szCs w:val="16"/>
              </w:rPr>
              <w:t>ActivationRecordID</w:t>
            </w:r>
          </w:p>
        </w:tc>
        <w:tc>
          <w:tcPr>
            <w:tcW w:type="dxa" w:w="3331"/>
          </w:tcPr>
          <w:p>
            <w:pPr>
              <w:spacing w:before="20" w:after="20"/>
            </w:pPr>
            <w:r>
              <w:rPr>
                <w:sz w:val="16"/>
                <w:szCs w:val="16"/>
              </w:rPr>
              <w:t>Dependency</w:t>
            </w:r>
          </w:p>
        </w:tc>
        <w:tc>
          <w:tcPr>
            <w:tcW w:type="dxa" w:w="3332"/>
          </w:tcPr>
          <w:p>
            <w:pPr>
              <w:spacing w:before="20" w:after="20"/>
            </w:pPr>
            <w:r>
              <w:rPr>
                <w:sz w:val="16"/>
                <w:szCs w:val="16"/>
              </w:rPr>
              <w:t>Applicable Annex E activation record.</w:t>
            </w:r>
          </w:p>
        </w:tc>
      </w:tr>
      <w:tr>
        <w:tc>
          <w:tcPr>
            <w:tcW w:type="dxa" w:w="3331"/>
          </w:tcPr>
          <w:p>
            <w:pPr>
              <w:spacing w:before="20" w:after="20"/>
            </w:pPr>
            <w:r>
              <w:rPr>
                <w:sz w:val="16"/>
                <w:szCs w:val="16"/>
              </w:rPr>
              <w:t>OriginRuleReference</w:t>
            </w:r>
          </w:p>
        </w:tc>
        <w:tc>
          <w:tcPr>
            <w:tcW w:type="dxa" w:w="3331"/>
          </w:tcPr>
          <w:p>
            <w:pPr>
              <w:spacing w:before="20" w:after="20"/>
            </w:pPr>
            <w:r>
              <w:rPr>
                <w:sz w:val="16"/>
                <w:szCs w:val="16"/>
              </w:rPr>
              <w:t>Dependency</w:t>
            </w:r>
          </w:p>
        </w:tc>
        <w:tc>
          <w:tcPr>
            <w:tcW w:type="dxa" w:w="3332"/>
          </w:tcPr>
          <w:p>
            <w:pPr>
              <w:spacing w:before="20" w:after="20"/>
            </w:pPr>
            <w:r>
              <w:rPr>
                <w:sz w:val="16"/>
                <w:szCs w:val="16"/>
              </w:rPr>
              <w:t>Applicable Annex G origin-rule reference where originating treatment is required.</w:t>
            </w:r>
          </w:p>
        </w:tc>
      </w:tr>
      <w:tr>
        <w:tc>
          <w:tcPr>
            <w:tcW w:type="dxa" w:w="3331"/>
          </w:tcPr>
          <w:p>
            <w:pPr>
              <w:spacing w:before="20" w:after="20"/>
            </w:pPr>
            <w:r>
              <w:rPr>
                <w:sz w:val="16"/>
                <w:szCs w:val="16"/>
              </w:rPr>
              <w:t>CompletionConditionStatus</w:t>
            </w:r>
          </w:p>
        </w:tc>
        <w:tc>
          <w:tcPr>
            <w:tcW w:type="dxa" w:w="3331"/>
          </w:tcPr>
          <w:p>
            <w:pPr>
              <w:spacing w:before="20" w:after="20"/>
            </w:pPr>
            <w:r>
              <w:rPr>
                <w:sz w:val="16"/>
                <w:szCs w:val="16"/>
              </w:rPr>
              <w:t>State axis</w:t>
            </w:r>
          </w:p>
        </w:tc>
        <w:tc>
          <w:tcPr>
            <w:tcW w:type="dxa" w:w="3332"/>
          </w:tcPr>
          <w:p>
            <w:pPr>
              <w:spacing w:before="20" w:after="20"/>
            </w:pPr>
            <w:r>
              <w:rPr>
                <w:sz w:val="16"/>
                <w:szCs w:val="16"/>
              </w:rPr>
              <w:t>Status of the completion condition independent from legal completion.</w:t>
            </w:r>
          </w:p>
        </w:tc>
      </w:tr>
      <w:tr>
        <w:tc>
          <w:tcPr>
            <w:tcW w:type="dxa" w:w="3331"/>
          </w:tcPr>
          <w:p>
            <w:pPr>
              <w:spacing w:before="20" w:after="20"/>
            </w:pPr>
            <w:r>
              <w:rPr>
                <w:sz w:val="16"/>
                <w:szCs w:val="16"/>
              </w:rPr>
              <w:t>CompletionLegalStatus</w:t>
            </w:r>
          </w:p>
        </w:tc>
        <w:tc>
          <w:tcPr>
            <w:tcW w:type="dxa" w:w="3331"/>
          </w:tcPr>
          <w:p>
            <w:pPr>
              <w:spacing w:before="20" w:after="20"/>
            </w:pPr>
            <w:r>
              <w:rPr>
                <w:sz w:val="16"/>
                <w:szCs w:val="16"/>
              </w:rPr>
              <w:t>State axis</w:t>
            </w:r>
          </w:p>
        </w:tc>
        <w:tc>
          <w:tcPr>
            <w:tcW w:type="dxa" w:w="3332"/>
          </w:tcPr>
          <w:p>
            <w:pPr>
              <w:spacing w:before="20" w:after="20"/>
            </w:pPr>
            <w:r>
              <w:rPr>
                <w:sz w:val="16"/>
                <w:szCs w:val="16"/>
              </w:rPr>
              <w:t>Closed legal status: Not Yet Eligible, Partially Completed, Completed, or Superseded by Successor Record.</w:t>
            </w:r>
          </w:p>
        </w:tc>
      </w:tr>
      <w:tr>
        <w:tc>
          <w:tcPr>
            <w:tcW w:type="dxa" w:w="3331"/>
          </w:tcPr>
          <w:p>
            <w:pPr>
              <w:spacing w:before="20" w:after="20"/>
            </w:pPr>
            <w:r>
              <w:rPr>
                <w:sz w:val="16"/>
                <w:szCs w:val="16"/>
              </w:rPr>
              <w:t>VestingStatus</w:t>
            </w:r>
          </w:p>
        </w:tc>
        <w:tc>
          <w:tcPr>
            <w:tcW w:type="dxa" w:w="3331"/>
          </w:tcPr>
          <w:p>
            <w:pPr>
              <w:spacing w:before="20" w:after="20"/>
            </w:pPr>
            <w:r>
              <w:rPr>
                <w:sz w:val="16"/>
                <w:szCs w:val="16"/>
              </w:rPr>
              <w:t>State axis</w:t>
            </w:r>
          </w:p>
        </w:tc>
        <w:tc>
          <w:tcPr>
            <w:tcW w:type="dxa" w:w="3332"/>
          </w:tcPr>
          <w:p>
            <w:pPr>
              <w:spacing w:before="20" w:after="20"/>
            </w:pPr>
            <w:r>
              <w:rPr>
                <w:sz w:val="16"/>
                <w:szCs w:val="16"/>
              </w:rPr>
              <w:t>Independent status of vested market-access treatment.</w:t>
            </w:r>
          </w:p>
        </w:tc>
      </w:tr>
      <w:tr>
        <w:tc>
          <w:tcPr>
            <w:tcW w:type="dxa" w:w="3331"/>
          </w:tcPr>
          <w:p>
            <w:pPr>
              <w:spacing w:before="20" w:after="20"/>
            </w:pPr>
            <w:r>
              <w:rPr>
                <w:sz w:val="16"/>
                <w:szCs w:val="16"/>
              </w:rPr>
              <w:t>VestingEffectiveDate</w:t>
            </w:r>
          </w:p>
        </w:tc>
        <w:tc>
          <w:tcPr>
            <w:tcW w:type="dxa" w:w="3331"/>
          </w:tcPr>
          <w:p>
            <w:pPr>
              <w:spacing w:before="20" w:after="20"/>
            </w:pPr>
            <w:r>
              <w:rPr>
                <w:sz w:val="16"/>
                <w:szCs w:val="16"/>
              </w:rPr>
              <w:t>Time</w:t>
            </w:r>
          </w:p>
        </w:tc>
        <w:tc>
          <w:tcPr>
            <w:tcW w:type="dxa" w:w="3332"/>
          </w:tcPr>
          <w:p>
            <w:pPr>
              <w:spacing w:before="20" w:after="20"/>
            </w:pPr>
            <w:r>
              <w:rPr>
                <w:sz w:val="16"/>
                <w:szCs w:val="16"/>
              </w:rPr>
              <w:t>Legal effective date of the vested state where applicable.</w:t>
            </w:r>
          </w:p>
        </w:tc>
      </w:tr>
      <w:tr>
        <w:tc>
          <w:tcPr>
            <w:tcW w:type="dxa" w:w="3331"/>
          </w:tcPr>
          <w:p>
            <w:pPr>
              <w:spacing w:before="20" w:after="20"/>
            </w:pPr>
            <w:r>
              <w:rPr>
                <w:sz w:val="16"/>
                <w:szCs w:val="16"/>
              </w:rPr>
              <w:t>ZeroLineStatus</w:t>
            </w:r>
          </w:p>
        </w:tc>
        <w:tc>
          <w:tcPr>
            <w:tcW w:type="dxa" w:w="3331"/>
          </w:tcPr>
          <w:p>
            <w:pPr>
              <w:spacing w:before="20" w:after="20"/>
            </w:pPr>
            <w:r>
              <w:rPr>
                <w:sz w:val="16"/>
                <w:szCs w:val="16"/>
              </w:rPr>
              <w:t>State axis</w:t>
            </w:r>
          </w:p>
        </w:tc>
        <w:tc>
          <w:tcPr>
            <w:tcW w:type="dxa" w:w="3332"/>
          </w:tcPr>
          <w:p>
            <w:pPr>
              <w:spacing w:before="20" w:after="20"/>
            </w:pPr>
            <w:r>
              <w:rPr>
                <w:sz w:val="16"/>
                <w:szCs w:val="16"/>
              </w:rPr>
              <w:t>Independent status of Chapter 9 completed zero ordinary customs-duty treatment.</w:t>
            </w:r>
          </w:p>
        </w:tc>
      </w:tr>
      <w:tr>
        <w:tc>
          <w:tcPr>
            <w:tcW w:type="dxa" w:w="3331"/>
          </w:tcPr>
          <w:p>
            <w:pPr>
              <w:spacing w:before="20" w:after="20"/>
            </w:pPr>
            <w:r>
              <w:rPr>
                <w:sz w:val="16"/>
                <w:szCs w:val="16"/>
              </w:rPr>
              <w:t>ZeroLineEffectiveDate</w:t>
            </w:r>
          </w:p>
        </w:tc>
        <w:tc>
          <w:tcPr>
            <w:tcW w:type="dxa" w:w="3331"/>
          </w:tcPr>
          <w:p>
            <w:pPr>
              <w:spacing w:before="20" w:after="20"/>
            </w:pPr>
            <w:r>
              <w:rPr>
                <w:sz w:val="16"/>
                <w:szCs w:val="16"/>
              </w:rPr>
              <w:t>Time</w:t>
            </w:r>
          </w:p>
        </w:tc>
        <w:tc>
          <w:tcPr>
            <w:tcW w:type="dxa" w:w="3332"/>
          </w:tcPr>
          <w:p>
            <w:pPr>
              <w:spacing w:before="20" w:after="20"/>
            </w:pPr>
            <w:r>
              <w:rPr>
                <w:sz w:val="16"/>
                <w:szCs w:val="16"/>
              </w:rPr>
              <w:t>Legal effective date of Zero-Line Status.</w:t>
            </w:r>
          </w:p>
        </w:tc>
      </w:tr>
      <w:tr>
        <w:tc>
          <w:tcPr>
            <w:tcW w:type="dxa" w:w="3331"/>
          </w:tcPr>
          <w:p>
            <w:pPr>
              <w:spacing w:before="20" w:after="20"/>
            </w:pPr>
            <w:r>
              <w:rPr>
                <w:sz w:val="16"/>
                <w:szCs w:val="16"/>
              </w:rPr>
              <w:t>RouteToZero</w:t>
            </w:r>
          </w:p>
        </w:tc>
        <w:tc>
          <w:tcPr>
            <w:tcW w:type="dxa" w:w="3331"/>
          </w:tcPr>
          <w:p>
            <w:pPr>
              <w:spacing w:before="20" w:after="20"/>
            </w:pPr>
            <w:r>
              <w:rPr>
                <w:sz w:val="16"/>
                <w:szCs w:val="16"/>
              </w:rPr>
              <w:t>Legal ancestry</w:t>
            </w:r>
          </w:p>
        </w:tc>
        <w:tc>
          <w:tcPr>
            <w:tcW w:type="dxa" w:w="3332"/>
          </w:tcPr>
          <w:p>
            <w:pPr>
              <w:spacing w:before="20" w:after="20"/>
            </w:pPr>
            <w:r>
              <w:rPr>
                <w:sz w:val="16"/>
                <w:szCs w:val="16"/>
              </w:rPr>
              <w:t>Controlled route by which zero treatment became a completed state.</w:t>
            </w:r>
          </w:p>
        </w:tc>
      </w:tr>
      <w:tr>
        <w:tc>
          <w:tcPr>
            <w:tcW w:type="dxa" w:w="3331"/>
          </w:tcPr>
          <w:p>
            <w:pPr>
              <w:spacing w:before="20" w:after="20"/>
            </w:pPr>
            <w:r>
              <w:rPr>
                <w:sz w:val="16"/>
                <w:szCs w:val="16"/>
              </w:rPr>
              <w:t>ManagedAccessCompletionStatus</w:t>
            </w:r>
          </w:p>
        </w:tc>
        <w:tc>
          <w:tcPr>
            <w:tcW w:type="dxa" w:w="3331"/>
          </w:tcPr>
          <w:p>
            <w:pPr>
              <w:spacing w:before="20" w:after="20"/>
            </w:pPr>
            <w:r>
              <w:rPr>
                <w:sz w:val="16"/>
                <w:szCs w:val="16"/>
              </w:rPr>
              <w:t>State axis</w:t>
            </w:r>
          </w:p>
        </w:tc>
        <w:tc>
          <w:tcPr>
            <w:tcW w:type="dxa" w:w="3332"/>
          </w:tcPr>
          <w:p>
            <w:pPr>
              <w:spacing w:before="20" w:after="20"/>
            </w:pPr>
            <w:r>
              <w:rPr>
                <w:sz w:val="16"/>
                <w:szCs w:val="16"/>
              </w:rPr>
              <w:t>Independent status of managed-access displacement completion.</w:t>
            </w:r>
          </w:p>
        </w:tc>
      </w:tr>
      <w:tr>
        <w:tc>
          <w:tcPr>
            <w:tcW w:type="dxa" w:w="3331"/>
          </w:tcPr>
          <w:p>
            <w:pPr>
              <w:spacing w:before="20" w:after="20"/>
            </w:pPr>
            <w:r>
              <w:rPr>
                <w:sz w:val="16"/>
                <w:szCs w:val="16"/>
              </w:rPr>
              <w:t>ResidualManagedAccessField</w:t>
            </w:r>
          </w:p>
        </w:tc>
        <w:tc>
          <w:tcPr>
            <w:tcW w:type="dxa" w:w="3331"/>
          </w:tcPr>
          <w:p>
            <w:pPr>
              <w:spacing w:before="20" w:after="20"/>
            </w:pPr>
            <w:r>
              <w:rPr>
                <w:sz w:val="16"/>
                <w:szCs w:val="16"/>
              </w:rPr>
              <w:t>Measure</w:t>
            </w:r>
          </w:p>
        </w:tc>
        <w:tc>
          <w:tcPr>
            <w:tcW w:type="dxa" w:w="3332"/>
          </w:tcPr>
          <w:p>
            <w:pPr>
              <w:spacing w:before="20" w:after="20"/>
            </w:pPr>
            <w:r>
              <w:rPr>
                <w:sz w:val="16"/>
                <w:szCs w:val="16"/>
              </w:rPr>
              <w:t>Residual Managed-Access Field supplied by the controlling Annex D record.</w:t>
            </w:r>
          </w:p>
        </w:tc>
      </w:tr>
      <w:tr>
        <w:tc>
          <w:tcPr>
            <w:tcW w:type="dxa" w:w="3331"/>
          </w:tcPr>
          <w:p>
            <w:pPr>
              <w:spacing w:before="20" w:after="20"/>
            </w:pPr>
            <w:r>
              <w:rPr>
                <w:sz w:val="16"/>
                <w:szCs w:val="16"/>
              </w:rPr>
              <w:t>CumulativeVestedAmount</w:t>
            </w:r>
          </w:p>
        </w:tc>
        <w:tc>
          <w:tcPr>
            <w:tcW w:type="dxa" w:w="3331"/>
          </w:tcPr>
          <w:p>
            <w:pPr>
              <w:spacing w:before="20" w:after="20"/>
            </w:pPr>
            <w:r>
              <w:rPr>
                <w:sz w:val="16"/>
                <w:szCs w:val="16"/>
              </w:rPr>
              <w:t>Measure</w:t>
            </w:r>
          </w:p>
        </w:tc>
        <w:tc>
          <w:tcPr>
            <w:tcW w:type="dxa" w:w="3332"/>
          </w:tcPr>
          <w:p>
            <w:pPr>
              <w:spacing w:before="20" w:after="20"/>
            </w:pPr>
            <w:r>
              <w:rPr>
                <w:sz w:val="16"/>
                <w:szCs w:val="16"/>
              </w:rPr>
              <w:t>Cumulative vested amount supplied by the controlling Annex D record where applicable.</w:t>
            </w:r>
          </w:p>
        </w:tc>
      </w:tr>
      <w:tr>
        <w:tc>
          <w:tcPr>
            <w:tcW w:type="dxa" w:w="3331"/>
          </w:tcPr>
          <w:p>
            <w:pPr>
              <w:spacing w:before="20" w:after="20"/>
            </w:pPr>
            <w:r>
              <w:rPr>
                <w:sz w:val="16"/>
                <w:szCs w:val="16"/>
              </w:rPr>
              <w:t>CompletedTreatmentReference</w:t>
            </w:r>
          </w:p>
        </w:tc>
        <w:tc>
          <w:tcPr>
            <w:tcW w:type="dxa" w:w="3331"/>
          </w:tcPr>
          <w:p>
            <w:pPr>
              <w:spacing w:before="20" w:after="20"/>
            </w:pPr>
            <w:r>
              <w:rPr>
                <w:sz w:val="16"/>
                <w:szCs w:val="16"/>
              </w:rPr>
              <w:t>Legal state</w:t>
            </w:r>
          </w:p>
        </w:tc>
        <w:tc>
          <w:tcPr>
            <w:tcW w:type="dxa" w:w="3332"/>
          </w:tcPr>
          <w:p>
            <w:pPr>
              <w:spacing w:before="20" w:after="20"/>
            </w:pPr>
            <w:r>
              <w:rPr>
                <w:sz w:val="16"/>
                <w:szCs w:val="16"/>
              </w:rPr>
              <w:t>Reference describing the durable treatment produced by completion.</w:t>
            </w:r>
          </w:p>
        </w:tc>
      </w:tr>
      <w:tr>
        <w:tc>
          <w:tcPr>
            <w:tcW w:type="dxa" w:w="3331"/>
          </w:tcPr>
          <w:p>
            <w:pPr>
              <w:spacing w:before="20" w:after="20"/>
            </w:pPr>
            <w:r>
              <w:rPr>
                <w:sz w:val="16"/>
                <w:szCs w:val="16"/>
              </w:rPr>
              <w:t>TemporaryOverlayStatus</w:t>
            </w:r>
          </w:p>
        </w:tc>
        <w:tc>
          <w:tcPr>
            <w:tcW w:type="dxa" w:w="3331"/>
          </w:tcPr>
          <w:p>
            <w:pPr>
              <w:spacing w:before="20" w:after="20"/>
            </w:pPr>
            <w:r>
              <w:rPr>
                <w:sz w:val="16"/>
                <w:szCs w:val="16"/>
              </w:rPr>
              <w:t>State axis</w:t>
            </w:r>
          </w:p>
        </w:tc>
        <w:tc>
          <w:tcPr>
            <w:tcW w:type="dxa" w:w="3332"/>
          </w:tcPr>
          <w:p>
            <w:pPr>
              <w:spacing w:before="20" w:after="20"/>
            </w:pPr>
            <w:r>
              <w:rPr>
                <w:sz w:val="16"/>
                <w:szCs w:val="16"/>
              </w:rPr>
              <w:t>Independent status of any temporary overlay affecting applied treatment.</w:t>
            </w:r>
          </w:p>
        </w:tc>
      </w:tr>
      <w:tr>
        <w:tc>
          <w:tcPr>
            <w:tcW w:type="dxa" w:w="3331"/>
          </w:tcPr>
          <w:p>
            <w:pPr>
              <w:spacing w:before="20" w:after="20"/>
            </w:pPr>
            <w:r>
              <w:rPr>
                <w:sz w:val="16"/>
                <w:szCs w:val="16"/>
              </w:rPr>
              <w:t>TemporaryOverlayReference</w:t>
            </w:r>
          </w:p>
        </w:tc>
        <w:tc>
          <w:tcPr>
            <w:tcW w:type="dxa" w:w="3331"/>
          </w:tcPr>
          <w:p>
            <w:pPr>
              <w:spacing w:before="20" w:after="20"/>
            </w:pPr>
            <w:r>
              <w:rPr>
                <w:sz w:val="16"/>
                <w:szCs w:val="16"/>
              </w:rPr>
              <w:t>Dependency</w:t>
            </w:r>
          </w:p>
        </w:tc>
        <w:tc>
          <w:tcPr>
            <w:tcW w:type="dxa" w:w="3332"/>
          </w:tcPr>
          <w:p>
            <w:pPr>
              <w:spacing w:before="20" w:after="20"/>
            </w:pPr>
            <w:r>
              <w:rPr>
                <w:sz w:val="16"/>
                <w:szCs w:val="16"/>
              </w:rPr>
              <w:t>Reference to the temporary measure and its authorizing Chapter.</w:t>
            </w:r>
          </w:p>
        </w:tc>
      </w:tr>
      <w:tr>
        <w:tc>
          <w:tcPr>
            <w:tcW w:type="dxa" w:w="3331"/>
          </w:tcPr>
          <w:p>
            <w:pPr>
              <w:spacing w:before="20" w:after="20"/>
            </w:pPr>
            <w:r>
              <w:rPr>
                <w:sz w:val="16"/>
                <w:szCs w:val="16"/>
              </w:rPr>
              <w:t>OverlayStartDate</w:t>
            </w:r>
          </w:p>
        </w:tc>
        <w:tc>
          <w:tcPr>
            <w:tcW w:type="dxa" w:w="3331"/>
          </w:tcPr>
          <w:p>
            <w:pPr>
              <w:spacing w:before="20" w:after="20"/>
            </w:pPr>
            <w:r>
              <w:rPr>
                <w:sz w:val="16"/>
                <w:szCs w:val="16"/>
              </w:rPr>
              <w:t>Time</w:t>
            </w:r>
          </w:p>
        </w:tc>
        <w:tc>
          <w:tcPr>
            <w:tcW w:type="dxa" w:w="3332"/>
          </w:tcPr>
          <w:p>
            <w:pPr>
              <w:spacing w:before="20" w:after="20"/>
            </w:pPr>
            <w:r>
              <w:rPr>
                <w:sz w:val="16"/>
                <w:szCs w:val="16"/>
              </w:rPr>
              <w:t>Start date of the temporary overlay.</w:t>
            </w:r>
          </w:p>
        </w:tc>
      </w:tr>
      <w:tr>
        <w:tc>
          <w:tcPr>
            <w:tcW w:type="dxa" w:w="3331"/>
          </w:tcPr>
          <w:p>
            <w:pPr>
              <w:spacing w:before="20" w:after="20"/>
            </w:pPr>
            <w:r>
              <w:rPr>
                <w:sz w:val="16"/>
                <w:szCs w:val="16"/>
              </w:rPr>
              <w:t>OverlayTerminationCondition</w:t>
            </w:r>
          </w:p>
        </w:tc>
        <w:tc>
          <w:tcPr>
            <w:tcW w:type="dxa" w:w="3331"/>
          </w:tcPr>
          <w:p>
            <w:pPr>
              <w:spacing w:before="20" w:after="20"/>
            </w:pPr>
            <w:r>
              <w:rPr>
                <w:sz w:val="16"/>
                <w:szCs w:val="16"/>
              </w:rPr>
              <w:t>Legal state</w:t>
            </w:r>
          </w:p>
        </w:tc>
        <w:tc>
          <w:tcPr>
            <w:tcW w:type="dxa" w:w="3332"/>
          </w:tcPr>
          <w:p>
            <w:pPr>
              <w:spacing w:before="20" w:after="20"/>
            </w:pPr>
            <w:r>
              <w:rPr>
                <w:sz w:val="16"/>
                <w:szCs w:val="16"/>
              </w:rPr>
              <w:t>Controlling condition for termination of the overlay.</w:t>
            </w:r>
          </w:p>
        </w:tc>
      </w:tr>
      <w:tr>
        <w:tc>
          <w:tcPr>
            <w:tcW w:type="dxa" w:w="3331"/>
          </w:tcPr>
          <w:p>
            <w:pPr>
              <w:spacing w:before="20" w:after="20"/>
            </w:pPr>
            <w:r>
              <w:rPr>
                <w:sz w:val="16"/>
                <w:szCs w:val="16"/>
              </w:rPr>
              <w:t>OverlayRestorationTrigger</w:t>
            </w:r>
          </w:p>
        </w:tc>
        <w:tc>
          <w:tcPr>
            <w:tcW w:type="dxa" w:w="3331"/>
          </w:tcPr>
          <w:p>
            <w:pPr>
              <w:spacing w:before="20" w:after="20"/>
            </w:pPr>
            <w:r>
              <w:rPr>
                <w:sz w:val="16"/>
                <w:szCs w:val="16"/>
              </w:rPr>
              <w:t>Legal state</w:t>
            </w:r>
          </w:p>
        </w:tc>
        <w:tc>
          <w:tcPr>
            <w:tcW w:type="dxa" w:w="3332"/>
          </w:tcPr>
          <w:p>
            <w:pPr>
              <w:spacing w:before="20" w:after="20"/>
            </w:pPr>
            <w:r>
              <w:rPr>
                <w:sz w:val="16"/>
                <w:szCs w:val="16"/>
              </w:rPr>
              <w:t>Trigger returning administration to the then-controlling underlying state.</w:t>
            </w:r>
          </w:p>
        </w:tc>
      </w:tr>
      <w:tr>
        <w:tc>
          <w:tcPr>
            <w:tcW w:type="dxa" w:w="3331"/>
          </w:tcPr>
          <w:p>
            <w:pPr>
              <w:spacing w:before="20" w:after="20"/>
            </w:pPr>
            <w:r>
              <w:rPr>
                <w:sz w:val="16"/>
                <w:szCs w:val="16"/>
              </w:rPr>
              <w:t>PredecessorCompletionRecordID</w:t>
            </w:r>
          </w:p>
        </w:tc>
        <w:tc>
          <w:tcPr>
            <w:tcW w:type="dxa" w:w="3331"/>
          </w:tcPr>
          <w:p>
            <w:pPr>
              <w:spacing w:before="20" w:after="20"/>
            </w:pPr>
            <w:r>
              <w:rPr>
                <w:sz w:val="16"/>
                <w:szCs w:val="16"/>
              </w:rPr>
              <w:t>Continuity</w:t>
            </w:r>
          </w:p>
        </w:tc>
        <w:tc>
          <w:tcPr>
            <w:tcW w:type="dxa" w:w="3332"/>
          </w:tcPr>
          <w:p>
            <w:pPr>
              <w:spacing w:before="20" w:after="20"/>
            </w:pPr>
            <w:r>
              <w:rPr>
                <w:sz w:val="16"/>
                <w:szCs w:val="16"/>
              </w:rPr>
              <w:t>Predecessor F record in a controlled succession.</w:t>
            </w:r>
          </w:p>
        </w:tc>
      </w:tr>
      <w:tr>
        <w:tc>
          <w:tcPr>
            <w:tcW w:type="dxa" w:w="3331"/>
          </w:tcPr>
          <w:p>
            <w:pPr>
              <w:spacing w:before="20" w:after="20"/>
            </w:pPr>
            <w:r>
              <w:rPr>
                <w:sz w:val="16"/>
                <w:szCs w:val="16"/>
              </w:rPr>
              <w:t>SuccessorCompletionRecordID</w:t>
            </w:r>
          </w:p>
        </w:tc>
        <w:tc>
          <w:tcPr>
            <w:tcW w:type="dxa" w:w="3331"/>
          </w:tcPr>
          <w:p>
            <w:pPr>
              <w:spacing w:before="20" w:after="20"/>
            </w:pPr>
            <w:r>
              <w:rPr>
                <w:sz w:val="16"/>
                <w:szCs w:val="16"/>
              </w:rPr>
              <w:t>Continuity</w:t>
            </w:r>
          </w:p>
        </w:tc>
        <w:tc>
          <w:tcPr>
            <w:tcW w:type="dxa" w:w="3332"/>
          </w:tcPr>
          <w:p>
            <w:pPr>
              <w:spacing w:before="20" w:after="20"/>
            </w:pPr>
            <w:r>
              <w:rPr>
                <w:sz w:val="16"/>
                <w:szCs w:val="16"/>
              </w:rPr>
              <w:t>Successor F record in a controlled succession.</w:t>
            </w:r>
          </w:p>
        </w:tc>
      </w:tr>
      <w:tr>
        <w:tc>
          <w:tcPr>
            <w:tcW w:type="dxa" w:w="3331"/>
          </w:tcPr>
          <w:p>
            <w:pPr>
              <w:spacing w:before="20" w:after="20"/>
            </w:pPr>
            <w:r>
              <w:rPr>
                <w:sz w:val="16"/>
                <w:szCs w:val="16"/>
              </w:rPr>
              <w:t>SuccessorProductRecordID</w:t>
            </w:r>
          </w:p>
        </w:tc>
        <w:tc>
          <w:tcPr>
            <w:tcW w:type="dxa" w:w="3331"/>
          </w:tcPr>
          <w:p>
            <w:pPr>
              <w:spacing w:before="20" w:after="20"/>
            </w:pPr>
            <w:r>
              <w:rPr>
                <w:sz w:val="16"/>
                <w:szCs w:val="16"/>
              </w:rPr>
              <w:t>Continuity</w:t>
            </w:r>
          </w:p>
        </w:tc>
        <w:tc>
          <w:tcPr>
            <w:tcW w:type="dxa" w:w="3332"/>
          </w:tcPr>
          <w:p>
            <w:pPr>
              <w:spacing w:before="20" w:after="20"/>
            </w:pPr>
            <w:r>
              <w:rPr>
                <w:sz w:val="16"/>
                <w:szCs w:val="16"/>
              </w:rPr>
              <w:t>Successor ProductRecordID where nomenclature or scope mapping requires one.</w:t>
            </w:r>
          </w:p>
        </w:tc>
      </w:tr>
      <w:tr>
        <w:tc>
          <w:tcPr>
            <w:tcW w:type="dxa" w:w="3331"/>
          </w:tcPr>
          <w:p>
            <w:pPr>
              <w:spacing w:before="20" w:after="20"/>
            </w:pPr>
            <w:r>
              <w:rPr>
                <w:sz w:val="16"/>
                <w:szCs w:val="16"/>
              </w:rPr>
              <w:t>ConcordanceReference</w:t>
            </w:r>
          </w:p>
        </w:tc>
        <w:tc>
          <w:tcPr>
            <w:tcW w:type="dxa" w:w="3331"/>
          </w:tcPr>
          <w:p>
            <w:pPr>
              <w:spacing w:before="20" w:after="20"/>
            </w:pPr>
            <w:r>
              <w:rPr>
                <w:sz w:val="16"/>
                <w:szCs w:val="16"/>
              </w:rPr>
              <w:t>Continuity</w:t>
            </w:r>
          </w:p>
        </w:tc>
        <w:tc>
          <w:tcPr>
            <w:tcW w:type="dxa" w:w="3332"/>
          </w:tcPr>
          <w:p>
            <w:pPr>
              <w:spacing w:before="20" w:after="20"/>
            </w:pPr>
            <w:r>
              <w:rPr>
                <w:sz w:val="16"/>
                <w:szCs w:val="16"/>
              </w:rPr>
              <w:t>Controlled Annex M or other authorized concordance reference.</w:t>
            </w:r>
          </w:p>
        </w:tc>
      </w:tr>
      <w:tr>
        <w:tc>
          <w:tcPr>
            <w:tcW w:type="dxa" w:w="3331"/>
          </w:tcPr>
          <w:p>
            <w:pPr>
              <w:spacing w:before="20" w:after="20"/>
            </w:pPr>
            <w:r>
              <w:rPr>
                <w:sz w:val="16"/>
                <w:szCs w:val="16"/>
              </w:rPr>
              <w:t>SuccessorScopeMapping</w:t>
            </w:r>
          </w:p>
        </w:tc>
        <w:tc>
          <w:tcPr>
            <w:tcW w:type="dxa" w:w="3331"/>
          </w:tcPr>
          <w:p>
            <w:pPr>
              <w:spacing w:before="20" w:after="20"/>
            </w:pPr>
            <w:r>
              <w:rPr>
                <w:sz w:val="16"/>
                <w:szCs w:val="16"/>
              </w:rPr>
              <w:t>Continuity</w:t>
            </w:r>
          </w:p>
        </w:tc>
        <w:tc>
          <w:tcPr>
            <w:tcW w:type="dxa" w:w="3332"/>
          </w:tcPr>
          <w:p>
            <w:pPr>
              <w:spacing w:before="20" w:after="20"/>
            </w:pPr>
            <w:r>
              <w:rPr>
                <w:sz w:val="16"/>
                <w:szCs w:val="16"/>
              </w:rPr>
              <w:t>Objective statement of predecessor scope carried into successor classification.</w:t>
            </w:r>
          </w:p>
        </w:tc>
      </w:tr>
      <w:tr>
        <w:tc>
          <w:tcPr>
            <w:tcW w:type="dxa" w:w="3331"/>
          </w:tcPr>
          <w:p>
            <w:pPr>
              <w:spacing w:before="20" w:after="20"/>
            </w:pPr>
            <w:r>
              <w:rPr>
                <w:sz w:val="16"/>
                <w:szCs w:val="16"/>
              </w:rPr>
              <w:t>VerificationStatus</w:t>
            </w:r>
          </w:p>
        </w:tc>
        <w:tc>
          <w:tcPr>
            <w:tcW w:type="dxa" w:w="3331"/>
          </w:tcPr>
          <w:p>
            <w:pPr>
              <w:spacing w:before="20" w:after="20"/>
            </w:pPr>
            <w:r>
              <w:rPr>
                <w:sz w:val="16"/>
                <w:szCs w:val="16"/>
              </w:rPr>
              <w:t>Verification</w:t>
            </w:r>
          </w:p>
        </w:tc>
        <w:tc>
          <w:tcPr>
            <w:tcW w:type="dxa" w:w="3332"/>
          </w:tcPr>
          <w:p>
            <w:pPr>
              <w:spacing w:before="20" w:after="20"/>
            </w:pPr>
            <w:r>
              <w:rPr>
                <w:sz w:val="16"/>
                <w:szCs w:val="16"/>
              </w:rPr>
              <w:t>Record-level verification state kept separate from legal completion.</w:t>
            </w:r>
          </w:p>
        </w:tc>
      </w:tr>
      <w:tr>
        <w:tc>
          <w:tcPr>
            <w:tcW w:type="dxa" w:w="3331"/>
          </w:tcPr>
          <w:p>
            <w:pPr>
              <w:spacing w:before="20" w:after="20"/>
            </w:pPr>
            <w:r>
              <w:rPr>
                <w:sz w:val="16"/>
                <w:szCs w:val="16"/>
              </w:rPr>
              <w:t>FieldProvenanceReference</w:t>
            </w:r>
          </w:p>
        </w:tc>
        <w:tc>
          <w:tcPr>
            <w:tcW w:type="dxa" w:w="3331"/>
          </w:tcPr>
          <w:p>
            <w:pPr>
              <w:spacing w:before="20" w:after="20"/>
            </w:pPr>
            <w:r>
              <w:rPr>
                <w:sz w:val="16"/>
                <w:szCs w:val="16"/>
              </w:rPr>
              <w:t>Verification</w:t>
            </w:r>
          </w:p>
        </w:tc>
        <w:tc>
          <w:tcPr>
            <w:tcW w:type="dxa" w:w="3332"/>
          </w:tcPr>
          <w:p>
            <w:pPr>
              <w:spacing w:before="20" w:after="20"/>
            </w:pPr>
            <w:r>
              <w:rPr>
                <w:sz w:val="16"/>
                <w:szCs w:val="16"/>
              </w:rPr>
              <w:t>Field-level provenance pointer to controlling evidence or source.</w:t>
            </w:r>
          </w:p>
        </w:tc>
      </w:tr>
      <w:tr>
        <w:tc>
          <w:tcPr>
            <w:tcW w:type="dxa" w:w="3331"/>
          </w:tcPr>
          <w:p>
            <w:pPr>
              <w:spacing w:before="20" w:after="20"/>
            </w:pPr>
            <w:r>
              <w:rPr>
                <w:sz w:val="16"/>
                <w:szCs w:val="16"/>
              </w:rPr>
              <w:t>FieldVerificationReference</w:t>
            </w:r>
          </w:p>
        </w:tc>
        <w:tc>
          <w:tcPr>
            <w:tcW w:type="dxa" w:w="3331"/>
          </w:tcPr>
          <w:p>
            <w:pPr>
              <w:spacing w:before="20" w:after="20"/>
            </w:pPr>
            <w:r>
              <w:rPr>
                <w:sz w:val="16"/>
                <w:szCs w:val="16"/>
              </w:rPr>
              <w:t>Verification</w:t>
            </w:r>
          </w:p>
        </w:tc>
        <w:tc>
          <w:tcPr>
            <w:tcW w:type="dxa" w:w="3332"/>
          </w:tcPr>
          <w:p>
            <w:pPr>
              <w:spacing w:before="20" w:after="20"/>
            </w:pPr>
            <w:r>
              <w:rPr>
                <w:sz w:val="16"/>
                <w:szCs w:val="16"/>
              </w:rPr>
              <w:t>Field-level verification pointer under Chapter 3 architecture.</w:t>
            </w:r>
          </w:p>
        </w:tc>
      </w:tr>
      <w:tr>
        <w:tc>
          <w:tcPr>
            <w:tcW w:type="dxa" w:w="3331"/>
          </w:tcPr>
          <w:p>
            <w:pPr>
              <w:spacing w:before="20" w:after="20"/>
            </w:pPr>
            <w:r>
              <w:rPr>
                <w:sz w:val="16"/>
                <w:szCs w:val="16"/>
              </w:rPr>
              <w:t>DisputeStatus</w:t>
            </w:r>
          </w:p>
        </w:tc>
        <w:tc>
          <w:tcPr>
            <w:tcW w:type="dxa" w:w="3331"/>
          </w:tcPr>
          <w:p>
            <w:pPr>
              <w:spacing w:before="20" w:after="20"/>
            </w:pPr>
            <w:r>
              <w:rPr>
                <w:sz w:val="16"/>
                <w:szCs w:val="16"/>
              </w:rPr>
              <w:t>State axis</w:t>
            </w:r>
          </w:p>
        </w:tc>
        <w:tc>
          <w:tcPr>
            <w:tcW w:type="dxa" w:w="3332"/>
          </w:tcPr>
          <w:p>
            <w:pPr>
              <w:spacing w:before="20" w:after="20"/>
            </w:pPr>
            <w:r>
              <w:rPr>
                <w:sz w:val="16"/>
                <w:szCs w:val="16"/>
              </w:rPr>
              <w:t>Independent status of any dispute concerning the record or underlying state.</w:t>
            </w:r>
          </w:p>
        </w:tc>
      </w:tr>
      <w:tr>
        <w:tc>
          <w:tcPr>
            <w:tcW w:type="dxa" w:w="3331"/>
          </w:tcPr>
          <w:p>
            <w:pPr>
              <w:spacing w:before="20" w:after="20"/>
            </w:pPr>
            <w:r>
              <w:rPr>
                <w:sz w:val="16"/>
                <w:szCs w:val="16"/>
              </w:rPr>
              <w:t>DisputeReference</w:t>
            </w:r>
          </w:p>
        </w:tc>
        <w:tc>
          <w:tcPr>
            <w:tcW w:type="dxa" w:w="3331"/>
          </w:tcPr>
          <w:p>
            <w:pPr>
              <w:spacing w:before="20" w:after="20"/>
            </w:pPr>
            <w:r>
              <w:rPr>
                <w:sz w:val="16"/>
                <w:szCs w:val="16"/>
              </w:rPr>
              <w:t>Dependency</w:t>
            </w:r>
          </w:p>
        </w:tc>
        <w:tc>
          <w:tcPr>
            <w:tcW w:type="dxa" w:w="3332"/>
          </w:tcPr>
          <w:p>
            <w:pPr>
              <w:spacing w:before="20" w:after="20"/>
            </w:pPr>
            <w:r>
              <w:rPr>
                <w:sz w:val="16"/>
                <w:szCs w:val="16"/>
              </w:rPr>
              <w:t>Reference to the applicable technical review, cure, or dispute process.</w:t>
            </w:r>
          </w:p>
        </w:tc>
      </w:tr>
      <w:tr>
        <w:tc>
          <w:tcPr>
            <w:tcW w:type="dxa" w:w="3331"/>
          </w:tcPr>
          <w:p>
            <w:pPr>
              <w:spacing w:before="20" w:after="20"/>
            </w:pPr>
            <w:r>
              <w:rPr>
                <w:sz w:val="16"/>
                <w:szCs w:val="16"/>
              </w:rPr>
              <w:t>LastValidControlledState</w:t>
            </w:r>
          </w:p>
        </w:tc>
        <w:tc>
          <w:tcPr>
            <w:tcW w:type="dxa" w:w="3331"/>
          </w:tcPr>
          <w:p>
            <w:pPr>
              <w:spacing w:before="20" w:after="20"/>
            </w:pPr>
            <w:r>
              <w:rPr>
                <w:sz w:val="16"/>
                <w:szCs w:val="16"/>
              </w:rPr>
              <w:t>Control</w:t>
            </w:r>
          </w:p>
        </w:tc>
        <w:tc>
          <w:tcPr>
            <w:tcW w:type="dxa" w:w="3332"/>
          </w:tcPr>
          <w:p>
            <w:pPr>
              <w:spacing w:before="20" w:after="20"/>
            </w:pPr>
            <w:r>
              <w:rPr>
                <w:sz w:val="16"/>
                <w:szCs w:val="16"/>
              </w:rPr>
              <w:t>Last valid controlled administrative state for interim reference where needed.</w:t>
            </w:r>
          </w:p>
        </w:tc>
      </w:tr>
      <w:tr>
        <w:tc>
          <w:tcPr>
            <w:tcW w:type="dxa" w:w="3331"/>
          </w:tcPr>
          <w:p>
            <w:pPr>
              <w:spacing w:before="20" w:after="20"/>
            </w:pPr>
            <w:r>
              <w:rPr>
                <w:sz w:val="16"/>
                <w:szCs w:val="16"/>
              </w:rPr>
              <w:t>RecordVersionID</w:t>
            </w:r>
          </w:p>
        </w:tc>
        <w:tc>
          <w:tcPr>
            <w:tcW w:type="dxa" w:w="3331"/>
          </w:tcPr>
          <w:p>
            <w:pPr>
              <w:spacing w:before="20" w:after="20"/>
            </w:pPr>
            <w:r>
              <w:rPr>
                <w:sz w:val="16"/>
                <w:szCs w:val="16"/>
              </w:rPr>
              <w:t>Versioning</w:t>
            </w:r>
          </w:p>
        </w:tc>
        <w:tc>
          <w:tcPr>
            <w:tcW w:type="dxa" w:w="3332"/>
          </w:tcPr>
          <w:p>
            <w:pPr>
              <w:spacing w:before="20" w:after="20"/>
            </w:pPr>
            <w:r>
              <w:rPr>
                <w:sz w:val="16"/>
                <w:szCs w:val="16"/>
              </w:rPr>
              <w:t>Identifier for the material record version.</w:t>
            </w:r>
          </w:p>
        </w:tc>
      </w:tr>
      <w:tr>
        <w:tc>
          <w:tcPr>
            <w:tcW w:type="dxa" w:w="3331"/>
          </w:tcPr>
          <w:p>
            <w:pPr>
              <w:spacing w:before="20" w:after="20"/>
            </w:pPr>
            <w:r>
              <w:rPr>
                <w:sz w:val="16"/>
                <w:szCs w:val="16"/>
              </w:rPr>
              <w:t>ValidFrom</w:t>
            </w:r>
          </w:p>
        </w:tc>
        <w:tc>
          <w:tcPr>
            <w:tcW w:type="dxa" w:w="3331"/>
          </w:tcPr>
          <w:p>
            <w:pPr>
              <w:spacing w:before="20" w:after="20"/>
            </w:pPr>
            <w:r>
              <w:rPr>
                <w:sz w:val="16"/>
                <w:szCs w:val="16"/>
              </w:rPr>
              <w:t>Versioning</w:t>
            </w:r>
          </w:p>
        </w:tc>
        <w:tc>
          <w:tcPr>
            <w:tcW w:type="dxa" w:w="3332"/>
          </w:tcPr>
          <w:p>
            <w:pPr>
              <w:spacing w:before="20" w:after="20"/>
            </w:pPr>
            <w:r>
              <w:rPr>
                <w:sz w:val="16"/>
                <w:szCs w:val="16"/>
              </w:rPr>
              <w:t>Beginning of the record version validity period.</w:t>
            </w:r>
          </w:p>
        </w:tc>
      </w:tr>
      <w:tr>
        <w:tc>
          <w:tcPr>
            <w:tcW w:type="dxa" w:w="3331"/>
          </w:tcPr>
          <w:p>
            <w:pPr>
              <w:spacing w:before="20" w:after="20"/>
            </w:pPr>
            <w:r>
              <w:rPr>
                <w:sz w:val="16"/>
                <w:szCs w:val="16"/>
              </w:rPr>
              <w:t>ValidTo</w:t>
            </w:r>
          </w:p>
        </w:tc>
        <w:tc>
          <w:tcPr>
            <w:tcW w:type="dxa" w:w="3331"/>
          </w:tcPr>
          <w:p>
            <w:pPr>
              <w:spacing w:before="20" w:after="20"/>
            </w:pPr>
            <w:r>
              <w:rPr>
                <w:sz w:val="16"/>
                <w:szCs w:val="16"/>
              </w:rPr>
              <w:t>Versioning</w:t>
            </w:r>
          </w:p>
        </w:tc>
        <w:tc>
          <w:tcPr>
            <w:tcW w:type="dxa" w:w="3332"/>
          </w:tcPr>
          <w:p>
            <w:pPr>
              <w:spacing w:before="20" w:after="20"/>
            </w:pPr>
            <w:r>
              <w:rPr>
                <w:sz w:val="16"/>
                <w:szCs w:val="16"/>
              </w:rPr>
              <w:t>End of the record version validity period where superseded.</w:t>
            </w:r>
          </w:p>
        </w:tc>
      </w:tr>
      <w:tr>
        <w:tc>
          <w:tcPr>
            <w:tcW w:type="dxa" w:w="3331"/>
          </w:tcPr>
          <w:p>
            <w:pPr>
              <w:spacing w:before="20" w:after="20"/>
            </w:pPr>
            <w:r>
              <w:rPr>
                <w:sz w:val="16"/>
                <w:szCs w:val="16"/>
              </w:rPr>
              <w:t>AdministrativeLifecycleStatus</w:t>
            </w:r>
          </w:p>
        </w:tc>
        <w:tc>
          <w:tcPr>
            <w:tcW w:type="dxa" w:w="3331"/>
          </w:tcPr>
          <w:p>
            <w:pPr>
              <w:spacing w:before="20" w:after="20"/>
            </w:pPr>
            <w:r>
              <w:rPr>
                <w:sz w:val="16"/>
                <w:szCs w:val="16"/>
              </w:rPr>
              <w:t>State axis</w:t>
            </w:r>
          </w:p>
        </w:tc>
        <w:tc>
          <w:tcPr>
            <w:tcW w:type="dxa" w:w="3332"/>
          </w:tcPr>
          <w:p>
            <w:pPr>
              <w:spacing w:before="20" w:after="20"/>
            </w:pPr>
            <w:r>
              <w:rPr>
                <w:sz w:val="16"/>
                <w:szCs w:val="16"/>
              </w:rPr>
              <w:t>Administrative record lifecycle independent from substantive completion.</w:t>
            </w:r>
          </w:p>
        </w:tc>
      </w:tr>
      <w:tr>
        <w:tc>
          <w:tcPr>
            <w:tcW w:type="dxa" w:w="3331"/>
          </w:tcPr>
          <w:p>
            <w:pPr>
              <w:spacing w:before="20" w:after="20"/>
            </w:pPr>
            <w:r>
              <w:rPr>
                <w:sz w:val="16"/>
                <w:szCs w:val="16"/>
              </w:rPr>
              <w:t>CorrectionHistoryReference</w:t>
            </w:r>
          </w:p>
        </w:tc>
        <w:tc>
          <w:tcPr>
            <w:tcW w:type="dxa" w:w="3331"/>
          </w:tcPr>
          <w:p>
            <w:pPr>
              <w:spacing w:before="20" w:after="20"/>
            </w:pPr>
            <w:r>
              <w:rPr>
                <w:sz w:val="16"/>
                <w:szCs w:val="16"/>
              </w:rPr>
              <w:t>Versioning</w:t>
            </w:r>
          </w:p>
        </w:tc>
        <w:tc>
          <w:tcPr>
            <w:tcW w:type="dxa" w:w="3332"/>
          </w:tcPr>
          <w:p>
            <w:pPr>
              <w:spacing w:before="20" w:after="20"/>
            </w:pPr>
            <w:r>
              <w:rPr>
                <w:sz w:val="16"/>
                <w:szCs w:val="16"/>
              </w:rPr>
              <w:t>Append-only reference to corrections and superseded states.</w:t>
            </w:r>
          </w:p>
        </w:tc>
      </w:tr>
      <w:tr>
        <w:tc>
          <w:tcPr>
            <w:tcW w:type="dxa" w:w="3331"/>
          </w:tcPr>
          <w:p>
            <w:pPr>
              <w:spacing w:before="20" w:after="20"/>
            </w:pPr>
            <w:r>
              <w:rPr>
                <w:sz w:val="16"/>
                <w:szCs w:val="16"/>
              </w:rPr>
              <w:t>PublicationManifestReference</w:t>
            </w:r>
          </w:p>
        </w:tc>
        <w:tc>
          <w:tcPr>
            <w:tcW w:type="dxa" w:w="3331"/>
          </w:tcPr>
          <w:p>
            <w:pPr>
              <w:spacing w:before="20" w:after="20"/>
            </w:pPr>
            <w:r>
              <w:rPr>
                <w:sz w:val="16"/>
                <w:szCs w:val="16"/>
              </w:rPr>
              <w:t>Publication</w:t>
            </w:r>
          </w:p>
        </w:tc>
        <w:tc>
          <w:tcPr>
            <w:tcW w:type="dxa" w:w="3332"/>
          </w:tcPr>
          <w:p>
            <w:pPr>
              <w:spacing w:before="20" w:after="20"/>
            </w:pPr>
            <w:r>
              <w:rPr>
                <w:sz w:val="16"/>
                <w:szCs w:val="16"/>
              </w:rPr>
              <w:t>Reference to the controlled publication manifest.</w:t>
            </w:r>
          </w:p>
        </w:tc>
      </w:tr>
      <w:tr>
        <w:tc>
          <w:tcPr>
            <w:tcW w:type="dxa" w:w="3331"/>
          </w:tcPr>
          <w:p>
            <w:pPr>
              <w:spacing w:before="20" w:after="20"/>
            </w:pPr>
            <w:r>
              <w:rPr>
                <w:sz w:val="16"/>
                <w:szCs w:val="16"/>
              </w:rPr>
              <w:t>DatasetVersion</w:t>
            </w:r>
          </w:p>
        </w:tc>
        <w:tc>
          <w:tcPr>
            <w:tcW w:type="dxa" w:w="3331"/>
          </w:tcPr>
          <w:p>
            <w:pPr>
              <w:spacing w:before="20" w:after="20"/>
            </w:pPr>
            <w:r>
              <w:rPr>
                <w:sz w:val="16"/>
                <w:szCs w:val="16"/>
              </w:rPr>
              <w:t>Publication</w:t>
            </w:r>
          </w:p>
        </w:tc>
        <w:tc>
          <w:tcPr>
            <w:tcW w:type="dxa" w:w="3332"/>
          </w:tcPr>
          <w:p>
            <w:pPr>
              <w:spacing w:before="20" w:after="20"/>
            </w:pPr>
            <w:r>
              <w:rPr>
                <w:sz w:val="16"/>
                <w:szCs w:val="16"/>
              </w:rPr>
              <w:t>Version of the published Annex F dataset.</w:t>
            </w:r>
          </w:p>
        </w:tc>
      </w:tr>
      <w:tr>
        <w:tc>
          <w:tcPr>
            <w:tcW w:type="dxa" w:w="3331"/>
          </w:tcPr>
          <w:p>
            <w:pPr>
              <w:spacing w:before="20" w:after="20"/>
            </w:pPr>
            <w:r>
              <w:rPr>
                <w:sz w:val="16"/>
                <w:szCs w:val="16"/>
              </w:rPr>
              <w:t>SchemaVersion</w:t>
            </w:r>
          </w:p>
        </w:tc>
        <w:tc>
          <w:tcPr>
            <w:tcW w:type="dxa" w:w="3331"/>
          </w:tcPr>
          <w:p>
            <w:pPr>
              <w:spacing w:before="20" w:after="20"/>
            </w:pPr>
            <w:r>
              <w:rPr>
                <w:sz w:val="16"/>
                <w:szCs w:val="16"/>
              </w:rPr>
              <w:t>Publication</w:t>
            </w:r>
          </w:p>
        </w:tc>
        <w:tc>
          <w:tcPr>
            <w:tcW w:type="dxa" w:w="3332"/>
          </w:tcPr>
          <w:p>
            <w:pPr>
              <w:spacing w:before="20" w:after="20"/>
            </w:pPr>
            <w:r>
              <w:rPr>
                <w:sz w:val="16"/>
                <w:szCs w:val="16"/>
              </w:rPr>
              <w:t>Version of the Annex F controlled schema.</w:t>
            </w:r>
          </w:p>
        </w:tc>
      </w:tr>
      <w:tr>
        <w:tc>
          <w:tcPr>
            <w:tcW w:type="dxa" w:w="3331"/>
          </w:tcPr>
          <w:p>
            <w:pPr>
              <w:spacing w:before="20" w:after="20"/>
            </w:pPr>
            <w:r>
              <w:rPr>
                <w:sz w:val="16"/>
                <w:szCs w:val="16"/>
              </w:rPr>
              <w:t>PopulationStatus</w:t>
            </w:r>
          </w:p>
        </w:tc>
        <w:tc>
          <w:tcPr>
            <w:tcW w:type="dxa" w:w="3331"/>
          </w:tcPr>
          <w:p>
            <w:pPr>
              <w:spacing w:before="20" w:after="20"/>
            </w:pPr>
            <w:r>
              <w:rPr>
                <w:sz w:val="16"/>
                <w:szCs w:val="16"/>
              </w:rPr>
              <w:t>Population</w:t>
            </w:r>
          </w:p>
        </w:tc>
        <w:tc>
          <w:tcPr>
            <w:tcW w:type="dxa" w:w="3332"/>
          </w:tcPr>
          <w:p>
            <w:pPr>
              <w:spacing w:before="20" w:after="20"/>
            </w:pPr>
            <w:r>
              <w:rPr>
                <w:sz w:val="16"/>
                <w:szCs w:val="16"/>
              </w:rPr>
              <w:t>Controlled population state without implying legal completion.</w:t>
            </w:r>
          </w:p>
        </w:tc>
      </w:tr>
      <w:tr>
        <w:tc>
          <w:tcPr>
            <w:tcW w:type="dxa" w:w="3331"/>
          </w:tcPr>
          <w:p>
            <w:pPr>
              <w:spacing w:before="20" w:after="20"/>
            </w:pPr>
            <w:r>
              <w:rPr>
                <w:sz w:val="16"/>
                <w:szCs w:val="16"/>
              </w:rPr>
              <w:t>QualityClass</w:t>
            </w:r>
          </w:p>
        </w:tc>
        <w:tc>
          <w:tcPr>
            <w:tcW w:type="dxa" w:w="3331"/>
          </w:tcPr>
          <w:p>
            <w:pPr>
              <w:spacing w:before="20" w:after="20"/>
            </w:pPr>
            <w:r>
              <w:rPr>
                <w:sz w:val="16"/>
                <w:szCs w:val="16"/>
              </w:rPr>
              <w:t>Population</w:t>
            </w:r>
          </w:p>
        </w:tc>
        <w:tc>
          <w:tcPr>
            <w:tcW w:type="dxa" w:w="3332"/>
          </w:tcPr>
          <w:p>
            <w:pPr>
              <w:spacing w:before="20" w:after="20"/>
            </w:pPr>
            <w:r>
              <w:rPr>
                <w:sz w:val="16"/>
                <w:szCs w:val="16"/>
              </w:rPr>
              <w:t>Controlled data-quality classification.</w:t>
            </w:r>
          </w:p>
        </w:tc>
      </w:tr>
      <w:tr>
        <w:tc>
          <w:tcPr>
            <w:tcW w:type="dxa" w:w="3331"/>
          </w:tcPr>
          <w:p>
            <w:pPr>
              <w:spacing w:before="20" w:after="20"/>
            </w:pPr>
            <w:r>
              <w:rPr>
                <w:sz w:val="16"/>
                <w:szCs w:val="16"/>
              </w:rPr>
              <w:t>ConfidentialityStatus</w:t>
            </w:r>
          </w:p>
        </w:tc>
        <w:tc>
          <w:tcPr>
            <w:tcW w:type="dxa" w:w="3331"/>
          </w:tcPr>
          <w:p>
            <w:pPr>
              <w:spacing w:before="20" w:after="20"/>
            </w:pPr>
            <w:r>
              <w:rPr>
                <w:sz w:val="16"/>
                <w:szCs w:val="16"/>
              </w:rPr>
              <w:t>Governance</w:t>
            </w:r>
          </w:p>
        </w:tc>
        <w:tc>
          <w:tcPr>
            <w:tcW w:type="dxa" w:w="3332"/>
          </w:tcPr>
          <w:p>
            <w:pPr>
              <w:spacing w:before="20" w:after="20"/>
            </w:pPr>
            <w:r>
              <w:rPr>
                <w:sz w:val="16"/>
                <w:szCs w:val="16"/>
              </w:rPr>
              <w:t>Applicable confidentiality or protected-information classification.</w:t>
            </w:r>
          </w:p>
        </w:tc>
      </w:tr>
      <w:tr>
        <w:tc>
          <w:tcPr>
            <w:tcW w:type="dxa" w:w="3331"/>
          </w:tcPr>
          <w:p>
            <w:pPr>
              <w:spacing w:before="20" w:after="20"/>
            </w:pPr>
            <w:r>
              <w:rPr>
                <w:sz w:val="16"/>
                <w:szCs w:val="16"/>
              </w:rPr>
              <w:t>ResponsibleRecordingAuthority</w:t>
            </w:r>
          </w:p>
        </w:tc>
        <w:tc>
          <w:tcPr>
            <w:tcW w:type="dxa" w:w="3331"/>
          </w:tcPr>
          <w:p>
            <w:pPr>
              <w:spacing w:before="20" w:after="20"/>
            </w:pPr>
            <w:r>
              <w:rPr>
                <w:sz w:val="16"/>
                <w:szCs w:val="16"/>
              </w:rPr>
              <w:t>Governance</w:t>
            </w:r>
          </w:p>
        </w:tc>
        <w:tc>
          <w:tcPr>
            <w:tcW w:type="dxa" w:w="3332"/>
          </w:tcPr>
          <w:p>
            <w:pPr>
              <w:spacing w:before="20" w:after="20"/>
            </w:pPr>
            <w:r>
              <w:rPr>
                <w:sz w:val="16"/>
                <w:szCs w:val="16"/>
              </w:rPr>
              <w:t>Authority responsible for maintaining the administrative record.</w:t>
            </w:r>
          </w:p>
        </w:tc>
      </w:tr>
      <w:tr>
        <w:tc>
          <w:tcPr>
            <w:tcW w:type="dxa" w:w="3331"/>
          </w:tcPr>
          <w:p>
            <w:pPr>
              <w:spacing w:before="20" w:after="20"/>
            </w:pPr>
            <w:r>
              <w:rPr>
                <w:sz w:val="16"/>
                <w:szCs w:val="16"/>
              </w:rPr>
              <w:t>SourceManifestReference</w:t>
            </w:r>
          </w:p>
        </w:tc>
        <w:tc>
          <w:tcPr>
            <w:tcW w:type="dxa" w:w="3331"/>
          </w:tcPr>
          <w:p>
            <w:pPr>
              <w:spacing w:before="20" w:after="20"/>
            </w:pPr>
            <w:r>
              <w:rPr>
                <w:sz w:val="16"/>
                <w:szCs w:val="16"/>
              </w:rPr>
              <w:t>Provenance</w:t>
            </w:r>
          </w:p>
        </w:tc>
        <w:tc>
          <w:tcPr>
            <w:tcW w:type="dxa" w:w="3332"/>
          </w:tcPr>
          <w:p>
            <w:pPr>
              <w:spacing w:before="20" w:after="20"/>
            </w:pPr>
            <w:r>
              <w:rPr>
                <w:sz w:val="16"/>
                <w:szCs w:val="16"/>
              </w:rPr>
              <w:t>Reference to the source manifest supporting controlled population.</w:t>
            </w:r>
          </w:p>
        </w:tc>
      </w:tr>
      <w:tr>
        <w:tc>
          <w:tcPr>
            <w:tcW w:type="dxa" w:w="3331"/>
          </w:tcPr>
          <w:p>
            <w:pPr>
              <w:spacing w:before="20" w:after="20"/>
            </w:pPr>
            <w:r>
              <w:rPr>
                <w:sz w:val="16"/>
                <w:szCs w:val="16"/>
              </w:rPr>
              <w:t>EffectiveDateManifestReference</w:t>
            </w:r>
          </w:p>
        </w:tc>
        <w:tc>
          <w:tcPr>
            <w:tcW w:type="dxa" w:w="3331"/>
          </w:tcPr>
          <w:p>
            <w:pPr>
              <w:spacing w:before="20" w:after="20"/>
            </w:pPr>
            <w:r>
              <w:rPr>
                <w:sz w:val="16"/>
                <w:szCs w:val="16"/>
              </w:rPr>
              <w:t>Publication</w:t>
            </w:r>
          </w:p>
        </w:tc>
        <w:tc>
          <w:tcPr>
            <w:tcW w:type="dxa" w:w="3332"/>
          </w:tcPr>
          <w:p>
            <w:pPr>
              <w:spacing w:before="20" w:after="20"/>
            </w:pPr>
            <w:r>
              <w:rPr>
                <w:sz w:val="16"/>
                <w:szCs w:val="16"/>
              </w:rPr>
              <w:t>Reference to the manifest of legally relevant effective dates.</w:t>
            </w:r>
          </w:p>
        </w:tc>
      </w:tr>
    </w:tbl>
    <w:p>
      <w:pPr/>
      <w:r>
        <w:t xml:space="preserve">Future product-specific records remain dependent on legally operative upstream events, verified controlling evidence, cross-annex dependencies, and authoritative successor mapping where applicable.</w:t>
      </w:r>
    </w:p>
    <w:p>
      <w:pPr>
        <w:pStyle w:val="Heading1"/>
      </w:pPr>
      <w:bookmarkStart w:id="1773" w:name="NAATOC_0208"/>
      <w:bookmarkStart w:id="1208" w:name="toc_Annex_G___Product_Specific_Rul"/>
      <w:r>
        <w:t>Annex G - Product-Specific Rules of Origin Schedule</w:t>
      </w:r>
      <w:bookmarkEnd w:id="1208"/>
      <w:bookmarkEnd w:id="1773"/>
    </w:p>
    <w:p>
      <w:pPr/>
      <w:r>
        <w:t xml:space="preserve">This Annex supplies the controlled product-specific origin-rule schedule required by Chapter 10 while preserving the separation among product identity, rule assignment, shipment-level origin determination, verification, enforcement, and preferential treatment. Legal-source and dependency population has been completed to the extent supported by the current controlled record, but no product-specific rule type, tariff shift, value threshold, process condition, Party scope, or effective date becomes operative without the required adoption authority. Unresolved product-specific rule content therefore remains a controlled negotiated or adoption state rather than an inferred rule.</w:t>
      </w:r>
    </w:p>
    <w:p>
      <w:pPr>
        <w:pStyle w:val="Heading2"/>
      </w:pPr>
      <w:bookmarkStart w:id="1774" w:name="NAATOC_0209"/>
      <w:bookmarkStart w:id="1209" w:name="toc_Article_G_1___Purpose__Scope_a"/>
      <w:r>
        <w:t xml:space="preserve">Article G.1 - Purpose, Scope, and Legal Character</w:t>
      </w:r>
      <w:bookmarkEnd w:id="1209"/>
      <w:bookmarkEnd w:id="1774"/>
    </w:p>
    <w:p>
      <w:pPr/>
      <w:r>
        <w:t>G.1.1 Annex G is the controlled Product-Specific Rules of Origin schedule for Covered Agricultural Goods and records product-specific rules or clarifications applicable under Chapter 10, including the transformation rules required by Article 10.5. Chapter 10 creates the substantive origin pathways and governs their legal operation. Annex G assigns product-specific requirements without determining shipment-level origin or evidentiary sufficiency. Legal effect arises from Chapter 10 and the Compact rather than from database entry, publication, or administrative practice alone.</w:t>
      </w:r>
    </w:p>
    <w:p>
      <w:pPr/>
      <w:r>
        <w:t>G.1.2 Annex G does not determine product coverage, tariff treatment, sensitive-sector transition, managed-access vesting, synchronization, Zero-Line Status, anti-circumvention findings, verification outcomes, or advance rulings. Annex A owns product identity and coverage, Annexes B through F own their assigned treatment functions, Chapter 11 owns anti-circumvention and fraud functions, Chapter 12 owns verification, and Chapter 13 owns advance rulings. Annex G does not create SPS, regulatory, safeguard, remedial, adjudicative, or amendment authority. A cross-reference to another instrument records a dependency and does not transfer that instrument's authority to Annex G.</w:t>
      </w:r>
    </w:p>
    <w:p>
      <w:pPr/>
      <w:r>
        <w:t>G.1.3 Annex G uses the six product-rule types recognized by Article 10.5.2: Wholly Obtained, Specific Process, Change in Tariff Classification, Regional Value Content, Maximum Non-Originating Content, and Structured Hybrid Rule. No seventh rule type arises through guidance, repeated practice, technical administration, verification, or adjudication. A rule may contain alternative routes and multiple components only where the controlled record expresses their legal relationship. Generic Chapter 10 machinery is incorporated by reference rather than restated as product-specific law unless a product-specific qualification is legally required.</w:t>
      </w:r>
    </w:p>
    <w:p>
      <w:pPr/>
      <w:r>
        <w:t>G.1.4 Rule assignment and rule application remain separate legal functions. Annex G identifies the controlling product-specific test, while the applicable Chapter 10 pathway and Chapter 12 procedures determine how that test is applied to the facts and evidence of a claim, and Chapter 13 governs prospective advance-ruling application within its assigned authority. Satisfaction or failure of a rule is not created by the status of the Annex G record itself. An unresolved technical record follows Chapter 3 correction and verification disciplines, while claim-specific application, cure, or dispute consequences proceed through Chapters 12, 13, 25, and 26 only to the extent each Chapter has assigned authority.</w:t>
      </w:r>
    </w:p>
    <w:p>
      <w:pPr>
        <w:pStyle w:val="Heading2"/>
      </w:pPr>
      <w:bookmarkStart w:id="1775" w:name="NAATOC_0210"/>
      <w:bookmarkStart w:id="1210" w:name="toc_Article_G_2___Product_Rule_Rec"/>
      <w:r>
        <w:t>Article G.2 - Product-Rule Record Architecture</w:t>
      </w:r>
      <w:bookmarkEnd w:id="1210"/>
      <w:bookmarkEnd w:id="1775"/>
    </w:p>
    <w:p>
      <w:pPr/>
      <w:r>
        <w:t>G.2.1 Each substantive product-specific origin rule receives a persistent OriginRuleRecordID linked to the applicable Annex A ProductRecordID. The OriginRuleRecordID survives HS revisions, national nomenclature changes, splits, mergers, renumbering, and administrative reorganization unless a substantive amendment lawfully replaces the rule. Each legally material state receives a RuleVersionID with ValidFrom and ValidTo values and an append-only predecessor and successor trace. Retired identifiers are never reassigned to a different product, rule, route, or component.</w:t>
      </w:r>
    </w:p>
    <w:p>
      <w:pPr/>
      <w:r>
        <w:t>G.2.2 Each alternative means of satisfying one OriginRuleRecord receives a persistent RuleRouteID, and each atomic requirement within a route receives a persistent RuleComponentID. ComponentSequenceOrdinal records order where order has legal significance, and ComponentLogicOperator records the relationship among components using a controlled logical vocabulary. Alternative routes remain alternatives and cumulative components remain cumulative unless the substantive rule expressly provides otherwise. Reuse of a common component occurs only through an immutable controlled component-version reference, and a later change to that component does not propagate into another rule absent lawful amendment and an express update of the affected rule's reference.</w:t>
      </w:r>
    </w:p>
    <w:p>
      <w:pPr/>
      <w:r>
        <w:t>G.2.3 Every controlled field receives an operative, evidentiary, administrative, derived, navigational, or field-status governance class. Each operative field and each substantive route or component carries field-level provenance and field-level verification references sufficient to identify source, source date, authority, method, scope, and material limitation. Derived record verification never overrides a more specific field or component status. A blank, missing, disputed, or unresolved material field receives no default value and authorizes no inference by administrative convenience.</w:t>
      </w:r>
    </w:p>
    <w:p>
      <w:pPr/>
      <w:r>
        <w:t>G.2.4 PartyApplicationScope identifies whether a rule is trilateral or expressly Party-specific, and trilateral application is not displaced by silence. NationalTariffRecord and HSReference provide classification navigation without becoming the source of the substantive rule. Multiple G records for one ProductRecordID exist only where an objectively necessary legal distinction such as Party scope, ex-out scope, temporal version, or expressly different product rule requires separation. Cross-Annex reconciliation repairs identifiers and navigation but does not create, delete, tighten, loosen, or otherwise amend a substantive origin rule.</w:t>
      </w:r>
    </w:p>
    <w:p>
      <w:pPr>
        <w:pStyle w:val="Heading2"/>
      </w:pPr>
      <w:bookmarkStart w:id="1776" w:name="NAATOC_0211"/>
      <w:bookmarkStart w:id="1211" w:name="toc_Article_G_3___Rule_Assignment_"/>
      <w:r>
        <w:t>Article G.3 - Rule Assignment and Product Scope</w:t>
      </w:r>
      <w:bookmarkEnd w:id="1211"/>
      <w:bookmarkEnd w:id="1776"/>
    </w:p>
    <w:p>
      <w:pPr/>
      <w:r>
        <w:t>G.3.1 Each Annex G rule identifies its ProductRecordID scope with an objective product description and states whether it applies to the entire Product Record or to a legally defined ex-out. Rule assignment does not arise from adjacency in a tariff schedule, membership in the same heading or HS6 family, ingredient relationship, processing lineage, commercial similarity, or sector label. A statistical subdivision does not narrow a rule and a broader tariff heading does not expand it unless the controlling substantive text expressly produces that result. Product-scope uncertainty remains visible and is routed through the Compact's classification, correction, cure, and dispute architecture rather than resolved by inference.</w:t>
      </w:r>
    </w:p>
    <w:p>
      <w:pPr/>
      <w:r>
        <w:t>G.3.2 A rule states whether it applies to primary goods, processed goods, mixtures, sets, ingredients, seasonal goods, novel goods, or another objectively defined product condition where that distinction is legally material. Any end-use, composition, seasonal, geographic, or production-scope condition is objectively measurable and linked to the component it qualifies. A condition does not migrate to another ProductRecordID merely because the products share materials, facilities, producers, or tariff proximity. Annex A maintenance records product identity and coverage but neither creates nor deletes an Annex G rule.</w:t>
      </w:r>
    </w:p>
    <w:p>
      <w:pPr/>
      <w:r>
        <w:t>G.3.3 A Party-specific rule exists only where the controlling legal source expressly establishes different application among Parties. The record identifies the Party relationship and any non-application to the third Party with enough precision to prevent accidental trilateralization or bilateral spillover. Silence concerning Party scope does not authorize an administrator to select a more restrictive rule for one Party. Changes to Party scope are substantive changes and follow Article 30.19, with Chapter 29 applying only to review, acceleration, or technical maintenance within its assigned authority.</w:t>
      </w:r>
    </w:p>
    <w:p>
      <w:pPr/>
      <w:r>
        <w:t>G.3.4 Each rule identifies whether its routes are alternative, cumulative, conditional, or otherwise related under an expressly encoded logical structure. A claimant may rely on any legally available alternative route without satisfying another route unless the rule expressly requires cumulative satisfaction. Administration does not convert OR to AND, AND to OR, an optional component to a mandatory component, or a conditional route to an unconditional route. Ambiguous source text is preserved as an interpretation issue and does not become administrative discretion to choose the stricter or looser construction.</w:t>
      </w:r>
    </w:p>
    <w:p>
      <w:pPr>
        <w:pStyle w:val="Heading2"/>
      </w:pPr>
      <w:bookmarkStart w:id="1777" w:name="NAATOC_0212"/>
      <w:bookmarkStart w:id="1212" w:name="toc_Article_G_4___Wholly_Obtained_"/>
      <w:r>
        <w:t>Article G.4 - Wholly Obtained and Originating-Material Interfaces</w:t>
      </w:r>
      <w:bookmarkEnd w:id="1212"/>
      <w:bookmarkEnd w:id="1777"/>
    </w:p>
    <w:p>
      <w:pPr/>
      <w:r>
        <w:t>G.4.1 Annex G records a product-specific clarification for the wholly obtained pathway only where Article 10.3 or the controlling legal source requires greater precision for the identified product. Generic Chapter 10 categories are not duplicated merely to populate the schedule. A product-specific clarification may identify an objectively testable harvest, animal, aquaculture, marine, vessel, territorial, or comparable condition within Chapter 10's authority. The clarification does not create a new origin pathway or expand maritime jurisdiction.</w:t>
      </w:r>
    </w:p>
    <w:p>
      <w:pPr/>
      <w:r>
        <w:t>G.4.2 A product-specific wholly obtained rule states any material condition governing primary production and any expressly relevant transition from primary production to processing. Ordinary operations already governed by Article 10.3 remain governed there unless Annex G lawfully specifies a product-specific boundary. Processing beyond the wholly obtained pathway routes the resulting good to the applicable Article 10.4 or Article 10.5 analysis rather than automatically destroying all originating character in its materials. Annex G does not treat ownership, producer nationality, invoice currency, or facility headquarters as a substitute for substantive production facts.</w:t>
      </w:r>
    </w:p>
    <w:p>
      <w:pPr/>
      <w:r>
        <w:t>G.4.3 Production exclusively from originating materials remains governed by Article 10.4 and does not require an Annex G non-originating-material test unless the controlling rule expressly assigns a product-specific condition for another stated purpose. Annex G may reference a product-specific production clarification, minimal-operation boundary, or dependency where Chapter 10 expressly permits that precision. Such a reference does not convert originating materials into non-originating materials or impose a redundant tariff-shift or value-content test. Supplier reliance, material status, and evidentiary sufficiency remain governed by Chapter 10 and Chapter 12.</w:t>
      </w:r>
    </w:p>
    <w:p>
      <w:pPr/>
      <w:r>
        <w:t>G.4.4 Product-specific interactions involving accumulation, neutral elements, packaging, containers, processing aids, or comparable Chapter 10 machinery are recorded only when the rule lawfully departs from, conditions, or selects among the generic Chapter 10 options. Silence preserves the applicable generic Chapter 10 rule and does not create a product-specific exception. A product-specific dependency identifies the controlling Chapter 10 provision and the precise scope of the departure or selection. Annex G does not restate generic machinery in a way that creates conflicting parallel law.</w:t>
      </w:r>
    </w:p>
    <w:p>
      <w:pPr>
        <w:pStyle w:val="Heading2"/>
      </w:pPr>
      <w:bookmarkStart w:id="1778" w:name="NAATOC_0213"/>
      <w:bookmarkStart w:id="1213" w:name="toc_Article_G_5___Change_in_Tariff"/>
      <w:r>
        <w:t>Article G.5 - Change in Tariff Classification Rules</w:t>
      </w:r>
      <w:bookmarkEnd w:id="1213"/>
      <w:bookmarkEnd w:id="1778"/>
    </w:p>
    <w:p>
      <w:pPr/>
      <w:r>
        <w:t>G.5.1 A Change in Tariff Classification rule identifies the required controlled shift, including change of chapter, change of heading, change of subheading, or another expressly authorized classification transformation. The record identifies the HS edition against which the transformation is tested and the classification level applicable to non-originating materials. The rule states whether the test applies to all, each, or another expressly defined set of non-originating materials. A tariff shift is not inferred from the tariff schedule, product description, or commercial understanding alone.</w:t>
      </w:r>
    </w:p>
    <w:p>
      <w:pPr/>
      <w:r>
        <w:t>G.5.2 Each Change in Tariff Classification component identifies any excluded heading, excluded subheading, material exception, or ex-out that forms part of the substantive rule. An exclusion attaches to the component to which the legal source assigns it and does not migrate to unrelated routes or products. Statistical subdivisions do not create additional tariff-shift requirements unless the substantive rule expressly uses that level. An administrator does not expand an exclusion because a material appears economically similar to an expressly excluded material.</w:t>
      </w:r>
    </w:p>
    <w:p>
      <w:pPr/>
      <w:r>
        <w:t>G.5.3 The record states any product-specific interaction with de minimis treatment, sets, mixtures, packaging, accessories, containers, neutral elements, processing aids, fuels, energy, or comparable Chapter 10 concepts where the controlling rule requires a departure from the generic rule. Originating materials are not subjected to a non-originating-material tariff-shift test merely because they appear in the bill of materials. A de minimis rule does not override an express product-specific exclusion unless the controlling law permits that interaction. Each required transformation remains reproducible from the classification and production records ordinarily relevant to the claim.</w:t>
      </w:r>
    </w:p>
    <w:p>
      <w:pPr/>
      <w:r>
        <w:t>G.5.4 HS revision, concordance, split, merger, or statistical maintenance does not itself alter the substantive Change in Tariff Classification bargain. Annex G maps the existing rule through the concordance machinery in Article G.9 and preserves unresolved mappings as unresolved. A technical mapping cannot broaden the material universe subject to a shift or narrow an existing exclusion. Substantive modification of the transformation requirement follows Article 30.19, with Chapter 29 governing only review, acceleration, and technical amendment within its assigned limits.</w:t>
      </w:r>
    </w:p>
    <w:p>
      <w:pPr>
        <w:pStyle w:val="Heading2"/>
      </w:pPr>
      <w:bookmarkStart w:id="1779" w:name="NAATOC_0214"/>
      <w:bookmarkStart w:id="1214" w:name="toc_Article_G_6___Regional_Value_C"/>
      <w:r>
        <w:t>Article G.6 - Regional Value Content and Maximum Non-Originating Content</w:t>
      </w:r>
      <w:bookmarkEnd w:id="1214"/>
      <w:bookmarkEnd w:id="1779"/>
    </w:p>
    <w:p>
      <w:pPr/>
      <w:r>
        <w:t>G.6.1 A Regional Value Content rule exists only where Annex G expressly assigns an RVC requirement to the identified ProductRecordID and route. The record states the numeric threshold, the authorized calculation method or methods, and any product-specific valuation dependency required by Chapter 10. Where more than one method is authorized, the record states whether the methods are alternatives or apply under objectively defined conditions. No authority infers an RVC threshold, formula, or method from silence, industry practice, another product, or a desired commercial result.</w:t>
      </w:r>
    </w:p>
    <w:p>
      <w:pPr/>
      <w:r>
        <w:t>G.6.2 Product-specific RVC components identify any legally required treatment of non-originating materials, related-party values, freight, insurance, packing, duties, taxes, brokerage, waste, scrap, by-products, currency conversion, rounding, calculation period, inventory method, accumulation, intermediate materials, roll-up, or de minimis interaction. Generic calculation rules remain in Chapter 10 and are referenced rather than copied when no product-specific variation exists. A selected method is applied consistently for the period and circumstances governed by the controlling rule. Method selection does not occur retrospectively solely to obtain a preferred origin result where Chapter 10 or the product rule prohibits that practice.</w:t>
      </w:r>
    </w:p>
    <w:p>
      <w:pPr/>
      <w:r>
        <w:t>G.6.3 A Maximum Non-Originating Content rule identifies the numeric ceiling, measurement basis, relevant material universe, and any authorized calculation method. The record states whether MNC is an independent route, an alternative to RVC, cumulative with a tariff shift, or part of a structured hybrid. No authority converts an MNC ceiling into an RVC floor or the reverse through mathematical convenience. The calculation remains reproducible from the records and valuation rules applicable under Chapter 10.</w:t>
      </w:r>
    </w:p>
    <w:p>
      <w:pPr/>
      <w:r>
        <w:t>G.6.4 RVC and MNC rule components carry component-level provenance and verification because a threshold, formula, method, or exception can independently determine legal outcome. Correction of a clerical transcription error preserves the controlling substantive source and prior version history. A disputed threshold or method is not resolved by selecting the value that produces the stricter or more permissive commercial result. Substantive changes to thresholds, formulas, authorized methods, or measurement bases require the Compact's substantive amendment process.</w:t>
      </w:r>
    </w:p>
    <w:p>
      <w:pPr>
        <w:pStyle w:val="Heading2"/>
      </w:pPr>
      <w:bookmarkStart w:id="1780" w:name="NAATOC_0215"/>
      <w:bookmarkStart w:id="1215" w:name="toc_Article_G_7___Specific_Process"/>
      <w:r>
        <w:t>Article G.7 - Specific-Process and Structured Hybrid Rules</w:t>
      </w:r>
      <w:bookmarkEnd w:id="1215"/>
      <w:bookmarkEnd w:id="1780"/>
    </w:p>
    <w:p>
      <w:pPr/>
      <w:r>
        <w:t>G.7.1 A Specific Process rule identifies an objectively testable production operation and the product, material, sequence, condition, or result to which that operation applies. Where legally material, the component states measurable parameters such as sequence, temperature, pressure, chemical reaction, microbial treatment, transformation, or another verifiable production criterion. Phrases such as substantial transformation, reasonable processing, customs discretion, or as determined by the authority do not operate as stand-alone Annex G requirements. A verification authority applies the recorded requirement and does not invent an additional process because the actual production appears unusual or suspicious.</w:t>
      </w:r>
    </w:p>
    <w:p>
      <w:pPr/>
      <w:r>
        <w:t>G.7.2 A Structured Hybrid Rule consists of two or more RuleComponents combined through an explicit logical structure. Each component identifies whether it is mandatory, alternative, conditional, excluded, or otherwise related to another component, and any legally significant order is recorded. Exceptions identify whether they apply to the entire route or only to a named component. The human-readable expression and machine-readable structure yield the same legal result.</w:t>
      </w:r>
    </w:p>
    <w:p>
      <w:pPr/>
      <w:r>
        <w:t>G.7.3 Each alternative pathway within a hybrid rule receives its own RuleRouteID, while cumulative requirements within that pathway remain separate RuleComponentIDs under the same route. This structure distinguishes CTH OR RVC from CTH AND RVC without relying on punctuation or drafting convention. A conditional alternative identifies the triggering condition and the route available when that condition is satisfied. Administration, verification, advance rulings, and technical maintenance preserve the encoded logical relationship.</w:t>
      </w:r>
    </w:p>
    <w:p>
      <w:pPr/>
      <w:r>
        <w:t>G.7.4 Hybrid and specific-process records receive sample validation before controlled promotion, including at least one conforming case and one non-conforming case where the rule can reasonably support both. Test cases validate deterministic expression and do not become independent legal authority. A test case that exposes ambiguity, contradiction, or an impossible condition routes the affected field or component to Pending Verification or Disputed status. Population does not cure defective source text by silently rewriting the substantive rule.</w:t>
      </w:r>
    </w:p>
    <w:p>
      <w:pPr>
        <w:pStyle w:val="Heading2"/>
      </w:pPr>
      <w:bookmarkStart w:id="1781" w:name="NAATOC_0216"/>
      <w:bookmarkStart w:id="1216" w:name="toc_Article_G_8___Accumulation_and"/>
      <w:r>
        <w:t>Article G.8 - Accumulation and Chapter 10 Production Relationships</w:t>
      </w:r>
      <w:bookmarkEnd w:id="1216"/>
      <w:bookmarkEnd w:id="1781"/>
    </w:p>
    <w:p>
      <w:pPr/>
      <w:r>
        <w:t>G.8.1 Regional accumulation remains governed by Article 10.6, and Annex G records only a product-specific selection, limitation, departure, or dependency expressly authorized by the controlling rule. The record states whether the product-specific rule concerns originating materials, qualifying production processes, or another recognized accumulation relationship. A product-specific accumulation provision identifies any nexus or traceability condition necessary to apply it. Accumulation does not create an origin rule where Annex G assigns none and does not excuse a component the rule expressly requires.</w:t>
      </w:r>
    </w:p>
    <w:p>
      <w:pPr/>
      <w:r>
        <w:t>G.8.2 Product-specific treatment of intermediate materials, self-produced materials, roll-up, fungible materials, inventory methods, or reconciliation periods is recorded only where the applicable rule requires product-level precision. The record references the controlling Chapter 10 machinery and states the specific choice or departure rather than reproducing the generic regime. Inventory methodology does not alter ProductRecordID, OriginRuleRecordID, or the substantive scope of a rule. A change in accounting method cannot be used to rewrite the rule after the relevant production outcome is known where Chapter 10 requires consistency.</w:t>
      </w:r>
    </w:p>
    <w:p>
      <w:pPr/>
      <w:r>
        <w:t>G.8.3 Product-specific treatment of neutral elements, indirect materials, processing aids, catalysts, solvents, packaging, containers, feed, seed, or comparable inputs is recorded only where legally material to the assigned rule. Generic exclusions or inclusions already supplied by Chapter 10 remain controlling in the absence of an express product-specific provision. A record distinguishes a material that is excluded from the origin calculation from a material that is deemed originating or otherwise treated under a different rule. Administrative convenience does not collapse those distinct legal treatments.</w:t>
      </w:r>
    </w:p>
    <w:p>
      <w:pPr/>
      <w:r>
        <w:t>G.8.4 A Sensitive Input Register or comparable Chapter 10 dependency is incorporated by reference only where the controlling product rule expressly relies on it. The reference identifies the applicable version and effective period without duplicating the external register's substantive content in Annex G. Amendment of the referenced instrument affects Annex G only to the extent the Compact lawfully gives that amendment effect for the product rule. A broken or disputed dependency is exposed through the verification and correction architecture rather than replaced with an inferred input rule.</w:t>
      </w:r>
    </w:p>
    <w:p>
      <w:pPr>
        <w:pStyle w:val="Heading2"/>
      </w:pPr>
      <w:bookmarkStart w:id="1782" w:name="NAATOC_0217"/>
      <w:bookmarkStart w:id="1217" w:name="toc_Article_G_9___HS_Concordance_a"/>
      <w:r>
        <w:t>Article G.9 - HS Concordance and Rule Continuity</w:t>
      </w:r>
      <w:bookmarkEnd w:id="1217"/>
      <w:bookmarkEnd w:id="1782"/>
    </w:p>
    <w:p>
      <w:pPr/>
      <w:r>
        <w:t>G.9.1 OriginRuleRecordID and the substantive product rule survive a purely technical HS or national nomenclature revision. Each mapping records the predecessor classification, successor classification, HS editions, mapping type, source, effective date, and verification state. One-to-one, one-to-many, many-to-one, and many-to-many mappings remain distinguishable. Concordance is a continuity mechanism and not an amendment mechanism.</w:t>
      </w:r>
    </w:p>
    <w:p>
      <w:pPr/>
      <w:r>
        <w:t>G.9.2 A one-to-many split preserves the predecessor rule across objectively corresponding successor scope unless the legal source establishes a substantive reassignment or the mapping remains genuinely unresolved. A many-to-one merger preserves distinct predecessor rules through ex-outs, route distinctions, or other controlled scope where necessary to avoid silently tightening or loosening either rule. An unresolved mapping does not authorize an administrator to choose the successor producing the preferred origin outcome. The last valid rule remains legally traceable even when its new classification location requires technical verification.</w:t>
      </w:r>
    </w:p>
    <w:p>
      <w:pPr/>
      <w:r>
        <w:t>G.9.3 Concordance cannot create a new rule, delete an existing rule, broaden product scope, narrow product scope, change a threshold, alter Boolean logic, add an exclusion, remove an exclusion, or change Party application. A statistical suffix change receives the same protection against substantive drift. Technical correction records the mapping necessary to preserve the bargain and nothing more. Any substantive change to the bargain follows Article 30.19, while Chapter 29 governs technical maintenance and other functions within its assigned limits.</w:t>
      </w:r>
    </w:p>
    <w:p>
      <w:pPr/>
      <w:r>
        <w:t>G.9.4 Concordance history is append-only and preserves superseded classifications, mapping evidence, verification status, and correction reasons. Provisional or disputed mappings are labeled at the affected field and do not contaminate unrelated rules or components. Successor navigation becomes authoritative only to the extent supported by the controlled mapping evidence. Chapter 3 correction and verification disciplines govern technical disputes without converting classification maintenance into origin legislation.</w:t>
      </w:r>
    </w:p>
    <w:p>
      <w:pPr>
        <w:pStyle w:val="Heading2"/>
      </w:pPr>
      <w:bookmarkStart w:id="1783" w:name="NAATOC_0218"/>
      <w:bookmarkStart w:id="1218" w:name="toc_Article_G_10___Verification__E"/>
      <w:r>
        <w:t xml:space="preserve">Article G.10 - Verification, Evidence, and Advance-Ruling Interfaces</w:t>
      </w:r>
      <w:bookmarkEnd w:id="1218"/>
      <w:bookmarkEnd w:id="1783"/>
    </w:p>
    <w:p>
      <w:pPr/>
      <w:r>
        <w:t>G.10.1 Annex G records the controlling product-specific rule, while Chapter 12 verifies whether a claim and its evidence satisfy that rule. Annex G does not store shipment-level RVC results, importer certifications, individual verification findings, fraud determinations, or comparable transaction evidence as substantive schedule fields. A verification record may reference the applicable OriginRuleRecordID, RuleRouteID, and RuleComponentID for traceability. Verification does not amend the rule it applies.</w:t>
      </w:r>
    </w:p>
    <w:p>
      <w:pPr/>
      <w:r>
        <w:t>G.10.2 Chapter 12 verification cannot add or remove a RuleComponent, convert OR to AND, convert AND to OR, infer an RVC or MNC threshold, invent a specific process, expand an exclusion, or alter Party scope. A verification decision may interpret and apply controlling text within its assigned authority without becoming a new Annex G entry. Repeated verification outcomes do not mature into an unwritten product rule. A recurring ambiguity revealed by verification is routed for interpretation, correction, or amendment through the Compact's assigned procedures.</w:t>
      </w:r>
    </w:p>
    <w:p>
      <w:pPr/>
      <w:r>
        <w:t>G.10.3 Chapter 13 advance rulings may identify the Annex G rule expected to govern stated prospective facts and may apply that rule within Chapter 13's authority. An advance ruling does not amend OriginRuleRecordID, RuleRouteID, RuleComponentID, threshold, exclusion, logical operator, or product scope. Different factual assumptions may produce different rulings without creating different product rules. A conflict between a ruling and the controlling Annex G text is resolved under the Compact's review architecture rather than by silently editing Annex G.</w:t>
      </w:r>
    </w:p>
    <w:p>
      <w:pPr/>
      <w:r>
        <w:t>G.10.4 Chapter 11 anti-circumvention, transshipment, and fraud functions remain separate from Annex G rule assignment. Evidence of evasion or fraud may trigger investigation, denial, cure, or remedy under the controlling Chapters without creating a stricter product-specific origin rule. Suspicion concerning a process, material, routing pattern, or producer does not authorize insertion of a new G component. Annex G therefore remains stable while enforcement responds to transaction-specific misconduct through its own legal machinery.</w:t>
      </w:r>
    </w:p>
    <w:p>
      <w:pPr>
        <w:pStyle w:val="Heading2"/>
      </w:pPr>
      <w:bookmarkStart w:id="1784" w:name="NAATOC_0219"/>
      <w:bookmarkStart w:id="1219" w:name="toc_Article_G_11___Correction__Ame"/>
      <w:r>
        <w:t xml:space="preserve">Article G.11 - Correction, Amendment, and Anti-Laundering</w:t>
      </w:r>
      <w:bookmarkEnd w:id="1219"/>
      <w:bookmarkEnd w:id="1784"/>
    </w:p>
    <w:p>
      <w:pPr/>
      <w:r>
        <w:t>G.11.1 Customs guidance, administrative practice, database maintenance, importer certification, Secretariat action, ALVS output, verification findings, advance rulings, non-objection, silence, emergency administration, or repeated implementation do not create or amend an Annex G rule. Those instruments may evidence, administer, analyze, or apply a controlling rule only within their assigned functions. No technical instrument acquires substantive origin-rule authority through frequency of use or institutional convenience. A claimed change identifies the Compact provision and lawful act supplying substantive amendment authority.</w:t>
      </w:r>
    </w:p>
    <w:p>
      <w:pPr/>
      <w:r>
        <w:t>G.11.2 A technical correction may repair transcription, identifier, cross-reference, formatting, or concordance error where the controlling substantive bargain remains unchanged. The correction identifies the prior value, corrected value, reason, authority, effective treatment, and affected versions. A correction does not retroactively tighten or loosen a rule merely because an erroneous database value was previously displayed. Material uncertainty about whether a proposed correction is substantive routes the change to the amendment process rather than technical maintenance.</w:t>
      </w:r>
    </w:p>
    <w:p>
      <w:pPr/>
      <w:r>
        <w:t>G.11.3 No blank field, missing record, delayed publication, absent machine-readable entry, or administrative silence authorizes selection of a reasonable origin rule. Where a controlling substantive rule can be established from authoritative Compact sources, the record is corrected to reflect that rule with complete provenance. Where the substantive rule cannot be established without inference, the affected matter remains Pending Verification or Disputed and the applicable legal procedures govern treatment. Administrative necessity does not supply missing legislative content.</w:t>
      </w:r>
    </w:p>
    <w:p>
      <w:pPr/>
      <w:r>
        <w:t>G.11.4 Substantive amendment of product scope, rule type, route availability, component content, logical relationship, threshold, calculation method, exclusion, Party scope, or another outcome-determinative requirement follows Article 30.19. Chapter 29 review, acceleration, technical amendment, emergency action, technical verification, or administrative modernization does not bypass the formal substantive-amendment authority. Historical versions remain immutable evidence of the rule applicable during their ValidFrom and ValidTo periods. No substantive amendment is backdated through a technical correction unless the lawful amendment itself expressly supplies that legal effect.</w:t>
      </w:r>
    </w:p>
    <w:p>
      <w:pPr>
        <w:pStyle w:val="Heading2"/>
      </w:pPr>
      <w:bookmarkStart w:id="1785" w:name="NAATOC_0220"/>
      <w:bookmarkStart w:id="1220" w:name="toc_Article_G_12___Publication__Ve"/>
      <w:r>
        <w:t xml:space="preserve">Article G.12 - Publication, Version Control, and Controlled Population</w:t>
      </w:r>
      <w:bookmarkEnd w:id="1220"/>
      <w:bookmarkEnd w:id="1785"/>
    </w:p>
    <w:p>
      <w:pPr/>
      <w:r>
        <w:t>G.12.1 Annex G is published in synchronized human-readable and machine-readable forms using a controlled schema and stable identifiers. The human-readable expression and machine-readable structure are reconciled before promotion and neither format silently prevails over the controlling legal source when a discrepancy is detected. Each release identifies DatasetVersion, SchemaVersion, effective period, source manifest, and superseded release where applicable. Historical releases remain retrievable for legal and technical reconstruction.</w:t>
      </w:r>
    </w:p>
    <w:p>
      <w:pPr/>
      <w:r>
        <w:t>G.12.2 Controlled population uses authoritative sources and the verification hierarchy established by Chapters 3 and 22. No RVC threshold, MNC ceiling, tariff shift, specific process, exclusion, route relationship, Party scope, or effective date is populated by inference merely to complete the schedule. Unresolved fields remain visibly unresolved and receive the applicable field-level status. Promotion occurs only after deterministic validation and the independent verification required by the Compact's data architecture.</w:t>
      </w:r>
    </w:p>
    <w:p>
      <w:pPr/>
      <w:r>
        <w:t>G.12.3 Population QA tests identifier uniqueness, ProductRecordID linkage, route and component logic, required-field completeness, concordance continuity, version chronology, provenance, verification status, and human-to-machine equivalence. Structured Hybrid Rules receive adversarial logic tests, and each rule type receives representative validation cases before broad population. A failed test creates an exception or correction task rather than a guessed value. Technical completeness is reported separately from legal completeness so an apparently full database cannot conceal unresolved substantive law.</w:t>
      </w:r>
    </w:p>
    <w:p>
      <w:pPr/>
      <w:r>
        <w:t>G.12.4 Annex G population records and administers product-specific rules but does not itself create a rule merely because a record passes technical validation. Legal effect continues to derive from Chapter 10, the controlling Compact source, and any lawful amendment. Publication delay does not erase an otherwise operative rule, and premature publication does not accelerate a rule that is not yet legally operative. The Annex G release process therefore preserves the distinction among substantive law, verified representation, and administrative availability.</w:t>
      </w:r>
    </w:p>
    <w:p>
      <w:pPr>
        <w:pStyle w:val="Heading2"/>
      </w:pPr>
      <w:bookmarkStart w:id="1786" w:name="NAATOC_0221"/>
      <w:bookmarkStart w:id="1221" w:name="toc_Annex_G_Product_Specific_Rules"/>
      <w:r>
        <w:t>Annex G Product-Specific Rules of Origin Schedule - Controlled Schema</w:t>
      </w:r>
      <w:bookmarkEnd w:id="1221"/>
      <w:bookmarkEnd w:id="1786"/>
    </w:p>
    <w:tbl>
      <w:tblPr>
        <w:tblStyle w:val="TableGrid"/>
        <w:tblW w:type="dxa" w:w="9994"/>
        <w:jc w:val="center"/>
        <w:tblLayout w:type="fixed"/>
        <w:tblLook w:firstColumn="1" w:firstRow="1" w:lastColumn="0" w:lastRow="0" w:noHBand="0" w:noVBand="1" w:val="04A0"/>
      </w:tblPr>
      <w:tblGrid>
        <w:gridCol w:w="2915"/>
        <w:gridCol w:w="1915"/>
        <w:gridCol w:w="5164"/>
      </w:tblGrid>
      <w:tr>
        <w:trPr>
          <w:tblHeader w:val="true"/>
        </w:trPr>
        <w:tc>
          <w:tcPr>
            <w:tcW w:type="dxa" w:w="2915"/>
            <w:vAlign w:val="center"/>
          </w:tcPr>
          <w:p>
            <w:pPr>
              <w:spacing w:before="20" w:after="20"/>
            </w:pPr>
            <w:r>
              <w:rPr>
                <w:sz w:val="16"/>
                <w:szCs w:val="16"/>
              </w:rPr>
              <w:t>Field</w:t>
            </w:r>
          </w:p>
        </w:tc>
        <w:tc>
          <w:tcPr>
            <w:tcW w:type="dxa" w:w="1915"/>
            <w:vAlign w:val="center"/>
          </w:tcPr>
          <w:p>
            <w:pPr>
              <w:spacing w:before="20" w:after="20"/>
            </w:pPr>
            <w:r>
              <w:rPr>
                <w:sz w:val="16"/>
                <w:szCs w:val="16"/>
              </w:rPr>
              <w:t>Governance</w:t>
            </w:r>
          </w:p>
        </w:tc>
        <w:tc>
          <w:tcPr>
            <w:tcW w:type="dxa" w:w="5164"/>
            <w:vAlign w:val="center"/>
          </w:tcPr>
          <w:p>
            <w:pPr>
              <w:spacing w:before="20" w:after="20"/>
            </w:pPr>
            <w:r>
              <w:rPr>
                <w:sz w:val="16"/>
                <w:szCs w:val="16"/>
              </w:rPr>
              <w:t>Controlled meaning</w:t>
            </w:r>
          </w:p>
        </w:tc>
      </w:tr>
      <w:tr>
        <w:tc>
          <w:tcPr>
            <w:tcW w:type="dxa" w:w="2915"/>
            <w:vAlign w:val="center"/>
          </w:tcPr>
          <w:p>
            <w:pPr>
              <w:spacing w:before="20" w:after="20"/>
            </w:pPr>
            <w:r>
              <w:rPr>
                <w:sz w:val="16"/>
                <w:szCs w:val="16"/>
              </w:rPr>
              <w:t>OriginRuleRecordID</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Persistent identity of the substantive product-specific origin rule.</w:t>
            </w:r>
          </w:p>
        </w:tc>
      </w:tr>
      <w:tr>
        <w:tc>
          <w:tcPr>
            <w:tcW w:type="dxa" w:w="2915"/>
            <w:vAlign w:val="center"/>
          </w:tcPr>
          <w:p>
            <w:pPr>
              <w:spacing w:before="20" w:after="20"/>
            </w:pPr>
            <w:r>
              <w:rPr>
                <w:sz w:val="16"/>
                <w:szCs w:val="16"/>
              </w:rPr>
              <w:t>RuleVersionID</w:t>
            </w:r>
          </w:p>
        </w:tc>
        <w:tc>
          <w:tcPr>
            <w:tcW w:type="dxa" w:w="1915"/>
            <w:vAlign w:val="center"/>
          </w:tcPr>
          <w:p>
            <w:pPr>
              <w:spacing w:before="20" w:after="20"/>
            </w:pPr>
            <w:r>
              <w:rPr>
                <w:sz w:val="16"/>
                <w:szCs w:val="16"/>
              </w:rPr>
              <w:t>Administrative</w:t>
            </w:r>
          </w:p>
        </w:tc>
        <w:tc>
          <w:tcPr>
            <w:tcW w:type="dxa" w:w="5164"/>
            <w:vAlign w:val="center"/>
          </w:tcPr>
          <w:p>
            <w:pPr>
              <w:spacing w:before="20" w:after="20"/>
            </w:pPr>
            <w:r>
              <w:rPr>
                <w:sz w:val="16"/>
                <w:szCs w:val="16"/>
              </w:rPr>
              <w:t>Identifier for each legally material version of the rule.</w:t>
            </w:r>
          </w:p>
        </w:tc>
      </w:tr>
      <w:tr>
        <w:tc>
          <w:tcPr>
            <w:tcW w:type="dxa" w:w="2915"/>
            <w:vAlign w:val="center"/>
          </w:tcPr>
          <w:p>
            <w:pPr>
              <w:spacing w:before="20" w:after="20"/>
            </w:pPr>
            <w:r>
              <w:rPr>
                <w:sz w:val="16"/>
                <w:szCs w:val="16"/>
              </w:rPr>
              <w:t>ProductRecordID</w:t>
            </w:r>
          </w:p>
        </w:tc>
        <w:tc>
          <w:tcPr>
            <w:tcW w:type="dxa" w:w="1915"/>
            <w:vAlign w:val="center"/>
          </w:tcPr>
          <w:p>
            <w:pPr>
              <w:spacing w:before="20" w:after="20"/>
            </w:pPr>
            <w:r>
              <w:rPr>
                <w:sz w:val="16"/>
                <w:szCs w:val="16"/>
              </w:rPr>
              <w:t>Navigational</w:t>
            </w:r>
          </w:p>
        </w:tc>
        <w:tc>
          <w:tcPr>
            <w:tcW w:type="dxa" w:w="5164"/>
            <w:vAlign w:val="center"/>
          </w:tcPr>
          <w:p>
            <w:pPr>
              <w:spacing w:before="20" w:after="20"/>
            </w:pPr>
            <w:r>
              <w:rPr>
                <w:sz w:val="16"/>
                <w:szCs w:val="16"/>
              </w:rPr>
              <w:t>Cross-reference to the controlling Annex A product identity.</w:t>
            </w:r>
          </w:p>
        </w:tc>
      </w:tr>
      <w:tr>
        <w:tc>
          <w:tcPr>
            <w:tcW w:type="dxa" w:w="2915"/>
            <w:vAlign w:val="center"/>
          </w:tcPr>
          <w:p>
            <w:pPr>
              <w:spacing w:before="20" w:after="20"/>
            </w:pPr>
            <w:r>
              <w:rPr>
                <w:sz w:val="16"/>
                <w:szCs w:val="16"/>
              </w:rPr>
              <w:t>PartyApplicationScope</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Party relationship to which the rule applies.</w:t>
            </w:r>
          </w:p>
        </w:tc>
      </w:tr>
      <w:tr>
        <w:tc>
          <w:tcPr>
            <w:tcW w:type="dxa" w:w="2915"/>
            <w:vAlign w:val="center"/>
          </w:tcPr>
          <w:p>
            <w:pPr>
              <w:spacing w:before="20" w:after="20"/>
            </w:pPr>
            <w:r>
              <w:rPr>
                <w:sz w:val="16"/>
                <w:szCs w:val="16"/>
              </w:rPr>
              <w:t>NationalTariffRecord</w:t>
            </w:r>
          </w:p>
        </w:tc>
        <w:tc>
          <w:tcPr>
            <w:tcW w:type="dxa" w:w="1915"/>
            <w:vAlign w:val="center"/>
          </w:tcPr>
          <w:p>
            <w:pPr>
              <w:spacing w:before="20" w:after="20"/>
            </w:pPr>
            <w:r>
              <w:rPr>
                <w:sz w:val="16"/>
                <w:szCs w:val="16"/>
              </w:rPr>
              <w:t>Navigational</w:t>
            </w:r>
          </w:p>
        </w:tc>
        <w:tc>
          <w:tcPr>
            <w:tcW w:type="dxa" w:w="5164"/>
            <w:vAlign w:val="center"/>
          </w:tcPr>
          <w:p>
            <w:pPr>
              <w:spacing w:before="20" w:after="20"/>
            </w:pPr>
            <w:r>
              <w:rPr>
                <w:sz w:val="16"/>
                <w:szCs w:val="16"/>
              </w:rPr>
              <w:t>Party-specific tariff record used for classification navigation.</w:t>
            </w:r>
          </w:p>
        </w:tc>
      </w:tr>
      <w:tr>
        <w:tc>
          <w:tcPr>
            <w:tcW w:type="dxa" w:w="2915"/>
            <w:vAlign w:val="center"/>
          </w:tcPr>
          <w:p>
            <w:pPr>
              <w:spacing w:before="20" w:after="20"/>
            </w:pPr>
            <w:r>
              <w:rPr>
                <w:sz w:val="16"/>
                <w:szCs w:val="16"/>
              </w:rPr>
              <w:t>HSReference</w:t>
            </w:r>
          </w:p>
        </w:tc>
        <w:tc>
          <w:tcPr>
            <w:tcW w:type="dxa" w:w="1915"/>
            <w:vAlign w:val="center"/>
          </w:tcPr>
          <w:p>
            <w:pPr>
              <w:spacing w:before="20" w:after="20"/>
            </w:pPr>
            <w:r>
              <w:rPr>
                <w:sz w:val="16"/>
                <w:szCs w:val="16"/>
              </w:rPr>
              <w:t>Navigational</w:t>
            </w:r>
          </w:p>
        </w:tc>
        <w:tc>
          <w:tcPr>
            <w:tcW w:type="dxa" w:w="5164"/>
            <w:vAlign w:val="center"/>
          </w:tcPr>
          <w:p>
            <w:pPr>
              <w:spacing w:before="20" w:after="20"/>
            </w:pPr>
            <w:r>
              <w:rPr>
                <w:sz w:val="16"/>
                <w:szCs w:val="16"/>
              </w:rPr>
              <w:t>HS edition and classification reference associated with the rule.</w:t>
            </w:r>
          </w:p>
        </w:tc>
      </w:tr>
      <w:tr>
        <w:tc>
          <w:tcPr>
            <w:tcW w:type="dxa" w:w="2915"/>
            <w:vAlign w:val="center"/>
          </w:tcPr>
          <w:p>
            <w:pPr>
              <w:spacing w:before="20" w:after="20"/>
            </w:pPr>
            <w:r>
              <w:rPr>
                <w:sz w:val="16"/>
                <w:szCs w:val="16"/>
              </w:rPr>
              <w:t>ProductScopeDescription</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Objective description of the product or ex-out governed by the rule.</w:t>
            </w:r>
          </w:p>
        </w:tc>
      </w:tr>
      <w:tr>
        <w:tc>
          <w:tcPr>
            <w:tcW w:type="dxa" w:w="2915"/>
            <w:vAlign w:val="center"/>
          </w:tcPr>
          <w:p>
            <w:pPr>
              <w:spacing w:before="20" w:after="20"/>
            </w:pPr>
            <w:r>
              <w:rPr>
                <w:sz w:val="16"/>
                <w:szCs w:val="16"/>
              </w:rPr>
              <w:t>ScopeType</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Whole-record, ex-out, or other controlled product-scope type.</w:t>
            </w:r>
          </w:p>
        </w:tc>
      </w:tr>
      <w:tr>
        <w:tc>
          <w:tcPr>
            <w:tcW w:type="dxa" w:w="2915"/>
            <w:vAlign w:val="center"/>
          </w:tcPr>
          <w:p>
            <w:pPr>
              <w:spacing w:before="20" w:after="20"/>
            </w:pPr>
            <w:r>
              <w:rPr>
                <w:sz w:val="16"/>
                <w:szCs w:val="16"/>
              </w:rPr>
              <w:t>RuleType</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One of the six Article 10.5.2 controlled rule types.</w:t>
            </w:r>
          </w:p>
        </w:tc>
      </w:tr>
      <w:tr>
        <w:tc>
          <w:tcPr>
            <w:tcW w:type="dxa" w:w="2915"/>
            <w:vAlign w:val="center"/>
          </w:tcPr>
          <w:p>
            <w:pPr>
              <w:spacing w:before="20" w:after="20"/>
            </w:pPr>
            <w:r>
              <w:rPr>
                <w:sz w:val="16"/>
                <w:szCs w:val="16"/>
              </w:rPr>
              <w:t>RuleRouteID</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Persistent identity of an alternative or conditional route within the rule.</w:t>
            </w:r>
          </w:p>
        </w:tc>
      </w:tr>
      <w:tr>
        <w:tc>
          <w:tcPr>
            <w:tcW w:type="dxa" w:w="2915"/>
            <w:vAlign w:val="center"/>
          </w:tcPr>
          <w:p>
            <w:pPr>
              <w:spacing w:before="20" w:after="20"/>
            </w:pPr>
            <w:r>
              <w:rPr>
                <w:sz w:val="16"/>
                <w:szCs w:val="16"/>
              </w:rPr>
              <w:t>RouteRelationship</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Alternative, cumulative, conditional, or other controlled relationship among routes.</w:t>
            </w:r>
          </w:p>
        </w:tc>
      </w:tr>
      <w:tr>
        <w:tc>
          <w:tcPr>
            <w:tcW w:type="dxa" w:w="2915"/>
            <w:vAlign w:val="center"/>
          </w:tcPr>
          <w:p>
            <w:pPr>
              <w:spacing w:before="20" w:after="20"/>
            </w:pPr>
            <w:r>
              <w:rPr>
                <w:sz w:val="16"/>
                <w:szCs w:val="16"/>
              </w:rPr>
              <w:t>RuleComponentID</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Persistent identity of an atomic requirement within a route.</w:t>
            </w:r>
          </w:p>
        </w:tc>
      </w:tr>
      <w:tr>
        <w:tc>
          <w:tcPr>
            <w:tcW w:type="dxa" w:w="2915"/>
            <w:vAlign w:val="center"/>
          </w:tcPr>
          <w:p>
            <w:pPr>
              <w:spacing w:before="20" w:after="20"/>
            </w:pPr>
            <w:r>
              <w:rPr>
                <w:sz w:val="16"/>
                <w:szCs w:val="16"/>
              </w:rPr>
              <w:t>ComponentSequenceOrdinal</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Controlled order where component sequence has legal significance.</w:t>
            </w:r>
          </w:p>
        </w:tc>
      </w:tr>
      <w:tr>
        <w:tc>
          <w:tcPr>
            <w:tcW w:type="dxa" w:w="2915"/>
            <w:vAlign w:val="center"/>
          </w:tcPr>
          <w:p>
            <w:pPr>
              <w:spacing w:before="20" w:after="20"/>
            </w:pPr>
            <w:r>
              <w:rPr>
                <w:sz w:val="16"/>
                <w:szCs w:val="16"/>
              </w:rPr>
              <w:t>ComponentLogicOperator</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AND, OR, NOT, conditional, or other expressly authorized logical operator.</w:t>
            </w:r>
          </w:p>
        </w:tc>
      </w:tr>
      <w:tr>
        <w:tc>
          <w:tcPr>
            <w:tcW w:type="dxa" w:w="2915"/>
            <w:vAlign w:val="center"/>
          </w:tcPr>
          <w:p>
            <w:pPr>
              <w:spacing w:before="20" w:after="20"/>
            </w:pPr>
            <w:r>
              <w:rPr>
                <w:sz w:val="16"/>
                <w:szCs w:val="16"/>
              </w:rPr>
              <w:t>ComponentRequirement</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Human-readable substantive requirement represented by the component.</w:t>
            </w:r>
          </w:p>
        </w:tc>
      </w:tr>
      <w:tr>
        <w:tc>
          <w:tcPr>
            <w:tcW w:type="dxa" w:w="2915"/>
            <w:vAlign w:val="center"/>
          </w:tcPr>
          <w:p>
            <w:pPr>
              <w:spacing w:before="20" w:after="20"/>
            </w:pPr>
            <w:r>
              <w:rPr>
                <w:sz w:val="16"/>
                <w:szCs w:val="16"/>
              </w:rPr>
              <w:t>RequiredClassificationChange</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Required CC, CTH, CTSH, or other authorized tariff transformation.</w:t>
            </w:r>
          </w:p>
        </w:tc>
      </w:tr>
      <w:tr>
        <w:tc>
          <w:tcPr>
            <w:tcW w:type="dxa" w:w="2915"/>
            <w:vAlign w:val="center"/>
          </w:tcPr>
          <w:p>
            <w:pPr>
              <w:spacing w:before="20" w:after="20"/>
            </w:pPr>
            <w:r>
              <w:rPr>
                <w:sz w:val="16"/>
                <w:szCs w:val="16"/>
              </w:rPr>
              <w:t>ClassificationChangeMaterialScope</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Non-originating material universe to which the classification change applies.</w:t>
            </w:r>
          </w:p>
        </w:tc>
      </w:tr>
      <w:tr>
        <w:tc>
          <w:tcPr>
            <w:tcW w:type="dxa" w:w="2915"/>
            <w:vAlign w:val="center"/>
          </w:tcPr>
          <w:p>
            <w:pPr>
              <w:spacing w:before="20" w:after="20"/>
            </w:pPr>
            <w:r>
              <w:rPr>
                <w:sz w:val="16"/>
                <w:szCs w:val="16"/>
              </w:rPr>
              <w:t>ExcludedClassificationReference</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Heading, subheading, material, or ex-out excluded by the controlling component.</w:t>
            </w:r>
          </w:p>
        </w:tc>
      </w:tr>
      <w:tr>
        <w:tc>
          <w:tcPr>
            <w:tcW w:type="dxa" w:w="2915"/>
            <w:vAlign w:val="center"/>
          </w:tcPr>
          <w:p>
            <w:pPr>
              <w:spacing w:before="20" w:after="20"/>
            </w:pPr>
            <w:r>
              <w:rPr>
                <w:sz w:val="16"/>
                <w:szCs w:val="16"/>
              </w:rPr>
              <w:t>SpecificProcessRequirement</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Objectively testable product-specific production operation where assigned.</w:t>
            </w:r>
          </w:p>
        </w:tc>
      </w:tr>
      <w:tr>
        <w:tc>
          <w:tcPr>
            <w:tcW w:type="dxa" w:w="2915"/>
            <w:vAlign w:val="center"/>
          </w:tcPr>
          <w:p>
            <w:pPr>
              <w:spacing w:before="20" w:after="20"/>
            </w:pPr>
            <w:r>
              <w:rPr>
                <w:sz w:val="16"/>
                <w:szCs w:val="16"/>
              </w:rPr>
              <w:t>SpecificProcessParameters</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Measurable sequence, condition, transformation, or other required process parameters.</w:t>
            </w:r>
          </w:p>
        </w:tc>
      </w:tr>
      <w:tr>
        <w:tc>
          <w:tcPr>
            <w:tcW w:type="dxa" w:w="2915"/>
            <w:vAlign w:val="center"/>
          </w:tcPr>
          <w:p>
            <w:pPr>
              <w:spacing w:before="20" w:after="20"/>
            </w:pPr>
            <w:r>
              <w:rPr>
                <w:sz w:val="16"/>
                <w:szCs w:val="16"/>
              </w:rPr>
              <w:t>RVCThreshold</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Numeric regional value content threshold where expressly assigned.</w:t>
            </w:r>
          </w:p>
        </w:tc>
      </w:tr>
      <w:tr>
        <w:tc>
          <w:tcPr>
            <w:tcW w:type="dxa" w:w="2915"/>
            <w:vAlign w:val="center"/>
          </w:tcPr>
          <w:p>
            <w:pPr>
              <w:spacing w:before="20" w:after="20"/>
            </w:pPr>
            <w:r>
              <w:rPr>
                <w:sz w:val="16"/>
                <w:szCs w:val="16"/>
              </w:rPr>
              <w:t>AuthorizedRVCMethod</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Authorized calculation method or methods and their relationship.</w:t>
            </w:r>
          </w:p>
        </w:tc>
      </w:tr>
      <w:tr>
        <w:tc>
          <w:tcPr>
            <w:tcW w:type="dxa" w:w="2915"/>
            <w:vAlign w:val="center"/>
          </w:tcPr>
          <w:p>
            <w:pPr>
              <w:spacing w:before="20" w:after="20"/>
            </w:pPr>
            <w:r>
              <w:rPr>
                <w:sz w:val="16"/>
                <w:szCs w:val="16"/>
              </w:rPr>
              <w:t>RVCValuationDependency</w:t>
            </w:r>
          </w:p>
        </w:tc>
        <w:tc>
          <w:tcPr>
            <w:tcW w:type="dxa" w:w="1915"/>
            <w:vAlign w:val="center"/>
          </w:tcPr>
          <w:p>
            <w:pPr>
              <w:spacing w:before="20" w:after="20"/>
            </w:pPr>
            <w:r>
              <w:rPr>
                <w:sz w:val="16"/>
                <w:szCs w:val="16"/>
              </w:rPr>
              <w:t>Evidentiary</w:t>
            </w:r>
          </w:p>
        </w:tc>
        <w:tc>
          <w:tcPr>
            <w:tcW w:type="dxa" w:w="5164"/>
            <w:vAlign w:val="center"/>
          </w:tcPr>
          <w:p>
            <w:pPr>
              <w:spacing w:before="20" w:after="20"/>
            </w:pPr>
            <w:r>
              <w:rPr>
                <w:sz w:val="16"/>
                <w:szCs w:val="16"/>
              </w:rPr>
              <w:t>Reference to product-specific valuation treatment required by the rule.</w:t>
            </w:r>
          </w:p>
        </w:tc>
      </w:tr>
      <w:tr>
        <w:tc>
          <w:tcPr>
            <w:tcW w:type="dxa" w:w="2915"/>
            <w:vAlign w:val="center"/>
          </w:tcPr>
          <w:p>
            <w:pPr>
              <w:spacing w:before="20" w:after="20"/>
            </w:pPr>
            <w:r>
              <w:rPr>
                <w:sz w:val="16"/>
                <w:szCs w:val="16"/>
              </w:rPr>
              <w:t>MaximumNonOriginatingContent</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Numeric maximum non-originating content ceiling where assigned.</w:t>
            </w:r>
          </w:p>
        </w:tc>
      </w:tr>
      <w:tr>
        <w:tc>
          <w:tcPr>
            <w:tcW w:type="dxa" w:w="2915"/>
            <w:vAlign w:val="center"/>
          </w:tcPr>
          <w:p>
            <w:pPr>
              <w:spacing w:before="20" w:after="20"/>
            </w:pPr>
            <w:r>
              <w:rPr>
                <w:sz w:val="16"/>
                <w:szCs w:val="16"/>
              </w:rPr>
              <w:t>MNCMeasurementBasis</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Controlled basis for measuring maximum non-originating content.</w:t>
            </w:r>
          </w:p>
        </w:tc>
      </w:tr>
      <w:tr>
        <w:tc>
          <w:tcPr>
            <w:tcW w:type="dxa" w:w="2915"/>
            <w:vAlign w:val="center"/>
          </w:tcPr>
          <w:p>
            <w:pPr>
              <w:spacing w:before="20" w:after="20"/>
            </w:pPr>
            <w:r>
              <w:rPr>
                <w:sz w:val="16"/>
                <w:szCs w:val="16"/>
              </w:rPr>
              <w:t>DeMinimisReference</w:t>
            </w:r>
          </w:p>
        </w:tc>
        <w:tc>
          <w:tcPr>
            <w:tcW w:type="dxa" w:w="1915"/>
            <w:vAlign w:val="center"/>
          </w:tcPr>
          <w:p>
            <w:pPr>
              <w:spacing w:before="20" w:after="20"/>
            </w:pPr>
            <w:r>
              <w:rPr>
                <w:sz w:val="16"/>
                <w:szCs w:val="16"/>
              </w:rPr>
              <w:t>Navigational</w:t>
            </w:r>
          </w:p>
        </w:tc>
        <w:tc>
          <w:tcPr>
            <w:tcW w:type="dxa" w:w="5164"/>
            <w:vAlign w:val="center"/>
          </w:tcPr>
          <w:p>
            <w:pPr>
              <w:spacing w:before="20" w:after="20"/>
            </w:pPr>
            <w:r>
              <w:rPr>
                <w:sz w:val="16"/>
                <w:szCs w:val="16"/>
              </w:rPr>
              <w:t>Reference to any product-specific de minimis interaction.</w:t>
            </w:r>
          </w:p>
        </w:tc>
      </w:tr>
      <w:tr>
        <w:tc>
          <w:tcPr>
            <w:tcW w:type="dxa" w:w="2915"/>
            <w:vAlign w:val="center"/>
          </w:tcPr>
          <w:p>
            <w:pPr>
              <w:spacing w:before="20" w:after="20"/>
            </w:pPr>
            <w:r>
              <w:rPr>
                <w:sz w:val="16"/>
                <w:szCs w:val="16"/>
              </w:rPr>
              <w:t>AccumulationReference</w:t>
            </w:r>
          </w:p>
        </w:tc>
        <w:tc>
          <w:tcPr>
            <w:tcW w:type="dxa" w:w="1915"/>
            <w:vAlign w:val="center"/>
          </w:tcPr>
          <w:p>
            <w:pPr>
              <w:spacing w:before="20" w:after="20"/>
            </w:pPr>
            <w:r>
              <w:rPr>
                <w:sz w:val="16"/>
                <w:szCs w:val="16"/>
              </w:rPr>
              <w:t>Navigational</w:t>
            </w:r>
          </w:p>
        </w:tc>
        <w:tc>
          <w:tcPr>
            <w:tcW w:type="dxa" w:w="5164"/>
            <w:vAlign w:val="center"/>
          </w:tcPr>
          <w:p>
            <w:pPr>
              <w:spacing w:before="20" w:after="20"/>
            </w:pPr>
            <w:r>
              <w:rPr>
                <w:sz w:val="16"/>
                <w:szCs w:val="16"/>
              </w:rPr>
              <w:t>Reference to any product-specific accumulation selection or limitation.</w:t>
            </w:r>
          </w:p>
        </w:tc>
      </w:tr>
      <w:tr>
        <w:tc>
          <w:tcPr>
            <w:tcW w:type="dxa" w:w="2915"/>
            <w:vAlign w:val="center"/>
          </w:tcPr>
          <w:p>
            <w:pPr>
              <w:spacing w:before="20" w:after="20"/>
            </w:pPr>
            <w:r>
              <w:rPr>
                <w:sz w:val="16"/>
                <w:szCs w:val="16"/>
              </w:rPr>
              <w:t>IntermediateMaterialReference</w:t>
            </w:r>
          </w:p>
        </w:tc>
        <w:tc>
          <w:tcPr>
            <w:tcW w:type="dxa" w:w="1915"/>
            <w:vAlign w:val="center"/>
          </w:tcPr>
          <w:p>
            <w:pPr>
              <w:spacing w:before="20" w:after="20"/>
            </w:pPr>
            <w:r>
              <w:rPr>
                <w:sz w:val="16"/>
                <w:szCs w:val="16"/>
              </w:rPr>
              <w:t>Navigational</w:t>
            </w:r>
          </w:p>
        </w:tc>
        <w:tc>
          <w:tcPr>
            <w:tcW w:type="dxa" w:w="5164"/>
            <w:vAlign w:val="center"/>
          </w:tcPr>
          <w:p>
            <w:pPr>
              <w:spacing w:before="20" w:after="20"/>
            </w:pPr>
            <w:r>
              <w:rPr>
                <w:sz w:val="16"/>
                <w:szCs w:val="16"/>
              </w:rPr>
              <w:t>Reference to any product-specific intermediate-material treatment.</w:t>
            </w:r>
          </w:p>
        </w:tc>
      </w:tr>
      <w:tr>
        <w:tc>
          <w:tcPr>
            <w:tcW w:type="dxa" w:w="2915"/>
            <w:vAlign w:val="center"/>
          </w:tcPr>
          <w:p>
            <w:pPr>
              <w:spacing w:before="20" w:after="20"/>
            </w:pPr>
            <w:r>
              <w:rPr>
                <w:sz w:val="16"/>
                <w:szCs w:val="16"/>
              </w:rPr>
              <w:t>InventoryMethodReference</w:t>
            </w:r>
          </w:p>
        </w:tc>
        <w:tc>
          <w:tcPr>
            <w:tcW w:type="dxa" w:w="1915"/>
            <w:vAlign w:val="center"/>
          </w:tcPr>
          <w:p>
            <w:pPr>
              <w:spacing w:before="20" w:after="20"/>
            </w:pPr>
            <w:r>
              <w:rPr>
                <w:sz w:val="16"/>
                <w:szCs w:val="16"/>
              </w:rPr>
              <w:t>Navigational</w:t>
            </w:r>
          </w:p>
        </w:tc>
        <w:tc>
          <w:tcPr>
            <w:tcW w:type="dxa" w:w="5164"/>
            <w:vAlign w:val="center"/>
          </w:tcPr>
          <w:p>
            <w:pPr>
              <w:spacing w:before="20" w:after="20"/>
            </w:pPr>
            <w:r>
              <w:rPr>
                <w:sz w:val="16"/>
                <w:szCs w:val="16"/>
              </w:rPr>
              <w:t>Reference to any product-specific inventory-method treatment.</w:t>
            </w:r>
          </w:p>
        </w:tc>
      </w:tr>
      <w:tr>
        <w:tc>
          <w:tcPr>
            <w:tcW w:type="dxa" w:w="2915"/>
            <w:vAlign w:val="center"/>
          </w:tcPr>
          <w:p>
            <w:pPr>
              <w:spacing w:before="20" w:after="20"/>
            </w:pPr>
            <w:r>
              <w:rPr>
                <w:sz w:val="16"/>
                <w:szCs w:val="16"/>
              </w:rPr>
              <w:t>NeutralElementReference</w:t>
            </w:r>
          </w:p>
        </w:tc>
        <w:tc>
          <w:tcPr>
            <w:tcW w:type="dxa" w:w="1915"/>
            <w:vAlign w:val="center"/>
          </w:tcPr>
          <w:p>
            <w:pPr>
              <w:spacing w:before="20" w:after="20"/>
            </w:pPr>
            <w:r>
              <w:rPr>
                <w:sz w:val="16"/>
                <w:szCs w:val="16"/>
              </w:rPr>
              <w:t>Navigational</w:t>
            </w:r>
          </w:p>
        </w:tc>
        <w:tc>
          <w:tcPr>
            <w:tcW w:type="dxa" w:w="5164"/>
            <w:vAlign w:val="center"/>
          </w:tcPr>
          <w:p>
            <w:pPr>
              <w:spacing w:before="20" w:after="20"/>
            </w:pPr>
            <w:r>
              <w:rPr>
                <w:sz w:val="16"/>
                <w:szCs w:val="16"/>
              </w:rPr>
              <w:t>Reference to any product-specific neutral-element or indirect-material treatment.</w:t>
            </w:r>
          </w:p>
        </w:tc>
      </w:tr>
      <w:tr>
        <w:tc>
          <w:tcPr>
            <w:tcW w:type="dxa" w:w="2915"/>
            <w:vAlign w:val="center"/>
          </w:tcPr>
          <w:p>
            <w:pPr>
              <w:spacing w:before="20" w:after="20"/>
            </w:pPr>
            <w:r>
              <w:rPr>
                <w:sz w:val="16"/>
                <w:szCs w:val="16"/>
              </w:rPr>
              <w:t>PackagingContainerReference</w:t>
            </w:r>
          </w:p>
        </w:tc>
        <w:tc>
          <w:tcPr>
            <w:tcW w:type="dxa" w:w="1915"/>
            <w:vAlign w:val="center"/>
          </w:tcPr>
          <w:p>
            <w:pPr>
              <w:spacing w:before="20" w:after="20"/>
            </w:pPr>
            <w:r>
              <w:rPr>
                <w:sz w:val="16"/>
                <w:szCs w:val="16"/>
              </w:rPr>
              <w:t>Navigational</w:t>
            </w:r>
          </w:p>
        </w:tc>
        <w:tc>
          <w:tcPr>
            <w:tcW w:type="dxa" w:w="5164"/>
            <w:vAlign w:val="center"/>
          </w:tcPr>
          <w:p>
            <w:pPr>
              <w:spacing w:before="20" w:after="20"/>
            </w:pPr>
            <w:r>
              <w:rPr>
                <w:sz w:val="16"/>
                <w:szCs w:val="16"/>
              </w:rPr>
              <w:t>Reference to any product-specific packaging or container treatment.</w:t>
            </w:r>
          </w:p>
        </w:tc>
      </w:tr>
      <w:tr>
        <w:tc>
          <w:tcPr>
            <w:tcW w:type="dxa" w:w="2915"/>
            <w:vAlign w:val="center"/>
          </w:tcPr>
          <w:p>
            <w:pPr>
              <w:spacing w:before="20" w:after="20"/>
            </w:pPr>
            <w:r>
              <w:rPr>
                <w:sz w:val="16"/>
                <w:szCs w:val="16"/>
              </w:rPr>
              <w:t>SensitiveInputReference</w:t>
            </w:r>
          </w:p>
        </w:tc>
        <w:tc>
          <w:tcPr>
            <w:tcW w:type="dxa" w:w="1915"/>
            <w:vAlign w:val="center"/>
          </w:tcPr>
          <w:p>
            <w:pPr>
              <w:spacing w:before="20" w:after="20"/>
            </w:pPr>
            <w:r>
              <w:rPr>
                <w:sz w:val="16"/>
                <w:szCs w:val="16"/>
              </w:rPr>
              <w:t>Navigational</w:t>
            </w:r>
          </w:p>
        </w:tc>
        <w:tc>
          <w:tcPr>
            <w:tcW w:type="dxa" w:w="5164"/>
            <w:vAlign w:val="center"/>
          </w:tcPr>
          <w:p>
            <w:pPr>
              <w:spacing w:before="20" w:after="20"/>
            </w:pPr>
            <w:r>
              <w:rPr>
                <w:sz w:val="16"/>
                <w:szCs w:val="16"/>
              </w:rPr>
              <w:t>Reference to an expressly applicable sensitive-input dependency.</w:t>
            </w:r>
          </w:p>
        </w:tc>
      </w:tr>
      <w:tr>
        <w:tc>
          <w:tcPr>
            <w:tcW w:type="dxa" w:w="2915"/>
            <w:vAlign w:val="center"/>
          </w:tcPr>
          <w:p>
            <w:pPr>
              <w:spacing w:before="20" w:after="20"/>
            </w:pPr>
            <w:r>
              <w:rPr>
                <w:sz w:val="16"/>
                <w:szCs w:val="16"/>
              </w:rPr>
              <w:t>DependencyReference</w:t>
            </w:r>
          </w:p>
        </w:tc>
        <w:tc>
          <w:tcPr>
            <w:tcW w:type="dxa" w:w="1915"/>
            <w:vAlign w:val="center"/>
          </w:tcPr>
          <w:p>
            <w:pPr>
              <w:spacing w:before="20" w:after="20"/>
            </w:pPr>
            <w:r>
              <w:rPr>
                <w:sz w:val="16"/>
                <w:szCs w:val="16"/>
              </w:rPr>
              <w:t>Navigational</w:t>
            </w:r>
          </w:p>
        </w:tc>
        <w:tc>
          <w:tcPr>
            <w:tcW w:type="dxa" w:w="5164"/>
            <w:vAlign w:val="center"/>
          </w:tcPr>
          <w:p>
            <w:pPr>
              <w:spacing w:before="20" w:after="20"/>
            </w:pPr>
            <w:r>
              <w:rPr>
                <w:sz w:val="16"/>
                <w:szCs w:val="16"/>
              </w:rPr>
              <w:t>Reference to controlling Chapter 10 machinery or another lawful dependency.</w:t>
            </w:r>
          </w:p>
        </w:tc>
      </w:tr>
      <w:tr>
        <w:tc>
          <w:tcPr>
            <w:tcW w:type="dxa" w:w="2915"/>
            <w:vAlign w:val="center"/>
          </w:tcPr>
          <w:p>
            <w:pPr>
              <w:spacing w:before="20" w:after="20"/>
            </w:pPr>
            <w:r>
              <w:rPr>
                <w:sz w:val="16"/>
                <w:szCs w:val="16"/>
              </w:rPr>
              <w:t>ExceptionReference</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Controlled exception attached to the rule, route, or component.</w:t>
            </w:r>
          </w:p>
        </w:tc>
      </w:tr>
      <w:tr>
        <w:tc>
          <w:tcPr>
            <w:tcW w:type="dxa" w:w="2915"/>
            <w:vAlign w:val="center"/>
          </w:tcPr>
          <w:p>
            <w:pPr>
              <w:spacing w:before="20" w:after="20"/>
            </w:pPr>
            <w:r>
              <w:rPr>
                <w:sz w:val="16"/>
                <w:szCs w:val="16"/>
              </w:rPr>
              <w:t>EffectiveDate</w:t>
            </w:r>
          </w:p>
        </w:tc>
        <w:tc>
          <w:tcPr>
            <w:tcW w:type="dxa" w:w="1915"/>
            <w:vAlign w:val="center"/>
          </w:tcPr>
          <w:p>
            <w:pPr>
              <w:spacing w:before="20" w:after="20"/>
            </w:pPr>
            <w:r>
              <w:rPr>
                <w:sz w:val="16"/>
                <w:szCs w:val="16"/>
              </w:rPr>
              <w:t>Operative</w:t>
            </w:r>
          </w:p>
        </w:tc>
        <w:tc>
          <w:tcPr>
            <w:tcW w:type="dxa" w:w="5164"/>
            <w:vAlign w:val="center"/>
          </w:tcPr>
          <w:p>
            <w:pPr>
              <w:spacing w:before="20" w:after="20"/>
            </w:pPr>
            <w:r>
              <w:rPr>
                <w:sz w:val="16"/>
                <w:szCs w:val="16"/>
              </w:rPr>
              <w:t>Date on which the substantive rule or version becomes legally operative.</w:t>
            </w:r>
          </w:p>
        </w:tc>
      </w:tr>
      <w:tr>
        <w:tc>
          <w:tcPr>
            <w:tcW w:type="dxa" w:w="2915"/>
            <w:vAlign w:val="center"/>
          </w:tcPr>
          <w:p>
            <w:pPr>
              <w:spacing w:before="20" w:after="20"/>
            </w:pPr>
            <w:r>
              <w:rPr>
                <w:sz w:val="16"/>
                <w:szCs w:val="16"/>
              </w:rPr>
              <w:t>ValidFrom</w:t>
            </w:r>
          </w:p>
        </w:tc>
        <w:tc>
          <w:tcPr>
            <w:tcW w:type="dxa" w:w="1915"/>
            <w:vAlign w:val="center"/>
          </w:tcPr>
          <w:p>
            <w:pPr>
              <w:spacing w:before="20" w:after="20"/>
            </w:pPr>
            <w:r>
              <w:rPr>
                <w:sz w:val="16"/>
                <w:szCs w:val="16"/>
              </w:rPr>
              <w:t>Administrative</w:t>
            </w:r>
          </w:p>
        </w:tc>
        <w:tc>
          <w:tcPr>
            <w:tcW w:type="dxa" w:w="5164"/>
            <w:vAlign w:val="center"/>
          </w:tcPr>
          <w:p>
            <w:pPr>
              <w:spacing w:before="20" w:after="20"/>
            </w:pPr>
            <w:r>
              <w:rPr>
                <w:sz w:val="16"/>
                <w:szCs w:val="16"/>
              </w:rPr>
              <w:t>Beginning of the controlled version validity interval.</w:t>
            </w:r>
          </w:p>
        </w:tc>
      </w:tr>
      <w:tr>
        <w:tc>
          <w:tcPr>
            <w:tcW w:type="dxa" w:w="2915"/>
            <w:vAlign w:val="center"/>
          </w:tcPr>
          <w:p>
            <w:pPr>
              <w:spacing w:before="20" w:after="20"/>
            </w:pPr>
            <w:r>
              <w:rPr>
                <w:sz w:val="16"/>
                <w:szCs w:val="16"/>
              </w:rPr>
              <w:t>ValidTo</w:t>
            </w:r>
          </w:p>
        </w:tc>
        <w:tc>
          <w:tcPr>
            <w:tcW w:type="dxa" w:w="1915"/>
            <w:vAlign w:val="center"/>
          </w:tcPr>
          <w:p>
            <w:pPr>
              <w:spacing w:before="20" w:after="20"/>
            </w:pPr>
            <w:r>
              <w:rPr>
                <w:sz w:val="16"/>
                <w:szCs w:val="16"/>
              </w:rPr>
              <w:t>Administrative</w:t>
            </w:r>
          </w:p>
        </w:tc>
        <w:tc>
          <w:tcPr>
            <w:tcW w:type="dxa" w:w="5164"/>
            <w:vAlign w:val="center"/>
          </w:tcPr>
          <w:p>
            <w:pPr>
              <w:spacing w:before="20" w:after="20"/>
            </w:pPr>
            <w:r>
              <w:rPr>
                <w:sz w:val="16"/>
                <w:szCs w:val="16"/>
              </w:rPr>
              <w:t>End of the controlled version validity interval where superseded.</w:t>
            </w:r>
          </w:p>
        </w:tc>
      </w:tr>
      <w:tr>
        <w:tc>
          <w:tcPr>
            <w:tcW w:type="dxa" w:w="2915"/>
            <w:vAlign w:val="center"/>
          </w:tcPr>
          <w:p>
            <w:pPr>
              <w:spacing w:before="20" w:after="20"/>
            </w:pPr>
            <w:r>
              <w:rPr>
                <w:sz w:val="16"/>
                <w:szCs w:val="16"/>
              </w:rPr>
              <w:t>PredecessorRuleReference</w:t>
            </w:r>
          </w:p>
        </w:tc>
        <w:tc>
          <w:tcPr>
            <w:tcW w:type="dxa" w:w="1915"/>
            <w:vAlign w:val="center"/>
          </w:tcPr>
          <w:p>
            <w:pPr>
              <w:spacing w:before="20" w:after="20"/>
            </w:pPr>
            <w:r>
              <w:rPr>
                <w:sz w:val="16"/>
                <w:szCs w:val="16"/>
              </w:rPr>
              <w:t>Navigational</w:t>
            </w:r>
          </w:p>
        </w:tc>
        <w:tc>
          <w:tcPr>
            <w:tcW w:type="dxa" w:w="5164"/>
            <w:vAlign w:val="center"/>
          </w:tcPr>
          <w:p>
            <w:pPr>
              <w:spacing w:before="20" w:after="20"/>
            </w:pPr>
            <w:r>
              <w:rPr>
                <w:sz w:val="16"/>
                <w:szCs w:val="16"/>
              </w:rPr>
              <w:t>Reference to the prior substantive rule or version.</w:t>
            </w:r>
          </w:p>
        </w:tc>
      </w:tr>
      <w:tr>
        <w:tc>
          <w:tcPr>
            <w:tcW w:type="dxa" w:w="2915"/>
            <w:vAlign w:val="center"/>
          </w:tcPr>
          <w:p>
            <w:pPr>
              <w:spacing w:before="20" w:after="20"/>
            </w:pPr>
            <w:r>
              <w:rPr>
                <w:sz w:val="16"/>
                <w:szCs w:val="16"/>
              </w:rPr>
              <w:t>SuccessorRuleReference</w:t>
            </w:r>
          </w:p>
        </w:tc>
        <w:tc>
          <w:tcPr>
            <w:tcW w:type="dxa" w:w="1915"/>
            <w:vAlign w:val="center"/>
          </w:tcPr>
          <w:p>
            <w:pPr>
              <w:spacing w:before="20" w:after="20"/>
            </w:pPr>
            <w:r>
              <w:rPr>
                <w:sz w:val="16"/>
                <w:szCs w:val="16"/>
              </w:rPr>
              <w:t>Navigational</w:t>
            </w:r>
          </w:p>
        </w:tc>
        <w:tc>
          <w:tcPr>
            <w:tcW w:type="dxa" w:w="5164"/>
            <w:vAlign w:val="center"/>
          </w:tcPr>
          <w:p>
            <w:pPr>
              <w:spacing w:before="20" w:after="20"/>
            </w:pPr>
            <w:r>
              <w:rPr>
                <w:sz w:val="16"/>
                <w:szCs w:val="16"/>
              </w:rPr>
              <w:t>Reference to the successor substantive rule or version.</w:t>
            </w:r>
          </w:p>
        </w:tc>
      </w:tr>
      <w:tr>
        <w:tc>
          <w:tcPr>
            <w:tcW w:type="dxa" w:w="2915"/>
            <w:vAlign w:val="center"/>
          </w:tcPr>
          <w:p>
            <w:pPr>
              <w:spacing w:before="20" w:after="20"/>
            </w:pPr>
            <w:r>
              <w:rPr>
                <w:sz w:val="16"/>
                <w:szCs w:val="16"/>
              </w:rPr>
              <w:t>ConcordanceReference</w:t>
            </w:r>
          </w:p>
        </w:tc>
        <w:tc>
          <w:tcPr>
            <w:tcW w:type="dxa" w:w="1915"/>
            <w:vAlign w:val="center"/>
          </w:tcPr>
          <w:p>
            <w:pPr>
              <w:spacing w:before="20" w:after="20"/>
            </w:pPr>
            <w:r>
              <w:rPr>
                <w:sz w:val="16"/>
                <w:szCs w:val="16"/>
              </w:rPr>
              <w:t>Navigational</w:t>
            </w:r>
          </w:p>
        </w:tc>
        <w:tc>
          <w:tcPr>
            <w:tcW w:type="dxa" w:w="5164"/>
            <w:vAlign w:val="center"/>
          </w:tcPr>
          <w:p>
            <w:pPr>
              <w:spacing w:before="20" w:after="20"/>
            </w:pPr>
            <w:r>
              <w:rPr>
                <w:sz w:val="16"/>
                <w:szCs w:val="16"/>
              </w:rPr>
              <w:t>Reference to the controlled classification concordance record.</w:t>
            </w:r>
          </w:p>
        </w:tc>
      </w:tr>
      <w:tr>
        <w:tc>
          <w:tcPr>
            <w:tcW w:type="dxa" w:w="2915"/>
            <w:vAlign w:val="center"/>
          </w:tcPr>
          <w:p>
            <w:pPr>
              <w:spacing w:before="20" w:after="20"/>
            </w:pPr>
            <w:r>
              <w:rPr>
                <w:sz w:val="16"/>
                <w:szCs w:val="16"/>
              </w:rPr>
              <w:t>ConcordanceMappingType</w:t>
            </w:r>
          </w:p>
        </w:tc>
        <w:tc>
          <w:tcPr>
            <w:tcW w:type="dxa" w:w="1915"/>
            <w:vAlign w:val="center"/>
          </w:tcPr>
          <w:p>
            <w:pPr>
              <w:spacing w:before="20" w:after="20"/>
            </w:pPr>
            <w:r>
              <w:rPr>
                <w:sz w:val="16"/>
                <w:szCs w:val="16"/>
              </w:rPr>
              <w:t>Administrative</w:t>
            </w:r>
          </w:p>
        </w:tc>
        <w:tc>
          <w:tcPr>
            <w:tcW w:type="dxa" w:w="5164"/>
            <w:vAlign w:val="center"/>
          </w:tcPr>
          <w:p>
            <w:pPr>
              <w:spacing w:before="20" w:after="20"/>
            </w:pPr>
            <w:r>
              <w:rPr>
                <w:sz w:val="16"/>
                <w:szCs w:val="16"/>
              </w:rPr>
              <w:t>One-to-one, one-to-many, many-to-one, or many-to-many mapping type.</w:t>
            </w:r>
          </w:p>
        </w:tc>
      </w:tr>
      <w:tr>
        <w:tc>
          <w:tcPr>
            <w:tcW w:type="dxa" w:w="2915"/>
            <w:vAlign w:val="center"/>
          </w:tcPr>
          <w:p>
            <w:pPr>
              <w:spacing w:before="20" w:after="20"/>
            </w:pPr>
            <w:r>
              <w:rPr>
                <w:sz w:val="16"/>
                <w:szCs w:val="16"/>
              </w:rPr>
              <w:t>ConcordanceVerificationState</w:t>
            </w:r>
          </w:p>
        </w:tc>
        <w:tc>
          <w:tcPr>
            <w:tcW w:type="dxa" w:w="1915"/>
            <w:vAlign w:val="center"/>
          </w:tcPr>
          <w:p>
            <w:pPr>
              <w:spacing w:before="20" w:after="20"/>
            </w:pPr>
            <w:r>
              <w:rPr>
                <w:sz w:val="16"/>
                <w:szCs w:val="16"/>
              </w:rPr>
              <w:t>Field-status</w:t>
            </w:r>
          </w:p>
        </w:tc>
        <w:tc>
          <w:tcPr>
            <w:tcW w:type="dxa" w:w="5164"/>
            <w:vAlign w:val="center"/>
          </w:tcPr>
          <w:p>
            <w:pPr>
              <w:spacing w:before="20" w:after="20"/>
            </w:pPr>
            <w:r>
              <w:rPr>
                <w:sz w:val="16"/>
                <w:szCs w:val="16"/>
              </w:rPr>
              <w:t>Verification state of the technical classification mapping.</w:t>
            </w:r>
          </w:p>
        </w:tc>
      </w:tr>
      <w:tr>
        <w:tc>
          <w:tcPr>
            <w:tcW w:type="dxa" w:w="2915"/>
            <w:vAlign w:val="center"/>
          </w:tcPr>
          <w:p>
            <w:pPr>
              <w:spacing w:before="20" w:after="20"/>
            </w:pPr>
            <w:r>
              <w:rPr>
                <w:sz w:val="16"/>
                <w:szCs w:val="16"/>
              </w:rPr>
              <w:t>FieldProvenanceReference</w:t>
            </w:r>
          </w:p>
        </w:tc>
        <w:tc>
          <w:tcPr>
            <w:tcW w:type="dxa" w:w="1915"/>
            <w:vAlign w:val="center"/>
          </w:tcPr>
          <w:p>
            <w:pPr>
              <w:spacing w:before="20" w:after="20"/>
            </w:pPr>
            <w:r>
              <w:rPr>
                <w:sz w:val="16"/>
                <w:szCs w:val="16"/>
              </w:rPr>
              <w:t>Evidentiary</w:t>
            </w:r>
          </w:p>
        </w:tc>
        <w:tc>
          <w:tcPr>
            <w:tcW w:type="dxa" w:w="5164"/>
            <w:vAlign w:val="center"/>
          </w:tcPr>
          <w:p>
            <w:pPr>
              <w:spacing w:before="20" w:after="20"/>
            </w:pPr>
            <w:r>
              <w:rPr>
                <w:sz w:val="16"/>
                <w:szCs w:val="16"/>
              </w:rPr>
              <w:t>Field-level trace to source authority, source date, and limitations.</w:t>
            </w:r>
          </w:p>
        </w:tc>
      </w:tr>
      <w:tr>
        <w:tc>
          <w:tcPr>
            <w:tcW w:type="dxa" w:w="2915"/>
            <w:vAlign w:val="center"/>
          </w:tcPr>
          <w:p>
            <w:pPr>
              <w:spacing w:before="20" w:after="20"/>
            </w:pPr>
            <w:r>
              <w:rPr>
                <w:sz w:val="16"/>
                <w:szCs w:val="16"/>
              </w:rPr>
              <w:t>FieldVerificationReference</w:t>
            </w:r>
          </w:p>
        </w:tc>
        <w:tc>
          <w:tcPr>
            <w:tcW w:type="dxa" w:w="1915"/>
            <w:vAlign w:val="center"/>
          </w:tcPr>
          <w:p>
            <w:pPr>
              <w:spacing w:before="20" w:after="20"/>
            </w:pPr>
            <w:r>
              <w:rPr>
                <w:sz w:val="16"/>
                <w:szCs w:val="16"/>
              </w:rPr>
              <w:t>Field-status</w:t>
            </w:r>
          </w:p>
        </w:tc>
        <w:tc>
          <w:tcPr>
            <w:tcW w:type="dxa" w:w="5164"/>
            <w:vAlign w:val="center"/>
          </w:tcPr>
          <w:p>
            <w:pPr>
              <w:spacing w:before="20" w:after="20"/>
            </w:pPr>
            <w:r>
              <w:rPr>
                <w:sz w:val="16"/>
                <w:szCs w:val="16"/>
              </w:rPr>
              <w:t>Field-level trace to verifier, method, date, scope, and limitations.</w:t>
            </w:r>
          </w:p>
        </w:tc>
      </w:tr>
      <w:tr>
        <w:tc>
          <w:tcPr>
            <w:tcW w:type="dxa" w:w="2915"/>
            <w:vAlign w:val="center"/>
          </w:tcPr>
          <w:p>
            <w:pPr>
              <w:spacing w:before="20" w:after="20"/>
            </w:pPr>
            <w:r>
              <w:rPr>
                <w:sz w:val="16"/>
                <w:szCs w:val="16"/>
              </w:rPr>
              <w:t>ComponentProvenanceReference</w:t>
            </w:r>
          </w:p>
        </w:tc>
        <w:tc>
          <w:tcPr>
            <w:tcW w:type="dxa" w:w="1915"/>
            <w:vAlign w:val="center"/>
          </w:tcPr>
          <w:p>
            <w:pPr>
              <w:spacing w:before="20" w:after="20"/>
            </w:pPr>
            <w:r>
              <w:rPr>
                <w:sz w:val="16"/>
                <w:szCs w:val="16"/>
              </w:rPr>
              <w:t>Evidentiary</w:t>
            </w:r>
          </w:p>
        </w:tc>
        <w:tc>
          <w:tcPr>
            <w:tcW w:type="dxa" w:w="5164"/>
            <w:vAlign w:val="center"/>
          </w:tcPr>
          <w:p>
            <w:pPr>
              <w:spacing w:before="20" w:after="20"/>
            </w:pPr>
            <w:r>
              <w:rPr>
                <w:sz w:val="16"/>
                <w:szCs w:val="16"/>
              </w:rPr>
              <w:t>Component-level provenance for outcome-determinative requirements.</w:t>
            </w:r>
          </w:p>
        </w:tc>
      </w:tr>
      <w:tr>
        <w:tc>
          <w:tcPr>
            <w:tcW w:type="dxa" w:w="2915"/>
            <w:vAlign w:val="center"/>
          </w:tcPr>
          <w:p>
            <w:pPr>
              <w:spacing w:before="20" w:after="20"/>
            </w:pPr>
            <w:r>
              <w:rPr>
                <w:sz w:val="16"/>
                <w:szCs w:val="16"/>
              </w:rPr>
              <w:t>ComponentVerificationReference</w:t>
            </w:r>
          </w:p>
        </w:tc>
        <w:tc>
          <w:tcPr>
            <w:tcW w:type="dxa" w:w="1915"/>
            <w:vAlign w:val="center"/>
          </w:tcPr>
          <w:p>
            <w:pPr>
              <w:spacing w:before="20" w:after="20"/>
            </w:pPr>
            <w:r>
              <w:rPr>
                <w:sz w:val="16"/>
                <w:szCs w:val="16"/>
              </w:rPr>
              <w:t>Field-status</w:t>
            </w:r>
          </w:p>
        </w:tc>
        <w:tc>
          <w:tcPr>
            <w:tcW w:type="dxa" w:w="5164"/>
            <w:vAlign w:val="center"/>
          </w:tcPr>
          <w:p>
            <w:pPr>
              <w:spacing w:before="20" w:after="20"/>
            </w:pPr>
            <w:r>
              <w:rPr>
                <w:sz w:val="16"/>
                <w:szCs w:val="16"/>
              </w:rPr>
              <w:t>Component-level verification trace for outcome-determinative requirements.</w:t>
            </w:r>
          </w:p>
        </w:tc>
      </w:tr>
      <w:tr>
        <w:tc>
          <w:tcPr>
            <w:tcW w:type="dxa" w:w="2915"/>
            <w:vAlign w:val="center"/>
          </w:tcPr>
          <w:p>
            <w:pPr>
              <w:spacing w:before="20" w:after="20"/>
            </w:pPr>
            <w:r>
              <w:rPr>
                <w:sz w:val="16"/>
                <w:szCs w:val="16"/>
              </w:rPr>
              <w:t>RuleVerificationStatus</w:t>
            </w:r>
          </w:p>
        </w:tc>
        <w:tc>
          <w:tcPr>
            <w:tcW w:type="dxa" w:w="1915"/>
            <w:vAlign w:val="center"/>
          </w:tcPr>
          <w:p>
            <w:pPr>
              <w:spacing w:before="20" w:after="20"/>
            </w:pPr>
            <w:r>
              <w:rPr>
                <w:sz w:val="16"/>
                <w:szCs w:val="16"/>
              </w:rPr>
              <w:t>Derived</w:t>
            </w:r>
          </w:p>
        </w:tc>
        <w:tc>
          <w:tcPr>
            <w:tcW w:type="dxa" w:w="5164"/>
            <w:vAlign w:val="center"/>
          </w:tcPr>
          <w:p>
            <w:pPr>
              <w:spacing w:before="20" w:after="20"/>
            </w:pPr>
            <w:r>
              <w:rPr>
                <w:sz w:val="16"/>
                <w:szCs w:val="16"/>
              </w:rPr>
              <w:t>Derived record status consistent with Chapter 3 verification architecture.</w:t>
            </w:r>
          </w:p>
        </w:tc>
      </w:tr>
      <w:tr>
        <w:tc>
          <w:tcPr>
            <w:tcW w:type="dxa" w:w="2915"/>
            <w:vAlign w:val="center"/>
          </w:tcPr>
          <w:p>
            <w:pPr>
              <w:spacing w:before="20" w:after="20"/>
            </w:pPr>
            <w:r>
              <w:rPr>
                <w:sz w:val="16"/>
                <w:szCs w:val="16"/>
              </w:rPr>
              <w:t>SourceAuthority</w:t>
            </w:r>
          </w:p>
        </w:tc>
        <w:tc>
          <w:tcPr>
            <w:tcW w:type="dxa" w:w="1915"/>
            <w:vAlign w:val="center"/>
          </w:tcPr>
          <w:p>
            <w:pPr>
              <w:spacing w:before="20" w:after="20"/>
            </w:pPr>
            <w:r>
              <w:rPr>
                <w:sz w:val="16"/>
                <w:szCs w:val="16"/>
              </w:rPr>
              <w:t>Evidentiary</w:t>
            </w:r>
          </w:p>
        </w:tc>
        <w:tc>
          <w:tcPr>
            <w:tcW w:type="dxa" w:w="5164"/>
            <w:vAlign w:val="center"/>
          </w:tcPr>
          <w:p>
            <w:pPr>
              <w:spacing w:before="20" w:after="20"/>
            </w:pPr>
            <w:r>
              <w:rPr>
                <w:sz w:val="16"/>
                <w:szCs w:val="16"/>
              </w:rPr>
              <w:t>Controlling authoritative source for the represented substantive rule.</w:t>
            </w:r>
          </w:p>
        </w:tc>
      </w:tr>
      <w:tr>
        <w:tc>
          <w:tcPr>
            <w:tcW w:type="dxa" w:w="2915"/>
            <w:vAlign w:val="center"/>
          </w:tcPr>
          <w:p>
            <w:pPr>
              <w:spacing w:before="20" w:after="20"/>
            </w:pPr>
            <w:r>
              <w:rPr>
                <w:sz w:val="16"/>
                <w:szCs w:val="16"/>
              </w:rPr>
              <w:t>SourceDate</w:t>
            </w:r>
          </w:p>
        </w:tc>
        <w:tc>
          <w:tcPr>
            <w:tcW w:type="dxa" w:w="1915"/>
            <w:vAlign w:val="center"/>
          </w:tcPr>
          <w:p>
            <w:pPr>
              <w:spacing w:before="20" w:after="20"/>
            </w:pPr>
            <w:r>
              <w:rPr>
                <w:sz w:val="16"/>
                <w:szCs w:val="16"/>
              </w:rPr>
              <w:t>Evidentiary</w:t>
            </w:r>
          </w:p>
        </w:tc>
        <w:tc>
          <w:tcPr>
            <w:tcW w:type="dxa" w:w="5164"/>
            <w:vAlign w:val="center"/>
          </w:tcPr>
          <w:p>
            <w:pPr>
              <w:spacing w:before="20" w:after="20"/>
            </w:pPr>
            <w:r>
              <w:rPr>
                <w:sz w:val="16"/>
                <w:szCs w:val="16"/>
              </w:rPr>
              <w:t>Date of the controlling source or source state.</w:t>
            </w:r>
          </w:p>
        </w:tc>
      </w:tr>
      <w:tr>
        <w:tc>
          <w:tcPr>
            <w:tcW w:type="dxa" w:w="2915"/>
            <w:vAlign w:val="center"/>
          </w:tcPr>
          <w:p>
            <w:pPr>
              <w:spacing w:before="20" w:after="20"/>
            </w:pPr>
            <w:r>
              <w:rPr>
                <w:sz w:val="16"/>
                <w:szCs w:val="16"/>
              </w:rPr>
              <w:t>SourceLimitation</w:t>
            </w:r>
          </w:p>
        </w:tc>
        <w:tc>
          <w:tcPr>
            <w:tcW w:type="dxa" w:w="1915"/>
            <w:vAlign w:val="center"/>
          </w:tcPr>
          <w:p>
            <w:pPr>
              <w:spacing w:before="20" w:after="20"/>
            </w:pPr>
            <w:r>
              <w:rPr>
                <w:sz w:val="16"/>
                <w:szCs w:val="16"/>
              </w:rPr>
              <w:t>Evidentiary</w:t>
            </w:r>
          </w:p>
        </w:tc>
        <w:tc>
          <w:tcPr>
            <w:tcW w:type="dxa" w:w="5164"/>
            <w:vAlign w:val="center"/>
          </w:tcPr>
          <w:p>
            <w:pPr>
              <w:spacing w:before="20" w:after="20"/>
            </w:pPr>
            <w:r>
              <w:rPr>
                <w:sz w:val="16"/>
                <w:szCs w:val="16"/>
              </w:rPr>
              <w:t>Material limitation affecting interpretation or promotion.</w:t>
            </w:r>
          </w:p>
        </w:tc>
      </w:tr>
      <w:tr>
        <w:tc>
          <w:tcPr>
            <w:tcW w:type="dxa" w:w="2915"/>
            <w:vAlign w:val="center"/>
          </w:tcPr>
          <w:p>
            <w:pPr>
              <w:spacing w:before="20" w:after="20"/>
            </w:pPr>
            <w:r>
              <w:rPr>
                <w:sz w:val="16"/>
                <w:szCs w:val="16"/>
              </w:rPr>
              <w:t>RuleStatus</w:t>
            </w:r>
          </w:p>
        </w:tc>
        <w:tc>
          <w:tcPr>
            <w:tcW w:type="dxa" w:w="1915"/>
            <w:vAlign w:val="center"/>
          </w:tcPr>
          <w:p>
            <w:pPr>
              <w:spacing w:before="20" w:after="20"/>
            </w:pPr>
            <w:r>
              <w:rPr>
                <w:sz w:val="16"/>
                <w:szCs w:val="16"/>
              </w:rPr>
              <w:t>Administrative</w:t>
            </w:r>
          </w:p>
        </w:tc>
        <w:tc>
          <w:tcPr>
            <w:tcW w:type="dxa" w:w="5164"/>
            <w:vAlign w:val="center"/>
          </w:tcPr>
          <w:p>
            <w:pPr>
              <w:spacing w:before="20" w:after="20"/>
            </w:pPr>
            <w:r>
              <w:rPr>
                <w:sz w:val="16"/>
                <w:szCs w:val="16"/>
              </w:rPr>
              <w:t>Lifecycle status such as Active, Pending, Disputed, Superseded, or Retired.</w:t>
            </w:r>
          </w:p>
        </w:tc>
      </w:tr>
      <w:tr>
        <w:tc>
          <w:tcPr>
            <w:tcW w:type="dxa" w:w="2915"/>
            <w:vAlign w:val="center"/>
          </w:tcPr>
          <w:p>
            <w:pPr>
              <w:spacing w:before="20" w:after="20"/>
            </w:pPr>
            <w:r>
              <w:rPr>
                <w:sz w:val="16"/>
                <w:szCs w:val="16"/>
              </w:rPr>
              <w:t>ChangeReason</w:t>
            </w:r>
          </w:p>
        </w:tc>
        <w:tc>
          <w:tcPr>
            <w:tcW w:type="dxa" w:w="1915"/>
            <w:vAlign w:val="center"/>
          </w:tcPr>
          <w:p>
            <w:pPr>
              <w:spacing w:before="20" w:after="20"/>
            </w:pPr>
            <w:r>
              <w:rPr>
                <w:sz w:val="16"/>
                <w:szCs w:val="16"/>
              </w:rPr>
              <w:t>Administrative</w:t>
            </w:r>
          </w:p>
        </w:tc>
        <w:tc>
          <w:tcPr>
            <w:tcW w:type="dxa" w:w="5164"/>
            <w:vAlign w:val="center"/>
          </w:tcPr>
          <w:p>
            <w:pPr>
              <w:spacing w:before="20" w:after="20"/>
            </w:pPr>
            <w:r>
              <w:rPr>
                <w:sz w:val="16"/>
                <w:szCs w:val="16"/>
              </w:rPr>
              <w:t>Reason for a version, correction, concordance, or lawful substantive change.</w:t>
            </w:r>
          </w:p>
        </w:tc>
      </w:tr>
      <w:tr>
        <w:tc>
          <w:tcPr>
            <w:tcW w:type="dxa" w:w="2915"/>
            <w:vAlign w:val="center"/>
          </w:tcPr>
          <w:p>
            <w:pPr>
              <w:spacing w:before="20" w:after="20"/>
            </w:pPr>
            <w:r>
              <w:rPr>
                <w:sz w:val="16"/>
                <w:szCs w:val="16"/>
              </w:rPr>
              <w:t>CorrectionReference</w:t>
            </w:r>
          </w:p>
        </w:tc>
        <w:tc>
          <w:tcPr>
            <w:tcW w:type="dxa" w:w="1915"/>
            <w:vAlign w:val="center"/>
          </w:tcPr>
          <w:p>
            <w:pPr>
              <w:spacing w:before="20" w:after="20"/>
            </w:pPr>
            <w:r>
              <w:rPr>
                <w:sz w:val="16"/>
                <w:szCs w:val="16"/>
              </w:rPr>
              <w:t>Navigational</w:t>
            </w:r>
          </w:p>
        </w:tc>
        <w:tc>
          <w:tcPr>
            <w:tcW w:type="dxa" w:w="5164"/>
            <w:vAlign w:val="center"/>
          </w:tcPr>
          <w:p>
            <w:pPr>
              <w:spacing w:before="20" w:after="20"/>
            </w:pPr>
            <w:r>
              <w:rPr>
                <w:sz w:val="16"/>
                <w:szCs w:val="16"/>
              </w:rPr>
              <w:t>Reference to the controlled correction history where applicable.</w:t>
            </w:r>
          </w:p>
        </w:tc>
      </w:tr>
      <w:tr>
        <w:tc>
          <w:tcPr>
            <w:tcW w:type="dxa" w:w="2915"/>
            <w:vAlign w:val="center"/>
          </w:tcPr>
          <w:p>
            <w:pPr>
              <w:spacing w:before="20" w:after="20"/>
            </w:pPr>
            <w:r>
              <w:rPr>
                <w:sz w:val="16"/>
                <w:szCs w:val="16"/>
              </w:rPr>
              <w:t>DisputeReference</w:t>
            </w:r>
          </w:p>
        </w:tc>
        <w:tc>
          <w:tcPr>
            <w:tcW w:type="dxa" w:w="1915"/>
            <w:vAlign w:val="center"/>
          </w:tcPr>
          <w:p>
            <w:pPr>
              <w:spacing w:before="20" w:after="20"/>
            </w:pPr>
            <w:r>
              <w:rPr>
                <w:sz w:val="16"/>
                <w:szCs w:val="16"/>
              </w:rPr>
              <w:t>Navigational</w:t>
            </w:r>
          </w:p>
        </w:tc>
        <w:tc>
          <w:tcPr>
            <w:tcW w:type="dxa" w:w="5164"/>
            <w:vAlign w:val="center"/>
          </w:tcPr>
          <w:p>
            <w:pPr>
              <w:spacing w:before="20" w:after="20"/>
            </w:pPr>
            <w:r>
              <w:rPr>
                <w:sz w:val="16"/>
                <w:szCs w:val="16"/>
              </w:rPr>
              <w:t>Reference to a pending interpretation, cure, or dispute record.</w:t>
            </w:r>
          </w:p>
        </w:tc>
      </w:tr>
      <w:tr>
        <w:tc>
          <w:tcPr>
            <w:tcW w:type="dxa" w:w="2915"/>
            <w:vAlign w:val="center"/>
          </w:tcPr>
          <w:p>
            <w:pPr>
              <w:spacing w:before="20" w:after="20"/>
            </w:pPr>
            <w:r>
              <w:rPr>
                <w:sz w:val="16"/>
                <w:szCs w:val="16"/>
              </w:rPr>
              <w:t>PublicationReference</w:t>
            </w:r>
          </w:p>
        </w:tc>
        <w:tc>
          <w:tcPr>
            <w:tcW w:type="dxa" w:w="1915"/>
            <w:vAlign w:val="center"/>
          </w:tcPr>
          <w:p>
            <w:pPr>
              <w:spacing w:before="20" w:after="20"/>
            </w:pPr>
            <w:r>
              <w:rPr>
                <w:sz w:val="16"/>
                <w:szCs w:val="16"/>
              </w:rPr>
              <w:t>Navigational</w:t>
            </w:r>
          </w:p>
        </w:tc>
        <w:tc>
          <w:tcPr>
            <w:tcW w:type="dxa" w:w="5164"/>
            <w:vAlign w:val="center"/>
          </w:tcPr>
          <w:p>
            <w:pPr>
              <w:spacing w:before="20" w:after="20"/>
            </w:pPr>
            <w:r>
              <w:rPr>
                <w:sz w:val="16"/>
                <w:szCs w:val="16"/>
              </w:rPr>
              <w:t>Reference to the human-readable publication and release manifest.</w:t>
            </w:r>
          </w:p>
        </w:tc>
      </w:tr>
      <w:tr>
        <w:tc>
          <w:tcPr>
            <w:tcW w:type="dxa" w:w="2915"/>
            <w:vAlign w:val="center"/>
          </w:tcPr>
          <w:p>
            <w:pPr>
              <w:spacing w:before="20" w:after="20"/>
            </w:pPr>
            <w:r>
              <w:rPr>
                <w:sz w:val="16"/>
                <w:szCs w:val="16"/>
              </w:rPr>
              <w:t>MachineReadableSchemaVersion</w:t>
            </w:r>
          </w:p>
        </w:tc>
        <w:tc>
          <w:tcPr>
            <w:tcW w:type="dxa" w:w="1915"/>
            <w:vAlign w:val="center"/>
          </w:tcPr>
          <w:p>
            <w:pPr>
              <w:spacing w:before="20" w:after="20"/>
            </w:pPr>
            <w:r>
              <w:rPr>
                <w:sz w:val="16"/>
                <w:szCs w:val="16"/>
              </w:rPr>
              <w:t>Administrative</w:t>
            </w:r>
          </w:p>
        </w:tc>
        <w:tc>
          <w:tcPr>
            <w:tcW w:type="dxa" w:w="5164"/>
            <w:vAlign w:val="center"/>
          </w:tcPr>
          <w:p>
            <w:pPr>
              <w:spacing w:before="20" w:after="20"/>
            </w:pPr>
            <w:r>
              <w:rPr>
                <w:sz w:val="16"/>
                <w:szCs w:val="16"/>
              </w:rPr>
              <w:t>Schema version governing the serialized record.</w:t>
            </w:r>
          </w:p>
        </w:tc>
      </w:tr>
      <w:tr>
        <w:tc>
          <w:tcPr>
            <w:tcW w:type="dxa" w:w="2915"/>
            <w:vAlign w:val="center"/>
          </w:tcPr>
          <w:p>
            <w:pPr>
              <w:spacing w:before="20" w:after="20"/>
            </w:pPr>
            <w:r>
              <w:rPr>
                <w:sz w:val="16"/>
                <w:szCs w:val="16"/>
              </w:rPr>
              <w:t>PopulationStatus</w:t>
            </w:r>
          </w:p>
        </w:tc>
        <w:tc>
          <w:tcPr>
            <w:tcW w:type="dxa" w:w="1915"/>
            <w:vAlign w:val="center"/>
          </w:tcPr>
          <w:p>
            <w:pPr>
              <w:spacing w:before="20" w:after="20"/>
            </w:pPr>
            <w:r>
              <w:rPr>
                <w:sz w:val="16"/>
                <w:szCs w:val="16"/>
              </w:rPr>
              <w:t>Field-status</w:t>
            </w:r>
          </w:p>
        </w:tc>
        <w:tc>
          <w:tcPr>
            <w:tcW w:type="dxa" w:w="5164"/>
            <w:vAlign w:val="center"/>
          </w:tcPr>
          <w:p>
            <w:pPr>
              <w:spacing w:before="20" w:after="20"/>
            </w:pPr>
            <w:r>
              <w:rPr>
                <w:sz w:val="16"/>
                <w:szCs w:val="16"/>
              </w:rPr>
              <w:t>Controlled population state distinguishing complete, pending, disputed, and unpopulated records.</w:t>
            </w:r>
          </w:p>
        </w:tc>
      </w:tr>
      <w:tr>
        <w:tc>
          <w:tcPr>
            <w:tcW w:type="dxa" w:w="2915"/>
            <w:vAlign w:val="center"/>
          </w:tcPr>
          <w:p>
            <w:pPr>
              <w:spacing w:before="20" w:after="20"/>
            </w:pPr>
            <w:r>
              <w:rPr>
                <w:sz w:val="16"/>
                <w:szCs w:val="16"/>
              </w:rPr>
              <w:t>ValidationTestReference</w:t>
            </w:r>
          </w:p>
        </w:tc>
        <w:tc>
          <w:tcPr>
            <w:tcW w:type="dxa" w:w="1915"/>
            <w:vAlign w:val="center"/>
          </w:tcPr>
          <w:p>
            <w:pPr>
              <w:spacing w:before="20" w:after="20"/>
            </w:pPr>
            <w:r>
              <w:rPr>
                <w:sz w:val="16"/>
                <w:szCs w:val="16"/>
              </w:rPr>
              <w:t>Evidentiary</w:t>
            </w:r>
          </w:p>
        </w:tc>
        <w:tc>
          <w:tcPr>
            <w:tcW w:type="dxa" w:w="5164"/>
            <w:vAlign w:val="center"/>
          </w:tcPr>
          <w:p>
            <w:pPr>
              <w:spacing w:before="20" w:after="20"/>
            </w:pPr>
            <w:r>
              <w:rPr>
                <w:sz w:val="16"/>
                <w:szCs w:val="16"/>
              </w:rPr>
              <w:t>Reference to deterministic and adversarial rule-expression validation results.</w:t>
            </w:r>
          </w:p>
        </w:tc>
      </w:tr>
    </w:tbl>
    <w:p>
      <w:pPr/>
      <w:r>
        <w:t xml:space="preserve">The controlled schema contains fifty-eight fields and has received legal-source and dependency population without invention of unsupported product-specific rules. Final operative product-rule population occurs only from an authenticated adoption instrument or other authority recognized by the Compact.</w:t>
      </w:r>
    </w:p>
    <w:p>
      <w:pPr>
        <w:pStyle w:val="Heading1"/>
      </w:pPr>
      <w:bookmarkStart w:id="1916" w:name="NAATOC_0351"/>
      <w:bookmarkStart w:id="1351" w:name="toc_ANNEX_I___REGULATORY_FRICTION_"/>
      <w:r>
        <w:t xml:space="preserve">Annex I - Regulatory Friction, Facilitation, and Resolution Register</w:t>
      </w:r>
      <w:bookmarkEnd w:id="1351"/>
      <w:bookmarkEnd w:id="1916"/>
    </w:p>
    <w:p>
      <w:pPr/>
      <w:r>
        <w:t xml:space="preserve">This Annex supplies the controlled schema, routing logic, category vocabulary, and outcome architecture for the existing Regulatory Friction Register under Chapters 16 and 17. It does not create a second register or a substantive regulatory, adjudicative, or remedial authority.</w:t>
      </w:r>
    </w:p>
    <w:p>
      <w:pPr>
        <w:pStyle w:val="Heading2"/>
      </w:pPr>
      <w:bookmarkStart w:id="1917" w:name="NAATOC_0352"/>
      <w:bookmarkStart w:id="1352" w:name="toc_Article_I_1___Purpose__Scope__"/>
      <w:r>
        <w:t>Article I.1 - Purpose, Scope, and Legal Character</w:t>
      </w:r>
      <w:bookmarkEnd w:id="1352"/>
      <w:bookmarkEnd w:id="1917"/>
    </w:p>
    <w:p>
      <w:pPr/>
      <w:r>
        <w:t>I.1.1 Annex I supplies the controlled schema, routing table, category vocabulary, and outcome taxonomy for the Regulatory Friction Register maintained under Article 17.16 and contemplated by Article 16.19.2. It operates as a register layer within the shared Registry architecture governed by Chapter 22 rather than as a second or competing register. It receives qualifying friction information, records and routes that information, and records returned status, outcome, and implementation information from the competent process. Annex I identifies, records, routes, and tracks regulatory friction and stops where substantive determination begins.</w:t>
      </w:r>
    </w:p>
    <w:p>
      <w:pPr/>
      <w:r>
        <w:t>I.1.2 A Regulatory Friction Register entry is an administrative record and does not establish that a measure is a barrier, that a barrier is inconsistent with the Compact, or that a Party has breached an obligation. Routing does not determine jurisdiction, merits, burden of proof, standing, or remedy. Facilitation does not require deregulation, harmonization, recognition, equivalence, or reduction of a Party’s chosen level of protection. Measurement of delay, duplication, cost, intensity, or frequency does not by itself constitute a Legal Finding.</w:t>
      </w:r>
    </w:p>
    <w:p>
      <w:pPr/>
      <w:r>
        <w:t>I.1.3 Nothing in Annex I independently requires a Party to recognize another Party’s measure as equivalent, harmonize a measure, alter its appropriate level of sanitary or phytosanitary protection, accept scientifically unsupported risk, waive an inspection, approve a product, or abandon a regulatory objective. That sovereignty boundary does not excuse avoidable administrative duplication, incompatible data formats, unexplained delay, or opaque administration where those conditions are independently documented as regulatory friction. Annex I may facilitate correction of administrative friction only within authority assigned elsewhere in the Compact. A facilitative action cannot create a substantive obligation that the controlling Chapter does not contain.</w:t>
      </w:r>
    </w:p>
    <w:p>
      <w:pPr/>
      <w:r>
        <w:t>I.1.4 Annex I creates no private right of action, damages entitlement, compensation entitlement, direct domestic legal effect, or independent state-to-state claim. A stakeholder submission may provide information and initiate administrative screening but does not acquire Party standing or adjudicative status by entry in the Register. Inclusion, omission, withdrawal, silence, non-objection, or closure creates no adverse inference concerning legality, compliance, breach, good faith, or bad faith. No registry practice, software capability, administrative custom, or repeated use enlarges the authority expressly assigned to Annex I.</w:t>
      </w:r>
    </w:p>
    <w:p>
      <w:pPr>
        <w:pStyle w:val="Heading2"/>
      </w:pPr>
      <w:bookmarkStart w:id="1918" w:name="NAATOC_0353"/>
      <w:bookmarkStart w:id="1353" w:name="toc_Article_I_2___Record_Architect"/>
      <w:r>
        <w:t>Article I.2 - Record Architecture and Persistent Identity</w:t>
      </w:r>
      <w:bookmarkEnd w:id="1353"/>
      <w:bookmarkEnd w:id="1918"/>
    </w:p>
    <w:p>
      <w:pPr/>
      <w:r>
        <w:t>I.2.1 Each operative friction matter receives a persistent RegulatoryFrictionRecordID that remains associated with the same recorded matter through routing, correction, escalation, closure, archival, database migration, and responsible-authority succession. A FrictionEventID identifies the observed event or pattern, while MeasureReferenceID and AuthorityReferenceID identify the measure or administrative authority materially associated with the record where known. ProductRecordID is used where the matter is product-specific, and AnnexMConcordanceReference preserves traceability where nomenclature succession affects product scope. An identifier is not reassigned to an unrelated matter after retirement, closure, or supersession.</w:t>
      </w:r>
    </w:p>
    <w:p>
      <w:pPr/>
      <w:r>
        <w:t>I.2.2 A submission containing materially distinct issues is decomposed into independently traceable ComponentFrictionRecords linked by a persistent ParentBundleID. Each component receives its own RegulatoryFrictionRecordID, routing basis, status axes, outcome record, implementation record, verification state, and dispute reference where applicable. The original submission and its alleged legal characterization remain preserved as provenance without controlling the routing or outcome of any component. Decomposition is an administrative tracking function and does not determine merits, jurisdiction, breach, or remedy.</w:t>
      </w:r>
    </w:p>
    <w:p>
      <w:pPr/>
      <w:r>
        <w:t>I.2.3 RelatedRecordReference links matters that are materially related but not duplicates, while DuplicateRecordReference identifies records determined to concern the same underlying friction matter. SupersededRecordReference and CorrectionRecordReference preserve continuity where a record is replaced or materially corrected. A duplicate determination does not erase the earlier record, and consolidation does not inflate frequency, severity, or aggregate metrics. Relationships among records remain visible enough to reconstruct how a submission, component, correction, referral, and outcome developed over time.</w:t>
      </w:r>
    </w:p>
    <w:p>
      <w:pPr/>
      <w:r>
        <w:t>I.2.4 Every material state change receives a RecordVersionID, effective date, change reason, responsible authority, and predecessor-version reference. Prior values remain reconstructable and are not silently overwritten when a category, route, status, outcome, implementation state, or factual description changes. Database migration, agency reorganization, nomenclature revision, or software replacement does not restart clocks or create a new substantive matter where identity continues. Record architecture supports administration and provenance and does not itself create legal authority.</w:t>
      </w:r>
    </w:p>
    <w:p>
      <w:pPr>
        <w:pStyle w:val="Heading2"/>
      </w:pPr>
      <w:bookmarkStart w:id="1919" w:name="NAATOC_0354"/>
      <w:bookmarkStart w:id="1354" w:name="toc_Article_I_3___Friction_Categor"/>
      <w:r>
        <w:t>Article I.3 - Friction Categories and Classification Rules</w:t>
      </w:r>
      <w:bookmarkEnd w:id="1354"/>
      <w:bookmarkEnd w:id="1919"/>
    </w:p>
    <w:p>
      <w:pPr/>
      <w:r>
        <w:t>I.3.1 The controlled category vocabulary describes observed administrative friction rather than alleged legal character. Core categories include Duplicative Documentation, Duplicative Testing or Certification, Inconsistent Data Requirements, Administrative Delay, Procedural Incompatibility, Recognition or Equivalence Uncertainty, Interoperability Failure, Opaque or Unpredictable Administration, Fee or Charge Administration Friction, Repeated Resubmission or Rejection Loop, and Conflicting Administrative Instructions. OtherSpecified may be used only with a written description explaining why no controlled category adequately describes the observed friction. Category assignment assists routing, measurement, and analysis and does not decide forum, merits, or breach.</w:t>
      </w:r>
    </w:p>
    <w:p>
      <w:pPr/>
      <w:r>
        <w:t>I.3.2 ObservedFrictionCategory is recorded separately from AllegedLegalCharacter so that a submitter may state a legal theory without controlling administrative classification. A submission labeled as an SPS barrier, origin violation, customs discrimination, or other legal characterization is screened according to the actual functions, measures, and evidence described. Strategic labeling does not move a matter into a preferred Chapter or confer authority on Annex I. A category may be corrected when better information becomes available without treating the correction as a merits determination.</w:t>
      </w:r>
    </w:p>
    <w:p>
      <w:pPr/>
      <w:r>
        <w:t>I.3.3 An operative Register entry requires material friction affecting covered agricultural trade or administration through a recurring pattern, common systemic event, or materially significant event consistent with Article 17.16.2. Ordinary compliance cost, trivial inconvenience, isolated dissatisfaction, or pure disagreement with a lawful policy choice does not become operative friction merely because a stakeholder objects to it. A single event may qualify where its scale, systemic relevance, perishability, or commercial consequence makes system-level attention reasonably necessary. The screening record states the materiality basis without characterizing legality.</w:t>
      </w:r>
    </w:p>
    <w:p>
      <w:pPr/>
      <w:r>
        <w:t>I.3.4 A matter involving several categories may carry more than one observed-friction code where the codes describe the same underlying issue and do not distort metrics. Materially distinct issues are decomposed under Article I.2 rather than fused into a single dramatic record. One underlying fact is counted once for a metric unless a published methodology expressly requires a different non-duplicative treatment. Category design does not permit aggregation, fragmentation, or relabeling for forum shopping or apparent frequency inflation.</w:t>
      </w:r>
    </w:p>
    <w:p>
      <w:pPr>
        <w:pStyle w:val="Heading2"/>
      </w:pPr>
      <w:bookmarkStart w:id="1920" w:name="NAATOC_0355"/>
      <w:bookmarkStart w:id="1355" w:name="toc_Article_I_4___Submission__Evid"/>
      <w:r>
        <w:t>Article I.4 - Submission, Evidence, and Screening</w:t>
      </w:r>
      <w:bookmarkEnd w:id="1355"/>
      <w:bookmarkEnd w:id="1920"/>
    </w:p>
    <w:p>
      <w:pPr/>
      <w:r>
        <w:t>I.4.1 A submission seeking operative Register treatment identifies the submitter, affected authority or measure where known, affected product scope where applicable, affected trade process, relevant dates, observed friction, and enough information to permit meaningful screening. It supplies supporting evidence or explains why material evidence is unavailable and identifies related proceedings, friction records, or dispute records known to the submitter. A submitter may state alleged legal character, urgency, perishability, commercial impact, or a requested interim preservation step, but those statements do not control routing or legal consequence. The submission channel accepts information in a form reasonably usable by SMEs and producers without lowering the evidentiary minimum required for operative treatment.</w:t>
      </w:r>
    </w:p>
    <w:p>
      <w:pPr/>
      <w:r>
        <w:t>I.4.2 Confidential information may be submitted subject to Chapter 22 protections and is accompanied by a non-confidential summary where meaningful summary is reasonably possible. Anonymous information may initiate a preliminary inquiry or data-quality check but does not by itself become an operative regulatory dispute or verified friction record. Protected information is separated from public-facing fields through role-based and purpose-limited access. Confidentiality does not conceal the existence, routing basis, operative scope, or review route of a matter to the extent disclosure of those elements is lawful.</w:t>
      </w:r>
    </w:p>
    <w:p>
      <w:pPr/>
      <w:r>
        <w:t>I.4.3 Screening determines whether the submission is Accepted, Clarification Required, Insufficient Evidence, Out of Scope, Duplicate, Related to Existing Record, Decomposed, or Referred Directly. Screening records the reason, evidence considered, responsible authority, date, and any clarification requested. The screening period follows the applicable Chapter 16, Chapter 17, or Chapter 23 clock where one controls, and Annex I does not create a conflicting clock merely for registry convenience. Where no controlling clock exists, screening proceeds without avoidable delay and the Registry records any material delay and its reason.</w:t>
      </w:r>
    </w:p>
    <w:p>
      <w:pPr/>
      <w:r>
        <w:t>I.4.4 A screening decision does not establish jurisdiction, breach, non-breach, necessity, discrimination, equivalence, scientific validity, origin, tariff treatment, or remedy. One prompt administrative reconsideration is available only for a material clerical, classification, decomposition, routing, identity, or record-handling error and does not reopen merits or create a second screening on unchanged evidence. Correction preserves the original record, reasons, evidence, controlling clock, and accrued procedural position, while materially new evidence remains subject to ordinary screening. Screening or reconsideration cannot delay access to a cure or dispute route otherwise available under the Compact.</w:t>
      </w:r>
    </w:p>
    <w:p>
      <w:pPr>
        <w:pStyle w:val="Heading2"/>
      </w:pPr>
      <w:bookmarkStart w:id="1921" w:name="NAATOC_0356"/>
      <w:bookmarkStart w:id="1356" w:name="toc_Article_I_5___Routing_and_Rece"/>
      <w:r>
        <w:t>Article I.5 - Routing and Receiving-Process Control</w:t>
      </w:r>
      <w:bookmarkEnd w:id="1356"/>
      <w:bookmarkEnd w:id="1921"/>
    </w:p>
    <w:p>
      <w:pPr/>
      <w:r>
        <w:t>I.5.1 Annex I routes matters by actual subject matter and assigned function rather than by the submitter’s preferred legal theory. Origin and customs matters route to Chapters 10 through 13 as applicable, SPS matters to Chapter 14, recognition and equivalence matters to Chapter 15, regulatory-friction matters to Chapter 16, independent technical questions to Chapter 18, safeguard matters to Chapter 19 and Annex K, and cure or dispute matters to Chapters 25 and 26 when their conditions are met. Classification and nomenclature continuity use Chapter 3 and Annex M, while product identity, tariff state, transition, managed access, synchronization, completed state, and product-specific origin context remain with Annexes A through G according to their assigned functions. The controlled routing table may identify additional destinations already authorized by the Compact without creating new jurisdiction.</w:t>
      </w:r>
    </w:p>
    <w:p>
      <w:pPr/>
      <w:r>
        <w:t>I.5.2 Each routing action records RoutingRecordID, RoutingDestination, RoutingBasis, RoutingAuthority, RoutingDate, RoutingStatus, and the controlling Compact reference. The receiving process acknowledges or otherwise records receipt according to its own procedure, and Annex I records that return without substituting its own decision. A routing error may be corrected and a matter may be rerouted on materially new information while preserving the original route, reason, and chronology. Rerouting does not restart a controlling clock or prejudice a Party or submitter merely because the administrative route was corrected.</w:t>
      </w:r>
    </w:p>
    <w:p>
      <w:pPr/>
      <w:r>
        <w:t>I.5.3 Routing does not decide that the receiving Chapter has legal jurisdiction over a later dispute, that a substantive legal test is satisfied, or that any burden of proof has shifted. A receiving Chapter applies its own threshold, authority, evidence rules, and legal standard and may return a matter that does not fit its assigned function. Annex I records the return and any new route but does not overrule the receiving authority on a question assigned to that authority. No routing table, default map, contact point, database field, or automated suggestion becomes substantive law by repeated use.</w:t>
      </w:r>
    </w:p>
    <w:p>
      <w:pPr/>
      <w:r>
        <w:t>I.5.4 Where one submission contains SPS inspection, origin documentation, customs-data, licensing, discrimination, or other materially distinct components, each component is routed independently and remains linked to the ParentBundleID. The strongest or most dramatic component does not determine the route, evidentiary status, or outcome of the others. A component resolved administratively does not resolve a separate technical or legal disagreement, and a component entering dispute settlement does not transform the remaining components into disputes. This decomposition rule prevents megarecord poisoning while preserving the complete history of the original submission.</w:t>
      </w:r>
    </w:p>
    <w:p>
      <w:pPr>
        <w:pStyle w:val="Heading2"/>
      </w:pPr>
      <w:bookmarkStart w:id="1922" w:name="NAATOC_0357"/>
      <w:bookmarkStart w:id="1357" w:name="toc_Article_I_6___Facilitation_and"/>
      <w:r>
        <w:t>Article I.6 - Facilitation and Administrative Resolution</w:t>
      </w:r>
      <w:bookmarkEnd w:id="1357"/>
      <w:bookmarkEnd w:id="1922"/>
    </w:p>
    <w:p>
      <w:pPr/>
      <w:r>
        <w:t>I.6.1 Facilitation under Annex I is cooperative administrative problem-solving within authority already assigned by the Compact. It may clarify requirements, exchange information, correct forms or data, align compatible data formats, remove unnecessary duplication where legally permissible, improve interoperability, identify existing recognition or equivalence mechanisms, and coordinate responsible contact points. It does not create a new regulator, substantive standard, approval power, recognition power, waiver power, or enforcement authority. Material agreements, disagreements, unresolved questions, and next steps are recorded with provenance.</w:t>
      </w:r>
    </w:p>
    <w:p>
      <w:pPr/>
      <w:r>
        <w:t>I.6.2 Participation in facilitation does not suspend an existing obligation, condition an accrued right, require withdrawal of another proceeding, or require an unrelated tariff, procurement, political, or regulatory concession. A Party does not use facilitation to delay access to Chapter 25 or Chapter 26 where the conditions of those Chapters are otherwise satisfied. Any pause or extension arising from facilitation follows the controlling Chapter and is reasoned, bounded, and recorded. Facilitation cannot become indefinite procedural purgatory.</w:t>
      </w:r>
    </w:p>
    <w:p>
      <w:pPr/>
      <w:r>
        <w:t>I.6.3 Facilitative administration reuses reliable existing information where lawful and practicable and avoids requesting the same information repeatedly without a stated operational need. Standardized forms, interoperable fields, controlled vocabularies, and machine-readable exchange formats may be maintained to reduce avoidable processing friction. Automated duplicate detection or consistency checks may flag a record for human or authorized review but do not themselves determine duplication, legality, compliance, or disposition. A software recommendation remains an administrative aid with the evidentiary status assigned to its verified inputs and review.</w:t>
      </w:r>
    </w:p>
    <w:p>
      <w:pPr/>
      <w:r>
        <w:t>I.6.4 A facilitation outcome is classified according to what occurred, including Administrative Clarification, Data Correction, Duplicate Requirement Removed, Procedure Harmonized, Interoperability Established, Recognition or Equivalence Outcome Recorded, Measure Modified by Competent Authority, No Change Required, No Friction Found, Referred to Other Process, Unresolved, Withdrawn, Superseded, or Insufficient Evidence. OutcomeAuthority identifies the competent process or authority from which the outcome came. Resolved means the recorded friction has been addressed according to the controlling process and does not mean that a complainant prevailed, a respondent lost, or a breach was found. Annex I records the outcome and does not adjudicate it.</w:t>
      </w:r>
    </w:p>
    <w:p>
      <w:pPr>
        <w:pStyle w:val="Heading2"/>
      </w:pPr>
      <w:bookmarkStart w:id="1923" w:name="NAATOC_0358"/>
      <w:bookmarkStart w:id="1358" w:name="toc_Article_I_7___Measurement__Adm"/>
      <w:r>
        <w:t>Article I.7 - Measurement, Administrative Burden, and Aggregate Patterns</w:t>
      </w:r>
      <w:bookmarkEnd w:id="1358"/>
      <w:bookmarkEnd w:id="1923"/>
    </w:p>
    <w:p>
      <w:pPr/>
      <w:r>
        <w:t>I.7.1 Annex I may record measurable administrative-friction indicators including processing time, duplicate fields, testing events, certification steps, resubmissions, rejection reasons, number of authorities or systems involved, data exchanges, clarification requests, extensions, and documented cost or delay estimates. Each quantitative metric identifies its definition, numerator where applicable, denominator where applicable, population, period, source, sampling method where relevant, risk-targeting status where relevant, known limitations, and verification state. A metric is not interpreted beyond the population and method that produced it. Measurement describes administrative conditions and does not establish unlawfulness or breach.</w:t>
      </w:r>
    </w:p>
    <w:p>
      <w:pPr/>
      <w:r>
        <w:t>I.7.2 A rate or comparative metric is not published or relied upon without sufficient denominator discipline to permit meaningful interpretation. Risk-targeted inspections, complaint-selected samples, incomplete periods, exceptional events, or materially different reporting systems are disclosed where they affect comparability. Denominator shopping, numerator inflation, selective deletion, duplicate counting, and silent methodological substitution are prohibited. A correction preserves the prior value, corrected value, reason, authority, effective date, and downstream propagation status.</w:t>
      </w:r>
    </w:p>
    <w:p>
      <w:pPr/>
      <w:r>
        <w:t>I.7.3 Recurring friction may be aggregated for system-level review under Chapters 16 and 17 where the controlling criteria are met. Aggregate patterns may identify recurring duplication, delay, interoperability failure, inconsistent administration, or other implementation conditions warranting attention. Pattern detection does not convert frequency into a Legal Finding and does not establish discrimination, necessity, causation, or breach. A system-level review preserves the underlying record identifiers and methodology sufficiently to prevent circular corroboration or double counting.</w:t>
      </w:r>
    </w:p>
    <w:p>
      <w:pPr/>
      <w:r>
        <w:t>I.7.4 The Registry may publish aggregate statistics concerning categories, routing, processing time, outcomes, implementation, corrections, and recurring administrative patterns subject to Chapter 22. Published statistics state definitions, periods, denominator rules, sampling rules, material limitations, and correction history needed for responsible interpretation. Party rankings, compliance scores, barrier scores, guilt scores, or comparable league-table devices are not created under Annex I. Institutional learning informs administration and authorized technical maintenance but does not create substantive law.</w:t>
      </w:r>
    </w:p>
    <w:p>
      <w:pPr>
        <w:pStyle w:val="Heading2"/>
      </w:pPr>
      <w:bookmarkStart w:id="1924" w:name="NAATOC_0359"/>
      <w:bookmarkStart w:id="1359" w:name="toc_Article_I_8___Recognition__Equ"/>
      <w:r>
        <w:t>Article I.8 - Recognition, Equivalence, and Interoperability Tracking</w:t>
      </w:r>
      <w:bookmarkEnd w:id="1359"/>
      <w:bookmarkEnd w:id="1924"/>
    </w:p>
    <w:p>
      <w:pPr/>
      <w:r>
        <w:t>I.8.1 Where a friction matter concerns recognition, equivalence, interoperability, facility listing, laboratory recognition, certification recognition, or comparable administrative coordination, Annex I records the request, scope, responsible authority, dates, conditions, limitations, status, and returned outcome. Chapter 15 or another competent authority remains responsible for any substantive recognition or equivalence determination. Annex I does not declare equivalence, grant recognition, determine scientific validity, determine competence, or alter a Party’s appropriate level of protection. Delay or repeated administrative cycling may be recorded as friction without deciding whether that delay is legally inconsistent.</w:t>
      </w:r>
    </w:p>
    <w:p>
      <w:pPr/>
      <w:r>
        <w:t>I.8.2 Interoperability tracking may record data-mapping status, system-linkage status, accepted exchange formats, interface dependencies, implementation dates, and material technical limitations. A technical mapping demonstrates that information can be exchanged or interpreted and does not establish that regulatory systems are legally equivalent. Where interoperability depends on a competent authority’s decision, Annex I records the decision and its stated conditions rather than recreating the decision. Failure of a technical interface is distinguished from refusal of recognition, substantive regulatory disagreement, and legal non-compliance.</w:t>
      </w:r>
    </w:p>
    <w:p>
      <w:pPr/>
      <w:r>
        <w:t>I.8.3 A recognition or equivalence outcome remains associated with the scope, conditions, limitations, review date, and authority that produced it. Annex I does not generalize a product-specific, facility-specific, laboratory-specific, regional, temporary, or conditional outcome beyond its stated scope. Expiry, suspension, modification, or supersession is recorded without implying the legal reason unless the competent authority supplies that reason. Historical outcomes remain reconstructable after later changes.</w:t>
      </w:r>
    </w:p>
    <w:p>
      <w:pPr/>
      <w:r>
        <w:t>I.8.4 A reusable knowledge repository may publish non-confidential administrative guidance, accepted data mappings, model forms, interoperability lessons, and examples of resolved friction where publication is lawful and useful. Repository material is guidance and institutional memory rather than precedent, substantive law, or automatic evidence that a later matter is resolved the same way. A prior resolution may be referenced for efficiency while differences in measure, product, risk, authority, or factual context remain visible. Chapter 22 governs publication, provenance, correction, confidentiality, and historical access for repository material.</w:t>
      </w:r>
    </w:p>
    <w:p>
      <w:pPr>
        <w:pStyle w:val="Heading2"/>
      </w:pPr>
      <w:bookmarkStart w:id="1925" w:name="NAATOC_0360"/>
      <w:bookmarkStart w:id="1360" w:name="toc_Article_I_9___Status__Mileston"/>
      <w:r>
        <w:t>Article I.9 - Status, Milestones, Outcomes, and Implementation</w:t>
      </w:r>
      <w:bookmarkEnd w:id="1360"/>
      <w:bookmarkEnd w:id="1925"/>
    </w:p>
    <w:p>
      <w:pPr/>
      <w:r>
        <w:t>I.9.1 Annex I maintains separate FrictionRecordStatus, RoutingStatus, TechnicalEngagementStatus, ImplementationStatus, VerificationStatus, DisputeStatus, AdministrativeLifecycleStatus, ConfidentialityStatus, and OutcomeStatus axes. No generic ComplianceStatus, LegalityStatus, BreachStatus, MeritScore, BarrierScore, or comparable field is created. A change on one axis does not silently change another axis. Each status vocabulary is defined, versioned, and published through the controlled schema.</w:t>
      </w:r>
    </w:p>
    <w:p>
      <w:pPr/>
      <w:r>
        <w:t>I.9.2 FrictionRecordStatus may include Received, Screening, Active, Under Review, Resolved, and Archived consistently with Article 17.16, with technical sub-statuses such as Clarification Required, Decomposed, Referred, Deferred, Withdrawn, Superseded, No Friction Found, Insufficient Evidence, or Unresolved where needed. A technical sub-status does not replace the controlling Article 17.16 status and is mapped transparently to it. Resolved entries identify the returned outcome and basis for resolution, while Archived preserves history without implying a current problem. Status vocabulary cannot be used to create a substantive finding that Article 17.16 does not authorize.</w:t>
      </w:r>
    </w:p>
    <w:p>
      <w:pPr/>
      <w:r>
        <w:t>I.9.3 Outcome recorded and operational implementation are separate states. Where a competent authority agrees to or orders a corrective or facilitative action, Annex I may track whether the action reaches the relevant form, system, port, office, laboratory, licensing process, or other operational channel. Implementation evidence identifies source, date, authority, scope, known limitations, and verification state. Failure to implement a recorded outcome may be routed under the controlling Chapter but does not become a breach merely because Annex I marks implementation incomplete.</w:t>
      </w:r>
    </w:p>
    <w:p>
      <w:pPr/>
      <w:r>
        <w:t>I.9.4 A matter closes when the controlling process reports resolution, the issue is appropriately transferred, the record is withdrawn, the matter is superseded, or another closure condition authorized by the Compact is satisfied. Closure records the reason, date, authority, unresolved residual issues, implementation state, and any continuing dispute or review reference. Closed and archived matters remain available for historical reconstruction and aggregate analysis subject to confidentiality. Closure cannot be used to delete inconvenient data, erase an unresolved legal issue, or manufacture apparent improvement in system metrics.</w:t>
      </w:r>
    </w:p>
    <w:p>
      <w:pPr>
        <w:pStyle w:val="Heading2"/>
      </w:pPr>
      <w:bookmarkStart w:id="1926" w:name="NAATOC_0361"/>
      <w:bookmarkStart w:id="1361" w:name="toc_Article_I_10___Escalation__Cur"/>
      <w:r>
        <w:t>Article I.10 - Escalation, Cure, and Dispute Interfaces</w:t>
      </w:r>
      <w:bookmarkEnd w:id="1361"/>
      <w:bookmarkEnd w:id="1926"/>
    </w:p>
    <w:p>
      <w:pPr/>
      <w:r>
        <w:t>I.10.1 A material failure to acknowledge, route, engage, respond, implement a recorded administrative outcome, or address a time-sensitive matter may be recorded as an escalation condition where the controlling Chapter recognizes that condition. Annex I records EscalationDate, EscalationBasis, EscalationDestination, receiving authority, and returned status. The existence of an escalation record does not establish breach, standing, jurisdiction, or entitlement to a remedy. Annex I does not create escalation grounds beyond those authorized by the Compact.</w:t>
      </w:r>
    </w:p>
    <w:p>
      <w:pPr/>
      <w:r>
        <w:t>I.10.2 Chapter 25 may receive a matter requiring cure or Restoration where its jurisdictional and procedural conditions are satisfied. Annex I may transmit the relevant administrative record and continue tracking routing, implementation, and returned status without becoming the cure authority. Facilitation under Annex I does not block, reset, or indefinitely postpone Chapter 25 where Chapter 25 is otherwise available. A Chapter 25 outcome returns to Annex I only for faithful recording within the scope supplied by Chapter 25.</w:t>
      </w:r>
    </w:p>
    <w:p>
      <w:pPr/>
      <w:r>
        <w:t>I.10.3 Chapter 26 governs legal disputes within its jurisdiction and retains responsibility for treaty interpretation, burden allocation, Legal Findings, defenses, and remedies. Annex I may transmit provenance-preserving records and record the procedural status or final outcome returned by Chapter 26. An open Register entry may coexist with a Chapter 26 dispute without becoming an adjudicative docket or prejudging the dispute. Failure of facilitation or disagreement between Parties does not itself establish a violation.</w:t>
      </w:r>
    </w:p>
    <w:p>
      <w:pPr/>
      <w:r>
        <w:t>I.10.4 A matter transferred to another process retains its RegulatoryFrictionRecordID and relevant routing history so that administrative continuity does not depend on duplicate files or recreated narratives. The receiving process controls its own legal record and may use Annex I material according to the evidentiary status and provenance that material actually possesses. Annex I does not upgrade an allegation, provisional metric, stakeholder statement, or unverified record merely because another Chapter receives it. Return of an outcome likewise does not give Annex I authority to reinterpret or enlarge that outcome.</w:t>
      </w:r>
    </w:p>
    <w:p>
      <w:pPr>
        <w:pStyle w:val="Heading2"/>
      </w:pPr>
      <w:bookmarkStart w:id="1927" w:name="NAATOC_0362"/>
      <w:bookmarkStart w:id="1362" w:name="toc_Article_I_11___Corrections__Ve"/>
      <w:r>
        <w:t>Article I.11 - Corrections, Verification, and Anti-Gaming Controls</w:t>
      </w:r>
      <w:bookmarkEnd w:id="1362"/>
      <w:bookmarkEnd w:id="1927"/>
    </w:p>
    <w:p>
      <w:pPr/>
      <w:r>
        <w:t>I.11.1 Material corrections use append-only history preserving the prior value, corrected value, correction reason, correction authority, correction date, effective date where distinct, and downstream propagation status. Closed records, unfavorable outcomes, disputed entries, and superseded states are not silently deleted or overwritten. Verification follows Chapter 17 and other controlling verification provisions according to the type of fact being verified and does not convert administrative accuracy into a Legal Finding. Self-verification, circular corroboration, and unsupported status inheritance are prohibited.</w:t>
      </w:r>
    </w:p>
    <w:p>
      <w:pPr/>
      <w:r>
        <w:t>I.11.2 Duplicate inflation, strategic fragmentation, megarecord combining, strategic reclassification, strategic rerouting, strategic reopening, strategic closure, and deliberate delay intended to distort Register metrics or process are prohibited. A Party or stakeholder does not obtain a preferred forum by labeling a matter as SPS, origin, customs, discrimination, safeguard, or another legal category. Product aggregation or fragmentation does not alter routing where the underlying function remains the same. Anti-gaming review corrects administration and does not impose a penalty or independent legal consequence under Annex I.</w:t>
      </w:r>
    </w:p>
    <w:p>
      <w:pPr/>
      <w:r>
        <w:t>I.11.3 No adverse inference arises from register entry, non-entry, silence, non-objection, withdrawal, correction, provisional status, or unresolved status except where another Compact provision expressly assigns a consequence to the underlying fact. A missing field is treated as missing and is not inferred from a neighboring record, default value, software behavior, or institutional expectation. Automated validation may identify missing, inconsistent, or unusual values but cannot populate an operative legal conclusion by convenience. Human or authorized review preserves the distinction between data quality and substantive authority.</w:t>
      </w:r>
    </w:p>
    <w:p>
      <w:pPr/>
      <w:r>
        <w:t>I.11.4 No registry entry, routing decision, facilitation outcome, metric, pattern, dashboard, alert, software rule, contractor action, silence, non-objection, institutional practice, or political understanding enlarges Annex I authority beyond its express text. Technical maintenance under Chapter 29 may update non-substantive schema fields, codes, forms, routing references, and data-exchange methods only within Chapter 29 authority. A change that creates a new substantive obligation, reporting burden of legal significance, right, remedy, jurisdiction, or regulatory condition requires the authority applicable to that substantive change, including Article 30.19 where amendment is required. Registry maintenance is not treaty amendment.</w:t>
      </w:r>
    </w:p>
    <w:p>
      <w:pPr>
        <w:pStyle w:val="Heading2"/>
      </w:pPr>
      <w:bookmarkStart w:id="1928" w:name="NAATOC_0363"/>
      <w:bookmarkStart w:id="1363" w:name="toc_Article_I_12___Publication__Tr"/>
      <w:r>
        <w:t>Article I.12 - Publication, Transparency, Institutional Learning, and Final Boundary</w:t>
      </w:r>
      <w:bookmarkEnd w:id="1363"/>
      <w:bookmarkEnd w:id="1928"/>
    </w:p>
    <w:p>
      <w:pPr/>
      <w:r>
        <w:t>I.12.1 The Regulatory Friction Register is maintained in human-readable and machine-readable forms using stable identifiers, controlled schema versions, publication dates, effective dates, source references, correction history, and known limitations. Public-facing information includes non-confidential summaries, aggregate statistics, routing information, outcome categories, implementation timing, and material methodology notes where publication is lawful and useful. Protected information remains governed by Chapter 22 confidentiality, access, retention, and disclosure controls. A technical failure in one publication format does not alter the controlled administrative or legal state.</w:t>
      </w:r>
    </w:p>
    <w:p>
      <w:pPr/>
      <w:r>
        <w:t>I.12.2 The Parties may publish periodic institutional-learning reports identifying recurring administrative friction, duplication, delay patterns, interoperability failures, resolution timing, implementation timing, and reusable administrative lessons. Reports distinguish observations, verified administrative facts, technical analysis, and Legal Findings and do not rank Parties by compliance or regulatory virtue. Recurring patterns may inform Chapter 16 or Chapter 17 review and authorized Chapter 29 technical maintenance without creating new substantive obligations. Publication does not convert guidance, frequency, or institutional experience into precedent or law.</w:t>
      </w:r>
    </w:p>
    <w:p>
      <w:pPr/>
      <w:r>
        <w:t>I.12.3 Model submission forms, routing records, outcome records, implementation records, contact information, language-access guidance, accessibility guidance, and fallback submission channels may be maintained as administrative tools. An outage or system failure does not extinguish a timely submission where a published fallback channel is used and the receipt timestamp can be reliably established. Changes to forms or channels preserve provenance and do not impose a new substantive condition by software configuration. Administrative tools remain subordinate to the Compact text and the authority of the competent process.</w:t>
      </w:r>
    </w:p>
    <w:p>
      <w:pPr/>
      <w:r>
        <w:t>I.12.4 Annex I is subordinate to the substantive Chapters and does not absorb, displace, duplicate, or become a general regulator, tribunal, enforcement system, complaint forum, or source of substantive law. It records what friction was observed, where the matter was routed, what the competent process reported, and whether an authorized outcome became operationally implemented. It preserves enough history to expose delay, duplication, disappearance, relabeling, and unresolved administrative problems without deciding who legally wins. Annex I ends where the substantive machinery begins.</w:t>
      </w:r>
    </w:p>
    <w:p>
      <w:pPr>
        <w:pStyle w:val="Heading2"/>
      </w:pPr>
      <w:bookmarkStart w:id="1929" w:name="NAATOC_0364"/>
      <w:bookmarkStart w:id="1364" w:name="toc_Annex_I_Controlled_Routing_Key"/>
      <w:r>
        <w:t>Annex I Controlled Routing Key</w:t>
      </w:r>
      <w:bookmarkEnd w:id="1364"/>
      <w:bookmarkEnd w:id="1929"/>
    </w:p>
    <w:tbl>
      <w:tblPr>
        <w:tblStyle w:val="TableGrid"/>
        <w:tblW w:type="dxa" w:w="9994"/>
        <w:jc w:val="center"/>
        <w:tblLook w:firstColumn="1" w:firstRow="1" w:lastColumn="0" w:lastRow="0" w:noHBand="0" w:noVBand="1" w:val="04A0"/>
        <w:tblLayout w:type="fixed"/>
      </w:tblPr>
      <w:tblGrid>
        <w:gridCol w:w="3168"/>
        <w:gridCol w:w="3024"/>
        <w:gridCol w:w="3802"/>
      </w:tblGrid>
      <w:tr>
        <w:tc>
          <w:tcPr>
            <w:tcW w:type="dxa" w:w="3168"/>
          </w:tcPr>
          <w:p>
            <w:pPr>
              <w:spacing w:before="20" w:after="20"/>
            </w:pPr>
            <w:r>
              <w:rPr>
                <w:sz w:val="16"/>
                <w:szCs w:val="16"/>
              </w:rPr>
              <w:t>Subject Matter</w:t>
            </w:r>
          </w:p>
        </w:tc>
        <w:tc>
          <w:tcPr>
            <w:tcW w:type="dxa" w:w="3024"/>
          </w:tcPr>
          <w:p>
            <w:pPr>
              <w:spacing w:before="20" w:after="20"/>
            </w:pPr>
            <w:r>
              <w:rPr>
                <w:sz w:val="16"/>
                <w:szCs w:val="16"/>
              </w:rPr>
              <w:t>Default Administrative Destination</w:t>
            </w:r>
          </w:p>
        </w:tc>
        <w:tc>
          <w:tcPr>
            <w:tcW w:type="dxa" w:w="3802"/>
          </w:tcPr>
          <w:p>
            <w:pPr>
              <w:spacing w:before="20" w:after="20"/>
            </w:pPr>
            <w:r>
              <w:rPr>
                <w:sz w:val="16"/>
                <w:szCs w:val="16"/>
              </w:rPr>
              <w:t>Boundary</w:t>
            </w:r>
          </w:p>
        </w:tc>
        <w:trPr>
          <w:tblHeader/>
        </w:trPr>
      </w:tr>
      <w:tr>
        <w:tc>
          <w:tcPr>
            <w:tcW w:type="dxa" w:w="3168"/>
          </w:tcPr>
          <w:p>
            <w:pPr>
              <w:spacing w:before="20" w:after="20"/>
            </w:pPr>
            <w:r>
              <w:rPr>
                <w:sz w:val="16"/>
                <w:szCs w:val="16"/>
              </w:rPr>
              <w:t>Classification and nomenclature continuity</w:t>
            </w:r>
          </w:p>
        </w:tc>
        <w:tc>
          <w:tcPr>
            <w:tcW w:type="dxa" w:w="3024"/>
          </w:tcPr>
          <w:p>
            <w:pPr>
              <w:spacing w:before="20" w:after="20"/>
            </w:pPr>
            <w:r>
              <w:rPr>
                <w:sz w:val="16"/>
                <w:szCs w:val="16"/>
              </w:rPr>
              <w:t>Chapter 3 and Annex M</w:t>
            </w:r>
          </w:p>
        </w:tc>
        <w:tc>
          <w:tcPr>
            <w:tcW w:type="dxa" w:w="3802"/>
          </w:tcPr>
          <w:p>
            <w:pPr>
              <w:spacing w:before="20" w:after="20"/>
            </w:pPr>
            <w:r>
              <w:rPr>
                <w:sz w:val="16"/>
                <w:szCs w:val="16"/>
              </w:rPr>
              <w:t>Mapping and identity only; no treatment finding.</w:t>
            </w:r>
          </w:p>
        </w:tc>
      </w:tr>
      <w:tr>
        <w:tc>
          <w:tcPr>
            <w:tcW w:type="dxa" w:w="3168"/>
          </w:tcPr>
          <w:p>
            <w:pPr>
              <w:spacing w:before="20" w:after="20"/>
            </w:pPr>
            <w:r>
              <w:rPr>
                <w:sz w:val="16"/>
                <w:szCs w:val="16"/>
              </w:rPr>
              <w:t>Origin and customs administration</w:t>
            </w:r>
          </w:p>
        </w:tc>
        <w:tc>
          <w:tcPr>
            <w:tcW w:type="dxa" w:w="3024"/>
          </w:tcPr>
          <w:p>
            <w:pPr>
              <w:spacing w:before="20" w:after="20"/>
            </w:pPr>
            <w:r>
              <w:rPr>
                <w:sz w:val="16"/>
                <w:szCs w:val="16"/>
              </w:rPr>
              <w:t>Chapters 10 through 13</w:t>
            </w:r>
          </w:p>
        </w:tc>
        <w:tc>
          <w:tcPr>
            <w:tcW w:type="dxa" w:w="3802"/>
          </w:tcPr>
          <w:p>
            <w:pPr>
              <w:spacing w:before="20" w:after="20"/>
            </w:pPr>
            <w:r>
              <w:rPr>
                <w:sz w:val="16"/>
                <w:szCs w:val="16"/>
              </w:rPr>
              <w:t>Receiving Chapter applies its own threshold and authority.</w:t>
            </w:r>
          </w:p>
        </w:tc>
      </w:tr>
      <w:tr>
        <w:tc>
          <w:tcPr>
            <w:tcW w:type="dxa" w:w="3168"/>
          </w:tcPr>
          <w:p>
            <w:pPr>
              <w:spacing w:before="20" w:after="20"/>
            </w:pPr>
            <w:r>
              <w:rPr>
                <w:sz w:val="16"/>
                <w:szCs w:val="16"/>
              </w:rPr>
              <w:t>SPS</w:t>
            </w:r>
          </w:p>
        </w:tc>
        <w:tc>
          <w:tcPr>
            <w:tcW w:type="dxa" w:w="3024"/>
          </w:tcPr>
          <w:p>
            <w:pPr>
              <w:spacing w:before="20" w:after="20"/>
            </w:pPr>
            <w:r>
              <w:rPr>
                <w:sz w:val="16"/>
                <w:szCs w:val="16"/>
              </w:rPr>
              <w:t>Chapter 14</w:t>
            </w:r>
          </w:p>
        </w:tc>
        <w:tc>
          <w:tcPr>
            <w:tcW w:type="dxa" w:w="3802"/>
          </w:tcPr>
          <w:p>
            <w:pPr>
              <w:spacing w:before="20" w:after="20"/>
            </w:pPr>
            <w:r>
              <w:rPr>
                <w:sz w:val="16"/>
                <w:szCs w:val="16"/>
              </w:rPr>
              <w:t>No Annex I scientific-validity or ALOP finding.</w:t>
            </w:r>
          </w:p>
        </w:tc>
      </w:tr>
      <w:tr>
        <w:tc>
          <w:tcPr>
            <w:tcW w:type="dxa" w:w="3168"/>
          </w:tcPr>
          <w:p>
            <w:pPr>
              <w:spacing w:before="20" w:after="20"/>
            </w:pPr>
            <w:r>
              <w:rPr>
                <w:sz w:val="16"/>
                <w:szCs w:val="16"/>
              </w:rPr>
              <w:t>Recognition and equivalence</w:t>
            </w:r>
          </w:p>
        </w:tc>
        <w:tc>
          <w:tcPr>
            <w:tcW w:type="dxa" w:w="3024"/>
          </w:tcPr>
          <w:p>
            <w:pPr>
              <w:spacing w:before="20" w:after="20"/>
            </w:pPr>
            <w:r>
              <w:rPr>
                <w:sz w:val="16"/>
                <w:szCs w:val="16"/>
              </w:rPr>
              <w:t>Chapter 15</w:t>
            </w:r>
          </w:p>
        </w:tc>
        <w:tc>
          <w:tcPr>
            <w:tcW w:type="dxa" w:w="3802"/>
          </w:tcPr>
          <w:p>
            <w:pPr>
              <w:spacing w:before="20" w:after="20"/>
            </w:pPr>
            <w:r>
              <w:rPr>
                <w:sz w:val="16"/>
                <w:szCs w:val="16"/>
              </w:rPr>
              <w:t>Annex I records; competent authority decides.</w:t>
            </w:r>
          </w:p>
        </w:tc>
      </w:tr>
      <w:tr>
        <w:tc>
          <w:tcPr>
            <w:tcW w:type="dxa" w:w="3168"/>
          </w:tcPr>
          <w:p>
            <w:pPr>
              <w:spacing w:before="20" w:after="20"/>
            </w:pPr>
            <w:r>
              <w:rPr>
                <w:sz w:val="16"/>
                <w:szCs w:val="16"/>
              </w:rPr>
              <w:t>Regulatory friction and anti-substitution</w:t>
            </w:r>
          </w:p>
        </w:tc>
        <w:tc>
          <w:tcPr>
            <w:tcW w:type="dxa" w:w="3024"/>
          </w:tcPr>
          <w:p>
            <w:pPr>
              <w:spacing w:before="20" w:after="20"/>
            </w:pPr>
            <w:r>
              <w:rPr>
                <w:sz w:val="16"/>
                <w:szCs w:val="16"/>
              </w:rPr>
              <w:t>Chapter 16</w:t>
            </w:r>
          </w:p>
        </w:tc>
        <w:tc>
          <w:tcPr>
            <w:tcW w:type="dxa" w:w="3802"/>
          </w:tcPr>
          <w:p>
            <w:pPr>
              <w:spacing w:before="20" w:after="20"/>
            </w:pPr>
            <w:r>
              <w:rPr>
                <w:sz w:val="16"/>
                <w:szCs w:val="16"/>
              </w:rPr>
              <w:t>Chapter 16 supplies the substantive test.</w:t>
            </w:r>
          </w:p>
        </w:tc>
      </w:tr>
      <w:tr>
        <w:tc>
          <w:tcPr>
            <w:tcW w:type="dxa" w:w="3168"/>
          </w:tcPr>
          <w:p>
            <w:pPr>
              <w:spacing w:before="20" w:after="20"/>
            </w:pPr>
            <w:r>
              <w:rPr>
                <w:sz w:val="16"/>
                <w:szCs w:val="16"/>
              </w:rPr>
              <w:t>System-level verification and Register administration</w:t>
            </w:r>
          </w:p>
        </w:tc>
        <w:tc>
          <w:tcPr>
            <w:tcW w:type="dxa" w:w="3024"/>
          </w:tcPr>
          <w:p>
            <w:pPr>
              <w:spacing w:before="20" w:after="20"/>
            </w:pPr>
            <w:r>
              <w:rPr>
                <w:sz w:val="16"/>
                <w:szCs w:val="16"/>
              </w:rPr>
              <w:t>Chapter 17</w:t>
            </w:r>
          </w:p>
        </w:tc>
        <w:tc>
          <w:tcPr>
            <w:tcW w:type="dxa" w:w="3802"/>
          </w:tcPr>
          <w:p>
            <w:pPr>
              <w:spacing w:before="20" w:after="20"/>
            </w:pPr>
            <w:r>
              <w:rPr>
                <w:sz w:val="16"/>
                <w:szCs w:val="16"/>
              </w:rPr>
              <w:t>ALVS maintains the Register and verification architecture.</w:t>
            </w:r>
          </w:p>
        </w:tc>
      </w:tr>
      <w:tr>
        <w:tc>
          <w:tcPr>
            <w:tcW w:type="dxa" w:w="3168"/>
          </w:tcPr>
          <w:p>
            <w:pPr>
              <w:spacing w:before="20" w:after="20"/>
            </w:pPr>
            <w:r>
              <w:rPr>
                <w:sz w:val="16"/>
                <w:szCs w:val="16"/>
              </w:rPr>
              <w:t>Independent technical question</w:t>
            </w:r>
          </w:p>
        </w:tc>
        <w:tc>
          <w:tcPr>
            <w:tcW w:type="dxa" w:w="3024"/>
          </w:tcPr>
          <w:p>
            <w:pPr>
              <w:spacing w:before="20" w:after="20"/>
            </w:pPr>
            <w:r>
              <w:rPr>
                <w:sz w:val="16"/>
                <w:szCs w:val="16"/>
              </w:rPr>
              <w:t>Chapter 18</w:t>
            </w:r>
          </w:p>
        </w:tc>
        <w:tc>
          <w:tcPr>
            <w:tcW w:type="dxa" w:w="3802"/>
          </w:tcPr>
          <w:p>
            <w:pPr>
              <w:spacing w:before="20" w:after="20"/>
            </w:pPr>
            <w:r>
              <w:rPr>
                <w:sz w:val="16"/>
                <w:szCs w:val="16"/>
              </w:rPr>
              <w:t>Technical Finding remains non-adjudicative.</w:t>
            </w:r>
          </w:p>
        </w:tc>
      </w:tr>
      <w:tr>
        <w:tc>
          <w:tcPr>
            <w:tcW w:type="dxa" w:w="3168"/>
          </w:tcPr>
          <w:p>
            <w:pPr>
              <w:spacing w:before="20" w:after="20"/>
            </w:pPr>
            <w:r>
              <w:rPr>
                <w:sz w:val="16"/>
                <w:szCs w:val="16"/>
              </w:rPr>
              <w:t>Safeguard technical or legal matter</w:t>
            </w:r>
          </w:p>
        </w:tc>
        <w:tc>
          <w:tcPr>
            <w:tcW w:type="dxa" w:w="3024"/>
          </w:tcPr>
          <w:p>
            <w:pPr>
              <w:spacing w:before="20" w:after="20"/>
            </w:pPr>
            <w:r>
              <w:rPr>
                <w:sz w:val="16"/>
                <w:szCs w:val="16"/>
              </w:rPr>
              <w:t>Chapter 19 and Annex K</w:t>
            </w:r>
          </w:p>
        </w:tc>
        <w:tc>
          <w:tcPr>
            <w:tcW w:type="dxa" w:w="3802"/>
          </w:tcPr>
          <w:p>
            <w:pPr>
              <w:spacing w:before="20" w:after="20"/>
            </w:pPr>
            <w:r>
              <w:rPr>
                <w:sz w:val="16"/>
                <w:szCs w:val="16"/>
              </w:rPr>
              <w:t>K measures; Chapter 19 determines safeguard legality.</w:t>
            </w:r>
          </w:p>
        </w:tc>
      </w:tr>
      <w:tr>
        <w:tc>
          <w:tcPr>
            <w:tcW w:type="dxa" w:w="3168"/>
          </w:tcPr>
          <w:p>
            <w:pPr>
              <w:spacing w:before="20" w:after="20"/>
            </w:pPr>
            <w:r>
              <w:rPr>
                <w:sz w:val="16"/>
                <w:szCs w:val="16"/>
              </w:rPr>
              <w:t>Cure and Restoration</w:t>
            </w:r>
          </w:p>
        </w:tc>
        <w:tc>
          <w:tcPr>
            <w:tcW w:type="dxa" w:w="3024"/>
          </w:tcPr>
          <w:p>
            <w:pPr>
              <w:spacing w:before="20" w:after="20"/>
            </w:pPr>
            <w:r>
              <w:rPr>
                <w:sz w:val="16"/>
                <w:szCs w:val="16"/>
              </w:rPr>
              <w:t>Chapter 25</w:t>
            </w:r>
          </w:p>
        </w:tc>
        <w:tc>
          <w:tcPr>
            <w:tcW w:type="dxa" w:w="3802"/>
          </w:tcPr>
          <w:p>
            <w:pPr>
              <w:spacing w:before="20" w:after="20"/>
            </w:pPr>
            <w:r>
              <w:rPr>
                <w:sz w:val="16"/>
                <w:szCs w:val="16"/>
              </w:rPr>
              <w:t>Annex I does not create cure authority.</w:t>
            </w:r>
          </w:p>
        </w:tc>
      </w:tr>
      <w:tr>
        <w:tc>
          <w:tcPr>
            <w:tcW w:type="dxa" w:w="3168"/>
          </w:tcPr>
          <w:p>
            <w:pPr>
              <w:spacing w:before="20" w:after="20"/>
            </w:pPr>
            <w:r>
              <w:rPr>
                <w:sz w:val="16"/>
                <w:szCs w:val="16"/>
              </w:rPr>
              <w:t>Legal dispute</w:t>
            </w:r>
          </w:p>
        </w:tc>
        <w:tc>
          <w:tcPr>
            <w:tcW w:type="dxa" w:w="3024"/>
          </w:tcPr>
          <w:p>
            <w:pPr>
              <w:spacing w:before="20" w:after="20"/>
            </w:pPr>
            <w:r>
              <w:rPr>
                <w:sz w:val="16"/>
                <w:szCs w:val="16"/>
              </w:rPr>
              <w:t>Chapter 26</w:t>
            </w:r>
          </w:p>
        </w:tc>
        <w:tc>
          <w:tcPr>
            <w:tcW w:type="dxa" w:w="3802"/>
          </w:tcPr>
          <w:p>
            <w:pPr>
              <w:spacing w:before="20" w:after="20"/>
            </w:pPr>
            <w:r>
              <w:rPr>
                <w:sz w:val="16"/>
                <w:szCs w:val="16"/>
              </w:rPr>
              <w:t>Panel retains interpretation, findings, and remedy authority.</w:t>
            </w:r>
          </w:p>
        </w:tc>
      </w:tr>
    </w:tbl>
    <w:p>
      <w:pPr>
        <w:pStyle w:val="Heading2"/>
      </w:pPr>
      <w:bookmarkStart w:id="1930" w:name="NAATOC_0365"/>
      <w:bookmarkStart w:id="1365" w:name="toc_Annex_I_Controlled_Schema"/>
      <w:r>
        <w:t>Annex I Controlled Schema</w:t>
      </w:r>
      <w:bookmarkEnd w:id="1365"/>
      <w:bookmarkEnd w:id="1930"/>
    </w:p>
    <w:tbl>
      <w:tblPr>
        <w:tblStyle w:val="TableGrid"/>
        <w:tblW w:type="dxa" w:w="9994"/>
        <w:jc w:val="center"/>
        <w:tblLayout w:type="fixed"/>
        <w:tblLook w:firstColumn="1" w:firstRow="1" w:lastColumn="0" w:lastRow="0" w:noHBand="0" w:noVBand="1" w:val="04A0"/>
      </w:tblPr>
      <w:tblGrid>
        <w:gridCol w:w="3096"/>
        <w:gridCol w:w="2376"/>
        <w:gridCol w:w="4522"/>
      </w:tblGrid>
      <w:tr>
        <w:tc>
          <w:tcPr>
            <w:tcW w:type="dxa" w:w="3096"/>
          </w:tcPr>
          <w:p>
            <w:pPr>
              <w:spacing w:before="20" w:after="20"/>
            </w:pPr>
            <w:r>
              <w:rPr>
                <w:sz w:val="16"/>
                <w:szCs w:val="16"/>
              </w:rPr>
              <w:t>Field</w:t>
            </w:r>
          </w:p>
        </w:tc>
        <w:tc>
          <w:tcPr>
            <w:tcW w:type="dxa" w:w="2376"/>
          </w:tcPr>
          <w:p>
            <w:pPr>
              <w:spacing w:before="20" w:after="20"/>
            </w:pPr>
            <w:r>
              <w:rPr>
                <w:sz w:val="16"/>
                <w:szCs w:val="16"/>
              </w:rPr>
              <w:t>Function</w:t>
            </w:r>
          </w:p>
        </w:tc>
        <w:tc>
          <w:tcPr>
            <w:tcW w:type="dxa" w:w="4522"/>
          </w:tcPr>
          <w:p>
            <w:pPr>
              <w:spacing w:before="20" w:after="20"/>
            </w:pPr>
            <w:r>
              <w:rPr>
                <w:sz w:val="16"/>
                <w:szCs w:val="16"/>
              </w:rPr>
              <w:t>Control</w:t>
            </w:r>
          </w:p>
        </w:tc>
        <w:trPr>
          <w:tblHeader/>
        </w:trPr>
      </w:tr>
      <w:tr>
        <w:tc>
          <w:tcPr>
            <w:tcW w:type="dxa" w:w="3096"/>
          </w:tcPr>
          <w:p>
            <w:pPr>
              <w:spacing w:before="20" w:after="20"/>
            </w:pPr>
            <w:r>
              <w:rPr>
                <w:sz w:val="16"/>
                <w:szCs w:val="16"/>
              </w:rPr>
              <w:t>RegulatoryFrictionRecordID</w:t>
            </w:r>
          </w:p>
        </w:tc>
        <w:tc>
          <w:tcPr>
            <w:tcW w:type="dxa" w:w="2376"/>
          </w:tcPr>
          <w:p>
            <w:pPr>
              <w:spacing w:before="20" w:after="20"/>
            </w:pPr>
            <w:r>
              <w:rPr>
                <w:sz w:val="16"/>
                <w:szCs w:val="16"/>
              </w:rPr>
              <w:t>Persistent identity or record linkage.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FrictionEventID</w:t>
            </w:r>
          </w:p>
        </w:tc>
        <w:tc>
          <w:tcPr>
            <w:tcW w:type="dxa" w:w="2376"/>
          </w:tcPr>
          <w:p>
            <w:pPr>
              <w:spacing w:before="20" w:after="20"/>
            </w:pPr>
            <w:r>
              <w:rPr>
                <w:sz w:val="16"/>
                <w:szCs w:val="16"/>
              </w:rPr>
              <w:t>Persistent identity or record linkage.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ParentBundleID</w:t>
            </w:r>
          </w:p>
        </w:tc>
        <w:tc>
          <w:tcPr>
            <w:tcW w:type="dxa" w:w="2376"/>
          </w:tcPr>
          <w:p>
            <w:pPr>
              <w:spacing w:before="20" w:after="20"/>
            </w:pPr>
            <w:r>
              <w:rPr>
                <w:sz w:val="16"/>
                <w:szCs w:val="16"/>
              </w:rPr>
              <w:t>Persistent identity or record linkage.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ComponentFrictionRecordID</w:t>
            </w:r>
          </w:p>
        </w:tc>
        <w:tc>
          <w:tcPr>
            <w:tcW w:type="dxa" w:w="2376"/>
          </w:tcPr>
          <w:p>
            <w:pPr>
              <w:spacing w:before="20" w:after="20"/>
            </w:pPr>
            <w:r>
              <w:rPr>
                <w:sz w:val="16"/>
                <w:szCs w:val="16"/>
              </w:rPr>
              <w:t>Persistent identity or record linkage.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RecordVersionID</w:t>
            </w:r>
          </w:p>
        </w:tc>
        <w:tc>
          <w:tcPr>
            <w:tcW w:type="dxa" w:w="2376"/>
          </w:tcPr>
          <w:p>
            <w:pPr>
              <w:spacing w:before="20" w:after="20"/>
            </w:pPr>
            <w:r>
              <w:rPr>
                <w:sz w:val="16"/>
                <w:szCs w:val="16"/>
              </w:rPr>
              <w:t>Persistent identity or record linkage.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ProductRecordID</w:t>
            </w:r>
          </w:p>
        </w:tc>
        <w:tc>
          <w:tcPr>
            <w:tcW w:type="dxa" w:w="2376"/>
          </w:tcPr>
          <w:p>
            <w:pPr>
              <w:spacing w:before="20" w:after="20"/>
            </w:pPr>
            <w:r>
              <w:rPr>
                <w:sz w:val="16"/>
                <w:szCs w:val="16"/>
              </w:rPr>
              <w:t>Persistent identity or record linkage.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AnnexMConcordanceReference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AnnexAReference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AnnexBReference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AnnexCReference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AnnexDReference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AnnexEReference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AnnexFReference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AnnexGReference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AnnexKReference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MeasureReferenceID</w:t>
            </w:r>
          </w:p>
        </w:tc>
        <w:tc>
          <w:tcPr>
            <w:tcW w:type="dxa" w:w="2376"/>
          </w:tcPr>
          <w:p>
            <w:pPr>
              <w:spacing w:before="20" w:after="20"/>
            </w:pPr>
            <w:r>
              <w:rPr>
                <w:sz w:val="16"/>
                <w:szCs w:val="16"/>
              </w:rPr>
              <w:t>Persistent identity or record linkage.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AuthorityReferenceID</w:t>
            </w:r>
          </w:p>
        </w:tc>
        <w:tc>
          <w:tcPr>
            <w:tcW w:type="dxa" w:w="2376"/>
          </w:tcPr>
          <w:p>
            <w:pPr>
              <w:spacing w:before="20" w:after="20"/>
            </w:pPr>
            <w:r>
              <w:rPr>
                <w:sz w:val="16"/>
                <w:szCs w:val="16"/>
              </w:rPr>
              <w:t>Persistent identity or record linkage.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AffectedParty</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AffectedCounterparty</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ProductScope</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TradeProcess</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ObservedFrictionCategory</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ObservedFrictionClass</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AllegedLegalCharacter</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MaterialityStatement</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UrgencyStatement</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PerishabilityFlag</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InterimPreservationRequest</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SubmitterIdentity</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SubmitterConfidentialityClaim</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SupportingEvidenceReference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EvidenceLimitationStatement</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RelatedProceedingReference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RelatedFrictionRecordReference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RelatedDisputeReference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SubmissionDate</w:t>
            </w:r>
          </w:p>
        </w:tc>
        <w:tc>
          <w:tcPr>
            <w:tcW w:type="dxa" w:w="2376"/>
          </w:tcPr>
          <w:p>
            <w:pPr>
              <w:spacing w:before="20" w:after="20"/>
            </w:pPr>
            <w:r>
              <w:rPr>
                <w:sz w:val="16"/>
                <w:szCs w:val="16"/>
              </w:rPr>
              <w:t>Temporal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ReceiptDate</w:t>
            </w:r>
          </w:p>
        </w:tc>
        <w:tc>
          <w:tcPr>
            <w:tcW w:type="dxa" w:w="2376"/>
          </w:tcPr>
          <w:p>
            <w:pPr>
              <w:spacing w:before="20" w:after="20"/>
            </w:pPr>
            <w:r>
              <w:rPr>
                <w:sz w:val="16"/>
                <w:szCs w:val="16"/>
              </w:rPr>
              <w:t>Temporal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ScreeningDate</w:t>
            </w:r>
          </w:p>
        </w:tc>
        <w:tc>
          <w:tcPr>
            <w:tcW w:type="dxa" w:w="2376"/>
          </w:tcPr>
          <w:p>
            <w:pPr>
              <w:spacing w:before="20" w:after="20"/>
            </w:pPr>
            <w:r>
              <w:rPr>
                <w:sz w:val="16"/>
                <w:szCs w:val="16"/>
              </w:rPr>
              <w:t>Temporal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ScreeningOutcome</w:t>
            </w:r>
          </w:p>
        </w:tc>
        <w:tc>
          <w:tcPr>
            <w:tcW w:type="dxa" w:w="2376"/>
          </w:tcPr>
          <w:p>
            <w:pPr>
              <w:spacing w:before="20" w:after="20"/>
            </w:pPr>
            <w:r>
              <w:rPr>
                <w:sz w:val="16"/>
                <w:szCs w:val="16"/>
              </w:rPr>
              <w:t>Controlled administrative state.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ScreeningReason</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ClarificationRequestDate</w:t>
            </w:r>
          </w:p>
        </w:tc>
        <w:tc>
          <w:tcPr>
            <w:tcW w:type="dxa" w:w="2376"/>
          </w:tcPr>
          <w:p>
            <w:pPr>
              <w:spacing w:before="20" w:after="20"/>
            </w:pPr>
            <w:r>
              <w:rPr>
                <w:sz w:val="16"/>
                <w:szCs w:val="16"/>
              </w:rPr>
              <w:t>Temporal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ClarificationResponseDate</w:t>
            </w:r>
          </w:p>
        </w:tc>
        <w:tc>
          <w:tcPr>
            <w:tcW w:type="dxa" w:w="2376"/>
          </w:tcPr>
          <w:p>
            <w:pPr>
              <w:spacing w:before="20" w:after="20"/>
            </w:pPr>
            <w:r>
              <w:rPr>
                <w:sz w:val="16"/>
                <w:szCs w:val="16"/>
              </w:rPr>
              <w:t>Temporal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DecompositionDate</w:t>
            </w:r>
          </w:p>
        </w:tc>
        <w:tc>
          <w:tcPr>
            <w:tcW w:type="dxa" w:w="2376"/>
          </w:tcPr>
          <w:p>
            <w:pPr>
              <w:spacing w:before="20" w:after="20"/>
            </w:pPr>
            <w:r>
              <w:rPr>
                <w:sz w:val="16"/>
                <w:szCs w:val="16"/>
              </w:rPr>
              <w:t>Temporal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DecompositionBasis</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RoutingRecordID</w:t>
            </w:r>
          </w:p>
        </w:tc>
        <w:tc>
          <w:tcPr>
            <w:tcW w:type="dxa" w:w="2376"/>
          </w:tcPr>
          <w:p>
            <w:pPr>
              <w:spacing w:before="20" w:after="20"/>
            </w:pPr>
            <w:r>
              <w:rPr>
                <w:sz w:val="16"/>
                <w:szCs w:val="16"/>
              </w:rPr>
              <w:t>Persistent identity or record linkage.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RoutingDate</w:t>
            </w:r>
          </w:p>
        </w:tc>
        <w:tc>
          <w:tcPr>
            <w:tcW w:type="dxa" w:w="2376"/>
          </w:tcPr>
          <w:p>
            <w:pPr>
              <w:spacing w:before="20" w:after="20"/>
            </w:pPr>
            <w:r>
              <w:rPr>
                <w:sz w:val="16"/>
                <w:szCs w:val="16"/>
              </w:rPr>
              <w:t>Temporal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RoutingDestination</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RoutingBasis</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RoutingAuthority</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RoutingStatus</w:t>
            </w:r>
          </w:p>
        </w:tc>
        <w:tc>
          <w:tcPr>
            <w:tcW w:type="dxa" w:w="2376"/>
          </w:tcPr>
          <w:p>
            <w:pPr>
              <w:spacing w:before="20" w:after="20"/>
            </w:pPr>
            <w:r>
              <w:rPr>
                <w:sz w:val="16"/>
                <w:szCs w:val="16"/>
              </w:rPr>
              <w:t>Controlled administrative state.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ReceivingProcessAcknowledgmentDate</w:t>
            </w:r>
          </w:p>
        </w:tc>
        <w:tc>
          <w:tcPr>
            <w:tcW w:type="dxa" w:w="2376"/>
          </w:tcPr>
          <w:p>
            <w:pPr>
              <w:spacing w:before="20" w:after="20"/>
            </w:pPr>
            <w:r>
              <w:rPr>
                <w:sz w:val="16"/>
                <w:szCs w:val="16"/>
              </w:rPr>
              <w:t>Temporal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TechnicalEngagementStatus</w:t>
            </w:r>
          </w:p>
        </w:tc>
        <w:tc>
          <w:tcPr>
            <w:tcW w:type="dxa" w:w="2376"/>
          </w:tcPr>
          <w:p>
            <w:pPr>
              <w:spacing w:before="20" w:after="20"/>
            </w:pPr>
            <w:r>
              <w:rPr>
                <w:sz w:val="16"/>
                <w:szCs w:val="16"/>
              </w:rPr>
              <w:t>Controlled administrative state.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FacilitativeActionDescription</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FacilitativeActionDate</w:t>
            </w:r>
          </w:p>
        </w:tc>
        <w:tc>
          <w:tcPr>
            <w:tcW w:type="dxa" w:w="2376"/>
          </w:tcPr>
          <w:p>
            <w:pPr>
              <w:spacing w:before="20" w:after="20"/>
            </w:pPr>
            <w:r>
              <w:rPr>
                <w:sz w:val="16"/>
                <w:szCs w:val="16"/>
              </w:rPr>
              <w:t>Temporal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OutcomeStatus</w:t>
            </w:r>
          </w:p>
        </w:tc>
        <w:tc>
          <w:tcPr>
            <w:tcW w:type="dxa" w:w="2376"/>
          </w:tcPr>
          <w:p>
            <w:pPr>
              <w:spacing w:before="20" w:after="20"/>
            </w:pPr>
            <w:r>
              <w:rPr>
                <w:sz w:val="16"/>
                <w:szCs w:val="16"/>
              </w:rPr>
              <w:t>Controlled administrative state.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OutcomeAuthority</w:t>
            </w:r>
          </w:p>
        </w:tc>
        <w:tc>
          <w:tcPr>
            <w:tcW w:type="dxa" w:w="2376"/>
          </w:tcPr>
          <w:p>
            <w:pPr>
              <w:spacing w:before="20" w:after="20"/>
            </w:pPr>
            <w:r>
              <w:rPr>
                <w:sz w:val="16"/>
                <w:szCs w:val="16"/>
              </w:rPr>
              <w:t>Controlled administrative state.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OutcomeDate</w:t>
            </w:r>
          </w:p>
        </w:tc>
        <w:tc>
          <w:tcPr>
            <w:tcW w:type="dxa" w:w="2376"/>
          </w:tcPr>
          <w:p>
            <w:pPr>
              <w:spacing w:before="20" w:after="20"/>
            </w:pPr>
            <w:r>
              <w:rPr>
                <w:sz w:val="16"/>
                <w:szCs w:val="16"/>
              </w:rPr>
              <w:t>Controlled administrative state.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OutcomeDescription</w:t>
            </w:r>
          </w:p>
        </w:tc>
        <w:tc>
          <w:tcPr>
            <w:tcW w:type="dxa" w:w="2376"/>
          </w:tcPr>
          <w:p>
            <w:pPr>
              <w:spacing w:before="20" w:after="20"/>
            </w:pPr>
            <w:r>
              <w:rPr>
                <w:sz w:val="16"/>
                <w:szCs w:val="16"/>
              </w:rPr>
              <w:t>Controlled administrative state.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ImplementationRecordID</w:t>
            </w:r>
          </w:p>
        </w:tc>
        <w:tc>
          <w:tcPr>
            <w:tcW w:type="dxa" w:w="2376"/>
          </w:tcPr>
          <w:p>
            <w:pPr>
              <w:spacing w:before="20" w:after="20"/>
            </w:pPr>
            <w:r>
              <w:rPr>
                <w:sz w:val="16"/>
                <w:szCs w:val="16"/>
              </w:rPr>
              <w:t>Persistent identity or record linkage.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ImplementationStatus</w:t>
            </w:r>
          </w:p>
        </w:tc>
        <w:tc>
          <w:tcPr>
            <w:tcW w:type="dxa" w:w="2376"/>
          </w:tcPr>
          <w:p>
            <w:pPr>
              <w:spacing w:before="20" w:after="20"/>
            </w:pPr>
            <w:r>
              <w:rPr>
                <w:sz w:val="16"/>
                <w:szCs w:val="16"/>
              </w:rPr>
              <w:t>Controlled administrative state.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ImplementationDate</w:t>
            </w:r>
          </w:p>
        </w:tc>
        <w:tc>
          <w:tcPr>
            <w:tcW w:type="dxa" w:w="2376"/>
          </w:tcPr>
          <w:p>
            <w:pPr>
              <w:spacing w:before="20" w:after="20"/>
            </w:pPr>
            <w:r>
              <w:rPr>
                <w:sz w:val="16"/>
                <w:szCs w:val="16"/>
              </w:rPr>
              <w:t>Temporal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ImplementationAuthority</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ImplementationEvidenceReference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VerificationStatus</w:t>
            </w:r>
          </w:p>
        </w:tc>
        <w:tc>
          <w:tcPr>
            <w:tcW w:type="dxa" w:w="2376"/>
          </w:tcPr>
          <w:p>
            <w:pPr>
              <w:spacing w:before="20" w:after="20"/>
            </w:pPr>
            <w:r>
              <w:rPr>
                <w:sz w:val="16"/>
                <w:szCs w:val="16"/>
              </w:rPr>
              <w:t>Controlled administrative state.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VerificationDate</w:t>
            </w:r>
          </w:p>
        </w:tc>
        <w:tc>
          <w:tcPr>
            <w:tcW w:type="dxa" w:w="2376"/>
          </w:tcPr>
          <w:p>
            <w:pPr>
              <w:spacing w:before="20" w:after="20"/>
            </w:pPr>
            <w:r>
              <w:rPr>
                <w:sz w:val="16"/>
                <w:szCs w:val="16"/>
              </w:rPr>
              <w:t>Temporal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VerificationAuthority</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DisputeStatus</w:t>
            </w:r>
          </w:p>
        </w:tc>
        <w:tc>
          <w:tcPr>
            <w:tcW w:type="dxa" w:w="2376"/>
          </w:tcPr>
          <w:p>
            <w:pPr>
              <w:spacing w:before="20" w:after="20"/>
            </w:pPr>
            <w:r>
              <w:rPr>
                <w:sz w:val="16"/>
                <w:szCs w:val="16"/>
              </w:rPr>
              <w:t>Controlled administrative state.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DisputeReference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EscalationDate</w:t>
            </w:r>
          </w:p>
        </w:tc>
        <w:tc>
          <w:tcPr>
            <w:tcW w:type="dxa" w:w="2376"/>
          </w:tcPr>
          <w:p>
            <w:pPr>
              <w:spacing w:before="20" w:after="20"/>
            </w:pPr>
            <w:r>
              <w:rPr>
                <w:sz w:val="16"/>
                <w:szCs w:val="16"/>
              </w:rPr>
              <w:t>Temporal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EscalationBasis</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EscalationDestination</w:t>
            </w:r>
          </w:p>
        </w:tc>
        <w:tc>
          <w:tcPr>
            <w:tcW w:type="dxa" w:w="2376"/>
          </w:tcPr>
          <w:p>
            <w:pPr>
              <w:spacing w:before="20" w:after="20"/>
            </w:pPr>
            <w:r>
              <w:rPr>
                <w:sz w:val="16"/>
                <w:szCs w:val="16"/>
              </w:rPr>
              <w:t>Controlled Register field.</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AdministrativeLifecycleStatus</w:t>
            </w:r>
          </w:p>
        </w:tc>
        <w:tc>
          <w:tcPr>
            <w:tcW w:type="dxa" w:w="2376"/>
          </w:tcPr>
          <w:p>
            <w:pPr>
              <w:spacing w:before="20" w:after="20"/>
            </w:pPr>
            <w:r>
              <w:rPr>
                <w:sz w:val="16"/>
                <w:szCs w:val="16"/>
              </w:rPr>
              <w:t>Controlled administrative state.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ConfidentialityStatus</w:t>
            </w:r>
          </w:p>
        </w:tc>
        <w:tc>
          <w:tcPr>
            <w:tcW w:type="dxa" w:w="2376"/>
          </w:tcPr>
          <w:p>
            <w:pPr>
              <w:spacing w:before="20" w:after="20"/>
            </w:pPr>
            <w:r>
              <w:rPr>
                <w:sz w:val="16"/>
                <w:szCs w:val="16"/>
              </w:rPr>
              <w:t>Controlled administrative state.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CorrectionRecordReference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SupersededRecordReference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ChangeHistoryReference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PublicationReference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MetricReference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Chapter16RoutingReference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Chapter17RegisterReference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Chapter22RegistryReference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Chapter25CureReference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Chapter26DisputeReference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r>
        <w:tc>
          <w:tcPr>
            <w:tcW w:type="dxa" w:w="3096"/>
          </w:tcPr>
          <w:p>
            <w:pPr>
              <w:spacing w:before="20" w:after="20"/>
            </w:pPr>
            <w:r>
              <w:rPr>
                <w:sz w:val="16"/>
                <w:szCs w:val="16"/>
              </w:rPr>
              <w:t>Chapter29TechnicalAmendmentReference</w:t>
            </w:r>
          </w:p>
        </w:tc>
        <w:tc>
          <w:tcPr>
            <w:tcW w:type="dxa" w:w="2376"/>
          </w:tcPr>
          <w:p>
            <w:pPr>
              <w:spacing w:before="20" w:after="20"/>
            </w:pPr>
            <w:r>
              <w:rPr>
                <w:sz w:val="16"/>
                <w:szCs w:val="16"/>
              </w:rPr>
              <w:t>Cross-record or cross-Chapter provenance.</w:t>
            </w:r>
          </w:p>
        </w:tc>
        <w:tc>
          <w:tcPr>
            <w:tcW w:type="dxa" w:w="4522"/>
          </w:tcPr>
          <w:p>
            <w:pPr>
              <w:spacing w:before="20" w:after="20"/>
            </w:pPr>
            <w:r>
              <w:rPr>
                <w:sz w:val="16"/>
                <w:szCs w:val="16"/>
              </w:rPr>
              <w:t>Non-constitutive; subject to controlling Chapter and provenance.</w:t>
            </w:r>
          </w:p>
        </w:tc>
      </w:tr>
    </w:tbl>
    <w:p>
      <w:pPr/>
      <w:r>
        <w:t>Annex I schema status: 84 controlled fields. Field population is evidence-dependent and unresolved values remain unpopulated or expressly provisional rather than inferred. Schema maintenance follows Article I.11.4 and Chapter 29 within their assigned functions.</w:t>
      </w:r>
    </w:p>
    <w:p>
      <w:pPr>
        <w:pStyle w:val="Heading1"/>
      </w:pPr>
      <w:bookmarkStart w:id="1971" w:name="NAATOC_0406"/>
      <w:bookmarkStart w:id="1406" w:name="toc_ANNEX_K___SAFEGUARD_TECHNICAL_"/>
      <w:r>
        <w:t xml:space="preserve">Annex K - Safeguard Technical Parameters and Measurement Register</w:t>
      </w:r>
      <w:bookmarkEnd w:id="1406"/>
      <w:bookmarkEnd w:id="1971"/>
    </w:p>
    <w:p>
      <w:pPr/>
      <w:r>
        <w:t xml:space="preserve">This Annex records and standardizes safeguard-related technical inputs, measurement methods, quantitative results, provenance, and reproducibility controls without determining injury, causation, breach, legal trigger satisfaction, safeguard authority, remedy, duration, extension, compensation, or retaliation. Measurement does not equal injury, a Technical Finding does not equal a Legal Finding, and a technical result does not create a remedy. The controlled schema following Article K.12 forms part of the Annex and preserves the identity, methodology, temporal, provenance, verification, revision, and cross-Annex fields required for reproducible technical administration.</w:t>
      </w:r>
    </w:p>
    <w:p>
      <w:pPr>
        <w:pStyle w:val="Heading2"/>
      </w:pPr>
      <w:bookmarkStart w:id="1972" w:name="NAATOC_0407"/>
      <w:bookmarkStart w:id="1407" w:name="toc_Article_K_1___Purpose__Scope__"/>
      <w:r>
        <w:t>Article K.1 - Purpose, Scope, and Legal Character</w:t>
      </w:r>
      <w:bookmarkEnd w:id="1407"/>
      <w:bookmarkEnd w:id="1972"/>
    </w:p>
    <w:p>
      <w:pPr/>
      <w:r>
        <w:t>K.1.1 Annex K establishes the controlled Safeguard Technical Parameters and Measurement Register for technical inputs used by Chapter 19 and any other Compact provision that expressly incorporates a K record. It records quantities, values, prices, unit values, market shares, production measures, capacity measures, utilization measures, inventories, employment measures, and comparable variables only when the controlling provision makes the variable relevant. K does not determine Serious Injury, threat, legal causation, breach, necessity, proportionality, safeguard authorization, duration, extension, compensation, retaliation, or remedy. Measurement, Injury, Legal Finding, and Remedy remain distinct legal and evidentiary states.</w:t>
      </w:r>
    </w:p>
    <w:p>
      <w:pPr/>
      <w:r>
        <w:t>K.1.2 Every K record identifies the controlling Compact provision for which the recorded material is a technical input and classifies its own legal effect as Technical Input Only. A K record may report that an observed value exceeds a specified threshold, but it does not describe a measure as authorized, justified, unlawful, necessary, or proportionate except when accurately recording a determination made by a competent authority under another provision. Possession of data, measurement capability, repeated administrative use, software automation, or institutional convenience does not enlarge K authority. A technical result acquires substantive legal consequence only to the extent the controlling provision expressly assigns that consequence.</w:t>
      </w:r>
    </w:p>
    <w:p>
      <w:pPr/>
      <w:r>
        <w:t>K.1.3 Annex K does not create a tariff, tariff-rate quota, quota, fee, licensing restraint, SPS measure, emergency power, safeguard, or other trade restriction. It does not amend a tariff schedule, baseline, transition, Vested Market-Access Right, Zero-Line Status, synchronized activation, completed state, origin rule, or product coverage determination. K is not a dispute forum, a substitute for the Agricultural Liberalization Verification System, or a substitute for Chapter 18 technical examination. It supplies controlled technical evidence to the competent process and stops before the legal decision assigned to that process.</w:t>
      </w:r>
    </w:p>
    <w:p>
      <w:pPr/>
      <w:r>
        <w:t>K.1.4 Annex K is read with Chapters 3, 17, 18, 19, 22, 25, 26, and 29, Article 30.19, and Annexes A through G and M according to their assigned functions. Chapter 19 controls safeguard grounds, legal thresholds, causation, procedure, permitted temporary action, duration, review, and Restoration, while Chapters 17 and 18 retain their separate verification and technical-examination functions. Chapter 29 may maintain technical material only within its substantive-change firewall, and Article 30.19 controls formal substantive amendment where legal effect changes. A cross-reference to K coordinates evidence without transferring authority into this Annex.</w:t>
      </w:r>
    </w:p>
    <w:p>
      <w:pPr>
        <w:pStyle w:val="Heading2"/>
      </w:pPr>
      <w:bookmarkStart w:id="1973" w:name="NAATOC_0408"/>
      <w:bookmarkStart w:id="1408" w:name="toc_Article_K_2___Technical_Record"/>
      <w:r>
        <w:t>Article K.2 - Technical Record Architecture and Persistent Identity</w:t>
      </w:r>
      <w:bookmarkEnd w:id="1408"/>
      <w:bookmarkEnd w:id="1973"/>
    </w:p>
    <w:p>
      <w:pPr/>
      <w:r>
        <w:t>K.2.1 Each controlled technical record carries a persistent SafeguardTechnicalRecordID linked to the relevant ProductRecordID and, where applicable, to a MeasurementSeriesID, MeasurementResultID, MethodologyRecordID, and DataSourceRecordID. ReferencePeriodID, ComparisonPeriodID, ThresholdRecordID, ConversionRuleID, and RevisionRecordID identify the controlled components needed to reproduce the result without treating a tariff code as primary identity. Legacy tariff codes, national subdivisions, NICO identifiers, statistical suffixes, and ex-outs remain time-bounded attributes or scope descriptors. A change to one component does not silently create a new identity for another component.</w:t>
      </w:r>
    </w:p>
    <w:p>
      <w:pPr/>
      <w:r>
        <w:t>K.2.2 A product may have multiple measurement series where different variables, Parties, counterparties, trade-flow directions, origin states, national subdivisions, or legally relevant scopes require separate observation. Each series records its own version, methodology version, formula version, unit version, source version, valid period, and relationship to any predecessor or successor series. Series are not combined merely because they share a ProductRecordID or commercial description. Aggregation occurs only under an identified methodology authorized for the stated technical purpose.</w:t>
      </w:r>
    </w:p>
    <w:p>
      <w:pPr/>
      <w:r>
        <w:t>K.2.3 K maintains DataVerificationStatus, MeasurementSeriesStatus, MeasurementResultStatus, ThresholdObservationStatus, MethodologyStatus, RevisionStatus, DisputeStatus, and AdministrativeLifecycleStatus as separate axes. Field-level verification precedes any derived record-level verification state, and a generic SafeguardStatus field is not used. A provisional, disputed, corrected, superseded, or retired technical record does not by its administrative label determine the underlying legal treatment. Status changes are versioned and preserve the prior controlled state.</w:t>
      </w:r>
    </w:p>
    <w:p>
      <w:pPr/>
      <w:r>
        <w:t>K.2.4 Each K record maintains cross-Annex routing sufficient to identify the relevant A product identity, B tariff state, C transition record, D managed-access record, E synchronization record, F completed-state record, G origin-rule record, and M concordance record where those interfaces are materially relevant. A missing interface reference is flagged rather than filled by inference from an adjacent tariff record, product family, commercial nickname, or database position. Cross-Annex references provide context and ancestry but do not copy the legal status stored in the referenced record. K therefore remains a technical evidence register rather than a second substantive schedule.</w:t>
      </w:r>
    </w:p>
    <w:p>
      <w:pPr>
        <w:pStyle w:val="Heading2"/>
      </w:pPr>
      <w:bookmarkStart w:id="1974" w:name="NAATOC_0409"/>
      <w:bookmarkStart w:id="1409" w:name="toc_Article_K_3___Measurement_Vari"/>
      <w:r>
        <w:t>Article K.3 - Measurement Variables, Units, and Conversion Rules</w:t>
      </w:r>
      <w:bookmarkEnd w:id="1409"/>
      <w:bookmarkEnd w:id="1974"/>
    </w:p>
    <w:p>
      <w:pPr/>
      <w:r>
        <w:t>K.3.1 A MeasurementSeries records a controlled variable definition, numerator where applicable, denominator where applicable, unit of measure, and the controlling provision that makes the variable relevant. Quantity, customs value, transaction value, unit value, price, market share, production, capacity, utilization, inventory, employment, gross weight, net weight, and product weight are not treated as interchangeable merely because they concern the same merchandise. A derived variable identifies every source variable and formula used to construct it. An undefined or non-convertible variable remains unresolved rather than receiving a convenient substitute.</w:t>
      </w:r>
    </w:p>
    <w:p>
      <w:pPr/>
      <w:r>
        <w:t>K.3.2 Where currency conversion is required, the record identifies the source currency, target currency, conversion source, conversion date or period, conversion rate, rounding rule, and significant-digit rule. A real-value series also identifies its deflator, base year, and transformation method, while a nominal series is expressly marked as nominal. Currency or price transformations are reproducible from the recorded inputs and methodology. A change in conversion source or transformation method creates a controlled new version rather than silently rewriting the prior result.</w:t>
      </w:r>
    </w:p>
    <w:p>
      <w:pPr/>
      <w:r>
        <w:t>K.3.3 A series does not switch units, valuation concepts, weight concepts, denominators, or formulas mid-series unless the change is expressly versioned and a reproducible bridge preserves comparability to the extent technically possible. Quantity is not substituted for value, unit value is not represented as transaction price, and shipping weight is not represented as product weight without an identified legal and methodological basis. Mixed-unit aggregation occurs only through a recorded conversion rule that is suitable for the product and purpose. Where no defensible conversion exists, the affected observations remain separate and the limitation is disclosed.</w:t>
      </w:r>
    </w:p>
    <w:p>
      <w:pPr/>
      <w:r>
        <w:t>K.3.4 Every transformation from source data to a reported technical result leaves an audit trail identifying the input values, formula, unit conversions, exclusions, rounding, aggregation, estimation, and resulting value. The methodology is sufficiently explicit for an independent competent reviewer to reproduce the calculation from the same controlled inputs. A software implementation may automate that calculation but does not become the legal source of the method. A discrepancy between software output and the controlling recorded methodology is corrected in favor of the controlling methodology pending lawful revision.</w:t>
      </w:r>
    </w:p>
    <w:p>
      <w:pPr>
        <w:pStyle w:val="Heading2"/>
      </w:pPr>
      <w:bookmarkStart w:id="1975" w:name="NAATOC_0410"/>
      <w:bookmarkStart w:id="1410" w:name="toc_Article_K_4___Reference_Period"/>
      <w:r>
        <w:t>Article K.4 - Reference Periods, Comparison Periods, and Temporal Integrity</w:t>
      </w:r>
      <w:bookmarkEnd w:id="1410"/>
      <w:bookmarkEnd w:id="1975"/>
    </w:p>
    <w:p>
      <w:pPr/>
      <w:r>
        <w:t>K.4.1 Each technical comparison identifies ReferencePeriodStart, ReferencePeriodEnd, ComparisonPeriodStart, ComparisonPeriodEnd, period type, and any rolling-window length or lag used by the controlling methodology. The record distinguishes complete, incomplete, observed, estimated, interpolated, extrapolated, seasonally adjusted, and unadjusted periods. A partial period is compared only under a stated treatment rule that preserves meaningful comparability. The temporal definition is fixed before the result is used for the legal process unless the controlling provision expressly requires a later adjustment.</w:t>
      </w:r>
    </w:p>
    <w:p>
      <w:pPr/>
      <w:r>
        <w:t>K.4.2 A Party does not replace a reference period, comparison period, rolling window, lag, or annualization rule after observing the result merely because another lawful-looking period produces a more favorable technical outcome. Selective deletion of inconvenient months, quarters, harvest periods, or reporting intervals is prohibited unless an objective pre-existing methodology requires their exclusion. Missing periods are handled under a recorded missing-data rule, and any interpolation or extrapolation is identified rather than presented as observed data. The record preserves the original period definition and every later controlled version.</w:t>
      </w:r>
    </w:p>
    <w:p>
      <w:pPr/>
      <w:r>
        <w:t>K.4.3 A temporal correction does not restart a transition clock, re-age vesting, extend a safeguard duration, postpone Restoration, or alter another Compact clock unless the controlling substantive provision independently produces that consequence. Data-availability lag and reporting lag are recorded separately from the economic period being measured. A later statistical revision may revise the technical series prospectively or historically for evidentiary accuracy without automatically reopening a completed legal determination. Legal reopening remains governed by the controlling Chapter.</w:t>
      </w:r>
    </w:p>
    <w:p>
      <w:pPr/>
      <w:r>
        <w:t>K.4.4 Every comparison includes a TemporalIntegrityStatement explaining why the selected periods, frequency, seasonal treatment, and any adjustments are suitable for the stated technical question. Where multiple defensible period choices materially change the result, the record discloses that sensitivity rather than selecting one result without explanation. An incomplete or structurally incomparable period is flagged before promotion to a verified technical result. Temporal uncertainty therefore remains visible to the legal decision-maker instead of being hidden inside a single number.</w:t>
      </w:r>
    </w:p>
    <w:p>
      <w:pPr>
        <w:pStyle w:val="Heading2"/>
      </w:pPr>
      <w:bookmarkStart w:id="1976" w:name="NAATOC_0411"/>
      <w:bookmarkStart w:id="1411" w:name="toc_Article_K_5___Product_Scope__T"/>
      <w:r>
        <w:t>Article K.5 - Product Scope, Trade Flow, and Party Attribution</w:t>
      </w:r>
      <w:bookmarkEnd w:id="1411"/>
      <w:bookmarkEnd w:id="1976"/>
    </w:p>
    <w:p>
      <w:pPr/>
      <w:r>
        <w:t>K.5.1 Product scope is anchored to the ProductRecordID and coverage architecture of Annex A, with Annex M supplying controlled predecessor-to-successor correspondence where nomenclature changes during a measurement period. Each series records the HS edition, national tariff subdivision, NICO or statistical suffix, ex-out, and plain-language scope description needed to identify the measured merchandise. A split, merger, partial correspondence, or materially changed scope is not bridged without the correspondence evidence required by Annex M. Newly introduced merchandise does not enter a historical series merely because it shares a successor tariff code with predecessor merchandise.</w:t>
      </w:r>
    </w:p>
    <w:p>
      <w:pPr/>
      <w:r>
        <w:t>K.5.2 Each trade series identifies whether it measures imports, exports, domestic production, or another expressly authorized flow and identifies the relevant Party, counterparty, and non-Party origin where legally relevant. Originating status is recorded only where the controlling technical question requires it and is determined under the controlling origin rules rather than inferred from shipment direction. Transshipment and re-export treatment is stated where those flows could affect the measurement. The same movement is not counted twice through import, re-export, aggregation, or routing conventions.</w:t>
      </w:r>
    </w:p>
    <w:p>
      <w:pPr/>
      <w:r>
        <w:t>K.5.3 Party attribution and any aggregation across Parties follow a recorded rule tied to the controlling provision. A Party does not aggregate product families, regions, counterparties, origin states, or trade flows merely because broader aggregation produces a larger or smaller observed change. A de minimis exclusion is applied only where expressly authorized and is recorded with its source and scope. Scope expansion, narrowing, and unresolved attribution are flagged at the affected component rather than concealed through aggregate totals.</w:t>
      </w:r>
    </w:p>
    <w:p>
      <w:pPr/>
      <w:r>
        <w:t>K.5.4 A K measurement remains technically separable by the smallest scope needed to preserve differences in legal treatment, product correspondence, origin, managed access, completed status, or temporary overlays. Aggregation for presentation does not erase the underlying component records or their different legal contexts. Where a safeguard inquiry concerns only part of a tariff line or merged successor code, the technical record uses controlled ex-outs or mapping components rather than attributing the whole code to the affected scope. This rule prevents technical aggregation from manufacturing substantive scope.</w:t>
      </w:r>
    </w:p>
    <w:p>
      <w:pPr>
        <w:pStyle w:val="Heading2"/>
      </w:pPr>
      <w:bookmarkStart w:id="1977" w:name="NAATOC_0412"/>
      <w:bookmarkStart w:id="1412" w:name="toc_Article_K_6___Seasonality__Cyc"/>
      <w:r>
        <w:t>Article K.6 - Seasonality, Cyclicality, and Exceptional Distortion</w:t>
      </w:r>
      <w:bookmarkEnd w:id="1412"/>
      <w:bookmarkEnd w:id="1977"/>
    </w:p>
    <w:p>
      <w:pPr/>
      <w:r>
        <w:t>K.6.1 A series materially affected by agricultural seasonality records a SeasonalityFlag, relevant harvest or planting cycle where known, the seasonal-index method, and whether raw or adjusted values are being used. Like-period comparison is used where the controlling methodology requires it or where failure to account for a recurring seasonal pattern would materially distort the technical result. Unadjusted data are preserved alongside adjusted data so the transformation remains reviewable. A Party does not select the most dramatic seasonal observation merely because it strengthens a preferred narrative.</w:t>
      </w:r>
    </w:p>
    <w:p>
      <w:pPr/>
      <w:r>
        <w:t>K.6.2 K separately records objectively supported exceptional-event indicators that may affect interpretation of the series, including weather events, disease or pest events, SPS disruptions, logistics disruptions, labor disruptions, energy or input shocks, currency shocks, third-country diversion, policy changes, and structural breaks. An event flag records occurrence and technical relevance without assigning legal causal weight. Multiple events may coexist and are not collapsed into a single explanation. Absence of an event flag does not prove that imports caused the observed condition.</w:t>
      </w:r>
    </w:p>
    <w:p>
      <w:pPr/>
      <w:r>
        <w:t>K.6.3 Outlier detection and treatment use a disclosed method fixed independently of the preferred legal outcome. An observation identified as an outlier remains preserved in the source series and is excluded, winsorized, adjusted, or separately reported only under the recorded methodology. A structural break is distinguished from a data error and from an ordinary extreme observation. The record explains how each treatment changes the reported result and preserves the unaltered comparison.</w:t>
      </w:r>
    </w:p>
    <w:p>
      <w:pPr/>
      <w:r>
        <w:t>K.6.4 Seasonal adjustment, exceptional-event treatment, and cyclical decomposition are technical aids rather than legal causation findings. K does not determine whether weather, disease, SPS action, third-country trade, domestic policy, or another factor legally breaks, satisfies, or weakens the causation standard in Chapter 19. Where competing technically plausible explanations remain, the record preserves them with their evidentiary limitations. The competent Chapter applies the legal causation and attribution standard to that technical record.</w:t>
      </w:r>
    </w:p>
    <w:p>
      <w:pPr>
        <w:pStyle w:val="Heading2"/>
      </w:pPr>
      <w:bookmarkStart w:id="1978" w:name="NAATOC_0413"/>
      <w:bookmarkStart w:id="1413" w:name="toc_Article_K_7___Thresholds__Indi"/>
      <w:r>
        <w:t>Article K.7 - Thresholds, Indicators, and Technical Results</w:t>
      </w:r>
      <w:bookmarkEnd w:id="1413"/>
      <w:bookmarkEnd w:id="1978"/>
    </w:p>
    <w:p>
      <w:pPr/>
      <w:r>
        <w:t>K.7.1 A ThresholdRecord exists only where a controlling Compact provision expressly identifies or authorizes the threshold or indicator being measured. The record states the source provision, formula, value, unit, period, product scope, Party scope, and version of the threshold. K may calculate a ThresholdObservedValue and a ThresholdExceeded observation from verified inputs under the recorded formula. Creation of the record does not create a threshold that the substantive law does not contain.</w:t>
      </w:r>
    </w:p>
    <w:p>
      <w:pPr/>
      <w:r>
        <w:t>K.7.2 ThresholdExceeded means only that the recorded observed value satisfies the mathematical comparison stated in the ThresholdRecord. ThresholdExceeded does not mean LegalTriggerSatisfied, Serious Injury, causation, breach, safeguard authorization, or remedy. An Indicator does not become a Legal Finding through repetition, publication, verification, dashboard display, or automated alert. The controlling provision alone determines what legal significance, if any, follows from the technical observation.</w:t>
      </w:r>
    </w:p>
    <w:p>
      <w:pPr/>
      <w:r>
        <w:t>K.7.3 Each MeasurementResult identifies its underlying series, methodology, formula, periods, scope, uncertainty, material data gaps, provisional or final state, and dispute state. Confidence intervals, sensitivity ranges, margins of error, or other uncertainty measures are recorded where the methodology supports them and are not converted into false precision. A provisional result remains visibly provisional even if it crosses a threshold. Prior controlled results remain retrievable after revision or supersession.</w:t>
      </w:r>
    </w:p>
    <w:p>
      <w:pPr/>
      <w:r>
        <w:t>K.7.4 A threshold value, formula, unit, scope, or period does not drift through administrative practice, software configuration, rounding, or repeated use. Any technical maintenance follows Chapter 29 only within its substantive-change boundary, and a change that alters substantive legal effect requires the authority applicable to that change, including Article 30.19 where formal amendment is required. K does not backdate a changed threshold to manufacture or erase an earlier exceedance. Historical calculations remain reproducible under the version that controlled when they were made.</w:t>
      </w:r>
    </w:p>
    <w:p>
      <w:pPr>
        <w:pStyle w:val="Heading2"/>
      </w:pPr>
      <w:bookmarkStart w:id="1979" w:name="NAATOC_0414"/>
      <w:bookmarkStart w:id="1414" w:name="toc_Article_K_8___Data_Provenance_"/>
      <w:r>
        <w:t>Article K.8 - Data Provenance, Verification, and Revision</w:t>
      </w:r>
      <w:bookmarkEnd w:id="1414"/>
      <w:bookmarkEnd w:id="1979"/>
    </w:p>
    <w:p>
      <w:pPr/>
      <w:r>
        <w:t>K.8.1 Every material source field records source authority, source title, edition or dataset version, publication date, retrieval date, effective or reporting period, reporting entity, collection method, coverage, and known source limitation where applicable. Provisional and final source states are distinguished. A derived field identifies its source fields and transformation rather than receiving provenance solely from the final table in which it appears. Source authority for a statistic does not by itself determine the legal significance of that statistic.</w:t>
      </w:r>
    </w:p>
    <w:p>
      <w:pPr/>
      <w:r>
        <w:t>K.8.2 Verification follows the Chapter 3 field-level architecture and records verification method, verifier identity, verification date, and the status of each material field before a derived record status is assigned. Verification confirms the evidentiary state of the data and methodology but does not create a safeguard, legal trigger, injury finding, or causal conclusion. Pending verification does not authorize a more restrictive temporary measure than Chapter 19 independently permits. Disputed fields remain traceable to the affected result rather than contaminating unrelated records.</w:t>
      </w:r>
    </w:p>
    <w:p>
      <w:pPr/>
      <w:r>
        <w:t>K.8.3 A RevisionRecord identifies the prior value, revised value, reason, authority, effective or reporting period, affected methodology or source, and downstream results requiring recalculation. Corrections and revisions are append-only, preserve the superseded state, and identify whether propagation to dependent results is complete, pending, disputed, or not applicable. A revised customs dataset may change a technical result without automatically changing the legal validity of a completed safeguard determination. Any legal consequence of revised evidence is decided under the controlling Chapter.</w:t>
      </w:r>
    </w:p>
    <w:p>
      <w:pPr/>
      <w:r>
        <w:t>K.8.4 Estimation, imputation, aggregation, seasonal adjustment, deflation, currency conversion, and other transformations each leave a controlled transformation record sufficient to reconstruct the reported value. Missing data are not silently treated as zero, carried forward, averaged, or filled from a favorable neighboring series. Where a material gap cannot be responsibly resolved, the result records the limitation and any sensitivity to plausible alternatives. Technical uncertainty is disclosed rather than laundered into a verified-looking point estimate.</w:t>
      </w:r>
    </w:p>
    <w:p>
      <w:pPr>
        <w:pStyle w:val="Heading2"/>
      </w:pPr>
      <w:bookmarkStart w:id="1980" w:name="NAATOC_0415"/>
      <w:bookmarkStart w:id="1415" w:name="toc_Article_K_9___Causation_Inputs"/>
      <w:r>
        <w:t>Article K.9 - Causation Inputs and Confounding-Factor Separation</w:t>
      </w:r>
      <w:bookmarkEnd w:id="1415"/>
      <w:bookmarkEnd w:id="1980"/>
    </w:p>
    <w:p>
      <w:pPr/>
      <w:r>
        <w:t>K.9.1 Where Chapter 19 requires causation or non-attribution analysis, K may maintain a ConfoundingVariableRegister identifying technically relevant series concerning domestic production, demand, inventories, capacity, exchange rates, input costs, energy costs, logistics costs, third-country imports, substitution effects, seasonal effects, supply-chain disruptions, policy changes, and structural breaks. Inclusion in that register means only that the variable is preserved for technical examination. K does not rank the variable’s legal importance or decide whether it caused Serious Injury. The legal decision-maker applies the causation standard assigned by Chapter 19 to the complete evidentiary record.</w:t>
      </w:r>
    </w:p>
    <w:p>
      <w:pPr/>
      <w:r>
        <w:t>K.9.2 A technical decomposition may describe temporal association, contribution to a measured change, sensitivity of a result, or other methodologically supported relationship without labeling correlation as legal causation. Methodology assumptions, omitted-variable limitations, data quality, lag structure, and uncertainty are stated where material. Alternative technically plausible explanations are preserved rather than discarded solely because they weaken a preferred theory. A technical model is evidence subject to review, not a substitute for the written legal determination.</w:t>
      </w:r>
    </w:p>
    <w:p>
      <w:pPr/>
      <w:r>
        <w:t>K.9.3 K does not create a presumption that increased imports caused an observed domestic condition merely because the two series move together or because a threshold was exceeded. It likewise does not create a presumption against causation merely because another variable also changed. Attribution among originating imports, non-originating imports, domestic factors, and exceptional events follows the legal standard and evidentiary burden assigned outside K. The register’s function is to make the relevant technical distinctions visible and reproducible.</w:t>
      </w:r>
    </w:p>
    <w:p>
      <w:pPr/>
      <w:r>
        <w:t>K.9.4 Where Chapter 18 receives a properly framed technical question concerning methodology, data, or scientific interpretation, K supplies the controlled inputs and preserves the resulting Technical Finding as a separate referenced record. A Chapter 18 Technical Finding does not become a Chapter 19 Legal Finding merely because K links it to the safeguard record. K does not broaden the referred question or convert technical review into a new safeguard investigation. The receiving Chapter retains responsibility for legal causation, burden allocation, and consequence.</w:t>
      </w:r>
    </w:p>
    <w:p>
      <w:pPr>
        <w:pStyle w:val="Heading2"/>
      </w:pPr>
      <w:bookmarkStart w:id="1981" w:name="NAATOC_0416"/>
      <w:bookmarkStart w:id="1416" w:name="toc_Article_K_10___Temporary_Measu"/>
      <w:r>
        <w:t>Article K.10 - Temporary Measures, Safeguard Events, and State Separation</w:t>
      </w:r>
      <w:bookmarkEnd w:id="1416"/>
      <w:bookmarkEnd w:id="1981"/>
    </w:p>
    <w:p>
      <w:pPr/>
      <w:r>
        <w:t>K.10.1 A K record may reference a SafeguardEvent and TemporaryMeasure authorized under Chapter 19 and record its imposition, modification, extension, expiry, Restoration, product scope, Party scope, duration, review dates, and legal authority. Those fields describe an externally authorized legal event and do not constitute the event. K cannot impose, extend, escalate, renew, terminate, or restore a safeguard. Any discrepancy between a K administrative record and the controlling legal act is corrected without allowing the K record to govern by inertia.</w:t>
      </w:r>
    </w:p>
    <w:p>
      <w:pPr/>
      <w:r>
        <w:t>K.10.2 The technical state of a product remains separate from its underlying B through F legal states and from any temporary Chapter 19 overlay. A safeguard event does not erase a tariff state, transition ancestry, managed-access state, synchronization history, Vested Market-Access Right, Zero-Line Status, or completed state merely because K measures the affected trade. Expiry or termination of the overlay leaves the underlying legal state governed by Chapter 19 and the controlling substantive Annex. K records Restoration but does not determine when Restoration is legally due.</w:t>
      </w:r>
    </w:p>
    <w:p>
      <w:pPr/>
      <w:r>
        <w:t>K.10.3 A technical result observed during an active safeguard is not automatically treated as evidence supporting renewal, extension, escalation, or a new emergency measure. The controlling Chapter applies its current evidentiary and procedural requirements to any such decision. Repeated safeguard events concerning the same product retain distinct EventReferences and cumulative-history links sufficient to expose duration and recurrence without merging their legal authority. Historical restriction does not become a technical baseline merely because it persisted for a substantial period.</w:t>
      </w:r>
    </w:p>
    <w:p>
      <w:pPr/>
      <w:r>
        <w:t>K.10.4 Temporary SPS, food-security, emergency, or other lawful overlays that affect the measured series are recorded as separate contextual events rather than absorbed into the underlying tariff or completed-state data. K does not infer that a trade decline or increase during such an overlay proves the overlay caused the result or that a safeguard is justified. When an overlay ends, the technical series preserves the event history while subsequent observations continue under the then-current legal and economic conditions. No temporary measure becomes permanent through data architecture.</w:t>
      </w:r>
    </w:p>
    <w:p>
      <w:pPr>
        <w:pStyle w:val="Heading2"/>
      </w:pPr>
      <w:bookmarkStart w:id="1982" w:name="NAATOC_0417"/>
      <w:bookmarkStart w:id="1417" w:name="toc_Article_K_11___Corrections__Ch"/>
      <w:r>
        <w:t>Article K.11 - Corrections, Challenges, and Anti-Manipulation Controls</w:t>
      </w:r>
      <w:bookmarkEnd w:id="1417"/>
      <w:bookmarkEnd w:id="1982"/>
    </w:p>
    <w:p>
      <w:pPr/>
      <w:r>
        <w:t>K.11.1 A Party does not manipulate a K result through denominator shopping, unit switching, selective-period deletion, double counting, silent source substitution, retrospective methodology changes, convenient rounding, aggregation laundering, favorable missing-data treatment, or baseline replacement. Methodology, formula, source, unit, scope, and period versions are locked for each controlled result. A lawful correction creates a new version with an audit trail rather than rewriting the prior record. Anti-manipulation review examines both the stated method and its reproducible implementation.</w:t>
      </w:r>
    </w:p>
    <w:p>
      <w:pPr/>
      <w:r>
        <w:t>K.11.2 Corrections are classified as metadata maintenance, clerical correction, technical correction, or substantive change according to the Chapter 29 boundary and the controlling provision. A technical correction may repair a demonstrable data, formula, conversion, or mapping error only where substantive legal effect is not changed by administrative fiat. A change that would create, enlarge, contract, revive, or extinguish a legal right, threshold, safeguard power, or remedy is not implemented as a K correction. Formal substantive amendment remains governed by Article 30.19 where applicable.</w:t>
      </w:r>
    </w:p>
    <w:p>
      <w:pPr/>
      <w:r>
        <w:t>K.11.3 A Party or affected participant may challenge a material data value, methodology, unit conversion, product scope, period definition, threshold calculation, or recorded confounding variable through the review route assigned by the Compact. The challenge identifies the disputed component and supporting evidence without automatically suspending unrelated technical records or legal treatment. DisputeStatus remains separate from VerificationStatus and AdministrativeLifecycleStatus. Pending challenge does not authorize K to choose whichever contested value produces the preferred safeguard outcome.</w:t>
      </w:r>
    </w:p>
    <w:p>
      <w:pPr/>
      <w:r>
        <w:t>K.11.4 No dashboard, API response, automated alert, validation rule, color code, database default, spreadsheet formula, software model, registry entry, repeated practice, silence, non-objection, or administrative convenience creates legal effect beyond the controlling provision. Automated systems may identify anomalies and calculate controlled results but do not upgrade evidence, satisfy a legal burden, or authorize action. A human or institutional decision-maker cannot evade the Compact’s assigned legal process by characterizing software output as self-executing. K remains evidence infrastructure even when its calculations are fully automated.</w:t>
      </w:r>
    </w:p>
    <w:p>
      <w:pPr>
        <w:pStyle w:val="Heading2"/>
      </w:pPr>
      <w:bookmarkStart w:id="1983" w:name="NAATOC_0418"/>
      <w:bookmarkStart w:id="1418" w:name="toc_Article_K_12___Publication__Re"/>
      <w:r>
        <w:t>Article K.12 - Publication, Reproducibility, and Historical Record</w:t>
      </w:r>
      <w:bookmarkEnd w:id="1418"/>
      <w:bookmarkEnd w:id="1983"/>
    </w:p>
    <w:p>
      <w:pPr/>
      <w:r>
        <w:t>K.12.1 K maintains human-readable and machine-readable forms using stable identifiers, a controlled schema, dataset version, schema version, effective or reporting period, publication date, source manifest, methodology record, and formula record. Public material includes enough non-confidential information to understand the variable, scope, periods, method, result, uncertainty, verification state, and controlling legal reference. Confidential business information, personal information, privileged material, and protected security information remain protected under applicable Compact rules. Protection of source data does not permit concealment of the operative methodology or public legal basis to the extent disclosure is lawfully required.</w:t>
      </w:r>
    </w:p>
    <w:p>
      <w:pPr/>
      <w:r>
        <w:t>K.12.2 A competent independent reviewer using the same controlled inputs and methodology is able to reproduce a published technical result within the disclosed rounding and uncertainty rules. Where protected inputs prevent public reproduction, an authorized reviewer receives the access or controlled verification pathway necessary to test the calculation without public disclosure. Failure of reproducibility is recorded as a methodology or data-quality issue rather than ignored because the result appears plausible. Reproducibility confirms technical integrity and does not itself create legal consequence.</w:t>
      </w:r>
    </w:p>
    <w:p>
      <w:pPr/>
      <w:r>
        <w:t>K.12.3 Historical versions of source data, series, methods, formulas, periods, results, threshold observations, corrections, revisions, disputes, and cross-Annex references remain retrievable after supersession. Silent overwrite, deletion, or substitution is prohibited. Each superseded record identifies its successor where one exists and preserves the reason and authority for change. Historical preservation supports audit and later lawful review without turning an obsolete technical state into the current legal baseline.</w:t>
      </w:r>
    </w:p>
    <w:p>
      <w:pPr/>
      <w:r>
        <w:t>K.12.4 Annex K interfaces with Annexes A through G and M and with Chapters 17, 18, 19, 22, 25, 26, and 29 only through the functions those instruments assign. No K record, technical result, threshold flag, publication, verification state, revision, model output, or historical practice bootstraps authority that the Compact places elsewhere. If a technical record and the controlling legal source conflict, the legal source controls and the technical record is corrected through the appropriate controlled process. K records and standardizes what the evidence measures; it does not decide what that measurement legally justifies.</w:t>
      </w:r>
    </w:p>
    <w:p>
      <w:pPr>
        <w:pStyle w:val="Heading2"/>
      </w:pPr>
      <w:bookmarkStart w:id="1984" w:name="NAATOC_0419"/>
      <w:bookmarkStart w:id="1419" w:name="toc_Annex_K_Safeguard_Technical_Pa"/>
      <w:r>
        <w:t>Annex K Safeguard Technical Parameters and Measurement Register - Controlled Schema</w:t>
      </w:r>
      <w:bookmarkEnd w:id="1419"/>
      <w:bookmarkEnd w:id="1984"/>
    </w:p>
    <w:tbl>
      <w:tblPr>
        <w:tblStyle w:val="TableGrid"/>
        <w:tblW w:type="dxa" w:w="9994"/>
        <w:jc w:val="center"/>
        <w:tblLayout w:type="fixed"/>
        <w:tblLook w:firstColumn="1" w:firstRow="1" w:lastColumn="0" w:lastRow="0" w:noHBand="0" w:noVBand="1" w:val="04A0"/>
      </w:tblPr>
      <w:tblGrid>
        <w:gridCol w:w="3331"/>
        <w:gridCol w:w="3331"/>
        <w:gridCol w:w="3332"/>
      </w:tblGrid>
      <w:tr>
        <w:trPr>
          <w:tblHeader w:val="true"/>
        </w:trPr>
        <w:tc>
          <w:tcPr>
            <w:tcW w:type="dxa" w:w="3331"/>
            <w:vAlign w:val="center"/>
          </w:tcPr>
          <w:p>
            <w:pPr>
              <w:spacing w:before="20" w:after="20"/>
            </w:pPr>
            <w:r>
              <w:rPr>
                <w:b/>
                <w:sz w:val="16"/>
                <w:szCs w:val="16"/>
              </w:rPr>
              <w:t>Field</w:t>
            </w:r>
          </w:p>
        </w:tc>
        <w:tc>
          <w:tcPr>
            <w:tcW w:type="dxa" w:w="3331"/>
            <w:vAlign w:val="center"/>
          </w:tcPr>
          <w:p>
            <w:pPr>
              <w:spacing w:before="20" w:after="20"/>
            </w:pPr>
            <w:r>
              <w:rPr>
                <w:b/>
                <w:sz w:val="16"/>
                <w:szCs w:val="16"/>
              </w:rPr>
              <w:t>Requirement</w:t>
            </w:r>
          </w:p>
        </w:tc>
        <w:tc>
          <w:tcPr>
            <w:tcW w:type="dxa" w:w="3332"/>
            <w:vAlign w:val="center"/>
          </w:tcPr>
          <w:p>
            <w:pPr>
              <w:spacing w:before="20" w:after="20"/>
            </w:pPr>
            <w:r>
              <w:rPr>
                <w:b/>
                <w:sz w:val="16"/>
                <w:szCs w:val="16"/>
              </w:rPr>
              <w:t>Function and control</w:t>
            </w:r>
          </w:p>
        </w:tc>
      </w:tr>
      <w:tr>
        <w:tc>
          <w:tcPr>
            <w:tcW w:type="dxa" w:w="3331"/>
            <w:vAlign w:val="center"/>
          </w:tcPr>
          <w:p>
            <w:pPr>
              <w:spacing w:before="20" w:after="20"/>
            </w:pPr>
            <w:r>
              <w:rPr>
                <w:sz w:val="16"/>
                <w:szCs w:val="16"/>
              </w:rPr>
              <w:t>SafeguardTechnicalRecordID</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Persistent technical-record identifier.</w:t>
            </w:r>
          </w:p>
        </w:tc>
      </w:tr>
      <w:tr>
        <w:tc>
          <w:tcPr>
            <w:tcW w:type="dxa" w:w="3331"/>
            <w:vAlign w:val="center"/>
          </w:tcPr>
          <w:p>
            <w:pPr>
              <w:spacing w:before="20" w:after="20"/>
            </w:pPr>
            <w:r>
              <w:rPr>
                <w:sz w:val="16"/>
                <w:szCs w:val="16"/>
              </w:rPr>
              <w:t>ProductRecordID</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Persistent product identity from Annex A.</w:t>
            </w:r>
          </w:p>
        </w:tc>
      </w:tr>
      <w:tr>
        <w:tc>
          <w:tcPr>
            <w:tcW w:type="dxa" w:w="3331"/>
            <w:vAlign w:val="center"/>
          </w:tcPr>
          <w:p>
            <w:pPr>
              <w:spacing w:before="20" w:after="20"/>
            </w:pPr>
            <w:r>
              <w:rPr>
                <w:sz w:val="16"/>
                <w:szCs w:val="16"/>
              </w:rPr>
              <w:t>MeasurementSeriesID</w:t>
            </w:r>
          </w:p>
        </w:tc>
        <w:tc>
          <w:tcPr>
            <w:tcW w:type="dxa" w:w="3331"/>
            <w:vAlign w:val="center"/>
          </w:tcPr>
          <w:p>
            <w:pPr>
              <w:spacing w:before="20" w:after="20"/>
            </w:pPr>
            <w:r>
              <w:rPr>
                <w:sz w:val="16"/>
                <w:szCs w:val="16"/>
              </w:rPr>
              <w:t>Required where series exists</w:t>
            </w:r>
          </w:p>
        </w:tc>
        <w:tc>
          <w:tcPr>
            <w:tcW w:type="dxa" w:w="3332"/>
            <w:vAlign w:val="center"/>
          </w:tcPr>
          <w:p>
            <w:pPr>
              <w:spacing w:before="20" w:after="20"/>
            </w:pPr>
            <w:r>
              <w:rPr>
                <w:sz w:val="16"/>
                <w:szCs w:val="16"/>
              </w:rPr>
              <w:t>Identifies controlled observation series.</w:t>
            </w:r>
          </w:p>
        </w:tc>
      </w:tr>
      <w:tr>
        <w:tc>
          <w:tcPr>
            <w:tcW w:type="dxa" w:w="3331"/>
            <w:vAlign w:val="center"/>
          </w:tcPr>
          <w:p>
            <w:pPr>
              <w:spacing w:before="20" w:after="20"/>
            </w:pPr>
            <w:r>
              <w:rPr>
                <w:sz w:val="16"/>
                <w:szCs w:val="16"/>
              </w:rPr>
              <w:t>MeasurementResultID</w:t>
            </w:r>
          </w:p>
        </w:tc>
        <w:tc>
          <w:tcPr>
            <w:tcW w:type="dxa" w:w="3331"/>
            <w:vAlign w:val="center"/>
          </w:tcPr>
          <w:p>
            <w:pPr>
              <w:spacing w:before="20" w:after="20"/>
            </w:pPr>
            <w:r>
              <w:rPr>
                <w:sz w:val="16"/>
                <w:szCs w:val="16"/>
              </w:rPr>
              <w:t>Required where result exists</w:t>
            </w:r>
          </w:p>
        </w:tc>
        <w:tc>
          <w:tcPr>
            <w:tcW w:type="dxa" w:w="3332"/>
            <w:vAlign w:val="center"/>
          </w:tcPr>
          <w:p>
            <w:pPr>
              <w:spacing w:before="20" w:after="20"/>
            </w:pPr>
            <w:r>
              <w:rPr>
                <w:sz w:val="16"/>
                <w:szCs w:val="16"/>
              </w:rPr>
              <w:t>Identifies derived technical result.</w:t>
            </w:r>
          </w:p>
        </w:tc>
      </w:tr>
      <w:tr>
        <w:tc>
          <w:tcPr>
            <w:tcW w:type="dxa" w:w="3331"/>
            <w:vAlign w:val="center"/>
          </w:tcPr>
          <w:p>
            <w:pPr>
              <w:spacing w:before="20" w:after="20"/>
            </w:pPr>
            <w:r>
              <w:rPr>
                <w:sz w:val="16"/>
                <w:szCs w:val="16"/>
              </w:rPr>
              <w:t>MethodologyRecordID</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Locks methodology version.</w:t>
            </w:r>
          </w:p>
        </w:tc>
      </w:tr>
      <w:tr>
        <w:tc>
          <w:tcPr>
            <w:tcW w:type="dxa" w:w="3331"/>
            <w:vAlign w:val="center"/>
          </w:tcPr>
          <w:p>
            <w:pPr>
              <w:spacing w:before="20" w:after="20"/>
            </w:pPr>
            <w:r>
              <w:rPr>
                <w:sz w:val="16"/>
                <w:szCs w:val="16"/>
              </w:rPr>
              <w:t>DataSourceRecordID</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Identifies controlling source record.</w:t>
            </w:r>
          </w:p>
        </w:tc>
      </w:tr>
      <w:tr>
        <w:tc>
          <w:tcPr>
            <w:tcW w:type="dxa" w:w="3331"/>
            <w:vAlign w:val="center"/>
          </w:tcPr>
          <w:p>
            <w:pPr>
              <w:spacing w:before="20" w:after="20"/>
            </w:pPr>
            <w:r>
              <w:rPr>
                <w:sz w:val="16"/>
                <w:szCs w:val="16"/>
              </w:rPr>
              <w:t>ReferencePeriodID</w:t>
            </w:r>
          </w:p>
        </w:tc>
        <w:tc>
          <w:tcPr>
            <w:tcW w:type="dxa" w:w="3331"/>
            <w:vAlign w:val="center"/>
          </w:tcPr>
          <w:p>
            <w:pPr>
              <w:spacing w:before="20" w:after="20"/>
            </w:pPr>
            <w:r>
              <w:rPr>
                <w:sz w:val="16"/>
                <w:szCs w:val="16"/>
              </w:rPr>
              <w:t>Required for comparisons</w:t>
            </w:r>
          </w:p>
        </w:tc>
        <w:tc>
          <w:tcPr>
            <w:tcW w:type="dxa" w:w="3332"/>
            <w:vAlign w:val="center"/>
          </w:tcPr>
          <w:p>
            <w:pPr>
              <w:spacing w:before="20" w:after="20"/>
            </w:pPr>
            <w:r>
              <w:rPr>
                <w:sz w:val="16"/>
                <w:szCs w:val="16"/>
              </w:rPr>
              <w:t>Identifies reference period.</w:t>
            </w:r>
          </w:p>
        </w:tc>
      </w:tr>
      <w:tr>
        <w:tc>
          <w:tcPr>
            <w:tcW w:type="dxa" w:w="3331"/>
            <w:vAlign w:val="center"/>
          </w:tcPr>
          <w:p>
            <w:pPr>
              <w:spacing w:before="20" w:after="20"/>
            </w:pPr>
            <w:r>
              <w:rPr>
                <w:sz w:val="16"/>
                <w:szCs w:val="16"/>
              </w:rPr>
              <w:t>ComparisonPeriodID</w:t>
            </w:r>
          </w:p>
        </w:tc>
        <w:tc>
          <w:tcPr>
            <w:tcW w:type="dxa" w:w="3331"/>
            <w:vAlign w:val="center"/>
          </w:tcPr>
          <w:p>
            <w:pPr>
              <w:spacing w:before="20" w:after="20"/>
            </w:pPr>
            <w:r>
              <w:rPr>
                <w:sz w:val="16"/>
                <w:szCs w:val="16"/>
              </w:rPr>
              <w:t>Required for comparisons</w:t>
            </w:r>
          </w:p>
        </w:tc>
        <w:tc>
          <w:tcPr>
            <w:tcW w:type="dxa" w:w="3332"/>
            <w:vAlign w:val="center"/>
          </w:tcPr>
          <w:p>
            <w:pPr>
              <w:spacing w:before="20" w:after="20"/>
            </w:pPr>
            <w:r>
              <w:rPr>
                <w:sz w:val="16"/>
                <w:szCs w:val="16"/>
              </w:rPr>
              <w:t>Identifies comparison period.</w:t>
            </w:r>
          </w:p>
        </w:tc>
      </w:tr>
      <w:tr>
        <w:tc>
          <w:tcPr>
            <w:tcW w:type="dxa" w:w="3331"/>
            <w:vAlign w:val="center"/>
          </w:tcPr>
          <w:p>
            <w:pPr>
              <w:spacing w:before="20" w:after="20"/>
            </w:pPr>
            <w:r>
              <w:rPr>
                <w:sz w:val="16"/>
                <w:szCs w:val="16"/>
              </w:rPr>
              <w:t>ThresholdRecordID</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Used only for threshold authorized elsewhere.</w:t>
            </w:r>
          </w:p>
        </w:tc>
      </w:tr>
      <w:tr>
        <w:tc>
          <w:tcPr>
            <w:tcW w:type="dxa" w:w="3331"/>
            <w:vAlign w:val="center"/>
          </w:tcPr>
          <w:p>
            <w:pPr>
              <w:spacing w:before="20" w:after="20"/>
            </w:pPr>
            <w:r>
              <w:rPr>
                <w:sz w:val="16"/>
                <w:szCs w:val="16"/>
              </w:rPr>
              <w:t>ConversionRuleID</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Identifies controlled conversion method.</w:t>
            </w:r>
          </w:p>
        </w:tc>
      </w:tr>
      <w:tr>
        <w:tc>
          <w:tcPr>
            <w:tcW w:type="dxa" w:w="3331"/>
            <w:vAlign w:val="center"/>
          </w:tcPr>
          <w:p>
            <w:pPr>
              <w:spacing w:before="20" w:after="20"/>
            </w:pPr>
            <w:r>
              <w:rPr>
                <w:sz w:val="16"/>
                <w:szCs w:val="16"/>
              </w:rPr>
              <w:t>RevisionRecordID</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Identifies correction or revision.</w:t>
            </w:r>
          </w:p>
        </w:tc>
      </w:tr>
      <w:tr>
        <w:tc>
          <w:tcPr>
            <w:tcW w:type="dxa" w:w="3331"/>
            <w:vAlign w:val="center"/>
          </w:tcPr>
          <w:p>
            <w:pPr>
              <w:spacing w:before="20" w:after="20"/>
            </w:pPr>
            <w:r>
              <w:rPr>
                <w:sz w:val="16"/>
                <w:szCs w:val="16"/>
              </w:rPr>
              <w:t>SafeguardEventReference</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References Chapter 19 event without creating it.</w:t>
            </w:r>
          </w:p>
        </w:tc>
      </w:tr>
      <w:tr>
        <w:tc>
          <w:tcPr>
            <w:tcW w:type="dxa" w:w="3331"/>
            <w:vAlign w:val="center"/>
          </w:tcPr>
          <w:p>
            <w:pPr>
              <w:spacing w:before="20" w:after="20"/>
            </w:pPr>
            <w:r>
              <w:rPr>
                <w:sz w:val="16"/>
                <w:szCs w:val="16"/>
              </w:rPr>
              <w:t>TemporaryMeasureReference</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References separate temporary overlay.</w:t>
            </w:r>
          </w:p>
        </w:tc>
      </w:tr>
      <w:tr>
        <w:tc>
          <w:tcPr>
            <w:tcW w:type="dxa" w:w="3331"/>
            <w:vAlign w:val="center"/>
          </w:tcPr>
          <w:p>
            <w:pPr>
              <w:spacing w:before="20" w:after="20"/>
            </w:pPr>
            <w:r>
              <w:rPr>
                <w:sz w:val="16"/>
                <w:szCs w:val="16"/>
              </w:rPr>
              <w:t>ControllingProvisionReference</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Provision making input technically relevant.</w:t>
            </w:r>
          </w:p>
        </w:tc>
      </w:tr>
      <w:tr>
        <w:tc>
          <w:tcPr>
            <w:tcW w:type="dxa" w:w="3331"/>
            <w:vAlign w:val="center"/>
          </w:tcPr>
          <w:p>
            <w:pPr>
              <w:spacing w:before="20" w:after="20"/>
            </w:pPr>
            <w:r>
              <w:rPr>
                <w:sz w:val="16"/>
                <w:szCs w:val="16"/>
              </w:rPr>
              <w:t>LegalEffectClassification</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Technical Input Only.</w:t>
            </w:r>
          </w:p>
        </w:tc>
      </w:tr>
      <w:tr>
        <w:tc>
          <w:tcPr>
            <w:tcW w:type="dxa" w:w="3331"/>
            <w:vAlign w:val="center"/>
          </w:tcPr>
          <w:p>
            <w:pPr>
              <w:spacing w:before="20" w:after="20"/>
            </w:pPr>
            <w:r>
              <w:rPr>
                <w:sz w:val="16"/>
                <w:szCs w:val="16"/>
              </w:rPr>
              <w:t>Party</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Party associated with record.</w:t>
            </w:r>
          </w:p>
        </w:tc>
      </w:tr>
      <w:tr>
        <w:tc>
          <w:tcPr>
            <w:tcW w:type="dxa" w:w="3331"/>
            <w:vAlign w:val="center"/>
          </w:tcPr>
          <w:p>
            <w:pPr>
              <w:spacing w:before="20" w:after="20"/>
            </w:pPr>
            <w:r>
              <w:rPr>
                <w:sz w:val="16"/>
                <w:szCs w:val="16"/>
              </w:rPr>
              <w:t>Counterparty</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Relevant counterparty Party.</w:t>
            </w:r>
          </w:p>
        </w:tc>
      </w:tr>
      <w:tr>
        <w:tc>
          <w:tcPr>
            <w:tcW w:type="dxa" w:w="3331"/>
            <w:vAlign w:val="center"/>
          </w:tcPr>
          <w:p>
            <w:pPr>
              <w:spacing w:before="20" w:after="20"/>
            </w:pPr>
            <w:r>
              <w:rPr>
                <w:sz w:val="16"/>
                <w:szCs w:val="16"/>
              </w:rPr>
              <w:t>TradeFlowDirection</w:t>
            </w:r>
          </w:p>
        </w:tc>
        <w:tc>
          <w:tcPr>
            <w:tcW w:type="dxa" w:w="3331"/>
            <w:vAlign w:val="center"/>
          </w:tcPr>
          <w:p>
            <w:pPr>
              <w:spacing w:before="20" w:after="20"/>
            </w:pPr>
            <w:r>
              <w:rPr>
                <w:sz w:val="16"/>
                <w:szCs w:val="16"/>
              </w:rPr>
              <w:t>Required where trade series</w:t>
            </w:r>
          </w:p>
        </w:tc>
        <w:tc>
          <w:tcPr>
            <w:tcW w:type="dxa" w:w="3332"/>
            <w:vAlign w:val="center"/>
          </w:tcPr>
          <w:p>
            <w:pPr>
              <w:spacing w:before="20" w:after="20"/>
            </w:pPr>
            <w:r>
              <w:rPr>
                <w:sz w:val="16"/>
                <w:szCs w:val="16"/>
              </w:rPr>
              <w:t>Import, export, domestic, or authorized flow.</w:t>
            </w:r>
          </w:p>
        </w:tc>
      </w:tr>
      <w:tr>
        <w:tc>
          <w:tcPr>
            <w:tcW w:type="dxa" w:w="3331"/>
            <w:vAlign w:val="center"/>
          </w:tcPr>
          <w:p>
            <w:pPr>
              <w:spacing w:before="20" w:after="20"/>
            </w:pPr>
            <w:r>
              <w:rPr>
                <w:sz w:val="16"/>
                <w:szCs w:val="16"/>
              </w:rPr>
              <w:t>OriginStatusReference</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Origin state where legally relevant.</w:t>
            </w:r>
          </w:p>
        </w:tc>
      </w:tr>
      <w:tr>
        <w:tc>
          <w:tcPr>
            <w:tcW w:type="dxa" w:w="3331"/>
            <w:vAlign w:val="center"/>
          </w:tcPr>
          <w:p>
            <w:pPr>
              <w:spacing w:before="20" w:after="20"/>
            </w:pPr>
            <w:r>
              <w:rPr>
                <w:sz w:val="16"/>
                <w:szCs w:val="16"/>
              </w:rPr>
              <w:t>HS_Edition</w:t>
            </w:r>
          </w:p>
        </w:tc>
        <w:tc>
          <w:tcPr>
            <w:tcW w:type="dxa" w:w="3331"/>
            <w:vAlign w:val="center"/>
          </w:tcPr>
          <w:p>
            <w:pPr>
              <w:spacing w:before="20" w:after="20"/>
            </w:pPr>
            <w:r>
              <w:rPr>
                <w:sz w:val="16"/>
                <w:szCs w:val="16"/>
              </w:rPr>
              <w:t>Required where classified</w:t>
            </w:r>
          </w:p>
        </w:tc>
        <w:tc>
          <w:tcPr>
            <w:tcW w:type="dxa" w:w="3332"/>
            <w:vAlign w:val="center"/>
          </w:tcPr>
          <w:p>
            <w:pPr>
              <w:spacing w:before="20" w:after="20"/>
            </w:pPr>
            <w:r>
              <w:rPr>
                <w:sz w:val="16"/>
                <w:szCs w:val="16"/>
              </w:rPr>
              <w:t>Applicable HS edition.</w:t>
            </w:r>
          </w:p>
        </w:tc>
      </w:tr>
      <w:tr>
        <w:tc>
          <w:tcPr>
            <w:tcW w:type="dxa" w:w="3331"/>
            <w:vAlign w:val="center"/>
          </w:tcPr>
          <w:p>
            <w:pPr>
              <w:spacing w:before="20" w:after="20"/>
            </w:pPr>
            <w:r>
              <w:rPr>
                <w:sz w:val="16"/>
                <w:szCs w:val="16"/>
              </w:rPr>
              <w:t>NationalTariffCode</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Time-bounded national classification attribute.</w:t>
            </w:r>
          </w:p>
        </w:tc>
      </w:tr>
      <w:tr>
        <w:tc>
          <w:tcPr>
            <w:tcW w:type="dxa" w:w="3331"/>
            <w:vAlign w:val="center"/>
          </w:tcPr>
          <w:p>
            <w:pPr>
              <w:spacing w:before="20" w:after="20"/>
            </w:pPr>
            <w:r>
              <w:rPr>
                <w:sz w:val="16"/>
                <w:szCs w:val="16"/>
              </w:rPr>
              <w:t>NationalSubdivision</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National tariff subdivision.</w:t>
            </w:r>
          </w:p>
        </w:tc>
      </w:tr>
      <w:tr>
        <w:tc>
          <w:tcPr>
            <w:tcW w:type="dxa" w:w="3331"/>
            <w:vAlign w:val="center"/>
          </w:tcPr>
          <w:p>
            <w:pPr>
              <w:spacing w:before="20" w:after="20"/>
            </w:pPr>
            <w:r>
              <w:rPr>
                <w:sz w:val="16"/>
                <w:szCs w:val="16"/>
              </w:rPr>
              <w:t>NICO_or_StatisticalSuffix</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Statistical identity detail.</w:t>
            </w:r>
          </w:p>
        </w:tc>
      </w:tr>
      <w:tr>
        <w:tc>
          <w:tcPr>
            <w:tcW w:type="dxa" w:w="3331"/>
            <w:vAlign w:val="center"/>
          </w:tcPr>
          <w:p>
            <w:pPr>
              <w:spacing w:before="20" w:after="20"/>
            </w:pPr>
            <w:r>
              <w:rPr>
                <w:sz w:val="16"/>
                <w:szCs w:val="16"/>
              </w:rPr>
              <w:t>ExOutReference</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Controlled partial-scope descriptor.</w:t>
            </w:r>
          </w:p>
        </w:tc>
      </w:tr>
      <w:tr>
        <w:tc>
          <w:tcPr>
            <w:tcW w:type="dxa" w:w="3331"/>
            <w:vAlign w:val="center"/>
          </w:tcPr>
          <w:p>
            <w:pPr>
              <w:spacing w:before="20" w:after="20"/>
            </w:pPr>
            <w:r>
              <w:rPr>
                <w:sz w:val="16"/>
                <w:szCs w:val="16"/>
              </w:rPr>
              <w:t>ConcordanceRecordID</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Annex M successor correspondence.</w:t>
            </w:r>
          </w:p>
        </w:tc>
      </w:tr>
      <w:tr>
        <w:tc>
          <w:tcPr>
            <w:tcW w:type="dxa" w:w="3331"/>
            <w:vAlign w:val="center"/>
          </w:tcPr>
          <w:p>
            <w:pPr>
              <w:spacing w:before="20" w:after="20"/>
            </w:pPr>
            <w:r>
              <w:rPr>
                <w:sz w:val="16"/>
                <w:szCs w:val="16"/>
              </w:rPr>
              <w:t>ProductScopeStatement</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Plain-language measured scope.</w:t>
            </w:r>
          </w:p>
        </w:tc>
      </w:tr>
      <w:tr>
        <w:tc>
          <w:tcPr>
            <w:tcW w:type="dxa" w:w="3331"/>
            <w:vAlign w:val="center"/>
          </w:tcPr>
          <w:p>
            <w:pPr>
              <w:spacing w:before="20" w:after="20"/>
            </w:pPr>
            <w:r>
              <w:rPr>
                <w:sz w:val="16"/>
                <w:szCs w:val="16"/>
              </w:rPr>
              <w:t>VariableType</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Controlled measurement variable.</w:t>
            </w:r>
          </w:p>
        </w:tc>
      </w:tr>
      <w:tr>
        <w:tc>
          <w:tcPr>
            <w:tcW w:type="dxa" w:w="3331"/>
            <w:vAlign w:val="center"/>
          </w:tcPr>
          <w:p>
            <w:pPr>
              <w:spacing w:before="20" w:after="20"/>
            </w:pPr>
            <w:r>
              <w:rPr>
                <w:sz w:val="16"/>
                <w:szCs w:val="16"/>
              </w:rPr>
              <w:t>VariableDefinition</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Definition used by series.</w:t>
            </w:r>
          </w:p>
        </w:tc>
      </w:tr>
      <w:tr>
        <w:tc>
          <w:tcPr>
            <w:tcW w:type="dxa" w:w="3331"/>
            <w:vAlign w:val="center"/>
          </w:tcPr>
          <w:p>
            <w:pPr>
              <w:spacing w:before="20" w:after="20"/>
            </w:pPr>
            <w:r>
              <w:rPr>
                <w:sz w:val="16"/>
                <w:szCs w:val="16"/>
              </w:rPr>
              <w:t>Numerator</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Numerator for derived variable.</w:t>
            </w:r>
          </w:p>
        </w:tc>
      </w:tr>
      <w:tr>
        <w:tc>
          <w:tcPr>
            <w:tcW w:type="dxa" w:w="3331"/>
            <w:vAlign w:val="center"/>
          </w:tcPr>
          <w:p>
            <w:pPr>
              <w:spacing w:before="20" w:after="20"/>
            </w:pPr>
            <w:r>
              <w:rPr>
                <w:sz w:val="16"/>
                <w:szCs w:val="16"/>
              </w:rPr>
              <w:t>Denominator</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Denominator for derived variable.</w:t>
            </w:r>
          </w:p>
        </w:tc>
      </w:tr>
      <w:tr>
        <w:tc>
          <w:tcPr>
            <w:tcW w:type="dxa" w:w="3331"/>
            <w:vAlign w:val="center"/>
          </w:tcPr>
          <w:p>
            <w:pPr>
              <w:spacing w:before="20" w:after="20"/>
            </w:pPr>
            <w:r>
              <w:rPr>
                <w:sz w:val="16"/>
                <w:szCs w:val="16"/>
              </w:rPr>
              <w:t>UnitOfMeasure</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Controlled unit.</w:t>
            </w:r>
          </w:p>
        </w:tc>
      </w:tr>
      <w:tr>
        <w:tc>
          <w:tcPr>
            <w:tcW w:type="dxa" w:w="3331"/>
            <w:vAlign w:val="center"/>
          </w:tcPr>
          <w:p>
            <w:pPr>
              <w:spacing w:before="20" w:after="20"/>
            </w:pPr>
            <w:r>
              <w:rPr>
                <w:sz w:val="16"/>
                <w:szCs w:val="16"/>
              </w:rPr>
              <w:t>Currency</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Currency of monetary series.</w:t>
            </w:r>
          </w:p>
        </w:tc>
      </w:tr>
      <w:tr>
        <w:tc>
          <w:tcPr>
            <w:tcW w:type="dxa" w:w="3331"/>
            <w:vAlign w:val="center"/>
          </w:tcPr>
          <w:p>
            <w:pPr>
              <w:spacing w:before="20" w:after="20"/>
            </w:pPr>
            <w:r>
              <w:rPr>
                <w:sz w:val="16"/>
                <w:szCs w:val="16"/>
              </w:rPr>
              <w:t>CurrencyConversionSource</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Authority for conversion.</w:t>
            </w:r>
          </w:p>
        </w:tc>
      </w:tr>
      <w:tr>
        <w:tc>
          <w:tcPr>
            <w:tcW w:type="dxa" w:w="3331"/>
            <w:vAlign w:val="center"/>
          </w:tcPr>
          <w:p>
            <w:pPr>
              <w:spacing w:before="20" w:after="20"/>
            </w:pPr>
            <w:r>
              <w:rPr>
                <w:sz w:val="16"/>
                <w:szCs w:val="16"/>
              </w:rPr>
              <w:t>CurrencyConversionDateOrPeriod</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Conversion timing.</w:t>
            </w:r>
          </w:p>
        </w:tc>
      </w:tr>
      <w:tr>
        <w:tc>
          <w:tcPr>
            <w:tcW w:type="dxa" w:w="3331"/>
            <w:vAlign w:val="center"/>
          </w:tcPr>
          <w:p>
            <w:pPr>
              <w:spacing w:before="20" w:after="20"/>
            </w:pPr>
            <w:r>
              <w:rPr>
                <w:sz w:val="16"/>
                <w:szCs w:val="16"/>
              </w:rPr>
              <w:t>CurrencyConversionRate</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Recorded conversion rate.</w:t>
            </w:r>
          </w:p>
        </w:tc>
      </w:tr>
      <w:tr>
        <w:tc>
          <w:tcPr>
            <w:tcW w:type="dxa" w:w="3331"/>
            <w:vAlign w:val="center"/>
          </w:tcPr>
          <w:p>
            <w:pPr>
              <w:spacing w:before="20" w:after="20"/>
            </w:pPr>
            <w:r>
              <w:rPr>
                <w:sz w:val="16"/>
                <w:szCs w:val="16"/>
              </w:rPr>
              <w:t>NominalOrRealStatus</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Price/value basis.</w:t>
            </w:r>
          </w:p>
        </w:tc>
      </w:tr>
      <w:tr>
        <w:tc>
          <w:tcPr>
            <w:tcW w:type="dxa" w:w="3331"/>
            <w:vAlign w:val="center"/>
          </w:tcPr>
          <w:p>
            <w:pPr>
              <w:spacing w:before="20" w:after="20"/>
            </w:pPr>
            <w:r>
              <w:rPr>
                <w:sz w:val="16"/>
                <w:szCs w:val="16"/>
              </w:rPr>
              <w:t>DeflatorReference</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Deflator for real series.</w:t>
            </w:r>
          </w:p>
        </w:tc>
      </w:tr>
      <w:tr>
        <w:tc>
          <w:tcPr>
            <w:tcW w:type="dxa" w:w="3331"/>
            <w:vAlign w:val="center"/>
          </w:tcPr>
          <w:p>
            <w:pPr>
              <w:spacing w:before="20" w:after="20"/>
            </w:pPr>
            <w:r>
              <w:rPr>
                <w:sz w:val="16"/>
                <w:szCs w:val="16"/>
              </w:rPr>
              <w:t>BaseYear</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Base year for real series.</w:t>
            </w:r>
          </w:p>
        </w:tc>
      </w:tr>
      <w:tr>
        <w:tc>
          <w:tcPr>
            <w:tcW w:type="dxa" w:w="3331"/>
            <w:vAlign w:val="center"/>
          </w:tcPr>
          <w:p>
            <w:pPr>
              <w:spacing w:before="20" w:after="20"/>
            </w:pPr>
            <w:r>
              <w:rPr>
                <w:sz w:val="16"/>
                <w:szCs w:val="16"/>
              </w:rPr>
              <w:t>RoundingRule</w:t>
            </w:r>
          </w:p>
        </w:tc>
        <w:tc>
          <w:tcPr>
            <w:tcW w:type="dxa" w:w="3331"/>
            <w:vAlign w:val="center"/>
          </w:tcPr>
          <w:p>
            <w:pPr>
              <w:spacing w:before="20" w:after="20"/>
            </w:pPr>
            <w:r>
              <w:rPr>
                <w:sz w:val="16"/>
                <w:szCs w:val="16"/>
              </w:rPr>
              <w:t>Required for derived numeric result</w:t>
            </w:r>
          </w:p>
        </w:tc>
        <w:tc>
          <w:tcPr>
            <w:tcW w:type="dxa" w:w="3332"/>
            <w:vAlign w:val="center"/>
          </w:tcPr>
          <w:p>
            <w:pPr>
              <w:spacing w:before="20" w:after="20"/>
            </w:pPr>
            <w:r>
              <w:rPr>
                <w:sz w:val="16"/>
                <w:szCs w:val="16"/>
              </w:rPr>
              <w:t>Controlled rounding.</w:t>
            </w:r>
          </w:p>
        </w:tc>
      </w:tr>
      <w:tr>
        <w:tc>
          <w:tcPr>
            <w:tcW w:type="dxa" w:w="3331"/>
            <w:vAlign w:val="center"/>
          </w:tcPr>
          <w:p>
            <w:pPr>
              <w:spacing w:before="20" w:after="20"/>
            </w:pPr>
            <w:r>
              <w:rPr>
                <w:sz w:val="16"/>
                <w:szCs w:val="16"/>
              </w:rPr>
              <w:t>SignificantDigitsRule</w:t>
            </w:r>
          </w:p>
        </w:tc>
        <w:tc>
          <w:tcPr>
            <w:tcW w:type="dxa" w:w="3331"/>
            <w:vAlign w:val="center"/>
          </w:tcPr>
          <w:p>
            <w:pPr>
              <w:spacing w:before="20" w:after="20"/>
            </w:pPr>
            <w:r>
              <w:rPr>
                <w:sz w:val="16"/>
                <w:szCs w:val="16"/>
              </w:rPr>
              <w:t>Required for derived numeric result</w:t>
            </w:r>
          </w:p>
        </w:tc>
        <w:tc>
          <w:tcPr>
            <w:tcW w:type="dxa" w:w="3332"/>
            <w:vAlign w:val="center"/>
          </w:tcPr>
          <w:p>
            <w:pPr>
              <w:spacing w:before="20" w:after="20"/>
            </w:pPr>
            <w:r>
              <w:rPr>
                <w:sz w:val="16"/>
                <w:szCs w:val="16"/>
              </w:rPr>
              <w:t>Precision rule.</w:t>
            </w:r>
          </w:p>
        </w:tc>
      </w:tr>
      <w:tr>
        <w:tc>
          <w:tcPr>
            <w:tcW w:type="dxa" w:w="3331"/>
            <w:vAlign w:val="center"/>
          </w:tcPr>
          <w:p>
            <w:pPr>
              <w:spacing w:before="20" w:after="20"/>
            </w:pPr>
            <w:r>
              <w:rPr>
                <w:sz w:val="16"/>
                <w:szCs w:val="16"/>
              </w:rPr>
              <w:t>FormulaVersion</w:t>
            </w:r>
          </w:p>
        </w:tc>
        <w:tc>
          <w:tcPr>
            <w:tcW w:type="dxa" w:w="3331"/>
            <w:vAlign w:val="center"/>
          </w:tcPr>
          <w:p>
            <w:pPr>
              <w:spacing w:before="20" w:after="20"/>
            </w:pPr>
            <w:r>
              <w:rPr>
                <w:sz w:val="16"/>
                <w:szCs w:val="16"/>
              </w:rPr>
              <w:t>Required for derived result</w:t>
            </w:r>
          </w:p>
        </w:tc>
        <w:tc>
          <w:tcPr>
            <w:tcW w:type="dxa" w:w="3332"/>
            <w:vAlign w:val="center"/>
          </w:tcPr>
          <w:p>
            <w:pPr>
              <w:spacing w:before="20" w:after="20"/>
            </w:pPr>
            <w:r>
              <w:rPr>
                <w:sz w:val="16"/>
                <w:szCs w:val="16"/>
              </w:rPr>
              <w:t>Formula identity/version.</w:t>
            </w:r>
          </w:p>
        </w:tc>
      </w:tr>
      <w:tr>
        <w:tc>
          <w:tcPr>
            <w:tcW w:type="dxa" w:w="3331"/>
            <w:vAlign w:val="center"/>
          </w:tcPr>
          <w:p>
            <w:pPr>
              <w:spacing w:before="20" w:after="20"/>
            </w:pPr>
            <w:r>
              <w:rPr>
                <w:sz w:val="16"/>
                <w:szCs w:val="16"/>
              </w:rPr>
              <w:t>MethodologyVersion</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Method version.</w:t>
            </w:r>
          </w:p>
        </w:tc>
      </w:tr>
      <w:tr>
        <w:tc>
          <w:tcPr>
            <w:tcW w:type="dxa" w:w="3331"/>
            <w:vAlign w:val="center"/>
          </w:tcPr>
          <w:p>
            <w:pPr>
              <w:spacing w:before="20" w:after="20"/>
            </w:pPr>
            <w:r>
              <w:rPr>
                <w:sz w:val="16"/>
                <w:szCs w:val="16"/>
              </w:rPr>
              <w:t>SourceVersion</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Source dataset version.</w:t>
            </w:r>
          </w:p>
        </w:tc>
      </w:tr>
      <w:tr>
        <w:tc>
          <w:tcPr>
            <w:tcW w:type="dxa" w:w="3331"/>
            <w:vAlign w:val="center"/>
          </w:tcPr>
          <w:p>
            <w:pPr>
              <w:spacing w:before="20" w:after="20"/>
            </w:pPr>
            <w:r>
              <w:rPr>
                <w:sz w:val="16"/>
                <w:szCs w:val="16"/>
              </w:rPr>
              <w:t>SeriesVersion</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Measurement series version.</w:t>
            </w:r>
          </w:p>
        </w:tc>
      </w:tr>
      <w:tr>
        <w:tc>
          <w:tcPr>
            <w:tcW w:type="dxa" w:w="3331"/>
            <w:vAlign w:val="center"/>
          </w:tcPr>
          <w:p>
            <w:pPr>
              <w:spacing w:before="20" w:after="20"/>
            </w:pPr>
            <w:r>
              <w:rPr>
                <w:sz w:val="16"/>
                <w:szCs w:val="16"/>
              </w:rPr>
              <w:t>ReferencePeriodStart</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Reference start date.</w:t>
            </w:r>
          </w:p>
        </w:tc>
      </w:tr>
      <w:tr>
        <w:tc>
          <w:tcPr>
            <w:tcW w:type="dxa" w:w="3331"/>
            <w:vAlign w:val="center"/>
          </w:tcPr>
          <w:p>
            <w:pPr>
              <w:spacing w:before="20" w:after="20"/>
            </w:pPr>
            <w:r>
              <w:rPr>
                <w:sz w:val="16"/>
                <w:szCs w:val="16"/>
              </w:rPr>
              <w:t>ReferencePeriodEnd</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Reference end date.</w:t>
            </w:r>
          </w:p>
        </w:tc>
      </w:tr>
      <w:tr>
        <w:tc>
          <w:tcPr>
            <w:tcW w:type="dxa" w:w="3331"/>
            <w:vAlign w:val="center"/>
          </w:tcPr>
          <w:p>
            <w:pPr>
              <w:spacing w:before="20" w:after="20"/>
            </w:pPr>
            <w:r>
              <w:rPr>
                <w:sz w:val="16"/>
                <w:szCs w:val="16"/>
              </w:rPr>
              <w:t>ComparisonPeriodStart</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Comparison start date.</w:t>
            </w:r>
          </w:p>
        </w:tc>
      </w:tr>
      <w:tr>
        <w:tc>
          <w:tcPr>
            <w:tcW w:type="dxa" w:w="3331"/>
            <w:vAlign w:val="center"/>
          </w:tcPr>
          <w:p>
            <w:pPr>
              <w:spacing w:before="20" w:after="20"/>
            </w:pPr>
            <w:r>
              <w:rPr>
                <w:sz w:val="16"/>
                <w:szCs w:val="16"/>
              </w:rPr>
              <w:t>ComparisonPeriodEnd</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Comparison end date.</w:t>
            </w:r>
          </w:p>
        </w:tc>
      </w:tr>
      <w:tr>
        <w:tc>
          <w:tcPr>
            <w:tcW w:type="dxa" w:w="3331"/>
            <w:vAlign w:val="center"/>
          </w:tcPr>
          <w:p>
            <w:pPr>
              <w:spacing w:before="20" w:after="20"/>
            </w:pPr>
            <w:r>
              <w:rPr>
                <w:sz w:val="16"/>
                <w:szCs w:val="16"/>
              </w:rPr>
              <w:t>PeriodType</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Fixed, rolling, or authorized type.</w:t>
            </w:r>
          </w:p>
        </w:tc>
      </w:tr>
      <w:tr>
        <w:tc>
          <w:tcPr>
            <w:tcW w:type="dxa" w:w="3331"/>
            <w:vAlign w:val="center"/>
          </w:tcPr>
          <w:p>
            <w:pPr>
              <w:spacing w:before="20" w:after="20"/>
            </w:pPr>
            <w:r>
              <w:rPr>
                <w:sz w:val="16"/>
                <w:szCs w:val="16"/>
              </w:rPr>
              <w:t>RollingWindowLength</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Rolling-window length.</w:t>
            </w:r>
          </w:p>
        </w:tc>
      </w:tr>
      <w:tr>
        <w:tc>
          <w:tcPr>
            <w:tcW w:type="dxa" w:w="3331"/>
            <w:vAlign w:val="center"/>
          </w:tcPr>
          <w:p>
            <w:pPr>
              <w:spacing w:before="20" w:after="20"/>
            </w:pPr>
            <w:r>
              <w:rPr>
                <w:sz w:val="16"/>
                <w:szCs w:val="16"/>
              </w:rPr>
              <w:t>DataAvailabilityLag</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Reporting availability lag.</w:t>
            </w:r>
          </w:p>
        </w:tc>
      </w:tr>
      <w:tr>
        <w:tc>
          <w:tcPr>
            <w:tcW w:type="dxa" w:w="3331"/>
            <w:vAlign w:val="center"/>
          </w:tcPr>
          <w:p>
            <w:pPr>
              <w:spacing w:before="20" w:after="20"/>
            </w:pPr>
            <w:r>
              <w:rPr>
                <w:sz w:val="16"/>
                <w:szCs w:val="16"/>
              </w:rPr>
              <w:t>IncompletePeriodFlag</w:t>
            </w:r>
          </w:p>
        </w:tc>
        <w:tc>
          <w:tcPr>
            <w:tcW w:type="dxa" w:w="3331"/>
            <w:vAlign w:val="center"/>
          </w:tcPr>
          <w:p>
            <w:pPr>
              <w:spacing w:before="20" w:after="20"/>
            </w:pPr>
            <w:r>
              <w:rPr>
                <w:sz w:val="16"/>
                <w:szCs w:val="16"/>
              </w:rPr>
              <w:t>Required for period series</w:t>
            </w:r>
          </w:p>
        </w:tc>
        <w:tc>
          <w:tcPr>
            <w:tcW w:type="dxa" w:w="3332"/>
            <w:vAlign w:val="center"/>
          </w:tcPr>
          <w:p>
            <w:pPr>
              <w:spacing w:before="20" w:after="20"/>
            </w:pPr>
            <w:r>
              <w:rPr>
                <w:sz w:val="16"/>
                <w:szCs w:val="16"/>
              </w:rPr>
              <w:t>Identifies incomplete observation period.</w:t>
            </w:r>
          </w:p>
        </w:tc>
      </w:tr>
      <w:tr>
        <w:tc>
          <w:tcPr>
            <w:tcW w:type="dxa" w:w="3331"/>
            <w:vAlign w:val="center"/>
          </w:tcPr>
          <w:p>
            <w:pPr>
              <w:spacing w:before="20" w:after="20"/>
            </w:pPr>
            <w:r>
              <w:rPr>
                <w:sz w:val="16"/>
                <w:szCs w:val="16"/>
              </w:rPr>
              <w:t>MissingDataTreatmentRule</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Rule for missing observations.</w:t>
            </w:r>
          </w:p>
        </w:tc>
      </w:tr>
      <w:tr>
        <w:tc>
          <w:tcPr>
            <w:tcW w:type="dxa" w:w="3331"/>
            <w:vAlign w:val="center"/>
          </w:tcPr>
          <w:p>
            <w:pPr>
              <w:spacing w:before="20" w:after="20"/>
            </w:pPr>
            <w:r>
              <w:rPr>
                <w:sz w:val="16"/>
                <w:szCs w:val="16"/>
              </w:rPr>
              <w:t>SeasonalityFlag</w:t>
            </w:r>
          </w:p>
        </w:tc>
        <w:tc>
          <w:tcPr>
            <w:tcW w:type="dxa" w:w="3331"/>
            <w:vAlign w:val="center"/>
          </w:tcPr>
          <w:p>
            <w:pPr>
              <w:spacing w:before="20" w:after="20"/>
            </w:pPr>
            <w:r>
              <w:rPr>
                <w:sz w:val="16"/>
                <w:szCs w:val="16"/>
              </w:rPr>
              <w:t>Required where relevant</w:t>
            </w:r>
          </w:p>
        </w:tc>
        <w:tc>
          <w:tcPr>
            <w:tcW w:type="dxa" w:w="3332"/>
            <w:vAlign w:val="center"/>
          </w:tcPr>
          <w:p>
            <w:pPr>
              <w:spacing w:before="20" w:after="20"/>
            </w:pPr>
            <w:r>
              <w:rPr>
                <w:sz w:val="16"/>
                <w:szCs w:val="16"/>
              </w:rPr>
              <w:t>Identifies material seasonality.</w:t>
            </w:r>
          </w:p>
        </w:tc>
      </w:tr>
      <w:tr>
        <w:tc>
          <w:tcPr>
            <w:tcW w:type="dxa" w:w="3331"/>
            <w:vAlign w:val="center"/>
          </w:tcPr>
          <w:p>
            <w:pPr>
              <w:spacing w:before="20" w:after="20"/>
            </w:pPr>
            <w:r>
              <w:rPr>
                <w:sz w:val="16"/>
                <w:szCs w:val="16"/>
              </w:rPr>
              <w:t>SeasonalAdjustmentMethod</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Controlled seasonal method.</w:t>
            </w:r>
          </w:p>
        </w:tc>
      </w:tr>
      <w:tr>
        <w:tc>
          <w:tcPr>
            <w:tcW w:type="dxa" w:w="3331"/>
            <w:vAlign w:val="center"/>
          </w:tcPr>
          <w:p>
            <w:pPr>
              <w:spacing w:before="20" w:after="20"/>
            </w:pPr>
            <w:r>
              <w:rPr>
                <w:sz w:val="16"/>
                <w:szCs w:val="16"/>
              </w:rPr>
              <w:t>ExceptionalEventReferences</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Contextual event links without causal finding.</w:t>
            </w:r>
          </w:p>
        </w:tc>
      </w:tr>
      <w:tr>
        <w:tc>
          <w:tcPr>
            <w:tcW w:type="dxa" w:w="3331"/>
            <w:vAlign w:val="center"/>
          </w:tcPr>
          <w:p>
            <w:pPr>
              <w:spacing w:before="20" w:after="20"/>
            </w:pPr>
            <w:r>
              <w:rPr>
                <w:sz w:val="16"/>
                <w:szCs w:val="16"/>
              </w:rPr>
              <w:t>OutlierTreatmentRule</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Controlled outlier method.</w:t>
            </w:r>
          </w:p>
        </w:tc>
      </w:tr>
      <w:tr>
        <w:tc>
          <w:tcPr>
            <w:tcW w:type="dxa" w:w="3331"/>
            <w:vAlign w:val="center"/>
          </w:tcPr>
          <w:p>
            <w:pPr>
              <w:spacing w:before="20" w:after="20"/>
            </w:pPr>
            <w:r>
              <w:rPr>
                <w:sz w:val="16"/>
                <w:szCs w:val="16"/>
              </w:rPr>
              <w:t>ThresholdSourceProvision</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Legal source of threshold.</w:t>
            </w:r>
          </w:p>
        </w:tc>
      </w:tr>
      <w:tr>
        <w:tc>
          <w:tcPr>
            <w:tcW w:type="dxa" w:w="3331"/>
            <w:vAlign w:val="center"/>
          </w:tcPr>
          <w:p>
            <w:pPr>
              <w:spacing w:before="20" w:after="20"/>
            </w:pPr>
            <w:r>
              <w:rPr>
                <w:sz w:val="16"/>
                <w:szCs w:val="16"/>
              </w:rPr>
              <w:t>ThresholdValue</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Authorized mathematical threshold.</w:t>
            </w:r>
          </w:p>
        </w:tc>
      </w:tr>
      <w:tr>
        <w:tc>
          <w:tcPr>
            <w:tcW w:type="dxa" w:w="3331"/>
            <w:vAlign w:val="center"/>
          </w:tcPr>
          <w:p>
            <w:pPr>
              <w:spacing w:before="20" w:after="20"/>
            </w:pPr>
            <w:r>
              <w:rPr>
                <w:sz w:val="16"/>
                <w:szCs w:val="16"/>
              </w:rPr>
              <w:t>ThresholdUnit</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Threshold unit.</w:t>
            </w:r>
          </w:p>
        </w:tc>
      </w:tr>
      <w:tr>
        <w:tc>
          <w:tcPr>
            <w:tcW w:type="dxa" w:w="3331"/>
            <w:vAlign w:val="center"/>
          </w:tcPr>
          <w:p>
            <w:pPr>
              <w:spacing w:before="20" w:after="20"/>
            </w:pPr>
            <w:r>
              <w:rPr>
                <w:sz w:val="16"/>
                <w:szCs w:val="16"/>
              </w:rPr>
              <w:t>ThresholdObservedValue</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Calculated observed value.</w:t>
            </w:r>
          </w:p>
        </w:tc>
      </w:tr>
      <w:tr>
        <w:tc>
          <w:tcPr>
            <w:tcW w:type="dxa" w:w="3331"/>
            <w:vAlign w:val="center"/>
          </w:tcPr>
          <w:p>
            <w:pPr>
              <w:spacing w:before="20" w:after="20"/>
            </w:pPr>
            <w:r>
              <w:rPr>
                <w:sz w:val="16"/>
                <w:szCs w:val="16"/>
              </w:rPr>
              <w:t>ThresholdObservationStatus</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Observed comparison only, not legal trigger.</w:t>
            </w:r>
          </w:p>
        </w:tc>
      </w:tr>
      <w:tr>
        <w:tc>
          <w:tcPr>
            <w:tcW w:type="dxa" w:w="3331"/>
            <w:vAlign w:val="center"/>
          </w:tcPr>
          <w:p>
            <w:pPr>
              <w:spacing w:before="20" w:after="20"/>
            </w:pPr>
            <w:r>
              <w:rPr>
                <w:sz w:val="16"/>
                <w:szCs w:val="16"/>
              </w:rPr>
              <w:t>MeasurementUncertainty</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Confidence, range, or uncertainty statement.</w:t>
            </w:r>
          </w:p>
        </w:tc>
      </w:tr>
      <w:tr>
        <w:tc>
          <w:tcPr>
            <w:tcW w:type="dxa" w:w="3331"/>
            <w:vAlign w:val="center"/>
          </w:tcPr>
          <w:p>
            <w:pPr>
              <w:spacing w:before="20" w:after="20"/>
            </w:pPr>
            <w:r>
              <w:rPr>
                <w:sz w:val="16"/>
                <w:szCs w:val="16"/>
              </w:rPr>
              <w:t>DataGapStatement</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Material gaps affecting result.</w:t>
            </w:r>
          </w:p>
        </w:tc>
      </w:tr>
      <w:tr>
        <w:tc>
          <w:tcPr>
            <w:tcW w:type="dxa" w:w="3331"/>
            <w:vAlign w:val="center"/>
          </w:tcPr>
          <w:p>
            <w:pPr>
              <w:spacing w:before="20" w:after="20"/>
            </w:pPr>
            <w:r>
              <w:rPr>
                <w:sz w:val="16"/>
                <w:szCs w:val="16"/>
              </w:rPr>
              <w:t>SourceAuthority</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Authority issuing source data.</w:t>
            </w:r>
          </w:p>
        </w:tc>
      </w:tr>
      <w:tr>
        <w:tc>
          <w:tcPr>
            <w:tcW w:type="dxa" w:w="3331"/>
            <w:vAlign w:val="center"/>
          </w:tcPr>
          <w:p>
            <w:pPr>
              <w:spacing w:before="20" w:after="20"/>
            </w:pPr>
            <w:r>
              <w:rPr>
                <w:sz w:val="16"/>
                <w:szCs w:val="16"/>
              </w:rPr>
              <w:t>SourceTitle</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Source title or dataset name.</w:t>
            </w:r>
          </w:p>
        </w:tc>
      </w:tr>
      <w:tr>
        <w:tc>
          <w:tcPr>
            <w:tcW w:type="dxa" w:w="3331"/>
            <w:vAlign w:val="center"/>
          </w:tcPr>
          <w:p>
            <w:pPr>
              <w:spacing w:before="20" w:after="20"/>
            </w:pPr>
            <w:r>
              <w:rPr>
                <w:sz w:val="16"/>
                <w:szCs w:val="16"/>
              </w:rPr>
              <w:t>SourcePublicationDate</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Publication date.</w:t>
            </w:r>
          </w:p>
        </w:tc>
      </w:tr>
      <w:tr>
        <w:tc>
          <w:tcPr>
            <w:tcW w:type="dxa" w:w="3331"/>
            <w:vAlign w:val="center"/>
          </w:tcPr>
          <w:p>
            <w:pPr>
              <w:spacing w:before="20" w:after="20"/>
            </w:pPr>
            <w:r>
              <w:rPr>
                <w:sz w:val="16"/>
                <w:szCs w:val="16"/>
              </w:rPr>
              <w:t>SourceRetrievalDate</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Retrieval date.</w:t>
            </w:r>
          </w:p>
        </w:tc>
      </w:tr>
      <w:tr>
        <w:tc>
          <w:tcPr>
            <w:tcW w:type="dxa" w:w="3331"/>
            <w:vAlign w:val="center"/>
          </w:tcPr>
          <w:p>
            <w:pPr>
              <w:spacing w:before="20" w:after="20"/>
            </w:pPr>
            <w:r>
              <w:rPr>
                <w:sz w:val="16"/>
                <w:szCs w:val="16"/>
              </w:rPr>
              <w:t>SourceReportingPeriod</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Period covered by source.</w:t>
            </w:r>
          </w:p>
        </w:tc>
      </w:tr>
      <w:tr>
        <w:tc>
          <w:tcPr>
            <w:tcW w:type="dxa" w:w="3331"/>
            <w:vAlign w:val="center"/>
          </w:tcPr>
          <w:p>
            <w:pPr>
              <w:spacing w:before="20" w:after="20"/>
            </w:pPr>
            <w:r>
              <w:rPr>
                <w:sz w:val="16"/>
                <w:szCs w:val="16"/>
              </w:rPr>
              <w:t>SourceLimitation</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Known source limitation.</w:t>
            </w:r>
          </w:p>
        </w:tc>
      </w:tr>
      <w:tr>
        <w:tc>
          <w:tcPr>
            <w:tcW w:type="dxa" w:w="3331"/>
            <w:vAlign w:val="center"/>
          </w:tcPr>
          <w:p>
            <w:pPr>
              <w:spacing w:before="20" w:after="20"/>
            </w:pPr>
            <w:r>
              <w:rPr>
                <w:sz w:val="16"/>
                <w:szCs w:val="16"/>
              </w:rPr>
              <w:t>DataVerificationStatus</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Field-level verification axis.</w:t>
            </w:r>
          </w:p>
        </w:tc>
      </w:tr>
      <w:tr>
        <w:tc>
          <w:tcPr>
            <w:tcW w:type="dxa" w:w="3331"/>
            <w:vAlign w:val="center"/>
          </w:tcPr>
          <w:p>
            <w:pPr>
              <w:spacing w:before="20" w:after="20"/>
            </w:pPr>
            <w:r>
              <w:rPr>
                <w:sz w:val="16"/>
                <w:szCs w:val="16"/>
              </w:rPr>
              <w:t>MeasurementSeriesStatus</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Series lifecycle/status axis.</w:t>
            </w:r>
          </w:p>
        </w:tc>
      </w:tr>
      <w:tr>
        <w:tc>
          <w:tcPr>
            <w:tcW w:type="dxa" w:w="3331"/>
            <w:vAlign w:val="center"/>
          </w:tcPr>
          <w:p>
            <w:pPr>
              <w:spacing w:before="20" w:after="20"/>
            </w:pPr>
            <w:r>
              <w:rPr>
                <w:sz w:val="16"/>
                <w:szCs w:val="16"/>
              </w:rPr>
              <w:t>MeasurementResultStatus</w:t>
            </w:r>
          </w:p>
        </w:tc>
        <w:tc>
          <w:tcPr>
            <w:tcW w:type="dxa" w:w="3331"/>
            <w:vAlign w:val="center"/>
          </w:tcPr>
          <w:p>
            <w:pPr>
              <w:spacing w:before="20" w:after="20"/>
            </w:pPr>
            <w:r>
              <w:rPr>
                <w:sz w:val="16"/>
                <w:szCs w:val="16"/>
              </w:rPr>
              <w:t>Required where result exists</w:t>
            </w:r>
          </w:p>
        </w:tc>
        <w:tc>
          <w:tcPr>
            <w:tcW w:type="dxa" w:w="3332"/>
            <w:vAlign w:val="center"/>
          </w:tcPr>
          <w:p>
            <w:pPr>
              <w:spacing w:before="20" w:after="20"/>
            </w:pPr>
            <w:r>
              <w:rPr>
                <w:sz w:val="16"/>
                <w:szCs w:val="16"/>
              </w:rPr>
              <w:t>Result status axis.</w:t>
            </w:r>
          </w:p>
        </w:tc>
      </w:tr>
      <w:tr>
        <w:tc>
          <w:tcPr>
            <w:tcW w:type="dxa" w:w="3331"/>
            <w:vAlign w:val="center"/>
          </w:tcPr>
          <w:p>
            <w:pPr>
              <w:spacing w:before="20" w:after="20"/>
            </w:pPr>
            <w:r>
              <w:rPr>
                <w:sz w:val="16"/>
                <w:szCs w:val="16"/>
              </w:rPr>
              <w:t>MethodologyStatus</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Method status axis.</w:t>
            </w:r>
          </w:p>
        </w:tc>
      </w:tr>
      <w:tr>
        <w:tc>
          <w:tcPr>
            <w:tcW w:type="dxa" w:w="3331"/>
            <w:vAlign w:val="center"/>
          </w:tcPr>
          <w:p>
            <w:pPr>
              <w:spacing w:before="20" w:after="20"/>
            </w:pPr>
            <w:r>
              <w:rPr>
                <w:sz w:val="16"/>
                <w:szCs w:val="16"/>
              </w:rPr>
              <w:t>RevisionStatus</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Revision status axis.</w:t>
            </w:r>
          </w:p>
        </w:tc>
      </w:tr>
      <w:tr>
        <w:tc>
          <w:tcPr>
            <w:tcW w:type="dxa" w:w="3331"/>
            <w:vAlign w:val="center"/>
          </w:tcPr>
          <w:p>
            <w:pPr>
              <w:spacing w:before="20" w:after="20"/>
            </w:pPr>
            <w:r>
              <w:rPr>
                <w:sz w:val="16"/>
                <w:szCs w:val="16"/>
              </w:rPr>
              <w:t>DisputeStatus</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Separate dispute axis.</w:t>
            </w:r>
          </w:p>
        </w:tc>
      </w:tr>
      <w:tr>
        <w:tc>
          <w:tcPr>
            <w:tcW w:type="dxa" w:w="3331"/>
            <w:vAlign w:val="center"/>
          </w:tcPr>
          <w:p>
            <w:pPr>
              <w:spacing w:before="20" w:after="20"/>
            </w:pPr>
            <w:r>
              <w:rPr>
                <w:sz w:val="16"/>
                <w:szCs w:val="16"/>
              </w:rPr>
              <w:t>AdministrativeLifecycleStatus</w:t>
            </w:r>
          </w:p>
        </w:tc>
        <w:tc>
          <w:tcPr>
            <w:tcW w:type="dxa" w:w="3331"/>
            <w:vAlign w:val="center"/>
          </w:tcPr>
          <w:p>
            <w:pPr>
              <w:spacing w:before="20" w:after="20"/>
            </w:pPr>
            <w:r>
              <w:rPr>
                <w:sz w:val="16"/>
                <w:szCs w:val="16"/>
              </w:rPr>
              <w:t>Required</w:t>
            </w:r>
          </w:p>
        </w:tc>
        <w:tc>
          <w:tcPr>
            <w:tcW w:type="dxa" w:w="3332"/>
            <w:vAlign w:val="center"/>
          </w:tcPr>
          <w:p>
            <w:pPr>
              <w:spacing w:before="20" w:after="20"/>
            </w:pPr>
            <w:r>
              <w:rPr>
                <w:sz w:val="16"/>
                <w:szCs w:val="16"/>
              </w:rPr>
              <w:t>Administrative lifecycle axis.</w:t>
            </w:r>
          </w:p>
        </w:tc>
      </w:tr>
      <w:tr>
        <w:tc>
          <w:tcPr>
            <w:tcW w:type="dxa" w:w="3331"/>
            <w:vAlign w:val="center"/>
          </w:tcPr>
          <w:p>
            <w:pPr>
              <w:spacing w:before="20" w:after="20"/>
            </w:pPr>
            <w:r>
              <w:rPr>
                <w:sz w:val="16"/>
                <w:szCs w:val="16"/>
              </w:rPr>
              <w:t>VerifierIdentity</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Verifier of controlled fields/result.</w:t>
            </w:r>
          </w:p>
        </w:tc>
      </w:tr>
      <w:tr>
        <w:tc>
          <w:tcPr>
            <w:tcW w:type="dxa" w:w="3331"/>
            <w:vAlign w:val="center"/>
          </w:tcPr>
          <w:p>
            <w:pPr>
              <w:spacing w:before="20" w:after="20"/>
            </w:pPr>
            <w:r>
              <w:rPr>
                <w:sz w:val="16"/>
                <w:szCs w:val="16"/>
              </w:rPr>
              <w:t>VerificationDate</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Verification date.</w:t>
            </w:r>
          </w:p>
        </w:tc>
      </w:tr>
      <w:tr>
        <w:tc>
          <w:tcPr>
            <w:tcW w:type="dxa" w:w="3331"/>
            <w:vAlign w:val="center"/>
          </w:tcPr>
          <w:p>
            <w:pPr>
              <w:spacing w:before="20" w:after="20"/>
            </w:pPr>
            <w:r>
              <w:rPr>
                <w:sz w:val="16"/>
                <w:szCs w:val="16"/>
              </w:rPr>
              <w:t>CrossAnnexInterfaceReferences</w:t>
            </w:r>
          </w:p>
        </w:tc>
        <w:tc>
          <w:tcPr>
            <w:tcW w:type="dxa" w:w="3331"/>
            <w:vAlign w:val="center"/>
          </w:tcPr>
          <w:p>
            <w:pPr>
              <w:spacing w:before="20" w:after="20"/>
            </w:pPr>
            <w:r>
              <w:rPr>
                <w:sz w:val="16"/>
                <w:szCs w:val="16"/>
              </w:rPr>
              <w:t>Conditional</w:t>
            </w:r>
          </w:p>
        </w:tc>
        <w:tc>
          <w:tcPr>
            <w:tcW w:type="dxa" w:w="3332"/>
            <w:vAlign w:val="center"/>
          </w:tcPr>
          <w:p>
            <w:pPr>
              <w:spacing w:before="20" w:after="20"/>
            </w:pPr>
            <w:r>
              <w:rPr>
                <w:sz w:val="16"/>
                <w:szCs w:val="16"/>
              </w:rPr>
              <w:t>Relevant A through G and M links.</w:t>
            </w:r>
          </w:p>
        </w:tc>
      </w:tr>
    </w:tbl>
    <w:p>
      <w:pPr>
        <w:pStyle w:val="Heading1"/>
      </w:pPr>
      <w:bookmarkStart w:id="2116" w:name="NAATOC_0551"/>
      <w:bookmarkStart w:id="1551" w:name="toc_ANNEX_M___HS_CONCORDANCE_AND_S"/>
      <w:r>
        <w:t xml:space="preserve">Annex M - HS Concordance and Successor-Record Register</w:t>
      </w:r>
      <w:bookmarkEnd w:id="1551"/>
      <w:bookmarkEnd w:id="2116"/>
    </w:p>
    <w:p>
      <w:pPr/>
      <w:r>
        <w:t xml:space="preserve">This Annex governs controlled nomenclature concordance, successor-record mapping, scope correspondence, historical ancestry, and cross-Annex continuity without creating classification, coverage, treatment, origin, vesting, or other substantive legal effect. Annex M establishes what product scope corresponds across classification change; the controlling Chapter or Annex determines the legal consequence of that correspondence. The controlled schema following Article M.12 forms part of the Annex and preserves the provenance, verification, versioning, and interface fields required for reproducible successor mapping.</w:t>
      </w:r>
    </w:p>
    <w:p>
      <w:pPr>
        <w:pStyle w:val="Heading2"/>
      </w:pPr>
      <w:bookmarkStart w:id="2117" w:name="NAATOC_0552"/>
      <w:bookmarkStart w:id="1552" w:name="toc_Article_M_1___Purpose__Scope__"/>
      <w:r>
        <w:t>Article M.1 - Purpose, Scope, and Legal Character</w:t>
      </w:r>
      <w:bookmarkEnd w:id="1552"/>
      <w:bookmarkEnd w:id="2117"/>
    </w:p>
    <w:p>
      <w:pPr/>
      <w:r>
        <w:t>M.1.1 Annex M establishes the controlled HS Concordance and Successor-Record Register for nomenclature succession, national tariff restructuring, statistical subdivision change, and other classification-continuity events affecting records maintained under the Compact. It maps objectively supported correspondence between predecessor and successor product scope and records the evidence, provenance, verification state, and historical ancestry supporting that mapping. It does not create a classification, coverage determination, tariff concession, origin rule, managed-access entitlement, vesting event, synchronization condition, Zero-Line Status, remedy, waiver, or amendment power. A legal consequence associated with a verified correspondence arises only from the Chapter or Annex that possesses substantive authority over that consequence.</w:t>
      </w:r>
    </w:p>
    <w:p>
      <w:pPr/>
      <w:r>
        <w:t>M.1.2 Annex M operates only as a continuity, evidentiary, and administrative instrument and does not resolve a classification dispute or substitute for a classification determination made under competent law. Concordance is not reclassification, and a nomenclature change does not validate an earlier classification merely because the successor mapping is technically accurate. A mapping neither enlarges nor contracts the substantive scope of an existing right or obligation beyond the objectively corresponding predecessor merchandise. An omission, delay, error, or administrative status in Annex M does not by itself create, suspend, revive, or extinguish legal treatment.</w:t>
      </w:r>
    </w:p>
    <w:p>
      <w:pPr/>
      <w:r>
        <w:t>M.1.3 M establishes verified correspondence, while Annexes A through G and the controlling Chapters interpret that correspondence within their assigned functions. M does not directly copy a legal status from one tariff record to another, restart a clock, re-age vesting, reopen a completed milestone, or convert a temporary measure into a permanent legal state. A successor classification preserves only the legally corresponding predecessor scope, no more and no less. Where the correspondence does not establish the legal result, the existing legal state remains governed by its controlling source rather than by administrative inference from the mapping.</w:t>
      </w:r>
    </w:p>
    <w:p>
      <w:pPr/>
      <w:r>
        <w:t>M.1.4 Annex M is read with Chapters 2 and 3, Chapter 22, Chapter 29, Article 30.19, and each substantive Chapter or Annex whose records are linked through a concordance. Chapter 29 governs bounded technical maintenance where substantive legal effect is preserved, while Article 30.19 governs formal substantive amendment where legal effect changes. A cross-reference to M coordinates data and continuity functions without transferring substantive authority into this Annex. No combination of mapping, publication, verification, registry practice, silence, non-objection, or administrative convenience supplies authority that the Compact assigns elsewhere.</w:t>
      </w:r>
    </w:p>
    <w:p>
      <w:pPr>
        <w:pStyle w:val="Heading2"/>
      </w:pPr>
      <w:bookmarkStart w:id="2118" w:name="NAATOC_0553"/>
      <w:bookmarkStart w:id="1553" w:name="toc_Article_M_2___Definitions_and_"/>
      <w:r>
        <w:t>Article M.2 - Definitions and Interpretive Firewalls</w:t>
      </w:r>
      <w:bookmarkEnd w:id="1553"/>
      <w:bookmarkEnd w:id="2118"/>
    </w:p>
    <w:p>
      <w:pPr/>
      <w:r>
        <w:t>M.2.1 For purposes of Annex M, a Concordance Event is an identified change in nomenclature or record structure requiring predecessor-to-successor correspondence, and a Technical Mapping is the evidence-based description of that correspondence. Legal-Scope Continuity is the preservation of pre-existing legal effect over objectively corresponding merchandise under the controlling substantive provision. Predecessor Scope and Successor Scope describe the product content represented before and after the event, while a Mapping Component is the smallest controlled correspondence unit needed to express that relationship without material ambiguity. These terms describe the mapping architecture and do not independently assign treatment.</w:t>
      </w:r>
    </w:p>
    <w:p>
      <w:pPr/>
      <w:r>
        <w:t>M.2.2 Partial Correspondence exists where only part of a predecessor or successor scope objectively corresponds, and an Ex-Out is a controlled scope descriptor used to preserve that distinction where the tariff nomenclature alone is insufficient. Newly Introduced Merchandise is merchandise included in successor scope that was not objectively within the relevant predecessor scope, and Materially Expanded Scope is successor scope containing such additional merchandise in a manner relevant to legal continuity. Materially Narrowed Scope is successor scope that represents less than the relevant predecessor scope, while Corresponding Product Scope is the objectively matched portion between them. No label in this paragraph creates inheritance beyond the correspondence actually established.</w:t>
      </w:r>
    </w:p>
    <w:p>
      <w:pPr/>
      <w:r>
        <w:t>M.2.3 Nomenclature Succession is a change in the applicable classification structure or code system, while a Statistical-Only Change alters non-operative statistical detail without changing the legal tariff-line scope to which that detail belongs. A Technical Correction repairs an objectively demonstrable mapping or record error without changing substantive legal effect, while a Classification Determination decides the classification of merchandise under competent law. A Classification Dispute contests such a determination or its application, and Reclassification changes the classification assigned to merchandise rather than merely translating one nomenclature into another. M keeps these event types separate so one cannot be used to obtain the legal consequences of another.</w:t>
      </w:r>
    </w:p>
    <w:p>
      <w:pPr/>
      <w:r>
        <w:t>M.2.4 A Successor Record is a controlled record representing successor classification scope, a Legacy Record preserves an earlier controlled state, and Ancestry is the traceable relationship connecting those states through one or more Concordance Events. Unresolved Mapping means available evidence does not yet support a sufficiently precise correspondence, while No Correspondence affirmatively records that the relevant scopes do not correspond for the stated purpose. A definition using a closed status vocabulary does not receive an unstated default, and an empty field does not imply correspondence, non-correspondence, or legal effect. Chapter 2 controls where a defined term in this Annex overlaps a Compact-wide definition.</w:t>
      </w:r>
    </w:p>
    <w:p>
      <w:pPr>
        <w:pStyle w:val="Heading2"/>
      </w:pPr>
      <w:bookmarkStart w:id="2119" w:name="NAATOC_0554"/>
      <w:bookmarkStart w:id="1554" w:name="toc_Article_M_3___Record_Architect"/>
      <w:r>
        <w:t>Article M.3 - Record Architecture and Persistent Identity</w:t>
      </w:r>
      <w:bookmarkEnd w:id="1554"/>
      <w:bookmarkEnd w:id="2119"/>
    </w:p>
    <w:p>
      <w:pPr/>
      <w:r>
        <w:t>M.3.1 Each concordance record carries a persistent ConcordanceRecordID and identifies each material event through a ConcordanceEventID, each separately analyzed relationship through a MappingComponentID, and each controlled version through a RecordVersionID. The record links the applicable ProductRecordID and, where distinct successor identity is required, the PredecessorProductRecordID and SuccessorProductRecordID without treating a tariff code as the primary key. HS codes, national tariff codes, statistical suffixes, NICO identifiers, and comparable classification elements remain attributes of the controlled product record. An identifier is never reassigned merely because a record is retired, superseded, migrated, or republished.</w:t>
      </w:r>
    </w:p>
    <w:p>
      <w:pPr/>
      <w:r>
        <w:t>M.3.2 A ProductRecordID continues across a nomenclature change where objective evidence establishes continuity of product identity, rather than being described as transferred from one tariff code to another. A new ProductRecordID is created only where the governing identity architecture requires a distinct product record, including genuinely new merchandise or materially distinct scope that cannot be represented through controlled mapping components. A new identifier records its predecessor relationship, triggering event, legal and technical basis, and identity-continuity explanation. Renumbering, agency reorganization, database migration, or statistical-suffix change alone does not justify a new ProductRecordID.</w:t>
      </w:r>
    </w:p>
    <w:p>
      <w:pPr/>
      <w:r>
        <w:t>M.3.3 Each record separately maintains MappingStatus, CorrespondenceStatus, ScopeContinuityStatus, VerificationStatus, DisputeStatus, and AdministrativeLifecycleStatus. Field-level provenance and verification remain distinct from derived record-level states, and no generic ConcordanceStatus collapses those axes. A cross-Annex routing field is populated only where a substantive record actually depends on the mapping, and the dependency trace identifies the affected controlled record rather than merely naming an Annex. A record assembled from unadopted or incompatible versions does not become operative through database consolidation.</w:t>
      </w:r>
    </w:p>
    <w:p>
      <w:pPr/>
      <w:r>
        <w:t>M.3.4 Version history is append-only and preserves superseded mappings, source states, verification states, disputes, corrections, and downstream dependency records. Orphaned, broken, or unresolved relationships are flagged and routed for correction rather than silently discarded or repaired by inference. Mapping by database row number, adjacent code, commercial nickname, product family, or statistical proximity is prohibited unless the controlling substantive rule expressly makes the referenced characteristic legally relevant. The architecture therefore preserves reproducibility from the current record back through every predecessor state on which the mapping depends.</w:t>
      </w:r>
    </w:p>
    <w:p>
      <w:pPr>
        <w:pStyle w:val="Heading2"/>
      </w:pPr>
      <w:bookmarkStart w:id="2120" w:name="NAATOC_0555"/>
      <w:bookmarkStart w:id="1555" w:name="toc_Article_M_4___Authoritative_No"/>
      <w:r>
        <w:t>Article M.4 - Authoritative Nomenclature and Source Hierarchy</w:t>
      </w:r>
      <w:bookmarkEnd w:id="1555"/>
      <w:bookmarkEnd w:id="2120"/>
    </w:p>
    <w:p>
      <w:pPr/>
      <w:r>
        <w:t>M.4.1 Each Mapping Component identifies the applicable HS edition, national tariff edition, official nomenclature or concordance source, source authority, publication date, effective date, retrieval date, and any stated source limitation. International HS nomenclature, national tariff nomenclature, legal tariff lines, statistical subdivisions, and classification rulings are recorded as distinct source types. A source authoritative for nomenclature is not automatically authoritative for a NAAFTC legal consequence. The source record therefore states what proposition the source is competent to establish and does not silently upgrade that competence.</w:t>
      </w:r>
    </w:p>
    <w:p>
      <w:pPr/>
      <w:r>
        <w:t>M.4.2 An official concordance table is evidence of nomenclature correspondence but does not itself transfer a tariff preference, sensitive designation, managed-access entitlement, vesting state, synchronization state, completed state, or origin rule. A national concordance establishes only the Party-specific classification relationship within the authority of that source and does not bind another Party merely because the underlying HS edition is shared. Where Party-specific structures differ, M records the separate national mappings and the common HS relationship without forcing artificial symmetry. Cross-Party legal treatment remains governed by the controlling substantive provisions.</w:t>
      </w:r>
    </w:p>
    <w:p>
      <w:pPr/>
      <w:r>
        <w:t>M.4.3 Where authoritative sources conflict, the affected Mapping Component is marked disputed or unresolved according to the applicable verification architecture and no invented value fills the conflict. The record identifies each conflicting source, the proposition in conflict, the affected scope, and the route for technical or legal resolution. A later source update does not silently rewrite the historical mapping that governed an earlier period. The controlled version history preserves both the prior source state and the authority for any later correction or supersession.</w:t>
      </w:r>
    </w:p>
    <w:p>
      <w:pPr/>
      <w:r>
        <w:t>M.4.4 A classification ruling, administrative determination, court decision, or other external act is recorded according to its actual legal function and jurisdiction rather than treated automatically as a Concordance Event. Where such an act changes the classification assigned to particular merchandise, the resulting record distinguishes that reclassification from a nomenclature succession affecting the tariff schedule generally. M may record the relationship needed to maintain ancestry after the competent act but does not decide the merits of that act. A legal challenge to classification follows the competent route outside M and does not become a technical concordance dispute merely because the result affects a mapping.</w:t>
      </w:r>
    </w:p>
    <w:p>
      <w:pPr>
        <w:pStyle w:val="Heading2"/>
      </w:pPr>
      <w:bookmarkStart w:id="2121" w:name="NAATOC_0556"/>
      <w:bookmarkStart w:id="1556" w:name="toc_Article_M_5___Mapping_Types_an"/>
      <w:r>
        <w:t>Article M.5 - Mapping Types and Correspondence States</w:t>
      </w:r>
      <w:bookmarkEnd w:id="1556"/>
      <w:bookmarkEnd w:id="2121"/>
    </w:p>
    <w:p>
      <w:pPr/>
      <w:r>
        <w:t>M.5.1 The controlled MappingType vocabulary includes One-to-One, One-to-Many Split, Many-to-One Merger, Many-to-Many, Partial Correspondence, Ex-Out Required, Statistical-Only Change, National Subdivision Change, Nomenclature Succession, Technical Correction, and Mixed Mapping. The controlled CorrespondenceStatus vocabulary includes Confirmed Correspondence, Partial Correspondence, Unresolved Mapping, and No Correspondence. Newly Introduced Merchandise, Materially Expanded Scope, and Materially Narrowed Scope are recorded as scope conditions rather than hidden inside free text. No open-ended Other value or blank field substitutes for a defined state.</w:t>
      </w:r>
    </w:p>
    <w:p>
      <w:pPr/>
      <w:r>
        <w:t>M.5.2 A mapping is established at product-scope level and not merely because predecessor and successor codes appear near each other in a tariff schedule or concordance table. Analogy, economic similarity, commercial use, packaging, end use, product-family membership, and historical practice do not establish correspondence unless the governing classification or substantive rule expressly makes the characteristic determinative. Automated matching may propose a candidate relationship but cannot promote it to verified correspondence without the required evidence and review. A candidate mapping remains visibly non-operative until its status is established under the controlled verification process.</w:t>
      </w:r>
    </w:p>
    <w:p>
      <w:pPr/>
      <w:r>
        <w:t>M.5.3 A one-to-one mapping indicates that the relevant predecessor and successor scopes objectively correspond for the stated mapping purpose, subject to verification and any recorded scope qualification. A one-to-many, many-to-one, many-to-many, or mixed mapping is decomposed into Mapping Components sufficient to state each correspondence without losing a material distinction. Partial correspondence uses an Ex-Out or another controlled scope descriptor where necessary to isolate the objectively corresponding merchandise. No aggregate mapping is used to conceal an unresolved or non-corresponding component.</w:t>
      </w:r>
    </w:p>
    <w:p>
      <w:pPr/>
      <w:r>
        <w:t>M.5.4 No Correspondence is an affirmative technical result and does not by itself determine whether another classification or substantive route applies to the merchandise. Unresolved Mapping preserves uncertainty explicitly and receives no favorable, adverse, or convenience default. A mapping status does not become more authoritative through repetition, administrative use, trader reliance, silence, or non-objection. Promotion to a controlled state follows the evidence, provenance, verification, and authority requirements applicable to that state.</w:t>
      </w:r>
    </w:p>
    <w:p>
      <w:pPr>
        <w:pStyle w:val="Heading2"/>
      </w:pPr>
      <w:bookmarkStart w:id="2122" w:name="NAATOC_0557"/>
      <w:bookmarkStart w:id="1557" w:name="toc_Article_M_6___One_to_One_and_S"/>
      <w:r>
        <w:t>Article M.6 - One-to-One and Statistical Successor Continuity</w:t>
      </w:r>
      <w:bookmarkEnd w:id="1557"/>
      <w:bookmarkEnd w:id="2122"/>
    </w:p>
    <w:p>
      <w:pPr/>
      <w:r>
        <w:t>M.6.1 Where a one-to-one nomenclature succession preserves product identity under the controlling nomenclature and product-scope evidence, the existing ProductRecordID continues and the successor classification is recorded as the current classification attribute for the applicable period. Verification Status remains a separate axis, so pending verification of the concordance record does not by itself create a new ProductRecordID or interrupt an identity continuity otherwise established by the controlling evidence. Any tariff, transition, managed-access, synchronization, completion, or origin consequence is determined by its controlling Annex over the corresponding product scope. One-to-one correspondence therefore supports continuity but does not itself confer the substantive status being continued.</w:t>
      </w:r>
    </w:p>
    <w:p>
      <w:pPr/>
      <w:r>
        <w:t>M.6.2 A Statistical-Only Change does not create a new tariff treatment, coverage status, transition, sensitive designation, origin rule, vesting event, synchronization event, or completed state. It does not reset a transition clock, re-age a vested right, reopen Zero-Line Status, or alter an effective date merely because the reporting detail changes. A national statistical subdivision or NICO inherits no independent legal effect unless the controlling substantive rule expressly assigns effect at that level. Parent-line treatment remains distinct from statistical identity detail and is not inferred from the suffix alone.</w:t>
      </w:r>
    </w:p>
    <w:p>
      <w:pPr/>
      <w:r>
        <w:t>M.6.3 Where a successor statistical subdivision narrows reporting detail without changing the legal tariff-line scope, M records the subdivision as a successor attribute and preserves the underlying ProductRecordID relationship. Where the subdivision itself corresponds to a legally operative ex-out or product qualifier, M records that qualifier explicitly and routes the consequence to the controlling Annex rather than treating statistical form as the source of law. A statistical restructuring cannot expand coverage or contract an accrued right through data granularity alone. Any substantive scope change follows the authority capable of producing that change.</w:t>
      </w:r>
    </w:p>
    <w:p>
      <w:pPr/>
      <w:r>
        <w:t>M.6.4 One-to-one and statistical mappings remain subject to source and field verification even where the correspondence appears facially obvious. Pending verification does not authorize an administrator to invent a different tariff, preference, restriction, clock, or origin rule while the mapping is checked. The last valid controlled legal state remains available to the extent the controlling substantive provision preserves it, with any necessary product qualifier carried forward to identify the relevant scope. Verification confirms the mapping record and does not constitute the underlying right or obligation.</w:t>
      </w:r>
    </w:p>
    <w:p>
      <w:pPr>
        <w:pStyle w:val="Heading2"/>
      </w:pPr>
      <w:bookmarkStart w:id="2123" w:name="NAATOC_0558"/>
      <w:bookmarkStart w:id="1558" w:name="toc_Article_M_7___Splits__Mergers_"/>
      <w:r>
        <w:t>Article M.7 - Splits, Mergers, and Partial Correspondence</w:t>
      </w:r>
      <w:bookmarkEnd w:id="1558"/>
      <w:bookmarkEnd w:id="2123"/>
    </w:p>
    <w:p>
      <w:pPr/>
      <w:r>
        <w:t>M.7.1 Where one predecessor scope splits into multiple successors, each successor Mapping Component identifies the portion of predecessor merchandise that objectively corresponds to that successor. An exact or narrower successor preserves continuity only for that corresponding portion, while newly introduced or materially expanded successor merchandise receives no inherited legal state from the predecessor merely because it shares the successor code. An Ex-Out or equivalent controlled qualifier is used where the successor code alone cannot preserve the distinction. No wholesale inheritance is assigned across every branch of a split.</w:t>
      </w:r>
    </w:p>
    <w:p>
      <w:pPr/>
      <w:r>
        <w:t>M.7.2 Where multiple predecessor scopes merge into one successor classification, the merger does not homogenize different predecessor legal states. Each predecessor state remains associated with its objectively corresponding merchandise within the merged successor, using Ex-Outs or other controlled scope descriptors where needed. If one predecessor possessed a legal treatment and another did not, the successor classification does not extend that treatment to the non-entitled predecessor scope merely because the codes were consolidated. Numerical consolidation likewise does not extinguish an accrued treatment over merchandise that remains objectively identifiable.</w:t>
      </w:r>
    </w:p>
    <w:p>
      <w:pPr/>
      <w:r>
        <w:t>M.7.3 Partial correspondence preserves only the portion supported by objective evidence and does not use invented proportionality, convenience allocation, or cross-product offset to fill an evidentiary gap. An unresolved portion is recorded separately and does not contaminate a verified component of the same split, merger, or mixed mapping. Where objective measurement can isolate corresponding scope, the record identifies the measurement basis, source, and reproducible method. Where it cannot, M records the uncertainty rather than manufacturing precision.</w:t>
      </w:r>
    </w:p>
    <w:p>
      <w:pPr/>
      <w:r>
        <w:t>M.7.4 Every split, merger, many-to-many, and materially mixed mapping includes a predecessor ancestry map, successor scope map, scope-continuity statement, and component-level verification record before controlled promotion. The review tests for silent expansion, silent contraction, double counting, cross-component offset, and migration of legal state to newly introduced merchandise. A mapping that cannot pass those tests remains provisional, disputed, or unresolved as appropriate. The review does not decide the substantive legal consequence that the controlling Annex reserves to itself.</w:t>
      </w:r>
    </w:p>
    <w:p>
      <w:pPr>
        <w:pStyle w:val="Heading2"/>
      </w:pPr>
      <w:bookmarkStart w:id="2124" w:name="NAATOC_0559"/>
      <w:bookmarkStart w:id="1559" w:name="toc_Article_M_8___Product_Identity"/>
      <w:r>
        <w:t>Article M.8 - Product Identity and Cross-Annex Legal-State Continuity</w:t>
      </w:r>
      <w:bookmarkEnd w:id="1559"/>
      <w:bookmarkEnd w:id="2124"/>
    </w:p>
    <w:p>
      <w:pPr/>
      <w:r>
        <w:t>M.8.1 M links controlled correspondence evidence to Annex A for product identity and coverage administration without making an independent coverage determination. Annex A determines the operative coverage state under its own rules, while M preserves the classification ancestry and scope correspondence needed to maintain that record through nomenclature change. Pending, disputed, delayed, or omitted M recording does not by itself suspend or extinguish a coverage state established by the controlling legal source, and a new or disappearing code likewise creates no coverage consequence by itself. Where identity continuity cannot be established, M records the break rather than assigning coverage by analogy.</w:t>
      </w:r>
    </w:p>
    <w:p>
      <w:pPr/>
      <w:r>
        <w:t>M.8.2 M links corresponding scope to Annex B for tariff-state continuity and to Annex C for sensitive-sector transition ancestry without copying either status into the successor record. A mapping does not turn a zero tariff into Zero-Line Status, establish a new baseline, create a sensitive designation, extend a transition ceiling, or restart a transition clock. Within-access and over-access treatment remain associated with their respective corresponding scopes where the controlling schedule distinguishes them. Any change to those substantive states requires the authority and procedure governing the relevant Annex.</w:t>
      </w:r>
    </w:p>
    <w:p>
      <w:pPr/>
      <w:r>
        <w:t>M.8.3 M links corresponding scope to Annex D for managed-access and vesting ancestry and to Annex E for synchronization and activation ancestry. A vesting tranche, residual Managed-Access Field, activation event, deferred activation state, or synchronized consequence does not migrate to newly introduced or materially expanded merchandise through mapping. Nomenclature succession does not re-age vesting, regenerate displaced managed access, reset an original commencement date, or reopen an activation determination. The controlling Annex decides continuity over the scope that M has objectively mapped.</w:t>
      </w:r>
    </w:p>
    <w:p>
      <w:pPr/>
      <w:r>
        <w:t>M.8.4 M links corresponding scope to Annex F for completed-state continuity and records the ancestry needed for a completed legal state to remain traceable after classification change. Zero-Line Status, a Vested Market-Access Right, and a Completed Liberalization Milestone continue only over the legally corresponding scope to the extent Annex F or another controlling provision preserves that state, while M records and verifies the correspondence without constituting the right. Expanded successor scope, newly introduced merchandise, adjacent codes, product families, and commercial similarity do not bootstrap completed treatment, and absence, delay, or provisional status of an M record does not by itself extinguish completed treatment otherwise established by the controlling legal source. A temporary overlay, dispute, correction, or publication delay remains separate from the underlying completed state and does not acquire different effect merely because a concordance occurs.</w:t>
      </w:r>
    </w:p>
    <w:p>
      <w:pPr>
        <w:pStyle w:val="Heading2"/>
      </w:pPr>
      <w:bookmarkStart w:id="2125" w:name="NAATOC_0560"/>
      <w:bookmarkStart w:id="1560" w:name="toc_Article_M_9___Origin_Rule_and_"/>
      <w:r>
        <w:t>Article M.9 - Origin-Rule and Product-Specific Rule Continuity</w:t>
      </w:r>
      <w:bookmarkEnd w:id="1560"/>
      <w:bookmarkEnd w:id="2125"/>
    </w:p>
    <w:p>
      <w:pPr/>
      <w:r>
        <w:t>M.9.1 M links corresponding scope to Annex G and Chapter 10 so that the applicable product-specific origin-rule ancestry remains traceable through nomenclature succession. Classification identifies the rule record potentially applicable to the mapped merchandise, but M does not create, rewrite, expand, contract, or select an origin pathway. An origin rule follows successor scope only to the extent the controlling origin architecture assigns that rule to the objectively corresponding merchandise. Newly introduced or materially expanded successor merchandise receives no origin rule by inheritance from a predecessor code alone.</w:t>
      </w:r>
    </w:p>
    <w:p>
      <w:pPr/>
      <w:r>
        <w:t>M.9.2 A concordance does not reset an RVC threshold, maximum non-originating-content ceiling, tariff-shift requirement, specific-process requirement, structured hybrid rule, effective date, or locked rule version. Statistical suffixes, NICO detail, Ex-Outs, adjacent codes, and product-family relationships do not independently migrate an origin rule unless the substantive rule expressly operates at that level. Where a split or merger requires different origin treatment for different successor components, M preserves the component mapping needed for Annex G to maintain that distinction. M does not resolve whether particular merchandise satisfies the origin rule.</w:t>
      </w:r>
    </w:p>
    <w:p>
      <w:pPr/>
      <w:r>
        <w:t>M.9.3 A classification determination or reclassification affecting merchandise subject to an origin rule is recorded separately from a nomenclature succession and routed to the competent origin and classification processes. The existence of an Annex G record does not prove correspondence, and a verified M mapping does not prove origin qualification. Verification of origin remains governed by the Chapters assigned that function and is not replaced by concordance verification. A correction to the mapping cannot be used to make a substantive origin amendment through technical maintenance.</w:t>
      </w:r>
    </w:p>
    <w:p>
      <w:pPr/>
      <w:r>
        <w:t>M.9.4 Where an origin-rule reference becomes obsolete solely because the nomenclature changed, a bounded technical update may maintain the reference only if the substantive origin test and product scope remain unchanged. The update identifies the predecessor reference, successor reference, mapping evidence, affected rule version, and authority for technical maintenance. If the proposed change alters eligibility, scope, threshold, process, evidentiary burden, or another substantive legal effect, it does not qualify as concordance maintenance. Formal substantive change proceeds through the authority applicable under Article 30.19 and the relevant substantive provisions.</w:t>
      </w:r>
    </w:p>
    <w:p>
      <w:pPr>
        <w:pStyle w:val="Heading2"/>
      </w:pPr>
      <w:bookmarkStart w:id="2126" w:name="NAATOC_0561"/>
      <w:bookmarkStart w:id="1561" w:name="toc_Article_M_10___Verification__A"/>
      <w:r>
        <w:t>Article M.10 - Verification, Ambiguity, and Dispute Routing</w:t>
      </w:r>
      <w:bookmarkEnd w:id="1561"/>
      <w:bookmarkEnd w:id="2126"/>
    </w:p>
    <w:p>
      <w:pPr/>
      <w:r>
        <w:t>M.10.1 Concordance verification uses the Chapter 3 field-level provenance and verification architecture, with derived record status calculated only from the controlled component states required for the mapping. Each material field identifies its source, source date, retrieval date, verifier, verification state, and any dispute or limitation affecting reliance. Pending technical verification remains visibly labeled and does not itself authorize a higher tariff, lower tariff, broader coverage, narrower coverage, new origin rule, clock reset, re-aged vesting, or reopened completed state. Verification confirms evidence and correspondence; it does not constitute substantive treatment.</w:t>
      </w:r>
    </w:p>
    <w:p>
      <w:pPr/>
      <w:r>
        <w:t>M.10.2 An ambiguous or unresolved mapping receives no inferred, default, favorable, adverse, or convenience value and is routed to the competent technical process. A technical review may examine nomenclature evidence, scope descriptors, concordance methodology, and source conflicts but does not decide breach, remedy, or a substantive right merely because those issues depend on the resulting mapping. A disputed mapping remains isolated to the affected Mapping Component and does not contaminate unrelated records or suspend unrelated treatment. The last valid controlled state remains identifiable while the competent process resolves the issue under the applicable Chapter.</w:t>
      </w:r>
    </w:p>
    <w:p>
      <w:pPr/>
      <w:r>
        <w:t>M.10.3 A dispute over classification, legal scope, substantive treatment, or amendment authority is not converted into a concordance dispute to obtain a narrower technical forum. M records the disputed relationship and routes the issue according to the function actually contested, including the cure and dispute mechanisms assigned by Chapters 25 and 26 where their jurisdiction applies. No Party or administrator uses M as self-help authority to impose an unverified successor treatment pending resolution. A decision produced outside M is incorporated into the concordance record only to the extent needed to maintain accurate ancestry and mapping.</w:t>
      </w:r>
    </w:p>
    <w:p>
      <w:pPr/>
      <w:r>
        <w:t>M.10.4 Circular corroboration is prohibited, so an M record cannot verify itself through a downstream Annex record whose only source for the disputed correspondence is that same M record. Independent evidence supporting the mapping remains traceable to the competent nomenclature, classification, or negotiated source. A technical finding is recorded as technical and does not become a legal finding through registry language or repeated administrative use. Where evidence remains insufficient, unresolved status is the required result rather than evidentiary upgrade by institutional practice.</w:t>
      </w:r>
    </w:p>
    <w:p>
      <w:pPr>
        <w:pStyle w:val="Heading2"/>
      </w:pPr>
      <w:bookmarkStart w:id="2127" w:name="NAATOC_0562"/>
      <w:bookmarkStart w:id="1562" w:name="toc_Article_M_11___Corrections__Ve"/>
      <w:r>
        <w:t>Article M.11 - Corrections, Versioning, and Anti-Bootstrap Controls</w:t>
      </w:r>
      <w:bookmarkEnd w:id="1562"/>
      <w:bookmarkEnd w:id="2127"/>
    </w:p>
    <w:p>
      <w:pPr/>
      <w:r>
        <w:t>M.11.1 A metadata update, clerical correction, technical correction, technical amendment, and substantive amendment remain distinct change classes under Chapters 3 and 29 and Article 30.19. A correction record identifies the prior value, corrected value, reason, authority, effective date, affected Mapping Components, downstream dependencies, propagation state, verification state, and dispute history. Technical maintenance cannot alter legal scope, treatment, eligibility, evidentiary burden, material clock, or another substantive effect. A change that does so follows the authority capable of substantive amendment rather than being relabeled as concordance maintenance.</w:t>
      </w:r>
    </w:p>
    <w:p>
      <w:pPr/>
      <w:r>
        <w:t>M.11.2 No mapping obtains legal effect from an adjacent code, related product, product family, commercial or economic similarity, packaging similarity, end-use similarity, statistical proximity, historical practice, administrative convenience, silence, non-objection, or institutional custom. No automated mapping, API response, dashboard display, status code, validation rule, schema field, form field, database default, legacy system, data migration, or agency reorganization creates correspondence or inheritance. Such material may assist administration or identify candidates only within its actual evidentiary competence. Controlled promotion requires the evidence and verification applicable to the mapping itself.</w:t>
      </w:r>
    </w:p>
    <w:p>
      <w:pPr/>
      <w:r>
        <w:t>M.11.3 No Registry entry, publication, verification act, technical finding, external decision, or repeated implementation creates a substantive right, amendment, cure, remedy, waiver, estoppel, or precedent through M. Registry omission likewise does not extinguish a legally effective state, and a stale entry does not override the controlling source. A superseded mapping remains retrievable and does not silently disappear when a corrected version becomes current. Correction history is append-only so a reviewer can reconstruct the legal and technical state that existed at each relevant time.</w:t>
      </w:r>
    </w:p>
    <w:p>
      <w:pPr/>
      <w:r>
        <w:t>M.11.4 M does not aggregate individually limited mapping, technical-maintenance, registry, verification, or administrative powers to accomplish a substantive result unavailable to any of them. Splitting a substantive change among several Mapping Components, actors, systems, dates, or labels does not convert it into technical concordance. No cross-product offset, cross-sector offset, tolerance banking, or double counting cures a missing correspondence. Existing substantive treatment changes only through the legal authority assigned to that treatment, not through the mechanics of maintaining its classification ancestry.</w:t>
      </w:r>
    </w:p>
    <w:p>
      <w:pPr>
        <w:pStyle w:val="Heading2"/>
      </w:pPr>
      <w:bookmarkStart w:id="2128" w:name="NAATOC_0563"/>
      <w:bookmarkStart w:id="1563" w:name="toc_Article_M_12___Publication__Hi"/>
      <w:r>
        <w:t>Article M.12 - Publication, Historical Ancestry, and Successor Maintenance</w:t>
      </w:r>
      <w:bookmarkEnd w:id="1563"/>
      <w:bookmarkEnd w:id="2128"/>
    </w:p>
    <w:p>
      <w:pPr/>
      <w:r>
        <w:t>M.12.1 The Register is published in human-readable and machine-readable forms using stable identifiers, a controlled schema, dataset version, schema version, effective date, publication date, source manifest, and change history. Publication preserves prior HS editions, national tariff editions, mappings, Ex-Outs, statistical subdivisions, NICO details, ProductRecordIDs, successor relationships, verification states, dispute states, corrections, and cross-Annex interface references needed for historical reconstruction. A technical failure in one publication format does not alter the controlled legal or mapping state. Chapter 22 governs registry administration and access within its assigned functions.</w:t>
      </w:r>
    </w:p>
    <w:p>
      <w:pPr/>
      <w:r>
        <w:t>M.12.2 Public and protected layers distinguish information that may be disclosed from confidential business information, personal information, security-sensitive information, and privileged material. Protection of restricted information does not conceal the operative legal status, legal basis, effective date, review route, correction history, or dispute status to the extent public availability of those elements is required for the Compact to function. A protected source may be represented through a reproducible authority reference and controlled verification record where disclosure of the underlying material is lawfully restricted. Confidentiality classification does not become a substitute for substantive authority or verification.</w:t>
      </w:r>
    </w:p>
    <w:p>
      <w:pPr/>
      <w:r>
        <w:t>M.12.3 Successor maintenance preserves the complete ancestry chain across repeated nomenclature generations rather than flattening all history into the newest code. Each new Concordance Event links to the immediately preceding controlled state and retains sufficient earlier ancestry to reconstruct the path from the original ProductRecordID and legal-state references. Superseded means replaced for current mapping purposes and does not mean extinguished, invalidated, or stripped of historical relevance. A later successor therefore cannot bootstrap broader treatment from an earlier ancestor whose legally corresponding scope was narrower.</w:t>
      </w:r>
    </w:p>
    <w:p>
      <w:pPr/>
      <w:r>
        <w:t>M.12.4 The final maintenance rule for Annex M is that correspondence is descriptive of controlled product continuity and never constitutive of the substantive bargain. M may establish what predecessor scope corresponds to what successor scope and preserve the evidence needed to reproduce that conclusion. M may not decide what that correspondence is worth under Annexes A through G or any substantive Chapter. Where a proposed use of M would do more than those functions permit, the proposed action remains outside Annex M and follows the competent legal route.</w:t>
      </w:r>
    </w:p>
    <w:p>
      <w:pPr>
        <w:pStyle w:val="Heading2"/>
      </w:pPr>
      <w:bookmarkStart w:id="2129" w:name="NAATOC_0564"/>
      <w:bookmarkStart w:id="1564" w:name="toc_Annex_M_HS_Concordance_and_Suc"/>
      <w:r>
        <w:t>Annex M HS Concordance and Successor-Record Register - Controlled Schema</w:t>
      </w:r>
      <w:bookmarkEnd w:id="1564"/>
      <w:bookmarkEnd w:id="2129"/>
    </w:p>
    <w:tbl>
      <w:tblPr>
        <w:tblStyle w:val="TableGrid"/>
        <w:tblW w:type="dxa" w:w="9994"/>
        <w:tblLayout w:type="fixed"/>
        <w:tblLook w:firstColumn="1" w:firstRow="1" w:lastColumn="0" w:lastRow="0" w:noHBand="0" w:noVBand="1" w:val="04A0"/>
      </w:tblPr>
      <w:tblGrid>
        <w:gridCol w:w="2498"/>
        <w:gridCol w:w="2498"/>
        <w:gridCol w:w="2498"/>
        <w:gridCol w:w="2500"/>
      </w:tblGrid>
      <w:tr>
        <w:tc>
          <w:tcPr>
            <w:tcW w:type="dxa" w:w="2498"/>
          </w:tcPr>
          <w:p>
            <w:pPr>
              <w:spacing w:before="20" w:after="20"/>
            </w:pPr>
            <w:r>
              <w:rPr>
                <w:sz w:val="16"/>
                <w:szCs w:val="16"/>
              </w:rPr>
              <w:t>Field</w:t>
            </w:r>
          </w:p>
        </w:tc>
        <w:tc>
          <w:tcPr>
            <w:tcW w:type="dxa" w:w="2498"/>
          </w:tcPr>
          <w:p>
            <w:pPr>
              <w:spacing w:before="20" w:after="20"/>
            </w:pPr>
            <w:r>
              <w:rPr>
                <w:sz w:val="16"/>
                <w:szCs w:val="16"/>
              </w:rPr>
              <w:t>Requirement</w:t>
            </w:r>
          </w:p>
        </w:tc>
        <w:tc>
          <w:tcPr>
            <w:tcW w:type="dxa" w:w="2498"/>
          </w:tcPr>
          <w:p>
            <w:pPr>
              <w:spacing w:before="20" w:after="20"/>
            </w:pPr>
            <w:r>
              <w:rPr>
                <w:sz w:val="16"/>
                <w:szCs w:val="16"/>
              </w:rPr>
              <w:t>Controlled function</w:t>
            </w:r>
          </w:p>
        </w:tc>
        <w:tc>
          <w:tcPr>
            <w:tcW w:type="dxa" w:w="2500"/>
          </w:tcPr>
          <w:p>
            <w:pPr>
              <w:spacing w:before="20" w:after="20"/>
            </w:pPr>
            <w:r>
              <w:rPr>
                <w:sz w:val="16"/>
                <w:szCs w:val="16"/>
              </w:rPr>
              <w:t>Authority boundary</w:t>
            </w:r>
          </w:p>
        </w:tc>
        <w:trPr>
          <w:tblHeader/>
        </w:trPr>
      </w:tr>
      <w:tr>
        <w:tc>
          <w:tcPr>
            <w:tcW w:type="dxa" w:w="2498"/>
          </w:tcPr>
          <w:p>
            <w:pPr>
              <w:spacing w:before="20" w:after="20"/>
            </w:pPr>
            <w:r>
              <w:rPr>
                <w:sz w:val="16"/>
                <w:szCs w:val="16"/>
              </w:rPr>
              <w:t>ConcordanceRecordID</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ConcordanceEventID</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MappingComponentID</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RecordVersionID</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ProductRecordID</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PredecessorProductRecordID</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SuccessorProductRecordID</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PartyCode</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HSPredecessorEdition</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HSSuccessorEdition</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NationalTariffPredecessorEdition</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NationalTariffSuccessorEdition</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PredecessorTariffCode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SuccessorTariffCode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PredecessorStatisticalSuffix</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SuccessorStatisticalSuffix</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PredecessorNICO</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SuccessorNICO</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PredecessorScopeDescriptor</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SuccessorScopeDescriptor</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ExOutDescriptor</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MappingType</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CorrespondenceStatus</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ScopeCondition</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MappingStatus</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ScopeContinuityStatus</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FieldVerificationStatus</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DerivedRecordVerificationStatus</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DisputeStatus</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AdministrativeLifecycleStatus</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ConcordanceEventType</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ValidFrom</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ValidTo</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SourceAuthority</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SourceTitle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SourceCitation</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SourcePublicationDate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SourceEffectiveDate</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SourceRetrievalDate</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SourceLimitation</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VerifierIdentity</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VerificationDate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VerificationMethodReference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PredecessorAncestryReference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SuccessorAncestryReference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IdentityContinuityBasis</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NewProductRecordBasis</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MappingEvidenceReference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MeasurementBasis</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CorrespondingScopeStatement</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NewlyIntroducedMerchandiseFlag</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MaterialExpansionFlag</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MaterialNarrowingFlag</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UnresolvedScopeStatement</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AnnexAInterfaceReference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AnnexBInterfaceReference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AnnexCInterfaceReference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AnnexDInterfaceReference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AnnexEInterfaceReference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AnnexFInterfaceReference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AnnexGInterfaceReference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Chapter3Reference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Chapter22RegistryReference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Chapter29TechnicalAuthorityReference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Article30_19AmendmentReference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TemporaryOverlayReference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CorrectionRecordReference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SupersededRecordReference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DownstreamDependencyReference</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PropagationStatus</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ChangeHistoryReference</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PublicationVersion</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SchemaVersion</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DatasetVersion</w:t>
            </w:r>
          </w:p>
        </w:tc>
        <w:tc>
          <w:tcPr>
            <w:tcW w:type="dxa" w:w="2498"/>
          </w:tcPr>
          <w:p>
            <w:pPr>
              <w:spacing w:before="20" w:after="20"/>
            </w:pPr>
            <w:r>
              <w:rPr>
                <w:sz w:val="16"/>
                <w:szCs w:val="16"/>
              </w:rPr>
              <w:t>Required</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r>
        <w:tc>
          <w:tcPr>
            <w:tcW w:type="dxa" w:w="2498"/>
          </w:tcPr>
          <w:p>
            <w:pPr>
              <w:spacing w:before="20" w:after="20"/>
            </w:pPr>
            <w:r>
              <w:rPr>
                <w:sz w:val="16"/>
                <w:szCs w:val="16"/>
              </w:rPr>
              <w:t>ConfidentialityStatus</w:t>
            </w:r>
          </w:p>
        </w:tc>
        <w:tc>
          <w:tcPr>
            <w:tcW w:type="dxa" w:w="2498"/>
          </w:tcPr>
          <w:p>
            <w:pPr>
              <w:spacing w:before="20" w:after="20"/>
            </w:pPr>
            <w:r>
              <w:rPr>
                <w:sz w:val="16"/>
                <w:szCs w:val="16"/>
              </w:rPr>
              <w:t>Required where applicable</w:t>
            </w:r>
          </w:p>
        </w:tc>
        <w:tc>
          <w:tcPr>
            <w:tcW w:type="dxa" w:w="2498"/>
          </w:tcPr>
          <w:p>
            <w:pPr>
              <w:spacing w:before="20" w:after="20"/>
            </w:pPr>
            <w:r>
              <w:rPr>
                <w:sz w:val="16"/>
                <w:szCs w:val="16"/>
              </w:rPr>
              <w:t>Controlled field supporting Annex M mapping, provenance, continuity, verification, or interface traceability.</w:t>
            </w:r>
          </w:p>
        </w:tc>
        <w:tc>
          <w:tcPr>
            <w:tcW w:type="dxa" w:w="2500"/>
          </w:tcPr>
          <w:p>
            <w:pPr>
              <w:spacing w:before="20" w:after="20"/>
            </w:pPr>
            <w:r>
              <w:rPr>
                <w:sz w:val="16"/>
                <w:szCs w:val="16"/>
              </w:rPr>
              <w:t>Does not independently create classification, coverage, treatment, origin, vesting, completion, remedy, or amendment authority.</w:t>
            </w:r>
          </w:p>
        </w:tc>
      </w:tr>
    </w:tbl>
    <w:p>
      <w:pPr/>
      <w:r>
        <w:t xml:space="preserve">The controlled schema contains seventy-five fields and keeps mapping, correspondence, scope continuity, verification, dispute, and administrative lifecycle states separate. Current national-record identity mapping is reconciled to the controlled Annex A/B baseline, while future or historical successor events remain populated only from authoritative nomenclature-change evidence.</w:t>
      </w:r>
    </w:p>
    <w:p>
      <w:pPr>
        <w:pStyle w:val="Heading1"/>
      </w:pPr>
      <w:r>
        <w:t xml:space="preserve">Implementation Status and Remaining Controlled Data Work</w:t>
      </w:r>
    </w:p>
    <w:p>
      <w:r>
        <w:t>The treaty body and the operative functional annex set, including Annexes A, B, C, D, E, F, G, I, K, and M, contain legal architecture sufficient to receive controlled national tariff, transition, vesting, synchronization, completed-state, origin-rule, regulatory-friction, safeguard-parameter, and concordance records within their assigned functions. The forge deliberately leaves unresolved factual or negotiated values unresolved where the controlling source or adoption act is incomplete. Annex identity, verification, and routing fields do not convert a research value into a legal value by repetition. This preserves the Compact's anti-laundering rule for data while allowing later authenticated decisions to populate the existing architecture.</w:t>
      </w:r>
    </w:p>
    <w:p>
      <w:r>
        <w:t>The controlled source-population baseline contains 963 stable Product Record IDs and 6,505 national mappings, comprising 3,646 United States, 1,427 Mexican, and 1,432 Canadian records. The United States population is based on HTS 2026 Revision 19, the Mexican population incorporates the supplied LIGIE/NICO sources and the April 2026 amendment correction layer used in the controlled population process, and the Canadian population incorporates T2026-2 effective 1 September 2026. The reconciliation layer records representation from all three Parties for all 963 Product Record ID families while preserving national legal identities and split/merge relationships. These technical results do not decide Compact coverage, the Baseline Date, sensitive designation, managed-access treatment, synchronization, completion, or product-specific origin rules.</w:t>
      </w:r>
    </w:p>
    <w:p>
      <w:r>
        <w:t>Before governmental adoption, the Parties or their designated authorities adopt the controlling Agricultural Universe and applicable coverage determinations, select any required Baseline Date, authenticate negotiated product-specific schedules, and complete governmental legal review and domestic approval processes. The internal whole-annex reconciliation, whole-instrument regression QA, and final adversarial validation reflected in this release candidate do not substitute for those governmental functions. No remaining data task authorizes unilateral expansion of the substantive bargain. An unresolved coverage question receives the applicable Chapter 3 Coverage Status, while an unresolved field receives the applicable field-level Verification Status; the controlled record preserves the reason for the unresolved state, the responsible function, the next legally required step, and the authority for any later change.</w:t>
      </w:r>
    </w:p>
    <w:p>
      <w:pPr>
        <w:pStyle w:val="Heading1"/>
      </w:pPr>
      <w:r>
        <w:t xml:space="preserve">NAAFTC Completion Forge Control Note</w:t>
      </w:r>
    </w:p>
    <w:p>
      <w:pPr/>
      <w:r>
        <w:t>This completion forge preserves the existing thirty-chapter treaty body and adds operative controlled architectures for Annexes C, D, E, F, G, and M. It does not invent unresolved tariff values, coverage decisions, baseline dates, sensitive-sector designations, synchronization sets, vesting quantities, or product-specific origin thresholds. Those values enter legal effect only through the controlled promotion gates established by the Compact and the machine-readable companion schedules.</w:t>
      </w:r>
    </w:p>
    <w:p>
      <w:pPr/>
      <w:r>
        <w:t>The controlled companion data package now uses Annex A/B v2.1 as the current identity and tariff-record baseline. It contains 963 stable Product Record IDs linked to 6,505 national records: 3,646 United States records, 1,427 Mexican records, and 1,432 Canadian records. All 963 Product Record ID families have current-source representation from the United States, Mexico, and Canada at the reconciliation layer. These source and identity results do not themselves assign Covered status, a Baseline Date, a negotiated transition, managed-access treatment, synchronization, completion, or a product-specific origin rule.</w:t>
      </w:r>
    </w:p>
    <w:p>
      <w:pPr/>
      <w:r>
        <w:t>The United States source population is based on HTS 2026 Revision 19, the Mexican source population incorporates the supplied LIGIE/NICO material together with the April 2026 amendment layer used in the controlled source-correction pass, and the Canadian source population incorporates T2026-2 effective 1 September 2026. Record-level QA resolved the identified source-population gaps and quarantined parser false positives rather than promoting them. Source-supported tariff fields remain distinct from Compact-created negotiated values, and a national tariff record does not become a NAAFTC legal concession merely because it is present in the data package. The controlled workbooks preserve source version, verification state, correction history, and unresolved legal-promotion gates.</w:t>
      </w:r>
    </w:p>
    <w:p>
      <w:pPr/>
      <w:r>
        <w:t>This document is therefore a full legal-architecture forge candidate with a reconciled source-population baseline and completed internal whole-annex and whole-instrument regression passes, rather than a claim that every Compact policy choice has already been negotiated or adopted. Remaining work is concentrated in the controlling Agricultural Universe and coverage decisions, authenticated product-specific negotiated schedules where required, governmental legal review, and release-candidate finalization. The negotiator decision-and-adoption package separates those substantive choices from mechanically derivable downstream states. No remaining data task authorizes invention of a negotiated value or unilateral expansion of the substantive bargain.</w:t>
      </w:r>
    </w:p>
    <w:p>
      <w:pPr>
        <w:pStyle w:val="Heading1"/>
        <w:jc w:val="center"/>
      </w:pPr>
      <w:r>
        <w:t xml:space="preserve">Annex A-B Authoritative-Source Population Pilot - Historical Validation Record</w:t>
      </w:r>
    </w:p>
    <w:p>
      <w:pPr>
        <w:pStyle w:val="Heading3"/>
      </w:pPr>
      <w:r>
        <w:t>Historical pilot status and legal-use limitation</w:t>
      </w:r>
    </w:p>
    <w:p>
      <w:r>
        <w:t>This sixty-record population was an early architecture-validation exercise dated 16 September 2026 and is retained solely as historical provenance for the Annex A product-identity and Annex B tariff-state design. It does not constitute the current controlled population baseline and does not assign the Compact's Baseline Date, staging category, final-zero date, sensitive-sector status, vesting date, synchronization condition, coverage determination, or product-specific origin rule. The current controlled source-population state is recorded in the later Annex A/B v2.1 baseline and associated reconciliation workbooks. Any conflict between this historical pilot and a later controlled source record is resolved in favor of the later verified record without erasing the pilot's audit history.</w:t>
      </w:r>
    </w:p>
    <w:p>
      <w:pPr>
        <w:sectPr>
          <w:headerReference w:type="default" r:id="rId9"/>
          <w:footerReference w:type="default" r:id="rId10"/>
          <w:type w:val="nextPage"/>
          <w:pgSz w:w="12240" w:h="15840"/>
          <w:pgMar w:top="1037" w:right="1123" w:bottom="979" w:left="1123" w:header="720" w:footer="720" w:gutter="0"/>
          <w:pgNumType w:start="1"/>
          <w:cols w:space="720"/>
          <w:docGrid w:linePitch="360"/>
        </w:sectPr>
      </w:pPr>
      <w:r>
        <w:t>Source hierarchy used in this pilot: (1) current CBSA Customs Tariff T2026-2; (2) current USITC HTS 2026 Revision 19 and its Chapter 98 routing; (3) Mexico DOF TIGIE/LIGIE and official modification or quota instruments; and (4) official CUSMA/T-MEC schedules as treaty-level cross-checks where the applicable provision is identified. National codes remain Party-specific and do not replace the Annex A Product Record ID.</w:t>
      </w:r>
    </w:p>
    <w:p>
      <w:pPr>
        <w:pStyle w:val="Heading3"/>
      </w:pPr>
      <w:r>
        <w:t>Pilot Population A: Canada - 20 records</w:t>
      </w:r>
    </w:p>
    <w:tbl>
      <w:tblPr>
        <w:tblStyle w:val="TableGrid"/>
        <w:tblW w:type="dxa" w:w="14256"/>
        <w:jc w:val="center"/>
        <w:tblLayout w:type="fixed"/>
        <w:tblLook w:firstColumn="1" w:firstRow="1" w:lastColumn="0" w:lastRow="0" w:noHBand="0" w:noVBand="1" w:val="04A0"/>
      </w:tblPr>
      <w:tblGrid>
        <w:gridCol w:w="1296"/>
        <w:gridCol w:w="1296"/>
        <w:gridCol w:w="1296"/>
        <w:gridCol w:w="1296"/>
        <w:gridCol w:w="1296"/>
        <w:gridCol w:w="1296"/>
        <w:gridCol w:w="1296"/>
        <w:gridCol w:w="1296"/>
        <w:gridCol w:w="1296"/>
        <w:gridCol w:w="1296"/>
        <w:gridCol w:w="1296"/>
      </w:tblGrid>
      <w:tr>
        <w:tc>
          <w:tcPr>
            <w:tcW w:type="dxa" w:w="1296"/>
            <w:vAlign w:val="center"/>
          </w:tcPr>
          <w:p>
            <w:pPr>
              <w:spacing w:before="20" w:after="20"/>
            </w:pPr>
            <w:r>
              <w:rPr>
                <w:b/>
                <w:sz w:val="16"/>
                <w:szCs w:val="16"/>
              </w:rPr>
              <w:t>Pilot ID</w:t>
            </w:r>
          </w:p>
        </w:tc>
        <w:tc>
          <w:tcPr>
            <w:tcW w:type="dxa" w:w="1296"/>
            <w:vAlign w:val="center"/>
          </w:tcPr>
          <w:p>
            <w:pPr>
              <w:spacing w:before="20" w:after="20"/>
            </w:pPr>
            <w:r>
              <w:rPr>
                <w:b/>
                <w:sz w:val="16"/>
                <w:szCs w:val="16"/>
              </w:rPr>
              <w:t>Party</w:t>
            </w:r>
          </w:p>
        </w:tc>
        <w:tc>
          <w:tcPr>
            <w:tcW w:type="dxa" w:w="1296"/>
            <w:vAlign w:val="center"/>
          </w:tcPr>
          <w:p>
            <w:pPr>
              <w:spacing w:before="20" w:after="20"/>
            </w:pPr>
            <w:r>
              <w:rPr>
                <w:b/>
                <w:sz w:val="16"/>
                <w:szCs w:val="16"/>
              </w:rPr>
              <w:t>National code</w:t>
            </w:r>
          </w:p>
        </w:tc>
        <w:tc>
          <w:tcPr>
            <w:tcW w:type="dxa" w:w="1296"/>
            <w:vAlign w:val="center"/>
          </w:tcPr>
          <w:p>
            <w:pPr>
              <w:spacing w:before="20" w:after="20"/>
            </w:pPr>
            <w:r>
              <w:rPr>
                <w:b/>
                <w:sz w:val="16"/>
                <w:szCs w:val="16"/>
              </w:rPr>
              <w:t>Product / legal description</w:t>
            </w:r>
          </w:p>
        </w:tc>
        <w:tc>
          <w:tcPr>
            <w:tcW w:type="dxa" w:w="1296"/>
            <w:vAlign w:val="center"/>
          </w:tcPr>
          <w:p>
            <w:pPr>
              <w:spacing w:before="20" w:after="20"/>
            </w:pPr>
            <w:r>
              <w:rPr>
                <w:b/>
                <w:sz w:val="16"/>
                <w:szCs w:val="16"/>
              </w:rPr>
              <w:t>Unit</w:t>
            </w:r>
          </w:p>
        </w:tc>
        <w:tc>
          <w:tcPr>
            <w:tcW w:type="dxa" w:w="1296"/>
            <w:vAlign w:val="center"/>
          </w:tcPr>
          <w:p>
            <w:pPr>
              <w:spacing w:before="20" w:after="20"/>
            </w:pPr>
            <w:r>
              <w:rPr>
                <w:b/>
                <w:sz w:val="16"/>
                <w:szCs w:val="16"/>
              </w:rPr>
              <w:t>General / MFN tariff state</w:t>
            </w:r>
          </w:p>
        </w:tc>
        <w:tc>
          <w:tcPr>
            <w:tcW w:type="dxa" w:w="1296"/>
            <w:vAlign w:val="center"/>
          </w:tcPr>
          <w:p>
            <w:pPr>
              <w:spacing w:before="20" w:after="20"/>
            </w:pPr>
            <w:r>
              <w:rPr>
                <w:b/>
                <w:sz w:val="16"/>
                <w:szCs w:val="16"/>
              </w:rPr>
              <w:t>North American preferential state</w:t>
            </w:r>
          </w:p>
        </w:tc>
        <w:tc>
          <w:tcPr>
            <w:tcW w:type="dxa" w:w="1296"/>
            <w:vAlign w:val="center"/>
          </w:tcPr>
          <w:p>
            <w:pPr>
              <w:spacing w:before="20" w:after="20"/>
            </w:pPr>
            <w:r>
              <w:rPr>
                <w:b/>
                <w:sz w:val="16"/>
                <w:szCs w:val="16"/>
              </w:rPr>
              <w:t>Rate type / complexity</w:t>
            </w:r>
          </w:p>
        </w:tc>
        <w:tc>
          <w:tcPr>
            <w:tcW w:type="dxa" w:w="1296"/>
            <w:vAlign w:val="center"/>
          </w:tcPr>
          <w:p>
            <w:pPr>
              <w:spacing w:before="20" w:after="20"/>
            </w:pPr>
            <w:r>
              <w:rPr>
                <w:b/>
                <w:sz w:val="16"/>
                <w:szCs w:val="16"/>
              </w:rPr>
              <w:t>Official source / edition</w:t>
            </w:r>
          </w:p>
        </w:tc>
        <w:tc>
          <w:tcPr>
            <w:tcW w:type="dxa" w:w="1296"/>
            <w:vAlign w:val="center"/>
          </w:tcPr>
          <w:p>
            <w:pPr>
              <w:spacing w:before="20" w:after="20"/>
            </w:pPr>
            <w:r>
              <w:rPr>
                <w:b/>
                <w:sz w:val="16"/>
                <w:szCs w:val="16"/>
              </w:rPr>
              <w:t>Verification</w:t>
            </w:r>
          </w:p>
        </w:tc>
        <w:tc>
          <w:tcPr>
            <w:tcW w:type="dxa" w:w="1296"/>
            <w:vAlign w:val="center"/>
          </w:tcPr>
          <w:p>
            <w:pPr>
              <w:spacing w:before="20" w:after="20"/>
            </w:pPr>
            <w:r>
              <w:rPr>
                <w:b/>
                <w:sz w:val="16"/>
                <w:szCs w:val="16"/>
              </w:rPr>
              <w:t>Schema stress exposed</w:t>
            </w:r>
          </w:p>
        </w:tc>
        <w:trPr>
          <w:tblHeader/>
        </w:trPr>
      </w:tr>
      <w:tr>
        <w:tc>
          <w:tcPr>
            <w:tcW w:type="dxa" w:w="1296"/>
            <w:vAlign w:val="top"/>
          </w:tcPr>
          <w:p>
            <w:pPr>
              <w:spacing w:before="20" w:after="20"/>
            </w:pPr>
            <w:r>
              <w:rPr>
                <w:sz w:val="16"/>
                <w:szCs w:val="16"/>
              </w:rPr>
              <w:t>CA-001</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0401.10.10.00</w:t>
            </w:r>
          </w:p>
        </w:tc>
        <w:tc>
          <w:tcPr>
            <w:tcW w:type="dxa" w:w="1296"/>
            <w:vAlign w:val="top"/>
          </w:tcPr>
          <w:p>
            <w:pPr>
              <w:spacing w:before="20" w:after="20"/>
            </w:pPr>
            <w:r>
              <w:rPr>
                <w:sz w:val="16"/>
                <w:szCs w:val="16"/>
              </w:rPr>
              <w:t>Milk/cream &lt;=1% fat, within access</w:t>
            </w:r>
          </w:p>
        </w:tc>
        <w:tc>
          <w:tcPr>
            <w:tcW w:type="dxa" w:w="1296"/>
            <w:vAlign w:val="top"/>
          </w:tcPr>
          <w:p>
            <w:pPr>
              <w:spacing w:before="20" w:after="20"/>
            </w:pPr>
            <w:r>
              <w:rPr>
                <w:sz w:val="16"/>
                <w:szCs w:val="16"/>
              </w:rPr>
              <w:t>KGM</w:t>
            </w:r>
          </w:p>
        </w:tc>
        <w:tc>
          <w:tcPr>
            <w:tcW w:type="dxa" w:w="1296"/>
            <w:vAlign w:val="top"/>
          </w:tcPr>
          <w:p>
            <w:pPr>
              <w:spacing w:before="20" w:after="20"/>
            </w:pPr>
            <w:r>
              <w:rPr>
                <w:sz w:val="16"/>
                <w:szCs w:val="16"/>
              </w:rPr>
              <w:t>7.5%</w:t>
            </w:r>
          </w:p>
        </w:tc>
        <w:tc>
          <w:tcPr>
            <w:tcW w:type="dxa" w:w="1296"/>
            <w:vAlign w:val="top"/>
          </w:tcPr>
          <w:p>
            <w:pPr>
              <w:spacing w:before="20" w:after="20"/>
            </w:pPr>
            <w:r>
              <w:rPr>
                <w:sz w:val="16"/>
                <w:szCs w:val="16"/>
              </w:rPr>
              <w:t>UST Free</w:t>
            </w:r>
          </w:p>
        </w:tc>
        <w:tc>
          <w:tcPr>
            <w:tcW w:type="dxa" w:w="1296"/>
            <w:vAlign w:val="top"/>
          </w:tcPr>
          <w:p>
            <w:pPr>
              <w:spacing w:before="20" w:after="20"/>
            </w:pPr>
            <w:r>
              <w:rPr>
                <w:sz w:val="16"/>
                <w:szCs w:val="16"/>
              </w:rPr>
              <w:t>Ad valorem; within-access</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TRQ pair / preference separation</w:t>
            </w:r>
          </w:p>
        </w:tc>
      </w:tr>
      <w:tr>
        <w:tc>
          <w:tcPr>
            <w:tcW w:type="dxa" w:w="1296"/>
            <w:vAlign w:val="top"/>
          </w:tcPr>
          <w:p>
            <w:pPr>
              <w:spacing w:before="20" w:after="20"/>
            </w:pPr>
            <w:r>
              <w:rPr>
                <w:sz w:val="16"/>
                <w:szCs w:val="16"/>
              </w:rPr>
              <w:t>CA-002</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0401.10.20.00</w:t>
            </w:r>
          </w:p>
        </w:tc>
        <w:tc>
          <w:tcPr>
            <w:tcW w:type="dxa" w:w="1296"/>
            <w:vAlign w:val="top"/>
          </w:tcPr>
          <w:p>
            <w:pPr>
              <w:spacing w:before="20" w:after="20"/>
            </w:pPr>
            <w:r>
              <w:rPr>
                <w:sz w:val="16"/>
                <w:szCs w:val="16"/>
              </w:rPr>
              <w:t>Milk/cream &lt;=1% fat, over access</w:t>
            </w:r>
          </w:p>
        </w:tc>
        <w:tc>
          <w:tcPr>
            <w:tcW w:type="dxa" w:w="1296"/>
            <w:vAlign w:val="top"/>
          </w:tcPr>
          <w:p>
            <w:pPr>
              <w:spacing w:before="20" w:after="20"/>
            </w:pPr>
            <w:r>
              <w:rPr>
                <w:sz w:val="16"/>
                <w:szCs w:val="16"/>
              </w:rPr>
              <w:t>HLT</w:t>
            </w:r>
          </w:p>
        </w:tc>
        <w:tc>
          <w:tcPr>
            <w:tcW w:type="dxa" w:w="1296"/>
            <w:vAlign w:val="top"/>
          </w:tcPr>
          <w:p>
            <w:pPr>
              <w:spacing w:before="20" w:after="20"/>
            </w:pPr>
            <w:r>
              <w:rPr>
                <w:sz w:val="16"/>
                <w:szCs w:val="16"/>
              </w:rPr>
              <w:t>241% but not less than $34.50/hl</w:t>
            </w:r>
          </w:p>
        </w:tc>
        <w:tc>
          <w:tcPr>
            <w:tcW w:type="dxa" w:w="1296"/>
            <w:vAlign w:val="top"/>
          </w:tcPr>
          <w:p>
            <w:pPr>
              <w:spacing w:before="20" w:after="20"/>
            </w:pPr>
            <w:r>
              <w:rPr>
                <w:sz w:val="16"/>
                <w:szCs w:val="16"/>
              </w:rPr>
              <w:t>No UST/MXT rate displayed on line</w:t>
            </w:r>
          </w:p>
        </w:tc>
        <w:tc>
          <w:tcPr>
            <w:tcW w:type="dxa" w:w="1296"/>
            <w:vAlign w:val="top"/>
          </w:tcPr>
          <w:p>
            <w:pPr>
              <w:spacing w:before="20" w:after="20"/>
            </w:pPr>
            <w:r>
              <w:rPr>
                <w:sz w:val="16"/>
                <w:szCs w:val="16"/>
              </w:rPr>
              <w:t>Compound floor; over-access</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Compound rate + TRQ</w:t>
            </w:r>
          </w:p>
        </w:tc>
      </w:tr>
      <w:tr>
        <w:tc>
          <w:tcPr>
            <w:tcW w:type="dxa" w:w="1296"/>
            <w:vAlign w:val="top"/>
          </w:tcPr>
          <w:p>
            <w:pPr>
              <w:spacing w:before="20" w:after="20"/>
            </w:pPr>
            <w:r>
              <w:rPr>
                <w:sz w:val="16"/>
                <w:szCs w:val="16"/>
              </w:rPr>
              <w:t>CA-003</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0401.20.10.00</w:t>
            </w:r>
          </w:p>
        </w:tc>
        <w:tc>
          <w:tcPr>
            <w:tcW w:type="dxa" w:w="1296"/>
            <w:vAlign w:val="top"/>
          </w:tcPr>
          <w:p>
            <w:pPr>
              <w:spacing w:before="20" w:after="20"/>
            </w:pPr>
            <w:r>
              <w:rPr>
                <w:sz w:val="16"/>
                <w:szCs w:val="16"/>
              </w:rPr>
              <w:t>Milk/cream &gt;1% &lt;=6%, within access</w:t>
            </w:r>
          </w:p>
        </w:tc>
        <w:tc>
          <w:tcPr>
            <w:tcW w:type="dxa" w:w="1296"/>
            <w:vAlign w:val="top"/>
          </w:tcPr>
          <w:p>
            <w:pPr>
              <w:spacing w:before="20" w:after="20"/>
            </w:pPr>
            <w:r>
              <w:rPr>
                <w:sz w:val="16"/>
                <w:szCs w:val="16"/>
              </w:rPr>
              <w:t>KGM</w:t>
            </w:r>
          </w:p>
        </w:tc>
        <w:tc>
          <w:tcPr>
            <w:tcW w:type="dxa" w:w="1296"/>
            <w:vAlign w:val="top"/>
          </w:tcPr>
          <w:p>
            <w:pPr>
              <w:spacing w:before="20" w:after="20"/>
            </w:pPr>
            <w:r>
              <w:rPr>
                <w:sz w:val="16"/>
                <w:szCs w:val="16"/>
              </w:rPr>
              <w:t>7.5%</w:t>
            </w:r>
          </w:p>
        </w:tc>
        <w:tc>
          <w:tcPr>
            <w:tcW w:type="dxa" w:w="1296"/>
            <w:vAlign w:val="top"/>
          </w:tcPr>
          <w:p>
            <w:pPr>
              <w:spacing w:before="20" w:after="20"/>
            </w:pPr>
            <w:r>
              <w:rPr>
                <w:sz w:val="16"/>
                <w:szCs w:val="16"/>
              </w:rPr>
              <w:t>UST Free</w:t>
            </w:r>
          </w:p>
        </w:tc>
        <w:tc>
          <w:tcPr>
            <w:tcW w:type="dxa" w:w="1296"/>
            <w:vAlign w:val="top"/>
          </w:tcPr>
          <w:p>
            <w:pPr>
              <w:spacing w:before="20" w:after="20"/>
            </w:pPr>
            <w:r>
              <w:rPr>
                <w:sz w:val="16"/>
                <w:szCs w:val="16"/>
              </w:rPr>
              <w:t>Ad valorem; within-access</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Within-access identity</w:t>
            </w:r>
          </w:p>
        </w:tc>
      </w:tr>
      <w:tr>
        <w:tc>
          <w:tcPr>
            <w:tcW w:type="dxa" w:w="1296"/>
            <w:vAlign w:val="top"/>
          </w:tcPr>
          <w:p>
            <w:pPr>
              <w:spacing w:before="20" w:after="20"/>
            </w:pPr>
            <w:r>
              <w:rPr>
                <w:sz w:val="16"/>
                <w:szCs w:val="16"/>
              </w:rPr>
              <w:t>CA-004</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0401.20.20.00</w:t>
            </w:r>
          </w:p>
        </w:tc>
        <w:tc>
          <w:tcPr>
            <w:tcW w:type="dxa" w:w="1296"/>
            <w:vAlign w:val="top"/>
          </w:tcPr>
          <w:p>
            <w:pPr>
              <w:spacing w:before="20" w:after="20"/>
            </w:pPr>
            <w:r>
              <w:rPr>
                <w:sz w:val="16"/>
                <w:szCs w:val="16"/>
              </w:rPr>
              <w:t>Milk/cream &gt;1% &lt;=6%, over access</w:t>
            </w:r>
          </w:p>
        </w:tc>
        <w:tc>
          <w:tcPr>
            <w:tcW w:type="dxa" w:w="1296"/>
            <w:vAlign w:val="top"/>
          </w:tcPr>
          <w:p>
            <w:pPr>
              <w:spacing w:before="20" w:after="20"/>
            </w:pPr>
            <w:r>
              <w:rPr>
                <w:sz w:val="16"/>
                <w:szCs w:val="16"/>
              </w:rPr>
              <w:t>HLT</w:t>
            </w:r>
          </w:p>
        </w:tc>
        <w:tc>
          <w:tcPr>
            <w:tcW w:type="dxa" w:w="1296"/>
            <w:vAlign w:val="top"/>
          </w:tcPr>
          <w:p>
            <w:pPr>
              <w:spacing w:before="20" w:after="20"/>
            </w:pPr>
            <w:r>
              <w:rPr>
                <w:sz w:val="16"/>
                <w:szCs w:val="16"/>
              </w:rPr>
              <w:t>241% but not less than $34.50/hl</w:t>
            </w:r>
          </w:p>
        </w:tc>
        <w:tc>
          <w:tcPr>
            <w:tcW w:type="dxa" w:w="1296"/>
            <w:vAlign w:val="top"/>
          </w:tcPr>
          <w:p>
            <w:pPr>
              <w:spacing w:before="20" w:after="20"/>
            </w:pPr>
            <w:r>
              <w:rPr>
                <w:sz w:val="16"/>
                <w:szCs w:val="16"/>
              </w:rPr>
              <w:t>No UST/MXT rate displayed on line</w:t>
            </w:r>
          </w:p>
        </w:tc>
        <w:tc>
          <w:tcPr>
            <w:tcW w:type="dxa" w:w="1296"/>
            <w:vAlign w:val="top"/>
          </w:tcPr>
          <w:p>
            <w:pPr>
              <w:spacing w:before="20" w:after="20"/>
            </w:pPr>
            <w:r>
              <w:rPr>
                <w:sz w:val="16"/>
                <w:szCs w:val="16"/>
              </w:rPr>
              <w:t>Compound floor; over-access</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Unit differs from paired line</w:t>
            </w:r>
          </w:p>
        </w:tc>
      </w:tr>
      <w:tr>
        <w:tc>
          <w:tcPr>
            <w:tcW w:type="dxa" w:w="1296"/>
            <w:vAlign w:val="top"/>
          </w:tcPr>
          <w:p>
            <w:pPr>
              <w:spacing w:before="20" w:after="20"/>
            </w:pPr>
            <w:r>
              <w:rPr>
                <w:sz w:val="16"/>
                <w:szCs w:val="16"/>
              </w:rPr>
              <w:t>CA-005</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0401.40.10.00</w:t>
            </w:r>
          </w:p>
        </w:tc>
        <w:tc>
          <w:tcPr>
            <w:tcW w:type="dxa" w:w="1296"/>
            <w:vAlign w:val="top"/>
          </w:tcPr>
          <w:p>
            <w:pPr>
              <w:spacing w:before="20" w:after="20"/>
            </w:pPr>
            <w:r>
              <w:rPr>
                <w:sz w:val="16"/>
                <w:szCs w:val="16"/>
              </w:rPr>
              <w:t>Milk/cream &gt;6% &lt;=10%, within access</w:t>
            </w:r>
          </w:p>
        </w:tc>
        <w:tc>
          <w:tcPr>
            <w:tcW w:type="dxa" w:w="1296"/>
            <w:vAlign w:val="top"/>
          </w:tcPr>
          <w:p>
            <w:pPr>
              <w:spacing w:before="20" w:after="20"/>
            </w:pPr>
            <w:r>
              <w:rPr>
                <w:sz w:val="16"/>
                <w:szCs w:val="16"/>
              </w:rPr>
              <w:t>KGM</w:t>
            </w:r>
          </w:p>
        </w:tc>
        <w:tc>
          <w:tcPr>
            <w:tcW w:type="dxa" w:w="1296"/>
            <w:vAlign w:val="top"/>
          </w:tcPr>
          <w:p>
            <w:pPr>
              <w:spacing w:before="20" w:after="20"/>
            </w:pPr>
            <w:r>
              <w:rPr>
                <w:sz w:val="16"/>
                <w:szCs w:val="16"/>
              </w:rPr>
              <w:t>7.5%</w:t>
            </w:r>
          </w:p>
        </w:tc>
        <w:tc>
          <w:tcPr>
            <w:tcW w:type="dxa" w:w="1296"/>
            <w:vAlign w:val="top"/>
          </w:tcPr>
          <w:p>
            <w:pPr>
              <w:spacing w:before="20" w:after="20"/>
            </w:pPr>
            <w:r>
              <w:rPr>
                <w:sz w:val="16"/>
                <w:szCs w:val="16"/>
              </w:rPr>
              <w:t>UST Free</w:t>
            </w:r>
          </w:p>
        </w:tc>
        <w:tc>
          <w:tcPr>
            <w:tcW w:type="dxa" w:w="1296"/>
            <w:vAlign w:val="top"/>
          </w:tcPr>
          <w:p>
            <w:pPr>
              <w:spacing w:before="20" w:after="20"/>
            </w:pPr>
            <w:r>
              <w:rPr>
                <w:sz w:val="16"/>
                <w:szCs w:val="16"/>
              </w:rPr>
              <w:t>Ad valorem; within-access</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TRQ routing</w:t>
            </w:r>
          </w:p>
        </w:tc>
      </w:tr>
      <w:tr>
        <w:tc>
          <w:tcPr>
            <w:tcW w:type="dxa" w:w="1296"/>
            <w:vAlign w:val="top"/>
          </w:tcPr>
          <w:p>
            <w:pPr>
              <w:spacing w:before="20" w:after="20"/>
            </w:pPr>
            <w:r>
              <w:rPr>
                <w:sz w:val="16"/>
                <w:szCs w:val="16"/>
              </w:rPr>
              <w:t>CA-006</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0401.40.20.00</w:t>
            </w:r>
          </w:p>
        </w:tc>
        <w:tc>
          <w:tcPr>
            <w:tcW w:type="dxa" w:w="1296"/>
            <w:vAlign w:val="top"/>
          </w:tcPr>
          <w:p>
            <w:pPr>
              <w:spacing w:before="20" w:after="20"/>
            </w:pPr>
            <w:r>
              <w:rPr>
                <w:sz w:val="16"/>
                <w:szCs w:val="16"/>
              </w:rPr>
              <w:t>Milk/cream &gt;6% &lt;=10%, over access</w:t>
            </w:r>
          </w:p>
        </w:tc>
        <w:tc>
          <w:tcPr>
            <w:tcW w:type="dxa" w:w="1296"/>
            <w:vAlign w:val="top"/>
          </w:tcPr>
          <w:p>
            <w:pPr>
              <w:spacing w:before="20" w:after="20"/>
            </w:pPr>
            <w:r>
              <w:rPr>
                <w:sz w:val="16"/>
                <w:szCs w:val="16"/>
              </w:rPr>
              <w:t>KGM</w:t>
            </w:r>
          </w:p>
        </w:tc>
        <w:tc>
          <w:tcPr>
            <w:tcW w:type="dxa" w:w="1296"/>
            <w:vAlign w:val="top"/>
          </w:tcPr>
          <w:p>
            <w:pPr>
              <w:spacing w:before="20" w:after="20"/>
            </w:pPr>
            <w:r>
              <w:rPr>
                <w:sz w:val="16"/>
                <w:szCs w:val="16"/>
              </w:rPr>
              <w:t>292.5% but not less than $2.48/kg</w:t>
            </w:r>
          </w:p>
        </w:tc>
        <w:tc>
          <w:tcPr>
            <w:tcW w:type="dxa" w:w="1296"/>
            <w:vAlign w:val="top"/>
          </w:tcPr>
          <w:p>
            <w:pPr>
              <w:spacing w:before="20" w:after="20"/>
            </w:pPr>
            <w:r>
              <w:rPr>
                <w:sz w:val="16"/>
                <w:szCs w:val="16"/>
              </w:rPr>
              <w:t>No UST/MXT rate displayed on line</w:t>
            </w:r>
          </w:p>
        </w:tc>
        <w:tc>
          <w:tcPr>
            <w:tcW w:type="dxa" w:w="1296"/>
            <w:vAlign w:val="top"/>
          </w:tcPr>
          <w:p>
            <w:pPr>
              <w:spacing w:before="20" w:after="20"/>
            </w:pPr>
            <w:r>
              <w:rPr>
                <w:sz w:val="16"/>
                <w:szCs w:val="16"/>
              </w:rPr>
              <w:t>Compound floor; over-access</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Compound minimum</w:t>
            </w:r>
          </w:p>
        </w:tc>
      </w:tr>
      <w:tr>
        <w:tc>
          <w:tcPr>
            <w:tcW w:type="dxa" w:w="1296"/>
            <w:vAlign w:val="top"/>
          </w:tcPr>
          <w:p>
            <w:pPr>
              <w:spacing w:before="20" w:after="20"/>
            </w:pPr>
            <w:r>
              <w:rPr>
                <w:sz w:val="16"/>
                <w:szCs w:val="16"/>
              </w:rPr>
              <w:t>CA-007</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0401.50.10.00</w:t>
            </w:r>
          </w:p>
        </w:tc>
        <w:tc>
          <w:tcPr>
            <w:tcW w:type="dxa" w:w="1296"/>
            <w:vAlign w:val="top"/>
          </w:tcPr>
          <w:p>
            <w:pPr>
              <w:spacing w:before="20" w:after="20"/>
            </w:pPr>
            <w:r>
              <w:rPr>
                <w:sz w:val="16"/>
                <w:szCs w:val="16"/>
              </w:rPr>
              <w:t>Milk/cream &gt;10%, within access</w:t>
            </w:r>
          </w:p>
        </w:tc>
        <w:tc>
          <w:tcPr>
            <w:tcW w:type="dxa" w:w="1296"/>
            <w:vAlign w:val="top"/>
          </w:tcPr>
          <w:p>
            <w:pPr>
              <w:spacing w:before="20" w:after="20"/>
            </w:pPr>
            <w:r>
              <w:rPr>
                <w:sz w:val="16"/>
                <w:szCs w:val="16"/>
              </w:rPr>
              <w:t>KGM</w:t>
            </w:r>
          </w:p>
        </w:tc>
        <w:tc>
          <w:tcPr>
            <w:tcW w:type="dxa" w:w="1296"/>
            <w:vAlign w:val="top"/>
          </w:tcPr>
          <w:p>
            <w:pPr>
              <w:spacing w:before="20" w:after="20"/>
            </w:pPr>
            <w:r>
              <w:rPr>
                <w:sz w:val="16"/>
                <w:szCs w:val="16"/>
              </w:rPr>
              <w:t>7.5%</w:t>
            </w:r>
          </w:p>
        </w:tc>
        <w:tc>
          <w:tcPr>
            <w:tcW w:type="dxa" w:w="1296"/>
            <w:vAlign w:val="top"/>
          </w:tcPr>
          <w:p>
            <w:pPr>
              <w:spacing w:before="20" w:after="20"/>
            </w:pPr>
            <w:r>
              <w:rPr>
                <w:sz w:val="16"/>
                <w:szCs w:val="16"/>
              </w:rPr>
              <w:t>UST Free</w:t>
            </w:r>
          </w:p>
        </w:tc>
        <w:tc>
          <w:tcPr>
            <w:tcW w:type="dxa" w:w="1296"/>
            <w:vAlign w:val="top"/>
          </w:tcPr>
          <w:p>
            <w:pPr>
              <w:spacing w:before="20" w:after="20"/>
            </w:pPr>
            <w:r>
              <w:rPr>
                <w:sz w:val="16"/>
                <w:szCs w:val="16"/>
              </w:rPr>
              <w:t>Ad valorem; within-access</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Preference vs MFN</w:t>
            </w:r>
          </w:p>
        </w:tc>
      </w:tr>
      <w:tr>
        <w:tc>
          <w:tcPr>
            <w:tcW w:type="dxa" w:w="1296"/>
            <w:vAlign w:val="top"/>
          </w:tcPr>
          <w:p>
            <w:pPr>
              <w:spacing w:before="20" w:after="20"/>
            </w:pPr>
            <w:r>
              <w:rPr>
                <w:sz w:val="16"/>
                <w:szCs w:val="16"/>
              </w:rPr>
              <w:t>CA-008</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0401.50.20.00</w:t>
            </w:r>
          </w:p>
        </w:tc>
        <w:tc>
          <w:tcPr>
            <w:tcW w:type="dxa" w:w="1296"/>
            <w:vAlign w:val="top"/>
          </w:tcPr>
          <w:p>
            <w:pPr>
              <w:spacing w:before="20" w:after="20"/>
            </w:pPr>
            <w:r>
              <w:rPr>
                <w:sz w:val="16"/>
                <w:szCs w:val="16"/>
              </w:rPr>
              <w:t>Milk/cream &gt;10%, over access</w:t>
            </w:r>
          </w:p>
        </w:tc>
        <w:tc>
          <w:tcPr>
            <w:tcW w:type="dxa" w:w="1296"/>
            <w:vAlign w:val="top"/>
          </w:tcPr>
          <w:p>
            <w:pPr>
              <w:spacing w:before="20" w:after="20"/>
            </w:pPr>
            <w:r>
              <w:rPr>
                <w:sz w:val="16"/>
                <w:szCs w:val="16"/>
              </w:rPr>
              <w:t>KGM</w:t>
            </w:r>
          </w:p>
        </w:tc>
        <w:tc>
          <w:tcPr>
            <w:tcW w:type="dxa" w:w="1296"/>
            <w:vAlign w:val="top"/>
          </w:tcPr>
          <w:p>
            <w:pPr>
              <w:spacing w:before="20" w:after="20"/>
            </w:pPr>
            <w:r>
              <w:rPr>
                <w:sz w:val="16"/>
                <w:szCs w:val="16"/>
              </w:rPr>
              <w:t>292.5% but not less than $2.48/kg</w:t>
            </w:r>
          </w:p>
        </w:tc>
        <w:tc>
          <w:tcPr>
            <w:tcW w:type="dxa" w:w="1296"/>
            <w:vAlign w:val="top"/>
          </w:tcPr>
          <w:p>
            <w:pPr>
              <w:spacing w:before="20" w:after="20"/>
            </w:pPr>
            <w:r>
              <w:rPr>
                <w:sz w:val="16"/>
                <w:szCs w:val="16"/>
              </w:rPr>
              <w:t>No UST/MXT rate displayed on line</w:t>
            </w:r>
          </w:p>
        </w:tc>
        <w:tc>
          <w:tcPr>
            <w:tcW w:type="dxa" w:w="1296"/>
            <w:vAlign w:val="top"/>
          </w:tcPr>
          <w:p>
            <w:pPr>
              <w:spacing w:before="20" w:after="20"/>
            </w:pPr>
            <w:r>
              <w:rPr>
                <w:sz w:val="16"/>
                <w:szCs w:val="16"/>
              </w:rPr>
              <w:t>Compound floor; over-access</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Over-access ceiling data</w:t>
            </w:r>
          </w:p>
        </w:tc>
      </w:tr>
      <w:tr>
        <w:tc>
          <w:tcPr>
            <w:tcW w:type="dxa" w:w="1296"/>
            <w:vAlign w:val="top"/>
          </w:tcPr>
          <w:p>
            <w:pPr>
              <w:spacing w:before="20" w:after="20"/>
            </w:pPr>
            <w:r>
              <w:rPr>
                <w:sz w:val="16"/>
                <w:szCs w:val="16"/>
              </w:rPr>
              <w:t>CA-009</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0402.10.10.00</w:t>
            </w:r>
          </w:p>
        </w:tc>
        <w:tc>
          <w:tcPr>
            <w:tcW w:type="dxa" w:w="1296"/>
            <w:vAlign w:val="top"/>
          </w:tcPr>
          <w:p>
            <w:pPr>
              <w:spacing w:before="20" w:after="20"/>
            </w:pPr>
            <w:r>
              <w:rPr>
                <w:sz w:val="16"/>
                <w:szCs w:val="16"/>
              </w:rPr>
              <w:t>Milk/cream powder &lt;=1.5% fat, within access</w:t>
            </w:r>
          </w:p>
        </w:tc>
        <w:tc>
          <w:tcPr>
            <w:tcW w:type="dxa" w:w="1296"/>
            <w:vAlign w:val="top"/>
          </w:tcPr>
          <w:p>
            <w:pPr>
              <w:spacing w:before="20" w:after="20"/>
            </w:pPr>
            <w:r>
              <w:rPr>
                <w:sz w:val="16"/>
                <w:szCs w:val="16"/>
              </w:rPr>
              <w:t>KGM</w:t>
            </w:r>
          </w:p>
        </w:tc>
        <w:tc>
          <w:tcPr>
            <w:tcW w:type="dxa" w:w="1296"/>
            <w:vAlign w:val="top"/>
          </w:tcPr>
          <w:p>
            <w:pPr>
              <w:spacing w:before="20" w:after="20"/>
            </w:pPr>
            <w:r>
              <w:rPr>
                <w:sz w:val="16"/>
                <w:szCs w:val="16"/>
              </w:rPr>
              <w:t>3.32¢/kg</w:t>
            </w:r>
          </w:p>
        </w:tc>
        <w:tc>
          <w:tcPr>
            <w:tcW w:type="dxa" w:w="1296"/>
            <w:vAlign w:val="top"/>
          </w:tcPr>
          <w:p>
            <w:pPr>
              <w:spacing w:before="20" w:after="20"/>
            </w:pPr>
            <w:r>
              <w:rPr>
                <w:sz w:val="16"/>
                <w:szCs w:val="16"/>
              </w:rPr>
              <w:t>UST Free</w:t>
            </w:r>
          </w:p>
        </w:tc>
        <w:tc>
          <w:tcPr>
            <w:tcW w:type="dxa" w:w="1296"/>
            <w:vAlign w:val="top"/>
          </w:tcPr>
          <w:p>
            <w:pPr>
              <w:spacing w:before="20" w:after="20"/>
            </w:pPr>
            <w:r>
              <w:rPr>
                <w:sz w:val="16"/>
                <w:szCs w:val="16"/>
              </w:rPr>
              <w:t>Specific; within-access</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Specific duty</w:t>
            </w:r>
          </w:p>
        </w:tc>
      </w:tr>
      <w:tr>
        <w:tc>
          <w:tcPr>
            <w:tcW w:type="dxa" w:w="1296"/>
            <w:vAlign w:val="top"/>
          </w:tcPr>
          <w:p>
            <w:pPr>
              <w:spacing w:before="20" w:after="20"/>
            </w:pPr>
            <w:r>
              <w:rPr>
                <w:sz w:val="16"/>
                <w:szCs w:val="16"/>
              </w:rPr>
              <w:t>CA-010</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0402.10.20.00</w:t>
            </w:r>
          </w:p>
        </w:tc>
        <w:tc>
          <w:tcPr>
            <w:tcW w:type="dxa" w:w="1296"/>
            <w:vAlign w:val="top"/>
          </w:tcPr>
          <w:p>
            <w:pPr>
              <w:spacing w:before="20" w:after="20"/>
            </w:pPr>
            <w:r>
              <w:rPr>
                <w:sz w:val="16"/>
                <w:szCs w:val="16"/>
              </w:rPr>
              <w:t>Milk/cream powder &lt;=1.5% fat, over access</w:t>
            </w:r>
          </w:p>
        </w:tc>
        <w:tc>
          <w:tcPr>
            <w:tcW w:type="dxa" w:w="1296"/>
            <w:vAlign w:val="top"/>
          </w:tcPr>
          <w:p>
            <w:pPr>
              <w:spacing w:before="20" w:after="20"/>
            </w:pPr>
            <w:r>
              <w:rPr>
                <w:sz w:val="16"/>
                <w:szCs w:val="16"/>
              </w:rPr>
              <w:t>KGM</w:t>
            </w:r>
          </w:p>
        </w:tc>
        <w:tc>
          <w:tcPr>
            <w:tcW w:type="dxa" w:w="1296"/>
            <w:vAlign w:val="top"/>
          </w:tcPr>
          <w:p>
            <w:pPr>
              <w:spacing w:before="20" w:after="20"/>
            </w:pPr>
            <w:r>
              <w:rPr>
                <w:sz w:val="16"/>
                <w:szCs w:val="16"/>
              </w:rPr>
              <w:t>201.5% but not less than $2.01/kg</w:t>
            </w:r>
          </w:p>
        </w:tc>
        <w:tc>
          <w:tcPr>
            <w:tcW w:type="dxa" w:w="1296"/>
            <w:vAlign w:val="top"/>
          </w:tcPr>
          <w:p>
            <w:pPr>
              <w:spacing w:before="20" w:after="20"/>
            </w:pPr>
            <w:r>
              <w:rPr>
                <w:sz w:val="16"/>
                <w:szCs w:val="16"/>
              </w:rPr>
              <w:t>No preferential rate displayed on line</w:t>
            </w:r>
          </w:p>
        </w:tc>
        <w:tc>
          <w:tcPr>
            <w:tcW w:type="dxa" w:w="1296"/>
            <w:vAlign w:val="top"/>
          </w:tcPr>
          <w:p>
            <w:pPr>
              <w:spacing w:before="20" w:after="20"/>
            </w:pPr>
            <w:r>
              <w:rPr>
                <w:sz w:val="16"/>
                <w:szCs w:val="16"/>
              </w:rPr>
              <w:t>Compound floor; over-access</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Specific floor + ad valorem</w:t>
            </w:r>
          </w:p>
        </w:tc>
      </w:tr>
      <w:tr>
        <w:tc>
          <w:tcPr>
            <w:tcW w:type="dxa" w:w="1296"/>
            <w:vAlign w:val="top"/>
          </w:tcPr>
          <w:p>
            <w:pPr>
              <w:spacing w:before="20" w:after="20"/>
            </w:pPr>
            <w:r>
              <w:rPr>
                <w:sz w:val="16"/>
                <w:szCs w:val="16"/>
              </w:rPr>
              <w:t>CA-011</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0402.29.12.00</w:t>
            </w:r>
          </w:p>
        </w:tc>
        <w:tc>
          <w:tcPr>
            <w:tcW w:type="dxa" w:w="1296"/>
            <w:vAlign w:val="top"/>
          </w:tcPr>
          <w:p>
            <w:pPr>
              <w:spacing w:before="20" w:after="20"/>
            </w:pPr>
            <w:r>
              <w:rPr>
                <w:sz w:val="16"/>
                <w:szCs w:val="16"/>
              </w:rPr>
              <w:t>Milk powder &gt;1.5% fat, over access</w:t>
            </w:r>
          </w:p>
        </w:tc>
        <w:tc>
          <w:tcPr>
            <w:tcW w:type="dxa" w:w="1296"/>
            <w:vAlign w:val="top"/>
          </w:tcPr>
          <w:p>
            <w:pPr>
              <w:spacing w:before="20" w:after="20"/>
            </w:pPr>
            <w:r>
              <w:rPr>
                <w:sz w:val="16"/>
                <w:szCs w:val="16"/>
              </w:rPr>
              <w:t>KGM</w:t>
            </w:r>
          </w:p>
        </w:tc>
        <w:tc>
          <w:tcPr>
            <w:tcW w:type="dxa" w:w="1296"/>
            <w:vAlign w:val="top"/>
          </w:tcPr>
          <w:p>
            <w:pPr>
              <w:spacing w:before="20" w:after="20"/>
            </w:pPr>
            <w:r>
              <w:rPr>
                <w:sz w:val="16"/>
                <w:szCs w:val="16"/>
              </w:rPr>
              <w:t>243% but not less than $2.82/kg</w:t>
            </w:r>
          </w:p>
        </w:tc>
        <w:tc>
          <w:tcPr>
            <w:tcW w:type="dxa" w:w="1296"/>
            <w:vAlign w:val="top"/>
          </w:tcPr>
          <w:p>
            <w:pPr>
              <w:spacing w:before="20" w:after="20"/>
            </w:pPr>
            <w:r>
              <w:rPr>
                <w:sz w:val="16"/>
                <w:szCs w:val="16"/>
              </w:rPr>
              <w:t>No preferential rate displayed on line</w:t>
            </w:r>
          </w:p>
        </w:tc>
        <w:tc>
          <w:tcPr>
            <w:tcW w:type="dxa" w:w="1296"/>
            <w:vAlign w:val="top"/>
          </w:tcPr>
          <w:p>
            <w:pPr>
              <w:spacing w:before="20" w:after="20"/>
            </w:pPr>
            <w:r>
              <w:rPr>
                <w:sz w:val="16"/>
                <w:szCs w:val="16"/>
              </w:rPr>
              <w:t>Compound floor; over-access</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Compound rate</w:t>
            </w:r>
          </w:p>
        </w:tc>
      </w:tr>
      <w:tr>
        <w:tc>
          <w:tcPr>
            <w:tcW w:type="dxa" w:w="1296"/>
            <w:vAlign w:val="top"/>
          </w:tcPr>
          <w:p>
            <w:pPr>
              <w:spacing w:before="20" w:after="20"/>
            </w:pPr>
            <w:r>
              <w:rPr>
                <w:sz w:val="16"/>
                <w:szCs w:val="16"/>
              </w:rPr>
              <w:t>CA-012</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0402.29.21.00</w:t>
            </w:r>
          </w:p>
        </w:tc>
        <w:tc>
          <w:tcPr>
            <w:tcW w:type="dxa" w:w="1296"/>
            <w:vAlign w:val="top"/>
          </w:tcPr>
          <w:p>
            <w:pPr>
              <w:spacing w:before="20" w:after="20"/>
            </w:pPr>
            <w:r>
              <w:rPr>
                <w:sz w:val="16"/>
                <w:szCs w:val="16"/>
              </w:rPr>
              <w:t>Cream powder &gt;1.5% fat, within access</w:t>
            </w:r>
          </w:p>
        </w:tc>
        <w:tc>
          <w:tcPr>
            <w:tcW w:type="dxa" w:w="1296"/>
            <w:vAlign w:val="top"/>
          </w:tcPr>
          <w:p>
            <w:pPr>
              <w:spacing w:before="20" w:after="20"/>
            </w:pPr>
            <w:r>
              <w:rPr>
                <w:sz w:val="16"/>
                <w:szCs w:val="16"/>
              </w:rPr>
              <w:t>KGM</w:t>
            </w:r>
          </w:p>
        </w:tc>
        <w:tc>
          <w:tcPr>
            <w:tcW w:type="dxa" w:w="1296"/>
            <w:vAlign w:val="top"/>
          </w:tcPr>
          <w:p>
            <w:pPr>
              <w:spacing w:before="20" w:after="20"/>
            </w:pPr>
            <w:r>
              <w:rPr>
                <w:sz w:val="16"/>
                <w:szCs w:val="16"/>
              </w:rPr>
              <w:t>6.5%</w:t>
            </w:r>
          </w:p>
        </w:tc>
        <w:tc>
          <w:tcPr>
            <w:tcW w:type="dxa" w:w="1296"/>
            <w:vAlign w:val="top"/>
          </w:tcPr>
          <w:p>
            <w:pPr>
              <w:spacing w:before="20" w:after="20"/>
            </w:pPr>
            <w:r>
              <w:rPr>
                <w:sz w:val="16"/>
                <w:szCs w:val="16"/>
              </w:rPr>
              <w:t>UST Free</w:t>
            </w:r>
          </w:p>
        </w:tc>
        <w:tc>
          <w:tcPr>
            <w:tcW w:type="dxa" w:w="1296"/>
            <w:vAlign w:val="top"/>
          </w:tcPr>
          <w:p>
            <w:pPr>
              <w:spacing w:before="20" w:after="20"/>
            </w:pPr>
            <w:r>
              <w:rPr>
                <w:sz w:val="16"/>
                <w:szCs w:val="16"/>
              </w:rPr>
              <w:t>Ad valorem; within-access</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Product split below HS6</w:t>
            </w:r>
          </w:p>
        </w:tc>
      </w:tr>
      <w:tr>
        <w:tc>
          <w:tcPr>
            <w:tcW w:type="dxa" w:w="1296"/>
            <w:vAlign w:val="top"/>
          </w:tcPr>
          <w:p>
            <w:pPr>
              <w:spacing w:before="20" w:after="20"/>
            </w:pPr>
            <w:r>
              <w:rPr>
                <w:sz w:val="16"/>
                <w:szCs w:val="16"/>
              </w:rPr>
              <w:t>CA-013</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0402.29.22.00</w:t>
            </w:r>
          </w:p>
        </w:tc>
        <w:tc>
          <w:tcPr>
            <w:tcW w:type="dxa" w:w="1296"/>
            <w:vAlign w:val="top"/>
          </w:tcPr>
          <w:p>
            <w:pPr>
              <w:spacing w:before="20" w:after="20"/>
            </w:pPr>
            <w:r>
              <w:rPr>
                <w:sz w:val="16"/>
                <w:szCs w:val="16"/>
              </w:rPr>
              <w:t>Cream powder &gt;1.5% fat, over access</w:t>
            </w:r>
          </w:p>
        </w:tc>
        <w:tc>
          <w:tcPr>
            <w:tcW w:type="dxa" w:w="1296"/>
            <w:vAlign w:val="top"/>
          </w:tcPr>
          <w:p>
            <w:pPr>
              <w:spacing w:before="20" w:after="20"/>
            </w:pPr>
            <w:r>
              <w:rPr>
                <w:sz w:val="16"/>
                <w:szCs w:val="16"/>
              </w:rPr>
              <w:t>KGM</w:t>
            </w:r>
          </w:p>
        </w:tc>
        <w:tc>
          <w:tcPr>
            <w:tcW w:type="dxa" w:w="1296"/>
            <w:vAlign w:val="top"/>
          </w:tcPr>
          <w:p>
            <w:pPr>
              <w:spacing w:before="20" w:after="20"/>
            </w:pPr>
            <w:r>
              <w:rPr>
                <w:sz w:val="16"/>
                <w:szCs w:val="16"/>
              </w:rPr>
              <w:t>295.5% but not less than $4.29/kg</w:t>
            </w:r>
          </w:p>
        </w:tc>
        <w:tc>
          <w:tcPr>
            <w:tcW w:type="dxa" w:w="1296"/>
            <w:vAlign w:val="top"/>
          </w:tcPr>
          <w:p>
            <w:pPr>
              <w:spacing w:before="20" w:after="20"/>
            </w:pPr>
            <w:r>
              <w:rPr>
                <w:sz w:val="16"/>
                <w:szCs w:val="16"/>
              </w:rPr>
              <w:t>No preferential rate displayed on line</w:t>
            </w:r>
          </w:p>
        </w:tc>
        <w:tc>
          <w:tcPr>
            <w:tcW w:type="dxa" w:w="1296"/>
            <w:vAlign w:val="top"/>
          </w:tcPr>
          <w:p>
            <w:pPr>
              <w:spacing w:before="20" w:after="20"/>
            </w:pPr>
            <w:r>
              <w:rPr>
                <w:sz w:val="16"/>
                <w:szCs w:val="16"/>
              </w:rPr>
              <w:t>Compound floor; over-access</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Product split + compound</w:t>
            </w:r>
          </w:p>
        </w:tc>
      </w:tr>
      <w:tr>
        <w:tc>
          <w:tcPr>
            <w:tcW w:type="dxa" w:w="1296"/>
            <w:vAlign w:val="top"/>
          </w:tcPr>
          <w:p>
            <w:pPr>
              <w:spacing w:before="20" w:after="20"/>
            </w:pPr>
            <w:r>
              <w:rPr>
                <w:sz w:val="16"/>
                <w:szCs w:val="16"/>
              </w:rPr>
              <w:t>CA-014</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0403.20.10.00</w:t>
            </w:r>
          </w:p>
        </w:tc>
        <w:tc>
          <w:tcPr>
            <w:tcW w:type="dxa" w:w="1296"/>
            <w:vAlign w:val="top"/>
          </w:tcPr>
          <w:p>
            <w:pPr>
              <w:spacing w:before="20" w:after="20"/>
            </w:pPr>
            <w:r>
              <w:rPr>
                <w:sz w:val="16"/>
                <w:szCs w:val="16"/>
              </w:rPr>
              <w:t>Specified retail yogurt with additions</w:t>
            </w:r>
          </w:p>
        </w:tc>
        <w:tc>
          <w:tcPr>
            <w:tcW w:type="dxa" w:w="1296"/>
            <w:vAlign w:val="top"/>
          </w:tcPr>
          <w:p>
            <w:pPr>
              <w:spacing w:before="20" w:after="20"/>
            </w:pPr>
            <w:r>
              <w:rPr>
                <w:sz w:val="16"/>
                <w:szCs w:val="16"/>
              </w:rPr>
              <w:t>KGM</w:t>
            </w:r>
          </w:p>
        </w:tc>
        <w:tc>
          <w:tcPr>
            <w:tcW w:type="dxa" w:w="1296"/>
            <w:vAlign w:val="top"/>
          </w:tcPr>
          <w:p>
            <w:pPr>
              <w:spacing w:before="20" w:after="20"/>
            </w:pPr>
            <w:r>
              <w:rPr>
                <w:sz w:val="16"/>
                <w:szCs w:val="16"/>
              </w:rPr>
              <w:t>Free</w:t>
            </w:r>
          </w:p>
        </w:tc>
        <w:tc>
          <w:tcPr>
            <w:tcW w:type="dxa" w:w="1296"/>
            <w:vAlign w:val="top"/>
          </w:tcPr>
          <w:p>
            <w:pPr>
              <w:spacing w:before="20" w:after="20"/>
            </w:pPr>
            <w:r>
              <w:rPr>
                <w:sz w:val="16"/>
                <w:szCs w:val="16"/>
              </w:rPr>
              <w:t>UST Free; MXT Free</w:t>
            </w:r>
          </w:p>
        </w:tc>
        <w:tc>
          <w:tcPr>
            <w:tcW w:type="dxa" w:w="1296"/>
            <w:vAlign w:val="top"/>
          </w:tcPr>
          <w:p>
            <w:pPr>
              <w:spacing w:before="20" w:after="20"/>
            </w:pPr>
            <w:r>
              <w:rPr>
                <w:sz w:val="16"/>
                <w:szCs w:val="16"/>
              </w:rPr>
              <w:t>Zero-line control</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Straight zero control</w:t>
            </w:r>
          </w:p>
        </w:tc>
      </w:tr>
      <w:tr>
        <w:tc>
          <w:tcPr>
            <w:tcW w:type="dxa" w:w="1296"/>
            <w:vAlign w:val="top"/>
          </w:tcPr>
          <w:p>
            <w:pPr>
              <w:spacing w:before="20" w:after="20"/>
            </w:pPr>
            <w:r>
              <w:rPr>
                <w:sz w:val="16"/>
                <w:szCs w:val="16"/>
              </w:rPr>
              <w:t>CA-015</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0403.90.91.00</w:t>
            </w:r>
          </w:p>
        </w:tc>
        <w:tc>
          <w:tcPr>
            <w:tcW w:type="dxa" w:w="1296"/>
            <w:vAlign w:val="top"/>
          </w:tcPr>
          <w:p>
            <w:pPr>
              <w:spacing w:before="20" w:after="20"/>
            </w:pPr>
            <w:r>
              <w:rPr>
                <w:sz w:val="16"/>
                <w:szCs w:val="16"/>
              </w:rPr>
              <w:t>Other fermented milk/cream, within access</w:t>
            </w:r>
          </w:p>
        </w:tc>
        <w:tc>
          <w:tcPr>
            <w:tcW w:type="dxa" w:w="1296"/>
            <w:vAlign w:val="top"/>
          </w:tcPr>
          <w:p>
            <w:pPr>
              <w:spacing w:before="20" w:after="20"/>
            </w:pPr>
            <w:r>
              <w:rPr>
                <w:sz w:val="16"/>
                <w:szCs w:val="16"/>
              </w:rPr>
              <w:t>KGM</w:t>
            </w:r>
          </w:p>
        </w:tc>
        <w:tc>
          <w:tcPr>
            <w:tcW w:type="dxa" w:w="1296"/>
            <w:vAlign w:val="top"/>
          </w:tcPr>
          <w:p>
            <w:pPr>
              <w:spacing w:before="20" w:after="20"/>
            </w:pPr>
            <w:r>
              <w:rPr>
                <w:sz w:val="16"/>
                <w:szCs w:val="16"/>
              </w:rPr>
              <w:t>7.5%</w:t>
            </w:r>
          </w:p>
        </w:tc>
        <w:tc>
          <w:tcPr>
            <w:tcW w:type="dxa" w:w="1296"/>
            <w:vAlign w:val="top"/>
          </w:tcPr>
          <w:p>
            <w:pPr>
              <w:spacing w:before="20" w:after="20"/>
            </w:pPr>
            <w:r>
              <w:rPr>
                <w:sz w:val="16"/>
                <w:szCs w:val="16"/>
              </w:rPr>
              <w:t>UST Free</w:t>
            </w:r>
          </w:p>
        </w:tc>
        <w:tc>
          <w:tcPr>
            <w:tcW w:type="dxa" w:w="1296"/>
            <w:vAlign w:val="top"/>
          </w:tcPr>
          <w:p>
            <w:pPr>
              <w:spacing w:before="20" w:after="20"/>
            </w:pPr>
            <w:r>
              <w:rPr>
                <w:sz w:val="16"/>
                <w:szCs w:val="16"/>
              </w:rPr>
              <w:t>Ad valorem; within-access</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TRQ routing</w:t>
            </w:r>
          </w:p>
        </w:tc>
      </w:tr>
      <w:tr>
        <w:tc>
          <w:tcPr>
            <w:tcW w:type="dxa" w:w="1296"/>
            <w:vAlign w:val="top"/>
          </w:tcPr>
          <w:p>
            <w:pPr>
              <w:spacing w:before="20" w:after="20"/>
            </w:pPr>
            <w:r>
              <w:rPr>
                <w:sz w:val="16"/>
                <w:szCs w:val="16"/>
              </w:rPr>
              <w:t>CA-016</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0403.90.92.00</w:t>
            </w:r>
          </w:p>
        </w:tc>
        <w:tc>
          <w:tcPr>
            <w:tcW w:type="dxa" w:w="1296"/>
            <w:vAlign w:val="top"/>
          </w:tcPr>
          <w:p>
            <w:pPr>
              <w:spacing w:before="20" w:after="20"/>
            </w:pPr>
            <w:r>
              <w:rPr>
                <w:sz w:val="16"/>
                <w:szCs w:val="16"/>
              </w:rPr>
              <w:t>Other fermented milk/cream, over access</w:t>
            </w:r>
          </w:p>
        </w:tc>
        <w:tc>
          <w:tcPr>
            <w:tcW w:type="dxa" w:w="1296"/>
            <w:vAlign w:val="top"/>
          </w:tcPr>
          <w:p>
            <w:pPr>
              <w:spacing w:before="20" w:after="20"/>
            </w:pPr>
            <w:r>
              <w:rPr>
                <w:sz w:val="16"/>
                <w:szCs w:val="16"/>
              </w:rPr>
              <w:t>KGM</w:t>
            </w:r>
          </w:p>
        </w:tc>
        <w:tc>
          <w:tcPr>
            <w:tcW w:type="dxa" w:w="1296"/>
            <w:vAlign w:val="top"/>
          </w:tcPr>
          <w:p>
            <w:pPr>
              <w:spacing w:before="20" w:after="20"/>
            </w:pPr>
            <w:r>
              <w:rPr>
                <w:sz w:val="16"/>
                <w:szCs w:val="16"/>
              </w:rPr>
              <w:t>216.5% but not less than $2.15/kg</w:t>
            </w:r>
          </w:p>
        </w:tc>
        <w:tc>
          <w:tcPr>
            <w:tcW w:type="dxa" w:w="1296"/>
            <w:vAlign w:val="top"/>
          </w:tcPr>
          <w:p>
            <w:pPr>
              <w:spacing w:before="20" w:after="20"/>
            </w:pPr>
            <w:r>
              <w:rPr>
                <w:sz w:val="16"/>
                <w:szCs w:val="16"/>
              </w:rPr>
              <w:t>No preferential rate displayed on line</w:t>
            </w:r>
          </w:p>
        </w:tc>
        <w:tc>
          <w:tcPr>
            <w:tcW w:type="dxa" w:w="1296"/>
            <w:vAlign w:val="top"/>
          </w:tcPr>
          <w:p>
            <w:pPr>
              <w:spacing w:before="20" w:after="20"/>
            </w:pPr>
            <w:r>
              <w:rPr>
                <w:sz w:val="16"/>
                <w:szCs w:val="16"/>
              </w:rPr>
              <w:t>Compound floor; over-access</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Compound rate</w:t>
            </w:r>
          </w:p>
        </w:tc>
      </w:tr>
      <w:tr>
        <w:tc>
          <w:tcPr>
            <w:tcW w:type="dxa" w:w="1296"/>
            <w:vAlign w:val="top"/>
          </w:tcPr>
          <w:p>
            <w:pPr>
              <w:spacing w:before="20" w:after="20"/>
            </w:pPr>
            <w:r>
              <w:rPr>
                <w:sz w:val="16"/>
                <w:szCs w:val="16"/>
              </w:rPr>
              <w:t>CA-017</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0404.90.20.11</w:t>
            </w:r>
          </w:p>
        </w:tc>
        <w:tc>
          <w:tcPr>
            <w:tcW w:type="dxa" w:w="1296"/>
            <w:vAlign w:val="top"/>
          </w:tcPr>
          <w:p>
            <w:pPr>
              <w:spacing w:before="20" w:after="20"/>
            </w:pPr>
            <w:r>
              <w:rPr>
                <w:sz w:val="16"/>
                <w:szCs w:val="16"/>
              </w:rPr>
              <w:t>Blended dairy powder &gt;50% skim milk powder, over access</w:t>
            </w:r>
          </w:p>
        </w:tc>
        <w:tc>
          <w:tcPr>
            <w:tcW w:type="dxa" w:w="1296"/>
            <w:vAlign w:val="top"/>
          </w:tcPr>
          <w:p>
            <w:pPr>
              <w:spacing w:before="20" w:after="20"/>
            </w:pPr>
            <w:r>
              <w:rPr>
                <w:sz w:val="16"/>
                <w:szCs w:val="16"/>
              </w:rPr>
              <w:t>KGM</w:t>
            </w:r>
          </w:p>
        </w:tc>
        <w:tc>
          <w:tcPr>
            <w:tcW w:type="dxa" w:w="1296"/>
            <w:vAlign w:val="top"/>
          </w:tcPr>
          <w:p>
            <w:pPr>
              <w:spacing w:before="20" w:after="20"/>
            </w:pPr>
            <w:r>
              <w:rPr>
                <w:sz w:val="16"/>
                <w:szCs w:val="16"/>
              </w:rPr>
              <w:t>270% but not less than $3.15/kg</w:t>
            </w:r>
          </w:p>
        </w:tc>
        <w:tc>
          <w:tcPr>
            <w:tcW w:type="dxa" w:w="1296"/>
            <w:vAlign w:val="top"/>
          </w:tcPr>
          <w:p>
            <w:pPr>
              <w:spacing w:before="20" w:after="20"/>
            </w:pPr>
            <w:r>
              <w:rPr>
                <w:sz w:val="16"/>
                <w:szCs w:val="16"/>
              </w:rPr>
              <w:t>No preferential rate displayed on line</w:t>
            </w:r>
          </w:p>
        </w:tc>
        <w:tc>
          <w:tcPr>
            <w:tcW w:type="dxa" w:w="1296"/>
            <w:vAlign w:val="top"/>
          </w:tcPr>
          <w:p>
            <w:pPr>
              <w:spacing w:before="20" w:after="20"/>
            </w:pPr>
            <w:r>
              <w:rPr>
                <w:sz w:val="16"/>
                <w:szCs w:val="16"/>
              </w:rPr>
              <w:t>Statistical suffix + compound</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Statistical suffix continuity</w:t>
            </w:r>
          </w:p>
        </w:tc>
      </w:tr>
      <w:tr>
        <w:tc>
          <w:tcPr>
            <w:tcW w:type="dxa" w:w="1296"/>
            <w:vAlign w:val="top"/>
          </w:tcPr>
          <w:p>
            <w:pPr>
              <w:spacing w:before="20" w:after="20"/>
            </w:pPr>
            <w:r>
              <w:rPr>
                <w:sz w:val="16"/>
                <w:szCs w:val="16"/>
              </w:rPr>
              <w:t>CA-018</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0405.10.10.00</w:t>
            </w:r>
          </w:p>
        </w:tc>
        <w:tc>
          <w:tcPr>
            <w:tcW w:type="dxa" w:w="1296"/>
            <w:vAlign w:val="top"/>
          </w:tcPr>
          <w:p>
            <w:pPr>
              <w:spacing w:before="20" w:after="20"/>
            </w:pPr>
            <w:r>
              <w:rPr>
                <w:sz w:val="16"/>
                <w:szCs w:val="16"/>
              </w:rPr>
              <w:t>Butter, within access</w:t>
            </w:r>
          </w:p>
        </w:tc>
        <w:tc>
          <w:tcPr>
            <w:tcW w:type="dxa" w:w="1296"/>
            <w:vAlign w:val="top"/>
          </w:tcPr>
          <w:p>
            <w:pPr>
              <w:spacing w:before="20" w:after="20"/>
            </w:pPr>
            <w:r>
              <w:rPr>
                <w:sz w:val="16"/>
                <w:szCs w:val="16"/>
              </w:rPr>
              <w:t>KGM</w:t>
            </w:r>
          </w:p>
        </w:tc>
        <w:tc>
          <w:tcPr>
            <w:tcW w:type="dxa" w:w="1296"/>
            <w:vAlign w:val="top"/>
          </w:tcPr>
          <w:p>
            <w:pPr>
              <w:spacing w:before="20" w:after="20"/>
            </w:pPr>
            <w:r>
              <w:rPr>
                <w:sz w:val="16"/>
                <w:szCs w:val="16"/>
              </w:rPr>
              <w:t>11.38¢/kg</w:t>
            </w:r>
          </w:p>
        </w:tc>
        <w:tc>
          <w:tcPr>
            <w:tcW w:type="dxa" w:w="1296"/>
            <w:vAlign w:val="top"/>
          </w:tcPr>
          <w:p>
            <w:pPr>
              <w:spacing w:before="20" w:after="20"/>
            </w:pPr>
            <w:r>
              <w:rPr>
                <w:sz w:val="16"/>
                <w:szCs w:val="16"/>
              </w:rPr>
              <w:t>UST Free</w:t>
            </w:r>
          </w:p>
        </w:tc>
        <w:tc>
          <w:tcPr>
            <w:tcW w:type="dxa" w:w="1296"/>
            <w:vAlign w:val="top"/>
          </w:tcPr>
          <w:p>
            <w:pPr>
              <w:spacing w:before="20" w:after="20"/>
            </w:pPr>
            <w:r>
              <w:rPr>
                <w:sz w:val="16"/>
                <w:szCs w:val="16"/>
              </w:rPr>
              <w:t>Specific; within-access</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Specific duty + TRQ</w:t>
            </w:r>
          </w:p>
        </w:tc>
      </w:tr>
      <w:tr>
        <w:tc>
          <w:tcPr>
            <w:tcW w:type="dxa" w:w="1296"/>
            <w:vAlign w:val="top"/>
          </w:tcPr>
          <w:p>
            <w:pPr>
              <w:spacing w:before="20" w:after="20"/>
            </w:pPr>
            <w:r>
              <w:rPr>
                <w:sz w:val="16"/>
                <w:szCs w:val="16"/>
              </w:rPr>
              <w:t>CA-019</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0405.10.20.00</w:t>
            </w:r>
          </w:p>
        </w:tc>
        <w:tc>
          <w:tcPr>
            <w:tcW w:type="dxa" w:w="1296"/>
            <w:vAlign w:val="top"/>
          </w:tcPr>
          <w:p>
            <w:pPr>
              <w:spacing w:before="20" w:after="20"/>
            </w:pPr>
            <w:r>
              <w:rPr>
                <w:sz w:val="16"/>
                <w:szCs w:val="16"/>
              </w:rPr>
              <w:t>Butter, over access</w:t>
            </w:r>
          </w:p>
        </w:tc>
        <w:tc>
          <w:tcPr>
            <w:tcW w:type="dxa" w:w="1296"/>
            <w:vAlign w:val="top"/>
          </w:tcPr>
          <w:p>
            <w:pPr>
              <w:spacing w:before="20" w:after="20"/>
            </w:pPr>
            <w:r>
              <w:rPr>
                <w:sz w:val="16"/>
                <w:szCs w:val="16"/>
              </w:rPr>
              <w:t>KGM</w:t>
            </w:r>
          </w:p>
        </w:tc>
        <w:tc>
          <w:tcPr>
            <w:tcW w:type="dxa" w:w="1296"/>
            <w:vAlign w:val="top"/>
          </w:tcPr>
          <w:p>
            <w:pPr>
              <w:spacing w:before="20" w:after="20"/>
            </w:pPr>
            <w:r>
              <w:rPr>
                <w:sz w:val="16"/>
                <w:szCs w:val="16"/>
              </w:rPr>
              <w:t>298.5% but not less than $4.00/kg</w:t>
            </w:r>
          </w:p>
        </w:tc>
        <w:tc>
          <w:tcPr>
            <w:tcW w:type="dxa" w:w="1296"/>
            <w:vAlign w:val="top"/>
          </w:tcPr>
          <w:p>
            <w:pPr>
              <w:spacing w:before="20" w:after="20"/>
            </w:pPr>
            <w:r>
              <w:rPr>
                <w:sz w:val="16"/>
                <w:szCs w:val="16"/>
              </w:rPr>
              <w:t>No preferential rate displayed on line</w:t>
            </w:r>
          </w:p>
        </w:tc>
        <w:tc>
          <w:tcPr>
            <w:tcW w:type="dxa" w:w="1296"/>
            <w:vAlign w:val="top"/>
          </w:tcPr>
          <w:p>
            <w:pPr>
              <w:spacing w:before="20" w:after="20"/>
            </w:pPr>
            <w:r>
              <w:rPr>
                <w:sz w:val="16"/>
                <w:szCs w:val="16"/>
              </w:rPr>
              <w:t>Compound floor; over-access</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Compound over-access</w:t>
            </w:r>
          </w:p>
        </w:tc>
      </w:tr>
      <w:tr>
        <w:tc>
          <w:tcPr>
            <w:tcW w:type="dxa" w:w="1296"/>
            <w:vAlign w:val="top"/>
          </w:tcPr>
          <w:p>
            <w:pPr>
              <w:spacing w:before="20" w:after="20"/>
            </w:pPr>
            <w:r>
              <w:rPr>
                <w:sz w:val="16"/>
                <w:szCs w:val="16"/>
              </w:rPr>
              <w:t>CA-020</w:t>
            </w:r>
          </w:p>
        </w:tc>
        <w:tc>
          <w:tcPr>
            <w:tcW w:type="dxa" w:w="1296"/>
            <w:vAlign w:val="top"/>
          </w:tcPr>
          <w:p>
            <w:pPr>
              <w:spacing w:before="20" w:after="20"/>
            </w:pPr>
            <w:r>
              <w:rPr>
                <w:sz w:val="16"/>
                <w:szCs w:val="16"/>
              </w:rPr>
              <w:t>Canada</w:t>
            </w:r>
          </w:p>
        </w:tc>
        <w:tc>
          <w:tcPr>
            <w:tcW w:type="dxa" w:w="1296"/>
            <w:vAlign w:val="top"/>
          </w:tcPr>
          <w:p>
            <w:pPr>
              <w:spacing w:before="20" w:after="20"/>
            </w:pPr>
            <w:r>
              <w:rPr>
                <w:sz w:val="16"/>
                <w:szCs w:val="16"/>
              </w:rPr>
              <w:t>0406.10.10.10</w:t>
            </w:r>
          </w:p>
        </w:tc>
        <w:tc>
          <w:tcPr>
            <w:tcW w:type="dxa" w:w="1296"/>
            <w:vAlign w:val="top"/>
          </w:tcPr>
          <w:p>
            <w:pPr>
              <w:spacing w:before="20" w:after="20"/>
            </w:pPr>
            <w:r>
              <w:rPr>
                <w:sz w:val="16"/>
                <w:szCs w:val="16"/>
              </w:rPr>
              <w:t>Cream cheese, within access statistical breakout</w:t>
            </w:r>
          </w:p>
        </w:tc>
        <w:tc>
          <w:tcPr>
            <w:tcW w:type="dxa" w:w="1296"/>
            <w:vAlign w:val="top"/>
          </w:tcPr>
          <w:p>
            <w:pPr>
              <w:spacing w:before="20" w:after="20"/>
            </w:pPr>
            <w:r>
              <w:rPr>
                <w:sz w:val="16"/>
                <w:szCs w:val="16"/>
              </w:rPr>
              <w:t>KGM</w:t>
            </w:r>
          </w:p>
        </w:tc>
        <w:tc>
          <w:tcPr>
            <w:tcW w:type="dxa" w:w="1296"/>
            <w:vAlign w:val="top"/>
          </w:tcPr>
          <w:p>
            <w:pPr>
              <w:spacing w:before="20" w:after="20"/>
            </w:pPr>
            <w:r>
              <w:rPr>
                <w:sz w:val="16"/>
                <w:szCs w:val="16"/>
              </w:rPr>
              <w:t>3.32¢/kg</w:t>
            </w:r>
          </w:p>
        </w:tc>
        <w:tc>
          <w:tcPr>
            <w:tcW w:type="dxa" w:w="1296"/>
            <w:vAlign w:val="top"/>
          </w:tcPr>
          <w:p>
            <w:pPr>
              <w:spacing w:before="20" w:after="20"/>
            </w:pPr>
            <w:r>
              <w:rPr>
                <w:sz w:val="16"/>
                <w:szCs w:val="16"/>
              </w:rPr>
              <w:t>UST Free</w:t>
            </w:r>
          </w:p>
        </w:tc>
        <w:tc>
          <w:tcPr>
            <w:tcW w:type="dxa" w:w="1296"/>
            <w:vAlign w:val="top"/>
          </w:tcPr>
          <w:p>
            <w:pPr>
              <w:spacing w:before="20" w:after="20"/>
            </w:pPr>
            <w:r>
              <w:rPr>
                <w:sz w:val="16"/>
                <w:szCs w:val="16"/>
              </w:rPr>
              <w:t>Specific + statistical suffix</w:t>
            </w:r>
          </w:p>
        </w:tc>
        <w:tc>
          <w:tcPr>
            <w:tcW w:type="dxa" w:w="1296"/>
            <w:vAlign w:val="top"/>
          </w:tcPr>
          <w:p>
            <w:pPr>
              <w:spacing w:before="20" w:after="20"/>
            </w:pPr>
            <w:r>
              <w:rPr>
                <w:sz w:val="16"/>
                <w:szCs w:val="16"/>
              </w:rPr>
              <w:t>CBSA Customs Tariff T2026-2, Chapter 4, effective 2026-09-01</w:t>
            </w:r>
          </w:p>
        </w:tc>
        <w:tc>
          <w:tcPr>
            <w:tcW w:type="dxa" w:w="1296"/>
            <w:vAlign w:val="top"/>
          </w:tcPr>
          <w:p>
            <w:pPr>
              <w:spacing w:before="20" w:after="20"/>
            </w:pPr>
            <w:r>
              <w:rPr>
                <w:sz w:val="16"/>
                <w:szCs w:val="16"/>
              </w:rPr>
              <w:t>Verified - Primary</w:t>
            </w:r>
          </w:p>
        </w:tc>
        <w:tc>
          <w:tcPr>
            <w:tcW w:type="dxa" w:w="1296"/>
            <w:vAlign w:val="top"/>
          </w:tcPr>
          <w:p>
            <w:pPr>
              <w:spacing w:before="20" w:after="20"/>
            </w:pPr>
            <w:r>
              <w:rPr>
                <w:sz w:val="16"/>
                <w:szCs w:val="16"/>
              </w:rPr>
              <w:t>Tariff item vs statistical suffix</w:t>
            </w:r>
          </w:p>
        </w:tc>
      </w:tr>
    </w:tbl>
    <w:p>
      <w:pPr>
        <w:pStyle w:val="Heading3"/>
      </w:pPr>
      <w:r>
        <w:t>Pilot Population B: United States - 20 records</w:t>
      </w:r>
    </w:p>
    <w:tbl>
      <w:tblPr>
        <w:tblStyle w:val="TableGrid"/>
        <w:tblW w:type="dxa" w:w="14256"/>
        <w:jc w:val="center"/>
        <w:tblLayout w:type="fixed"/>
        <w:tblLook w:firstColumn="1" w:firstRow="1" w:lastColumn="0" w:lastRow="0" w:noHBand="0" w:noVBand="1" w:val="04A0"/>
      </w:tblPr>
      <w:tblGrid>
        <w:gridCol w:w="1296"/>
        <w:gridCol w:w="1296"/>
        <w:gridCol w:w="1296"/>
        <w:gridCol w:w="1296"/>
        <w:gridCol w:w="1296"/>
        <w:gridCol w:w="1296"/>
        <w:gridCol w:w="1296"/>
        <w:gridCol w:w="1296"/>
        <w:gridCol w:w="1296"/>
        <w:gridCol w:w="1296"/>
        <w:gridCol w:w="1296"/>
      </w:tblGrid>
      <w:tr>
        <w:tc>
          <w:tcPr>
            <w:tcW w:type="dxa" w:w="1296"/>
            <w:vAlign w:val="center"/>
          </w:tcPr>
          <w:p>
            <w:pPr>
              <w:spacing w:before="20" w:after="20"/>
            </w:pPr>
            <w:r>
              <w:rPr>
                <w:b/>
                <w:sz w:val="16"/>
                <w:szCs w:val="16"/>
              </w:rPr>
              <w:t>Pilot ID</w:t>
            </w:r>
          </w:p>
        </w:tc>
        <w:tc>
          <w:tcPr>
            <w:tcW w:type="dxa" w:w="1296"/>
            <w:vAlign w:val="center"/>
          </w:tcPr>
          <w:p>
            <w:pPr>
              <w:spacing w:before="20" w:after="20"/>
            </w:pPr>
            <w:r>
              <w:rPr>
                <w:b/>
                <w:sz w:val="16"/>
                <w:szCs w:val="16"/>
              </w:rPr>
              <w:t>Party</w:t>
            </w:r>
          </w:p>
        </w:tc>
        <w:tc>
          <w:tcPr>
            <w:tcW w:type="dxa" w:w="1296"/>
            <w:vAlign w:val="center"/>
          </w:tcPr>
          <w:p>
            <w:pPr>
              <w:spacing w:before="20" w:after="20"/>
            </w:pPr>
            <w:r>
              <w:rPr>
                <w:b/>
                <w:sz w:val="16"/>
                <w:szCs w:val="16"/>
              </w:rPr>
              <w:t>National code</w:t>
            </w:r>
          </w:p>
        </w:tc>
        <w:tc>
          <w:tcPr>
            <w:tcW w:type="dxa" w:w="1296"/>
            <w:vAlign w:val="center"/>
          </w:tcPr>
          <w:p>
            <w:pPr>
              <w:spacing w:before="20" w:after="20"/>
            </w:pPr>
            <w:r>
              <w:rPr>
                <w:b/>
                <w:sz w:val="16"/>
                <w:szCs w:val="16"/>
              </w:rPr>
              <w:t>Product / legal description</w:t>
            </w:r>
          </w:p>
        </w:tc>
        <w:tc>
          <w:tcPr>
            <w:tcW w:type="dxa" w:w="1296"/>
            <w:vAlign w:val="center"/>
          </w:tcPr>
          <w:p>
            <w:pPr>
              <w:spacing w:before="20" w:after="20"/>
            </w:pPr>
            <w:r>
              <w:rPr>
                <w:b/>
                <w:sz w:val="16"/>
                <w:szCs w:val="16"/>
              </w:rPr>
              <w:t>Unit</w:t>
            </w:r>
          </w:p>
        </w:tc>
        <w:tc>
          <w:tcPr>
            <w:tcW w:type="dxa" w:w="1296"/>
            <w:vAlign w:val="center"/>
          </w:tcPr>
          <w:p>
            <w:pPr>
              <w:spacing w:before="20" w:after="20"/>
            </w:pPr>
            <w:r>
              <w:rPr>
                <w:b/>
                <w:sz w:val="16"/>
                <w:szCs w:val="16"/>
              </w:rPr>
              <w:t>General / MFN tariff state</w:t>
            </w:r>
          </w:p>
        </w:tc>
        <w:tc>
          <w:tcPr>
            <w:tcW w:type="dxa" w:w="1296"/>
            <w:vAlign w:val="center"/>
          </w:tcPr>
          <w:p>
            <w:pPr>
              <w:spacing w:before="20" w:after="20"/>
            </w:pPr>
            <w:r>
              <w:rPr>
                <w:b/>
                <w:sz w:val="16"/>
                <w:szCs w:val="16"/>
              </w:rPr>
              <w:t>North American preferential state</w:t>
            </w:r>
          </w:p>
        </w:tc>
        <w:tc>
          <w:tcPr>
            <w:tcW w:type="dxa" w:w="1296"/>
            <w:vAlign w:val="center"/>
          </w:tcPr>
          <w:p>
            <w:pPr>
              <w:spacing w:before="20" w:after="20"/>
            </w:pPr>
            <w:r>
              <w:rPr>
                <w:b/>
                <w:sz w:val="16"/>
                <w:szCs w:val="16"/>
              </w:rPr>
              <w:t>Rate type / complexity</w:t>
            </w:r>
          </w:p>
        </w:tc>
        <w:tc>
          <w:tcPr>
            <w:tcW w:type="dxa" w:w="1296"/>
            <w:vAlign w:val="center"/>
          </w:tcPr>
          <w:p>
            <w:pPr>
              <w:spacing w:before="20" w:after="20"/>
            </w:pPr>
            <w:r>
              <w:rPr>
                <w:b/>
                <w:sz w:val="16"/>
                <w:szCs w:val="16"/>
              </w:rPr>
              <w:t>Official source / edition</w:t>
            </w:r>
          </w:p>
        </w:tc>
        <w:tc>
          <w:tcPr>
            <w:tcW w:type="dxa" w:w="1296"/>
            <w:vAlign w:val="center"/>
          </w:tcPr>
          <w:p>
            <w:pPr>
              <w:spacing w:before="20" w:after="20"/>
            </w:pPr>
            <w:r>
              <w:rPr>
                <w:b/>
                <w:sz w:val="16"/>
                <w:szCs w:val="16"/>
              </w:rPr>
              <w:t>Verification</w:t>
            </w:r>
          </w:p>
        </w:tc>
        <w:tc>
          <w:tcPr>
            <w:tcW w:type="dxa" w:w="1296"/>
            <w:vAlign w:val="center"/>
          </w:tcPr>
          <w:p>
            <w:pPr>
              <w:spacing w:before="20" w:after="20"/>
            </w:pPr>
            <w:r>
              <w:rPr>
                <w:b/>
                <w:sz w:val="16"/>
                <w:szCs w:val="16"/>
              </w:rPr>
              <w:t>Schema stress exposed</w:t>
            </w:r>
          </w:p>
        </w:tc>
        <w:trPr>
          <w:tblHeader/>
        </w:trPr>
      </w:tr>
      <w:tr>
        <w:tc>
          <w:tcPr>
            <w:tcW w:type="dxa" w:w="1296"/>
            <w:vAlign w:val="top"/>
          </w:tcPr>
          <w:p>
            <w:pPr>
              <w:spacing w:before="20" w:after="20"/>
            </w:pPr>
            <w:r>
              <w:rPr>
                <w:sz w:val="16"/>
                <w:szCs w:val="16"/>
              </w:rPr>
              <w:t>US-001</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0406.20.10.00</w:t>
            </w:r>
          </w:p>
        </w:tc>
        <w:tc>
          <w:tcPr>
            <w:tcW w:type="dxa" w:w="1296"/>
            <w:vAlign w:val="top"/>
          </w:tcPr>
          <w:p>
            <w:pPr>
              <w:spacing w:before="20" w:after="20"/>
            </w:pPr>
            <w:r>
              <w:rPr>
                <w:sz w:val="16"/>
                <w:szCs w:val="16"/>
              </w:rPr>
              <w:t>Roquefort cheese</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8%</w:t>
            </w:r>
          </w:p>
        </w:tc>
        <w:tc>
          <w:tcPr>
            <w:tcW w:type="dxa" w:w="1296"/>
            <w:vAlign w:val="top"/>
          </w:tcPr>
          <w:p>
            <w:pPr>
              <w:spacing w:before="20" w:after="20"/>
            </w:pPr>
            <w:r>
              <w:rPr>
                <w:sz w:val="16"/>
                <w:szCs w:val="16"/>
              </w:rPr>
              <w:t>S (USMCA): Free</w:t>
            </w:r>
          </w:p>
        </w:tc>
        <w:tc>
          <w:tcPr>
            <w:tcW w:type="dxa" w:w="1296"/>
            <w:vAlign w:val="top"/>
          </w:tcPr>
          <w:p>
            <w:pPr>
              <w:spacing w:before="20" w:after="20"/>
            </w:pPr>
            <w:r>
              <w:rPr>
                <w:sz w:val="16"/>
                <w:szCs w:val="16"/>
              </w:rPr>
              <w:t>Ad valorem; direct S</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Verified - Official Structured</w:t>
            </w:r>
          </w:p>
        </w:tc>
        <w:tc>
          <w:tcPr>
            <w:tcW w:type="dxa" w:w="1296"/>
            <w:vAlign w:val="top"/>
          </w:tcPr>
          <w:p>
            <w:pPr>
              <w:spacing w:before="20" w:after="20"/>
            </w:pPr>
            <w:r>
              <w:rPr>
                <w:sz w:val="16"/>
                <w:szCs w:val="16"/>
              </w:rPr>
              <w:t>Direct USMCA symbol</w:t>
            </w:r>
          </w:p>
        </w:tc>
      </w:tr>
      <w:tr>
        <w:tc>
          <w:tcPr>
            <w:tcW w:type="dxa" w:w="1296"/>
            <w:vAlign w:val="top"/>
          </w:tcPr>
          <w:p>
            <w:pPr>
              <w:spacing w:before="20" w:after="20"/>
            </w:pPr>
            <w:r>
              <w:rPr>
                <w:sz w:val="16"/>
                <w:szCs w:val="16"/>
              </w:rPr>
              <w:t>US-002</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0406.20.15.00</w:t>
            </w:r>
          </w:p>
        </w:tc>
        <w:tc>
          <w:tcPr>
            <w:tcW w:type="dxa" w:w="1296"/>
            <w:vAlign w:val="top"/>
          </w:tcPr>
          <w:p>
            <w:pPr>
              <w:spacing w:before="20" w:after="20"/>
            </w:pPr>
            <w:r>
              <w:rPr>
                <w:sz w:val="16"/>
                <w:szCs w:val="16"/>
              </w:rPr>
              <w:t>Stilton cheese under Additional U.S. Note 24</w:t>
            </w:r>
          </w:p>
        </w:tc>
        <w:tc>
          <w:tcPr>
            <w:tcW w:type="dxa" w:w="1296"/>
            <w:vAlign w:val="top"/>
          </w:tcPr>
          <w:p>
            <w:pPr>
              <w:spacing w:before="20" w:after="20"/>
            </w:pPr>
            <w:r>
              <w:rPr>
                <w:sz w:val="16"/>
                <w:szCs w:val="16"/>
              </w:rPr>
              <w:t>kg; kg cmsc</w:t>
            </w:r>
          </w:p>
        </w:tc>
        <w:tc>
          <w:tcPr>
            <w:tcW w:type="dxa" w:w="1296"/>
            <w:vAlign w:val="top"/>
          </w:tcPr>
          <w:p>
            <w:pPr>
              <w:spacing w:before="20" w:after="20"/>
            </w:pPr>
            <w:r>
              <w:rPr>
                <w:sz w:val="16"/>
                <w:szCs w:val="16"/>
              </w:rPr>
              <w:t>17%</w:t>
            </w:r>
          </w:p>
        </w:tc>
        <w:tc>
          <w:tcPr>
            <w:tcW w:type="dxa" w:w="1296"/>
            <w:vAlign w:val="top"/>
          </w:tcPr>
          <w:p>
            <w:pPr>
              <w:spacing w:before="20" w:after="20"/>
            </w:pPr>
            <w:r>
              <w:rPr>
                <w:sz w:val="16"/>
                <w:szCs w:val="16"/>
              </w:rPr>
              <w:t>S (USMCA): Free</w:t>
            </w:r>
          </w:p>
        </w:tc>
        <w:tc>
          <w:tcPr>
            <w:tcW w:type="dxa" w:w="1296"/>
            <w:vAlign w:val="top"/>
          </w:tcPr>
          <w:p>
            <w:pPr>
              <w:spacing w:before="20" w:after="20"/>
            </w:pPr>
            <w:r>
              <w:rPr>
                <w:sz w:val="16"/>
                <w:szCs w:val="16"/>
              </w:rPr>
              <w:t>Note-conditioned direct S</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Verified - Official Structured</w:t>
            </w:r>
          </w:p>
        </w:tc>
        <w:tc>
          <w:tcPr>
            <w:tcW w:type="dxa" w:w="1296"/>
            <w:vAlign w:val="top"/>
          </w:tcPr>
          <w:p>
            <w:pPr>
              <w:spacing w:before="20" w:after="20"/>
            </w:pPr>
            <w:r>
              <w:rPr>
                <w:sz w:val="16"/>
                <w:szCs w:val="16"/>
              </w:rPr>
              <w:t>Additional U.S. note dependency</w:t>
            </w:r>
          </w:p>
        </w:tc>
      </w:tr>
      <w:tr>
        <w:tc>
          <w:tcPr>
            <w:tcW w:type="dxa" w:w="1296"/>
            <w:vAlign w:val="top"/>
          </w:tcPr>
          <w:p>
            <w:pPr>
              <w:spacing w:before="20" w:after="20"/>
            </w:pPr>
            <w:r>
              <w:rPr>
                <w:sz w:val="16"/>
                <w:szCs w:val="16"/>
              </w:rPr>
              <w:t>US-003</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0406.20.22.00</w:t>
            </w:r>
          </w:p>
        </w:tc>
        <w:tc>
          <w:tcPr>
            <w:tcW w:type="dxa" w:w="1296"/>
            <w:vAlign w:val="top"/>
          </w:tcPr>
          <w:p>
            <w:pPr>
              <w:spacing w:before="20" w:after="20"/>
            </w:pPr>
            <w:r>
              <w:rPr>
                <w:sz w:val="16"/>
                <w:szCs w:val="16"/>
              </w:rPr>
              <w:t>Cheese described in General Note 15</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20%</w:t>
            </w:r>
          </w:p>
        </w:tc>
        <w:tc>
          <w:tcPr>
            <w:tcW w:type="dxa" w:w="1296"/>
            <w:vAlign w:val="top"/>
          </w:tcPr>
          <w:p>
            <w:pPr>
              <w:spacing w:before="20" w:after="20"/>
            </w:pPr>
            <w:r>
              <w:rPr>
                <w:sz w:val="16"/>
                <w:szCs w:val="16"/>
              </w:rPr>
              <w:t>S (USMCA): Free</w:t>
            </w:r>
          </w:p>
        </w:tc>
        <w:tc>
          <w:tcPr>
            <w:tcW w:type="dxa" w:w="1296"/>
            <w:vAlign w:val="top"/>
          </w:tcPr>
          <w:p>
            <w:pPr>
              <w:spacing w:before="20" w:after="20"/>
            </w:pPr>
            <w:r>
              <w:rPr>
                <w:sz w:val="16"/>
                <w:szCs w:val="16"/>
              </w:rPr>
              <w:t>General-note dependency</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Verified - Official Structured</w:t>
            </w:r>
          </w:p>
        </w:tc>
        <w:tc>
          <w:tcPr>
            <w:tcW w:type="dxa" w:w="1296"/>
            <w:vAlign w:val="top"/>
          </w:tcPr>
          <w:p>
            <w:pPr>
              <w:spacing w:before="20" w:after="20"/>
            </w:pPr>
            <w:r>
              <w:rPr>
                <w:sz w:val="16"/>
                <w:szCs w:val="16"/>
              </w:rPr>
              <w:t>General note routing</w:t>
            </w:r>
          </w:p>
        </w:tc>
      </w:tr>
      <w:tr>
        <w:tc>
          <w:tcPr>
            <w:tcW w:type="dxa" w:w="1296"/>
            <w:vAlign w:val="top"/>
          </w:tcPr>
          <w:p>
            <w:pPr>
              <w:spacing w:before="20" w:after="20"/>
            </w:pPr>
            <w:r>
              <w:rPr>
                <w:sz w:val="16"/>
                <w:szCs w:val="16"/>
              </w:rPr>
              <w:t>US-004</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0406.20.24.00</w:t>
            </w:r>
          </w:p>
        </w:tc>
        <w:tc>
          <w:tcPr>
            <w:tcW w:type="dxa" w:w="1296"/>
            <w:vAlign w:val="top"/>
          </w:tcPr>
          <w:p>
            <w:pPr>
              <w:spacing w:before="20" w:after="20"/>
            </w:pPr>
            <w:r>
              <w:rPr>
                <w:sz w:val="16"/>
                <w:szCs w:val="16"/>
              </w:rPr>
              <w:t>Cheese under Additional U.S. Note 17</w:t>
            </w:r>
          </w:p>
        </w:tc>
        <w:tc>
          <w:tcPr>
            <w:tcW w:type="dxa" w:w="1296"/>
            <w:vAlign w:val="top"/>
          </w:tcPr>
          <w:p>
            <w:pPr>
              <w:spacing w:before="20" w:after="20"/>
            </w:pPr>
            <w:r>
              <w:rPr>
                <w:sz w:val="16"/>
                <w:szCs w:val="16"/>
              </w:rPr>
              <w:t>kg; kg cmsc</w:t>
            </w:r>
          </w:p>
        </w:tc>
        <w:tc>
          <w:tcPr>
            <w:tcW w:type="dxa" w:w="1296"/>
            <w:vAlign w:val="top"/>
          </w:tcPr>
          <w:p>
            <w:pPr>
              <w:spacing w:before="20" w:after="20"/>
            </w:pPr>
            <w:r>
              <w:rPr>
                <w:sz w:val="16"/>
                <w:szCs w:val="16"/>
              </w:rPr>
              <w:t>20%</w:t>
            </w:r>
          </w:p>
        </w:tc>
        <w:tc>
          <w:tcPr>
            <w:tcW w:type="dxa" w:w="1296"/>
            <w:vAlign w:val="top"/>
          </w:tcPr>
          <w:p>
            <w:pPr>
              <w:spacing w:before="20" w:after="20"/>
            </w:pPr>
            <w:r>
              <w:rPr>
                <w:sz w:val="16"/>
                <w:szCs w:val="16"/>
              </w:rPr>
              <w:t>S (USMCA): Free</w:t>
            </w:r>
          </w:p>
        </w:tc>
        <w:tc>
          <w:tcPr>
            <w:tcW w:type="dxa" w:w="1296"/>
            <w:vAlign w:val="top"/>
          </w:tcPr>
          <w:p>
            <w:pPr>
              <w:spacing w:before="20" w:after="20"/>
            </w:pPr>
            <w:r>
              <w:rPr>
                <w:sz w:val="16"/>
                <w:szCs w:val="16"/>
              </w:rPr>
              <w:t>Additional-note dependency</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Verified - Official Structured</w:t>
            </w:r>
          </w:p>
        </w:tc>
        <w:tc>
          <w:tcPr>
            <w:tcW w:type="dxa" w:w="1296"/>
            <w:vAlign w:val="top"/>
          </w:tcPr>
          <w:p>
            <w:pPr>
              <w:spacing w:before="20" w:after="20"/>
            </w:pPr>
            <w:r>
              <w:rPr>
                <w:sz w:val="16"/>
                <w:szCs w:val="16"/>
              </w:rPr>
              <w:t>Quota/note dependency</w:t>
            </w:r>
          </w:p>
        </w:tc>
      </w:tr>
      <w:tr>
        <w:tc>
          <w:tcPr>
            <w:tcW w:type="dxa" w:w="1296"/>
            <w:vAlign w:val="top"/>
          </w:tcPr>
          <w:p>
            <w:pPr>
              <w:spacing w:before="20" w:after="20"/>
            </w:pPr>
            <w:r>
              <w:rPr>
                <w:sz w:val="16"/>
                <w:szCs w:val="16"/>
              </w:rPr>
              <w:t>US-005</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0406.20.28.00</w:t>
            </w:r>
          </w:p>
        </w:tc>
        <w:tc>
          <w:tcPr>
            <w:tcW w:type="dxa" w:w="1296"/>
            <w:vAlign w:val="top"/>
          </w:tcPr>
          <w:p>
            <w:pPr>
              <w:spacing w:before="20" w:after="20"/>
            </w:pPr>
            <w:r>
              <w:rPr>
                <w:sz w:val="16"/>
                <w:szCs w:val="16"/>
              </w:rPr>
              <w:t>Other grated/powdered blue-veined cheese</w:t>
            </w:r>
          </w:p>
        </w:tc>
        <w:tc>
          <w:tcPr>
            <w:tcW w:type="dxa" w:w="1296"/>
            <w:vAlign w:val="top"/>
          </w:tcPr>
          <w:p>
            <w:pPr>
              <w:spacing w:before="20" w:after="20"/>
            </w:pPr>
            <w:r>
              <w:rPr>
                <w:sz w:val="16"/>
                <w:szCs w:val="16"/>
              </w:rPr>
              <w:t>kg; kg cmsc</w:t>
            </w:r>
          </w:p>
        </w:tc>
        <w:tc>
          <w:tcPr>
            <w:tcW w:type="dxa" w:w="1296"/>
            <w:vAlign w:val="top"/>
          </w:tcPr>
          <w:p>
            <w:pPr>
              <w:spacing w:before="20" w:after="20"/>
            </w:pPr>
            <w:r>
              <w:rPr>
                <w:sz w:val="16"/>
                <w:szCs w:val="16"/>
              </w:rPr>
              <w:t>$2.269/kg</w:t>
            </w:r>
          </w:p>
        </w:tc>
        <w:tc>
          <w:tcPr>
            <w:tcW w:type="dxa" w:w="1296"/>
            <w:vAlign w:val="top"/>
          </w:tcPr>
          <w:p>
            <w:pPr>
              <w:spacing w:before="20" w:after="20"/>
            </w:pPr>
            <w:r>
              <w:rPr>
                <w:sz w:val="16"/>
                <w:szCs w:val="16"/>
              </w:rPr>
              <w:t>S+: See 9823.04.01-9823.04.54</w:t>
            </w:r>
          </w:p>
        </w:tc>
        <w:tc>
          <w:tcPr>
            <w:tcW w:type="dxa" w:w="1296"/>
            <w:vAlign w:val="top"/>
          </w:tcPr>
          <w:p>
            <w:pPr>
              <w:spacing w:before="20" w:after="20"/>
            </w:pPr>
            <w:r>
              <w:rPr>
                <w:sz w:val="16"/>
                <w:szCs w:val="16"/>
              </w:rPr>
              <w:t>Specific; Chapter 98 routing</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Verified - Official Structured</w:t>
            </w:r>
          </w:p>
        </w:tc>
        <w:tc>
          <w:tcPr>
            <w:tcW w:type="dxa" w:w="1296"/>
            <w:vAlign w:val="top"/>
          </w:tcPr>
          <w:p>
            <w:pPr>
              <w:spacing w:before="20" w:after="20"/>
            </w:pPr>
            <w:r>
              <w:rPr>
                <w:sz w:val="16"/>
                <w:szCs w:val="16"/>
              </w:rPr>
              <w:t>Base line + Ch.98 overlay</w:t>
            </w:r>
          </w:p>
        </w:tc>
      </w:tr>
      <w:tr>
        <w:tc>
          <w:tcPr>
            <w:tcW w:type="dxa" w:w="1296"/>
            <w:vAlign w:val="top"/>
          </w:tcPr>
          <w:p>
            <w:pPr>
              <w:spacing w:before="20" w:after="20"/>
            </w:pPr>
            <w:r>
              <w:rPr>
                <w:sz w:val="16"/>
                <w:szCs w:val="16"/>
              </w:rPr>
              <w:t>US-006</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0402.99.70.00</w:t>
            </w:r>
          </w:p>
        </w:tc>
        <w:tc>
          <w:tcPr>
            <w:tcW w:type="dxa" w:w="1296"/>
            <w:vAlign w:val="top"/>
          </w:tcPr>
          <w:p>
            <w:pPr>
              <w:spacing w:before="20" w:after="20"/>
            </w:pPr>
            <w:r>
              <w:rPr>
                <w:sz w:val="16"/>
                <w:szCs w:val="16"/>
              </w:rPr>
              <w:t>Milk/cream product under Additional U.S. Note 10</w:t>
            </w:r>
          </w:p>
        </w:tc>
        <w:tc>
          <w:tcPr>
            <w:tcW w:type="dxa" w:w="1296"/>
            <w:vAlign w:val="top"/>
          </w:tcPr>
          <w:p>
            <w:pPr>
              <w:spacing w:before="20" w:after="20"/>
            </w:pPr>
            <w:r>
              <w:rPr>
                <w:sz w:val="16"/>
                <w:szCs w:val="16"/>
              </w:rPr>
              <w:t>kg; kg cmsc</w:t>
            </w:r>
          </w:p>
        </w:tc>
        <w:tc>
          <w:tcPr>
            <w:tcW w:type="dxa" w:w="1296"/>
            <w:vAlign w:val="top"/>
          </w:tcPr>
          <w:p>
            <w:pPr>
              <w:spacing w:before="20" w:after="20"/>
            </w:pPr>
            <w:r>
              <w:rPr>
                <w:sz w:val="16"/>
                <w:szCs w:val="16"/>
              </w:rPr>
              <w:t>17.5%</w:t>
            </w:r>
          </w:p>
        </w:tc>
        <w:tc>
          <w:tcPr>
            <w:tcW w:type="dxa" w:w="1296"/>
            <w:vAlign w:val="top"/>
          </w:tcPr>
          <w:p>
            <w:pPr>
              <w:spacing w:before="20" w:after="20"/>
            </w:pPr>
            <w:r>
              <w:rPr>
                <w:sz w:val="16"/>
                <w:szCs w:val="16"/>
              </w:rPr>
              <w:t>S (USMCA): Free</w:t>
            </w:r>
          </w:p>
        </w:tc>
        <w:tc>
          <w:tcPr>
            <w:tcW w:type="dxa" w:w="1296"/>
            <w:vAlign w:val="top"/>
          </w:tcPr>
          <w:p>
            <w:pPr>
              <w:spacing w:before="20" w:after="20"/>
            </w:pPr>
            <w:r>
              <w:rPr>
                <w:sz w:val="16"/>
                <w:szCs w:val="16"/>
              </w:rPr>
              <w:t>Ad valorem + note</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Verified - Official Structured</w:t>
            </w:r>
          </w:p>
        </w:tc>
        <w:tc>
          <w:tcPr>
            <w:tcW w:type="dxa" w:w="1296"/>
            <w:vAlign w:val="top"/>
          </w:tcPr>
          <w:p>
            <w:pPr>
              <w:spacing w:before="20" w:after="20"/>
            </w:pPr>
            <w:r>
              <w:rPr>
                <w:sz w:val="16"/>
                <w:szCs w:val="16"/>
              </w:rPr>
              <w:t>Note-conditioned preference</w:t>
            </w:r>
          </w:p>
        </w:tc>
      </w:tr>
      <w:tr>
        <w:tc>
          <w:tcPr>
            <w:tcW w:type="dxa" w:w="1296"/>
            <w:vAlign w:val="top"/>
          </w:tcPr>
          <w:p>
            <w:pPr>
              <w:spacing w:before="20" w:after="20"/>
            </w:pPr>
            <w:r>
              <w:rPr>
                <w:sz w:val="16"/>
                <w:szCs w:val="16"/>
              </w:rPr>
              <w:t>US-007</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0402.99.90.00</w:t>
            </w:r>
          </w:p>
        </w:tc>
        <w:tc>
          <w:tcPr>
            <w:tcW w:type="dxa" w:w="1296"/>
            <w:vAlign w:val="top"/>
          </w:tcPr>
          <w:p>
            <w:pPr>
              <w:spacing w:before="20" w:after="20"/>
            </w:pPr>
            <w:r>
              <w:rPr>
                <w:sz w:val="16"/>
                <w:szCs w:val="16"/>
              </w:rPr>
              <w:t>Other concentrated/sweetened milk/cream</w:t>
            </w:r>
          </w:p>
        </w:tc>
        <w:tc>
          <w:tcPr>
            <w:tcW w:type="dxa" w:w="1296"/>
            <w:vAlign w:val="top"/>
          </w:tcPr>
          <w:p>
            <w:pPr>
              <w:spacing w:before="20" w:after="20"/>
            </w:pPr>
            <w:r>
              <w:rPr>
                <w:sz w:val="16"/>
                <w:szCs w:val="16"/>
              </w:rPr>
              <w:t>kg; kg cmsc</w:t>
            </w:r>
          </w:p>
        </w:tc>
        <w:tc>
          <w:tcPr>
            <w:tcW w:type="dxa" w:w="1296"/>
            <w:vAlign w:val="top"/>
          </w:tcPr>
          <w:p>
            <w:pPr>
              <w:spacing w:before="20" w:after="20"/>
            </w:pPr>
            <w:r>
              <w:rPr>
                <w:sz w:val="16"/>
                <w:szCs w:val="16"/>
              </w:rPr>
              <w:t>46.3¢/kg + 14.9%</w:t>
            </w:r>
          </w:p>
        </w:tc>
        <w:tc>
          <w:tcPr>
            <w:tcW w:type="dxa" w:w="1296"/>
            <w:vAlign w:val="top"/>
          </w:tcPr>
          <w:p>
            <w:pPr>
              <w:spacing w:before="20" w:after="20"/>
            </w:pPr>
            <w:r>
              <w:rPr>
                <w:sz w:val="16"/>
                <w:szCs w:val="16"/>
              </w:rPr>
              <w:t>S+: See 9823.07.01-9823.07.07</w:t>
            </w:r>
          </w:p>
        </w:tc>
        <w:tc>
          <w:tcPr>
            <w:tcW w:type="dxa" w:w="1296"/>
            <w:vAlign w:val="top"/>
          </w:tcPr>
          <w:p>
            <w:pPr>
              <w:spacing w:before="20" w:after="20"/>
            </w:pPr>
            <w:r>
              <w:rPr>
                <w:sz w:val="16"/>
                <w:szCs w:val="16"/>
              </w:rPr>
              <w:t>Compound; Chapter 98 routing</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Verified - Official Structured</w:t>
            </w:r>
          </w:p>
        </w:tc>
        <w:tc>
          <w:tcPr>
            <w:tcW w:type="dxa" w:w="1296"/>
            <w:vAlign w:val="top"/>
          </w:tcPr>
          <w:p>
            <w:pPr>
              <w:spacing w:before="20" w:after="20"/>
            </w:pPr>
            <w:r>
              <w:rPr>
                <w:sz w:val="16"/>
                <w:szCs w:val="16"/>
              </w:rPr>
              <w:t>Compound + Ch.98</w:t>
            </w:r>
          </w:p>
        </w:tc>
      </w:tr>
      <w:tr>
        <w:tc>
          <w:tcPr>
            <w:tcW w:type="dxa" w:w="1296"/>
            <w:vAlign w:val="top"/>
          </w:tcPr>
          <w:p>
            <w:pPr>
              <w:spacing w:before="20" w:after="20"/>
            </w:pPr>
            <w:r>
              <w:rPr>
                <w:sz w:val="16"/>
                <w:szCs w:val="16"/>
              </w:rPr>
              <w:t>US-008</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0403.20.05.00</w:t>
            </w:r>
          </w:p>
        </w:tc>
        <w:tc>
          <w:tcPr>
            <w:tcW w:type="dxa" w:w="1296"/>
            <w:vAlign w:val="top"/>
          </w:tcPr>
          <w:p>
            <w:pPr>
              <w:spacing w:before="20" w:after="20"/>
            </w:pPr>
            <w:r>
              <w:rPr>
                <w:sz w:val="16"/>
                <w:szCs w:val="16"/>
              </w:rPr>
              <w:t>Dry-form yogurt under General Note 15</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20%</w:t>
            </w:r>
          </w:p>
        </w:tc>
        <w:tc>
          <w:tcPr>
            <w:tcW w:type="dxa" w:w="1296"/>
            <w:vAlign w:val="top"/>
          </w:tcPr>
          <w:p>
            <w:pPr>
              <w:spacing w:before="20" w:after="20"/>
            </w:pPr>
            <w:r>
              <w:rPr>
                <w:sz w:val="16"/>
                <w:szCs w:val="16"/>
              </w:rPr>
              <w:t>S (USMCA): Free</w:t>
            </w:r>
          </w:p>
        </w:tc>
        <w:tc>
          <w:tcPr>
            <w:tcW w:type="dxa" w:w="1296"/>
            <w:vAlign w:val="top"/>
          </w:tcPr>
          <w:p>
            <w:pPr>
              <w:spacing w:before="20" w:after="20"/>
            </w:pPr>
            <w:r>
              <w:rPr>
                <w:sz w:val="16"/>
                <w:szCs w:val="16"/>
              </w:rPr>
              <w:t>Ad valorem + general note</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Verified - Official Structured</w:t>
            </w:r>
          </w:p>
        </w:tc>
        <w:tc>
          <w:tcPr>
            <w:tcW w:type="dxa" w:w="1296"/>
            <w:vAlign w:val="top"/>
          </w:tcPr>
          <w:p>
            <w:pPr>
              <w:spacing w:before="20" w:after="20"/>
            </w:pPr>
            <w:r>
              <w:rPr>
                <w:sz w:val="16"/>
                <w:szCs w:val="16"/>
              </w:rPr>
              <w:t>General-note eligibility</w:t>
            </w:r>
          </w:p>
        </w:tc>
      </w:tr>
      <w:tr>
        <w:tc>
          <w:tcPr>
            <w:tcW w:type="dxa" w:w="1296"/>
            <w:vAlign w:val="top"/>
          </w:tcPr>
          <w:p>
            <w:pPr>
              <w:spacing w:before="20" w:after="20"/>
            </w:pPr>
            <w:r>
              <w:rPr>
                <w:sz w:val="16"/>
                <w:szCs w:val="16"/>
              </w:rPr>
              <w:t>US-009</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0403.20.10.00</w:t>
            </w:r>
          </w:p>
        </w:tc>
        <w:tc>
          <w:tcPr>
            <w:tcW w:type="dxa" w:w="1296"/>
            <w:vAlign w:val="top"/>
          </w:tcPr>
          <w:p>
            <w:pPr>
              <w:spacing w:before="20" w:after="20"/>
            </w:pPr>
            <w:r>
              <w:rPr>
                <w:sz w:val="16"/>
                <w:szCs w:val="16"/>
              </w:rPr>
              <w:t>Dry-form yogurt under Additional U.S. Note 10</w:t>
            </w:r>
          </w:p>
        </w:tc>
        <w:tc>
          <w:tcPr>
            <w:tcW w:type="dxa" w:w="1296"/>
            <w:vAlign w:val="top"/>
          </w:tcPr>
          <w:p>
            <w:pPr>
              <w:spacing w:before="20" w:after="20"/>
            </w:pPr>
            <w:r>
              <w:rPr>
                <w:sz w:val="16"/>
                <w:szCs w:val="16"/>
              </w:rPr>
              <w:t>kg; kg cmsc</w:t>
            </w:r>
          </w:p>
        </w:tc>
        <w:tc>
          <w:tcPr>
            <w:tcW w:type="dxa" w:w="1296"/>
            <w:vAlign w:val="top"/>
          </w:tcPr>
          <w:p>
            <w:pPr>
              <w:spacing w:before="20" w:after="20"/>
            </w:pPr>
            <w:r>
              <w:rPr>
                <w:sz w:val="16"/>
                <w:szCs w:val="16"/>
              </w:rPr>
              <w:t>20%</w:t>
            </w:r>
          </w:p>
        </w:tc>
        <w:tc>
          <w:tcPr>
            <w:tcW w:type="dxa" w:w="1296"/>
            <w:vAlign w:val="top"/>
          </w:tcPr>
          <w:p>
            <w:pPr>
              <w:spacing w:before="20" w:after="20"/>
            </w:pPr>
            <w:r>
              <w:rPr>
                <w:sz w:val="16"/>
                <w:szCs w:val="16"/>
              </w:rPr>
              <w:t>S (USMCA): Free</w:t>
            </w:r>
          </w:p>
        </w:tc>
        <w:tc>
          <w:tcPr>
            <w:tcW w:type="dxa" w:w="1296"/>
            <w:vAlign w:val="top"/>
          </w:tcPr>
          <w:p>
            <w:pPr>
              <w:spacing w:before="20" w:after="20"/>
            </w:pPr>
            <w:r>
              <w:rPr>
                <w:sz w:val="16"/>
                <w:szCs w:val="16"/>
              </w:rPr>
              <w:t>Ad valorem + additional note</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Verified - Official Structured</w:t>
            </w:r>
          </w:p>
        </w:tc>
        <w:tc>
          <w:tcPr>
            <w:tcW w:type="dxa" w:w="1296"/>
            <w:vAlign w:val="top"/>
          </w:tcPr>
          <w:p>
            <w:pPr>
              <w:spacing w:before="20" w:after="20"/>
            </w:pPr>
            <w:r>
              <w:rPr>
                <w:sz w:val="16"/>
                <w:szCs w:val="16"/>
              </w:rPr>
              <w:t>Quota/note distinction</w:t>
            </w:r>
          </w:p>
        </w:tc>
      </w:tr>
      <w:tr>
        <w:tc>
          <w:tcPr>
            <w:tcW w:type="dxa" w:w="1296"/>
            <w:vAlign w:val="top"/>
          </w:tcPr>
          <w:p>
            <w:pPr>
              <w:spacing w:before="20" w:after="20"/>
            </w:pPr>
            <w:r>
              <w:rPr>
                <w:sz w:val="16"/>
                <w:szCs w:val="16"/>
              </w:rPr>
              <w:t>US-010</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0403.20.50.00</w:t>
            </w:r>
          </w:p>
        </w:tc>
        <w:tc>
          <w:tcPr>
            <w:tcW w:type="dxa" w:w="1296"/>
            <w:vAlign w:val="top"/>
          </w:tcPr>
          <w:p>
            <w:pPr>
              <w:spacing w:before="20" w:after="20"/>
            </w:pPr>
            <w:r>
              <w:rPr>
                <w:sz w:val="16"/>
                <w:szCs w:val="16"/>
              </w:rPr>
              <w:t>Other dry-form yogurt</w:t>
            </w:r>
          </w:p>
        </w:tc>
        <w:tc>
          <w:tcPr>
            <w:tcW w:type="dxa" w:w="1296"/>
            <w:vAlign w:val="top"/>
          </w:tcPr>
          <w:p>
            <w:pPr>
              <w:spacing w:before="20" w:after="20"/>
            </w:pPr>
            <w:r>
              <w:rPr>
                <w:sz w:val="16"/>
                <w:szCs w:val="16"/>
              </w:rPr>
              <w:t>kg; kg cmsc</w:t>
            </w:r>
          </w:p>
        </w:tc>
        <w:tc>
          <w:tcPr>
            <w:tcW w:type="dxa" w:w="1296"/>
            <w:vAlign w:val="top"/>
          </w:tcPr>
          <w:p>
            <w:pPr>
              <w:spacing w:before="20" w:after="20"/>
            </w:pPr>
            <w:r>
              <w:rPr>
                <w:sz w:val="16"/>
                <w:szCs w:val="16"/>
              </w:rPr>
              <w:t>$1.035/kg + 17%</w:t>
            </w:r>
          </w:p>
        </w:tc>
        <w:tc>
          <w:tcPr>
            <w:tcW w:type="dxa" w:w="1296"/>
            <w:vAlign w:val="top"/>
          </w:tcPr>
          <w:p>
            <w:pPr>
              <w:spacing w:before="20" w:after="20"/>
            </w:pPr>
            <w:r>
              <w:rPr>
                <w:sz w:val="16"/>
                <w:szCs w:val="16"/>
              </w:rPr>
              <w:t>S+: See 9823.06.01-9823.06.09</w:t>
            </w:r>
          </w:p>
        </w:tc>
        <w:tc>
          <w:tcPr>
            <w:tcW w:type="dxa" w:w="1296"/>
            <w:vAlign w:val="top"/>
          </w:tcPr>
          <w:p>
            <w:pPr>
              <w:spacing w:before="20" w:after="20"/>
            </w:pPr>
            <w:r>
              <w:rPr>
                <w:sz w:val="16"/>
                <w:szCs w:val="16"/>
              </w:rPr>
              <w:t>Compound; Chapter 98 routing</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Verified - Official Structured</w:t>
            </w:r>
          </w:p>
        </w:tc>
        <w:tc>
          <w:tcPr>
            <w:tcW w:type="dxa" w:w="1296"/>
            <w:vAlign w:val="top"/>
          </w:tcPr>
          <w:p>
            <w:pPr>
              <w:spacing w:before="20" w:after="20"/>
            </w:pPr>
            <w:r>
              <w:rPr>
                <w:sz w:val="16"/>
                <w:szCs w:val="16"/>
              </w:rPr>
              <w:t>Compound + special routing</w:t>
            </w:r>
          </w:p>
        </w:tc>
      </w:tr>
      <w:tr>
        <w:tc>
          <w:tcPr>
            <w:tcW w:type="dxa" w:w="1296"/>
            <w:vAlign w:val="top"/>
          </w:tcPr>
          <w:p>
            <w:pPr>
              <w:spacing w:before="20" w:after="20"/>
            </w:pPr>
            <w:r>
              <w:rPr>
                <w:sz w:val="16"/>
                <w:szCs w:val="16"/>
              </w:rPr>
              <w:t>US-011</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0406.10.84.00</w:t>
            </w:r>
          </w:p>
        </w:tc>
        <w:tc>
          <w:tcPr>
            <w:tcW w:type="dxa" w:w="1296"/>
            <w:vAlign w:val="top"/>
          </w:tcPr>
          <w:p>
            <w:pPr>
              <w:spacing w:before="20" w:after="20"/>
            </w:pPr>
            <w:r>
              <w:rPr>
                <w:sz w:val="16"/>
                <w:szCs w:val="16"/>
              </w:rPr>
              <w:t>Fresh cheese under Additional U.S. Note 16</w:t>
            </w:r>
          </w:p>
        </w:tc>
        <w:tc>
          <w:tcPr>
            <w:tcW w:type="dxa" w:w="1296"/>
            <w:vAlign w:val="top"/>
          </w:tcPr>
          <w:p>
            <w:pPr>
              <w:spacing w:before="20" w:after="20"/>
            </w:pPr>
            <w:r>
              <w:rPr>
                <w:sz w:val="16"/>
                <w:szCs w:val="16"/>
              </w:rPr>
              <w:t>kg; kg cmsc</w:t>
            </w:r>
          </w:p>
        </w:tc>
        <w:tc>
          <w:tcPr>
            <w:tcW w:type="dxa" w:w="1296"/>
            <w:vAlign w:val="top"/>
          </w:tcPr>
          <w:p>
            <w:pPr>
              <w:spacing w:before="20" w:after="20"/>
            </w:pPr>
            <w:r>
              <w:rPr>
                <w:sz w:val="16"/>
                <w:szCs w:val="16"/>
              </w:rPr>
              <w:t>10%</w:t>
            </w:r>
          </w:p>
        </w:tc>
        <w:tc>
          <w:tcPr>
            <w:tcW w:type="dxa" w:w="1296"/>
            <w:vAlign w:val="top"/>
          </w:tcPr>
          <w:p>
            <w:pPr>
              <w:spacing w:before="20" w:after="20"/>
            </w:pPr>
            <w:r>
              <w:rPr>
                <w:sz w:val="16"/>
                <w:szCs w:val="16"/>
              </w:rPr>
              <w:t>S (USMCA): Free</w:t>
            </w:r>
          </w:p>
        </w:tc>
        <w:tc>
          <w:tcPr>
            <w:tcW w:type="dxa" w:w="1296"/>
            <w:vAlign w:val="top"/>
          </w:tcPr>
          <w:p>
            <w:pPr>
              <w:spacing w:before="20" w:after="20"/>
            </w:pPr>
            <w:r>
              <w:rPr>
                <w:sz w:val="16"/>
                <w:szCs w:val="16"/>
              </w:rPr>
              <w:t>Ad valorem + note</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Verified - Official Structured</w:t>
            </w:r>
          </w:p>
        </w:tc>
        <w:tc>
          <w:tcPr>
            <w:tcW w:type="dxa" w:w="1296"/>
            <w:vAlign w:val="top"/>
          </w:tcPr>
          <w:p>
            <w:pPr>
              <w:spacing w:before="20" w:after="20"/>
            </w:pPr>
            <w:r>
              <w:rPr>
                <w:sz w:val="16"/>
                <w:szCs w:val="16"/>
              </w:rPr>
              <w:t>Additional-note dependency</w:t>
            </w:r>
          </w:p>
        </w:tc>
      </w:tr>
      <w:tr>
        <w:tc>
          <w:tcPr>
            <w:tcW w:type="dxa" w:w="1296"/>
            <w:vAlign w:val="top"/>
          </w:tcPr>
          <w:p>
            <w:pPr>
              <w:spacing w:before="20" w:after="20"/>
            </w:pPr>
            <w:r>
              <w:rPr>
                <w:sz w:val="16"/>
                <w:szCs w:val="16"/>
              </w:rPr>
              <w:t>US-012</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0406.10.88.00</w:t>
            </w:r>
          </w:p>
        </w:tc>
        <w:tc>
          <w:tcPr>
            <w:tcW w:type="dxa" w:w="1296"/>
            <w:vAlign w:val="top"/>
          </w:tcPr>
          <w:p>
            <w:pPr>
              <w:spacing w:before="20" w:after="20"/>
            </w:pPr>
            <w:r>
              <w:rPr>
                <w:sz w:val="16"/>
                <w:szCs w:val="16"/>
              </w:rPr>
              <w:t>Other fresh cheese</w:t>
            </w:r>
          </w:p>
        </w:tc>
        <w:tc>
          <w:tcPr>
            <w:tcW w:type="dxa" w:w="1296"/>
            <w:vAlign w:val="top"/>
          </w:tcPr>
          <w:p>
            <w:pPr>
              <w:spacing w:before="20" w:after="20"/>
            </w:pPr>
            <w:r>
              <w:rPr>
                <w:sz w:val="16"/>
                <w:szCs w:val="16"/>
              </w:rPr>
              <w:t>kg; kg cmsc</w:t>
            </w:r>
          </w:p>
        </w:tc>
        <w:tc>
          <w:tcPr>
            <w:tcW w:type="dxa" w:w="1296"/>
            <w:vAlign w:val="top"/>
          </w:tcPr>
          <w:p>
            <w:pPr>
              <w:spacing w:before="20" w:after="20"/>
            </w:pPr>
            <w:r>
              <w:rPr>
                <w:sz w:val="16"/>
                <w:szCs w:val="16"/>
              </w:rPr>
              <w:t>$1.509/kg</w:t>
            </w:r>
          </w:p>
        </w:tc>
        <w:tc>
          <w:tcPr>
            <w:tcW w:type="dxa" w:w="1296"/>
            <w:vAlign w:val="top"/>
          </w:tcPr>
          <w:p>
            <w:pPr>
              <w:spacing w:before="20" w:after="20"/>
            </w:pPr>
            <w:r>
              <w:rPr>
                <w:sz w:val="16"/>
                <w:szCs w:val="16"/>
              </w:rPr>
              <w:t>S+: See 9823.04.01-9823.04.54</w:t>
            </w:r>
          </w:p>
        </w:tc>
        <w:tc>
          <w:tcPr>
            <w:tcW w:type="dxa" w:w="1296"/>
            <w:vAlign w:val="top"/>
          </w:tcPr>
          <w:p>
            <w:pPr>
              <w:spacing w:before="20" w:after="20"/>
            </w:pPr>
            <w:r>
              <w:rPr>
                <w:sz w:val="16"/>
                <w:szCs w:val="16"/>
              </w:rPr>
              <w:t>Specific; Chapter 98 routing</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Verified - Official Structured</w:t>
            </w:r>
          </w:p>
        </w:tc>
        <w:tc>
          <w:tcPr>
            <w:tcW w:type="dxa" w:w="1296"/>
            <w:vAlign w:val="top"/>
          </w:tcPr>
          <w:p>
            <w:pPr>
              <w:spacing w:before="20" w:after="20"/>
            </w:pPr>
            <w:r>
              <w:rPr>
                <w:sz w:val="16"/>
                <w:szCs w:val="16"/>
              </w:rPr>
              <w:t>Specific + Ch.98</w:t>
            </w:r>
          </w:p>
        </w:tc>
      </w:tr>
      <w:tr>
        <w:tc>
          <w:tcPr>
            <w:tcW w:type="dxa" w:w="1296"/>
            <w:vAlign w:val="top"/>
          </w:tcPr>
          <w:p>
            <w:pPr>
              <w:spacing w:before="20" w:after="20"/>
            </w:pPr>
            <w:r>
              <w:rPr>
                <w:sz w:val="16"/>
                <w:szCs w:val="16"/>
              </w:rPr>
              <w:t>US-013</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0406.10.95.00</w:t>
            </w:r>
          </w:p>
        </w:tc>
        <w:tc>
          <w:tcPr>
            <w:tcW w:type="dxa" w:w="1296"/>
            <w:vAlign w:val="top"/>
          </w:tcPr>
          <w:p>
            <w:pPr>
              <w:spacing w:before="20" w:after="20"/>
            </w:pPr>
            <w:r>
              <w:rPr>
                <w:sz w:val="16"/>
                <w:szCs w:val="16"/>
              </w:rPr>
              <w:t>Other fresh cheese</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8.5%</w:t>
            </w:r>
          </w:p>
        </w:tc>
        <w:tc>
          <w:tcPr>
            <w:tcW w:type="dxa" w:w="1296"/>
            <w:vAlign w:val="top"/>
          </w:tcPr>
          <w:p>
            <w:pPr>
              <w:spacing w:before="20" w:after="20"/>
            </w:pPr>
            <w:r>
              <w:rPr>
                <w:sz w:val="16"/>
                <w:szCs w:val="16"/>
              </w:rPr>
              <w:t>S (USMCA): Free</w:t>
            </w:r>
          </w:p>
        </w:tc>
        <w:tc>
          <w:tcPr>
            <w:tcW w:type="dxa" w:w="1296"/>
            <w:vAlign w:val="top"/>
          </w:tcPr>
          <w:p>
            <w:pPr>
              <w:spacing w:before="20" w:after="20"/>
            </w:pPr>
            <w:r>
              <w:rPr>
                <w:sz w:val="16"/>
                <w:szCs w:val="16"/>
              </w:rPr>
              <w:t>Ad valorem; direct S</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Verified - Official Structured</w:t>
            </w:r>
          </w:p>
        </w:tc>
        <w:tc>
          <w:tcPr>
            <w:tcW w:type="dxa" w:w="1296"/>
            <w:vAlign w:val="top"/>
          </w:tcPr>
          <w:p>
            <w:pPr>
              <w:spacing w:before="20" w:after="20"/>
            </w:pPr>
            <w:r>
              <w:rPr>
                <w:sz w:val="16"/>
                <w:szCs w:val="16"/>
              </w:rPr>
              <w:t>Direct preference control</w:t>
            </w:r>
          </w:p>
        </w:tc>
      </w:tr>
      <w:tr>
        <w:tc>
          <w:tcPr>
            <w:tcW w:type="dxa" w:w="1296"/>
            <w:vAlign w:val="top"/>
          </w:tcPr>
          <w:p>
            <w:pPr>
              <w:spacing w:before="20" w:after="20"/>
            </w:pPr>
            <w:r>
              <w:rPr>
                <w:sz w:val="16"/>
                <w:szCs w:val="16"/>
              </w:rPr>
              <w:t>US-014</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0406.20.31.10</w:t>
            </w:r>
          </w:p>
        </w:tc>
        <w:tc>
          <w:tcPr>
            <w:tcW w:type="dxa" w:w="1296"/>
            <w:vAlign w:val="top"/>
          </w:tcPr>
          <w:p>
            <w:pPr>
              <w:spacing w:before="20" w:after="20"/>
            </w:pPr>
            <w:r>
              <w:rPr>
                <w:sz w:val="16"/>
                <w:szCs w:val="16"/>
              </w:rPr>
              <w:t>Produced in Canada and not subject to licensing requirements</w:t>
            </w:r>
          </w:p>
        </w:tc>
        <w:tc>
          <w:tcPr>
            <w:tcW w:type="dxa" w:w="1296"/>
            <w:vAlign w:val="top"/>
          </w:tcPr>
          <w:p>
            <w:pPr>
              <w:spacing w:before="20" w:after="20"/>
            </w:pPr>
            <w:r>
              <w:rPr>
                <w:sz w:val="16"/>
                <w:szCs w:val="16"/>
              </w:rPr>
              <w:t>kg; kg cmsc</w:t>
            </w:r>
          </w:p>
        </w:tc>
        <w:tc>
          <w:tcPr>
            <w:tcW w:type="dxa" w:w="1296"/>
            <w:vAlign w:val="top"/>
          </w:tcPr>
          <w:p>
            <w:pPr>
              <w:spacing w:before="20" w:after="20"/>
            </w:pPr>
            <w:r>
              <w:rPr>
                <w:sz w:val="16"/>
                <w:szCs w:val="16"/>
              </w:rPr>
              <w:t>Parent-line treatment required</w:t>
            </w:r>
          </w:p>
        </w:tc>
        <w:tc>
          <w:tcPr>
            <w:tcW w:type="dxa" w:w="1296"/>
            <w:vAlign w:val="top"/>
          </w:tcPr>
          <w:p>
            <w:pPr>
              <w:spacing w:before="20" w:after="20"/>
            </w:pPr>
            <w:r>
              <w:rPr>
                <w:sz w:val="16"/>
                <w:szCs w:val="16"/>
              </w:rPr>
              <w:t>Country-specific statistical breakout</w:t>
            </w:r>
          </w:p>
        </w:tc>
        <w:tc>
          <w:tcPr>
            <w:tcW w:type="dxa" w:w="1296"/>
            <w:vAlign w:val="top"/>
          </w:tcPr>
          <w:p>
            <w:pPr>
              <w:spacing w:before="20" w:after="20"/>
            </w:pPr>
            <w:r>
              <w:rPr>
                <w:sz w:val="16"/>
                <w:szCs w:val="16"/>
              </w:rPr>
              <w:t>Statistical suffix</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Partially Verified</w:t>
            </w:r>
          </w:p>
        </w:tc>
        <w:tc>
          <w:tcPr>
            <w:tcW w:type="dxa" w:w="1296"/>
            <w:vAlign w:val="top"/>
          </w:tcPr>
          <w:p>
            <w:pPr>
              <w:spacing w:before="20" w:after="20"/>
            </w:pPr>
            <w:r>
              <w:rPr>
                <w:sz w:val="16"/>
                <w:szCs w:val="16"/>
              </w:rPr>
              <w:t>Country-specific suffix</w:t>
            </w:r>
          </w:p>
        </w:tc>
      </w:tr>
      <w:tr>
        <w:tc>
          <w:tcPr>
            <w:tcW w:type="dxa" w:w="1296"/>
            <w:vAlign w:val="top"/>
          </w:tcPr>
          <w:p>
            <w:pPr>
              <w:spacing w:before="20" w:after="20"/>
            </w:pPr>
            <w:r>
              <w:rPr>
                <w:sz w:val="16"/>
                <w:szCs w:val="16"/>
              </w:rPr>
              <w:t>US-015</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0406.20.31.90</w:t>
            </w:r>
          </w:p>
        </w:tc>
        <w:tc>
          <w:tcPr>
            <w:tcW w:type="dxa" w:w="1296"/>
            <w:vAlign w:val="top"/>
          </w:tcPr>
          <w:p>
            <w:pPr>
              <w:spacing w:before="20" w:after="20"/>
            </w:pPr>
            <w:r>
              <w:rPr>
                <w:sz w:val="16"/>
                <w:szCs w:val="16"/>
              </w:rPr>
              <w:t>Other statistical breakout beneath 0406.20.31</w:t>
            </w:r>
          </w:p>
        </w:tc>
        <w:tc>
          <w:tcPr>
            <w:tcW w:type="dxa" w:w="1296"/>
            <w:vAlign w:val="top"/>
          </w:tcPr>
          <w:p>
            <w:pPr>
              <w:spacing w:before="20" w:after="20"/>
            </w:pPr>
            <w:r>
              <w:rPr>
                <w:sz w:val="16"/>
                <w:szCs w:val="16"/>
              </w:rPr>
              <w:t>kg; kg cmsc</w:t>
            </w:r>
          </w:p>
        </w:tc>
        <w:tc>
          <w:tcPr>
            <w:tcW w:type="dxa" w:w="1296"/>
            <w:vAlign w:val="top"/>
          </w:tcPr>
          <w:p>
            <w:pPr>
              <w:spacing w:before="20" w:after="20"/>
            </w:pPr>
            <w:r>
              <w:rPr>
                <w:sz w:val="16"/>
                <w:szCs w:val="16"/>
              </w:rPr>
              <w:t>Parent-line treatment required</w:t>
            </w:r>
          </w:p>
        </w:tc>
        <w:tc>
          <w:tcPr>
            <w:tcW w:type="dxa" w:w="1296"/>
            <w:vAlign w:val="top"/>
          </w:tcPr>
          <w:p>
            <w:pPr>
              <w:spacing w:before="20" w:after="20"/>
            </w:pPr>
            <w:r>
              <w:rPr>
                <w:sz w:val="16"/>
                <w:szCs w:val="16"/>
              </w:rPr>
              <w:t>Parent-line USMCA treatment required</w:t>
            </w:r>
          </w:p>
        </w:tc>
        <w:tc>
          <w:tcPr>
            <w:tcW w:type="dxa" w:w="1296"/>
            <w:vAlign w:val="top"/>
          </w:tcPr>
          <w:p>
            <w:pPr>
              <w:spacing w:before="20" w:after="20"/>
            </w:pPr>
            <w:r>
              <w:rPr>
                <w:sz w:val="16"/>
                <w:szCs w:val="16"/>
              </w:rPr>
              <w:t>Statistical suffix</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Partially Verified</w:t>
            </w:r>
          </w:p>
        </w:tc>
        <w:tc>
          <w:tcPr>
            <w:tcW w:type="dxa" w:w="1296"/>
            <w:vAlign w:val="top"/>
          </w:tcPr>
          <w:p>
            <w:pPr>
              <w:spacing w:before="20" w:after="20"/>
            </w:pPr>
            <w:r>
              <w:rPr>
                <w:sz w:val="16"/>
                <w:szCs w:val="16"/>
              </w:rPr>
              <w:t>Suffix must not become identity</w:t>
            </w:r>
          </w:p>
        </w:tc>
      </w:tr>
      <w:tr>
        <w:tc>
          <w:tcPr>
            <w:tcW w:type="dxa" w:w="1296"/>
            <w:vAlign w:val="top"/>
          </w:tcPr>
          <w:p>
            <w:pPr>
              <w:spacing w:before="20" w:after="20"/>
            </w:pPr>
            <w:r>
              <w:rPr>
                <w:sz w:val="16"/>
                <w:szCs w:val="16"/>
              </w:rPr>
              <w:t>US-016</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0406.20.33.00</w:t>
            </w:r>
          </w:p>
        </w:tc>
        <w:tc>
          <w:tcPr>
            <w:tcW w:type="dxa" w:w="1296"/>
            <w:vAlign w:val="top"/>
          </w:tcPr>
          <w:p>
            <w:pPr>
              <w:spacing w:before="20" w:after="20"/>
            </w:pPr>
            <w:r>
              <w:rPr>
                <w:sz w:val="16"/>
                <w:szCs w:val="16"/>
              </w:rPr>
              <w:t>Other grated/powdered cheese</w:t>
            </w:r>
          </w:p>
        </w:tc>
        <w:tc>
          <w:tcPr>
            <w:tcW w:type="dxa" w:w="1296"/>
            <w:vAlign w:val="top"/>
          </w:tcPr>
          <w:p>
            <w:pPr>
              <w:spacing w:before="20" w:after="20"/>
            </w:pPr>
            <w:r>
              <w:rPr>
                <w:sz w:val="16"/>
                <w:szCs w:val="16"/>
              </w:rPr>
              <w:t>kg; kg cmsc</w:t>
            </w:r>
          </w:p>
        </w:tc>
        <w:tc>
          <w:tcPr>
            <w:tcW w:type="dxa" w:w="1296"/>
            <w:vAlign w:val="top"/>
          </w:tcPr>
          <w:p>
            <w:pPr>
              <w:spacing w:before="20" w:after="20"/>
            </w:pPr>
            <w:r>
              <w:rPr>
                <w:sz w:val="16"/>
                <w:szCs w:val="16"/>
              </w:rPr>
              <w:t>$1.227/kg</w:t>
            </w:r>
          </w:p>
        </w:tc>
        <w:tc>
          <w:tcPr>
            <w:tcW w:type="dxa" w:w="1296"/>
            <w:vAlign w:val="top"/>
          </w:tcPr>
          <w:p>
            <w:pPr>
              <w:spacing w:before="20" w:after="20"/>
            </w:pPr>
            <w:r>
              <w:rPr>
                <w:sz w:val="16"/>
                <w:szCs w:val="16"/>
              </w:rPr>
              <w:t>S+: See 9823.04.01-9823.04.54</w:t>
            </w:r>
          </w:p>
        </w:tc>
        <w:tc>
          <w:tcPr>
            <w:tcW w:type="dxa" w:w="1296"/>
            <w:vAlign w:val="top"/>
          </w:tcPr>
          <w:p>
            <w:pPr>
              <w:spacing w:before="20" w:after="20"/>
            </w:pPr>
            <w:r>
              <w:rPr>
                <w:sz w:val="16"/>
                <w:szCs w:val="16"/>
              </w:rPr>
              <w:t>Specific; Chapter 98 routing</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Verified - Official Structured</w:t>
            </w:r>
          </w:p>
        </w:tc>
        <w:tc>
          <w:tcPr>
            <w:tcW w:type="dxa" w:w="1296"/>
            <w:vAlign w:val="top"/>
          </w:tcPr>
          <w:p>
            <w:pPr>
              <w:spacing w:before="20" w:after="20"/>
            </w:pPr>
            <w:r>
              <w:rPr>
                <w:sz w:val="16"/>
                <w:szCs w:val="16"/>
              </w:rPr>
              <w:t>Ch.98 routing</w:t>
            </w:r>
          </w:p>
        </w:tc>
      </w:tr>
      <w:tr>
        <w:tc>
          <w:tcPr>
            <w:tcW w:type="dxa" w:w="1296"/>
            <w:vAlign w:val="top"/>
          </w:tcPr>
          <w:p>
            <w:pPr>
              <w:spacing w:before="20" w:after="20"/>
            </w:pPr>
            <w:r>
              <w:rPr>
                <w:sz w:val="16"/>
                <w:szCs w:val="16"/>
              </w:rPr>
              <w:t>US-017</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0406.20.34.00</w:t>
            </w:r>
          </w:p>
        </w:tc>
        <w:tc>
          <w:tcPr>
            <w:tcW w:type="dxa" w:w="1296"/>
            <w:vAlign w:val="top"/>
          </w:tcPr>
          <w:p>
            <w:pPr>
              <w:spacing w:before="20" w:after="20"/>
            </w:pPr>
            <w:r>
              <w:rPr>
                <w:sz w:val="16"/>
                <w:szCs w:val="16"/>
              </w:rPr>
              <w:t>Colby described in General Note 15</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20%</w:t>
            </w:r>
          </w:p>
        </w:tc>
        <w:tc>
          <w:tcPr>
            <w:tcW w:type="dxa" w:w="1296"/>
            <w:vAlign w:val="top"/>
          </w:tcPr>
          <w:p>
            <w:pPr>
              <w:spacing w:before="20" w:after="20"/>
            </w:pPr>
            <w:r>
              <w:rPr>
                <w:sz w:val="16"/>
                <w:szCs w:val="16"/>
              </w:rPr>
              <w:t>S (USMCA): Free</w:t>
            </w:r>
          </w:p>
        </w:tc>
        <w:tc>
          <w:tcPr>
            <w:tcW w:type="dxa" w:w="1296"/>
            <w:vAlign w:val="top"/>
          </w:tcPr>
          <w:p>
            <w:pPr>
              <w:spacing w:before="20" w:after="20"/>
            </w:pPr>
            <w:r>
              <w:rPr>
                <w:sz w:val="16"/>
                <w:szCs w:val="16"/>
              </w:rPr>
              <w:t>Ad valorem + general note</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Verified - Official Structured</w:t>
            </w:r>
          </w:p>
        </w:tc>
        <w:tc>
          <w:tcPr>
            <w:tcW w:type="dxa" w:w="1296"/>
            <w:vAlign w:val="top"/>
          </w:tcPr>
          <w:p>
            <w:pPr>
              <w:spacing w:before="20" w:after="20"/>
            </w:pPr>
            <w:r>
              <w:rPr>
                <w:sz w:val="16"/>
                <w:szCs w:val="16"/>
              </w:rPr>
              <w:t>General-note dependency</w:t>
            </w:r>
          </w:p>
        </w:tc>
      </w:tr>
      <w:tr>
        <w:tc>
          <w:tcPr>
            <w:tcW w:type="dxa" w:w="1296"/>
            <w:vAlign w:val="top"/>
          </w:tcPr>
          <w:p>
            <w:pPr>
              <w:spacing w:before="20" w:after="20"/>
            </w:pPr>
            <w:r>
              <w:rPr>
                <w:sz w:val="16"/>
                <w:szCs w:val="16"/>
              </w:rPr>
              <w:t>US-018</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0406.20.36.00</w:t>
            </w:r>
          </w:p>
        </w:tc>
        <w:tc>
          <w:tcPr>
            <w:tcW w:type="dxa" w:w="1296"/>
            <w:vAlign w:val="top"/>
          </w:tcPr>
          <w:p>
            <w:pPr>
              <w:spacing w:before="20" w:after="20"/>
            </w:pPr>
            <w:r>
              <w:rPr>
                <w:sz w:val="16"/>
                <w:szCs w:val="16"/>
              </w:rPr>
              <w:t>Colby under Additional U.S. Note 19</w:t>
            </w:r>
          </w:p>
        </w:tc>
        <w:tc>
          <w:tcPr>
            <w:tcW w:type="dxa" w:w="1296"/>
            <w:vAlign w:val="top"/>
          </w:tcPr>
          <w:p>
            <w:pPr>
              <w:spacing w:before="20" w:after="20"/>
            </w:pPr>
            <w:r>
              <w:rPr>
                <w:sz w:val="16"/>
                <w:szCs w:val="16"/>
              </w:rPr>
              <w:t>kg; kg cmsc</w:t>
            </w:r>
          </w:p>
        </w:tc>
        <w:tc>
          <w:tcPr>
            <w:tcW w:type="dxa" w:w="1296"/>
            <w:vAlign w:val="top"/>
          </w:tcPr>
          <w:p>
            <w:pPr>
              <w:spacing w:before="20" w:after="20"/>
            </w:pPr>
            <w:r>
              <w:rPr>
                <w:sz w:val="16"/>
                <w:szCs w:val="16"/>
              </w:rPr>
              <w:t>20%</w:t>
            </w:r>
          </w:p>
        </w:tc>
        <w:tc>
          <w:tcPr>
            <w:tcW w:type="dxa" w:w="1296"/>
            <w:vAlign w:val="top"/>
          </w:tcPr>
          <w:p>
            <w:pPr>
              <w:spacing w:before="20" w:after="20"/>
            </w:pPr>
            <w:r>
              <w:rPr>
                <w:sz w:val="16"/>
                <w:szCs w:val="16"/>
              </w:rPr>
              <w:t>S (USMCA): Free</w:t>
            </w:r>
          </w:p>
        </w:tc>
        <w:tc>
          <w:tcPr>
            <w:tcW w:type="dxa" w:w="1296"/>
            <w:vAlign w:val="top"/>
          </w:tcPr>
          <w:p>
            <w:pPr>
              <w:spacing w:before="20" w:after="20"/>
            </w:pPr>
            <w:r>
              <w:rPr>
                <w:sz w:val="16"/>
                <w:szCs w:val="16"/>
              </w:rPr>
              <w:t>Ad valorem + note</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Verified - Official Structured</w:t>
            </w:r>
          </w:p>
        </w:tc>
        <w:tc>
          <w:tcPr>
            <w:tcW w:type="dxa" w:w="1296"/>
            <w:vAlign w:val="top"/>
          </w:tcPr>
          <w:p>
            <w:pPr>
              <w:spacing w:before="20" w:after="20"/>
            </w:pPr>
            <w:r>
              <w:rPr>
                <w:sz w:val="16"/>
                <w:szCs w:val="16"/>
              </w:rPr>
              <w:t>Additional-note dependency</w:t>
            </w:r>
          </w:p>
        </w:tc>
      </w:tr>
      <w:tr>
        <w:tc>
          <w:tcPr>
            <w:tcW w:type="dxa" w:w="1296"/>
            <w:vAlign w:val="top"/>
          </w:tcPr>
          <w:p>
            <w:pPr>
              <w:spacing w:before="20" w:after="20"/>
            </w:pPr>
            <w:r>
              <w:rPr>
                <w:sz w:val="16"/>
                <w:szCs w:val="16"/>
              </w:rPr>
              <w:t>US-019</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0406.20.39.00</w:t>
            </w:r>
          </w:p>
        </w:tc>
        <w:tc>
          <w:tcPr>
            <w:tcW w:type="dxa" w:w="1296"/>
            <w:vAlign w:val="top"/>
          </w:tcPr>
          <w:p>
            <w:pPr>
              <w:spacing w:before="20" w:after="20"/>
            </w:pPr>
            <w:r>
              <w:rPr>
                <w:sz w:val="16"/>
                <w:szCs w:val="16"/>
              </w:rPr>
              <w:t>Other Colby</w:t>
            </w:r>
          </w:p>
        </w:tc>
        <w:tc>
          <w:tcPr>
            <w:tcW w:type="dxa" w:w="1296"/>
            <w:vAlign w:val="top"/>
          </w:tcPr>
          <w:p>
            <w:pPr>
              <w:spacing w:before="20" w:after="20"/>
            </w:pPr>
            <w:r>
              <w:rPr>
                <w:sz w:val="16"/>
                <w:szCs w:val="16"/>
              </w:rPr>
              <w:t>kg; kg cmsc</w:t>
            </w:r>
          </w:p>
        </w:tc>
        <w:tc>
          <w:tcPr>
            <w:tcW w:type="dxa" w:w="1296"/>
            <w:vAlign w:val="top"/>
          </w:tcPr>
          <w:p>
            <w:pPr>
              <w:spacing w:before="20" w:after="20"/>
            </w:pPr>
            <w:r>
              <w:rPr>
                <w:sz w:val="16"/>
                <w:szCs w:val="16"/>
              </w:rPr>
              <w:t>$1.055/kg</w:t>
            </w:r>
          </w:p>
        </w:tc>
        <w:tc>
          <w:tcPr>
            <w:tcW w:type="dxa" w:w="1296"/>
            <w:vAlign w:val="top"/>
          </w:tcPr>
          <w:p>
            <w:pPr>
              <w:spacing w:before="20" w:after="20"/>
            </w:pPr>
            <w:r>
              <w:rPr>
                <w:sz w:val="16"/>
                <w:szCs w:val="16"/>
              </w:rPr>
              <w:t>S+: See 9823.04.01-9823.04.54</w:t>
            </w:r>
          </w:p>
        </w:tc>
        <w:tc>
          <w:tcPr>
            <w:tcW w:type="dxa" w:w="1296"/>
            <w:vAlign w:val="top"/>
          </w:tcPr>
          <w:p>
            <w:pPr>
              <w:spacing w:before="20" w:after="20"/>
            </w:pPr>
            <w:r>
              <w:rPr>
                <w:sz w:val="16"/>
                <w:szCs w:val="16"/>
              </w:rPr>
              <w:t>Specific; Chapter 98 routing</w:t>
            </w:r>
          </w:p>
        </w:tc>
        <w:tc>
          <w:tcPr>
            <w:tcW w:type="dxa" w:w="1296"/>
            <w:vAlign w:val="top"/>
          </w:tcPr>
          <w:p>
            <w:pPr>
              <w:spacing w:before="20" w:after="20"/>
            </w:pPr>
            <w:r>
              <w:rPr>
                <w:sz w:val="16"/>
                <w:szCs w:val="16"/>
              </w:rPr>
              <w:t>USITC HTS 2026 Revision 19, current search, retrieved 2026-09-16</w:t>
            </w:r>
          </w:p>
        </w:tc>
        <w:tc>
          <w:tcPr>
            <w:tcW w:type="dxa" w:w="1296"/>
            <w:vAlign w:val="top"/>
          </w:tcPr>
          <w:p>
            <w:pPr>
              <w:spacing w:before="20" w:after="20"/>
            </w:pPr>
            <w:r>
              <w:rPr>
                <w:sz w:val="16"/>
                <w:szCs w:val="16"/>
              </w:rPr>
              <w:t>Verified - Official Structured</w:t>
            </w:r>
          </w:p>
        </w:tc>
        <w:tc>
          <w:tcPr>
            <w:tcW w:type="dxa" w:w="1296"/>
            <w:vAlign w:val="top"/>
          </w:tcPr>
          <w:p>
            <w:pPr>
              <w:spacing w:before="20" w:after="20"/>
            </w:pPr>
            <w:r>
              <w:rPr>
                <w:sz w:val="16"/>
                <w:szCs w:val="16"/>
              </w:rPr>
              <w:t>Specific + Ch.98</w:t>
            </w:r>
          </w:p>
        </w:tc>
      </w:tr>
      <w:tr>
        <w:tc>
          <w:tcPr>
            <w:tcW w:type="dxa" w:w="1296"/>
            <w:vAlign w:val="top"/>
          </w:tcPr>
          <w:p>
            <w:pPr>
              <w:spacing w:before="20" w:after="20"/>
            </w:pPr>
            <w:r>
              <w:rPr>
                <w:sz w:val="16"/>
                <w:szCs w:val="16"/>
              </w:rPr>
              <w:t>US-020</w:t>
            </w:r>
          </w:p>
        </w:tc>
        <w:tc>
          <w:tcPr>
            <w:tcW w:type="dxa" w:w="1296"/>
            <w:vAlign w:val="top"/>
          </w:tcPr>
          <w:p>
            <w:pPr>
              <w:spacing w:before="20" w:after="20"/>
            </w:pPr>
            <w:r>
              <w:rPr>
                <w:sz w:val="16"/>
                <w:szCs w:val="16"/>
              </w:rPr>
              <w:t>United States</w:t>
            </w:r>
          </w:p>
        </w:tc>
        <w:tc>
          <w:tcPr>
            <w:tcW w:type="dxa" w:w="1296"/>
            <w:vAlign w:val="top"/>
          </w:tcPr>
          <w:p>
            <w:pPr>
              <w:spacing w:before="20" w:after="20"/>
            </w:pPr>
            <w:r>
              <w:rPr>
                <w:sz w:val="16"/>
                <w:szCs w:val="16"/>
              </w:rPr>
              <w:t>9823.04.43</w:t>
            </w:r>
          </w:p>
        </w:tc>
        <w:tc>
          <w:tcPr>
            <w:tcW w:type="dxa" w:w="1296"/>
            <w:vAlign w:val="top"/>
          </w:tcPr>
          <w:p>
            <w:pPr>
              <w:spacing w:before="20" w:after="20"/>
            </w:pPr>
            <w:r>
              <w:rPr>
                <w:sz w:val="16"/>
                <w:szCs w:val="16"/>
              </w:rPr>
              <w:t>Goods provided for in 0406.90.42</w:t>
            </w:r>
          </w:p>
        </w:tc>
        <w:tc>
          <w:tcPr>
            <w:tcW w:type="dxa" w:w="1296"/>
            <w:vAlign w:val="top"/>
          </w:tcPr>
          <w:p>
            <w:pPr>
              <w:spacing w:before="20" w:after="20"/>
            </w:pPr>
            <w:r>
              <w:rPr>
                <w:sz w:val="16"/>
                <w:szCs w:val="16"/>
              </w:rPr>
              <w:t>varies</w:t>
            </w:r>
          </w:p>
        </w:tc>
        <w:tc>
          <w:tcPr>
            <w:tcW w:type="dxa" w:w="1296"/>
            <w:vAlign w:val="top"/>
          </w:tcPr>
          <w:p>
            <w:pPr>
              <w:spacing w:before="20" w:after="20"/>
            </w:pPr>
            <w:r>
              <w:rPr>
                <w:sz w:val="16"/>
                <w:szCs w:val="16"/>
              </w:rPr>
              <w:t>Special provision</w:t>
            </w:r>
          </w:p>
        </w:tc>
        <w:tc>
          <w:tcPr>
            <w:tcW w:type="dxa" w:w="1296"/>
            <w:vAlign w:val="top"/>
          </w:tcPr>
          <w:p>
            <w:pPr>
              <w:spacing w:before="20" w:after="20"/>
            </w:pPr>
            <w:r>
              <w:rPr>
                <w:sz w:val="16"/>
                <w:szCs w:val="16"/>
              </w:rPr>
              <w:t>USMCA S+ route</w:t>
            </w:r>
          </w:p>
        </w:tc>
        <w:tc>
          <w:tcPr>
            <w:tcW w:type="dxa" w:w="1296"/>
            <w:vAlign w:val="top"/>
          </w:tcPr>
          <w:p>
            <w:pPr>
              <w:spacing w:before="20" w:after="20"/>
            </w:pPr>
            <w:r>
              <w:rPr>
                <w:sz w:val="16"/>
                <w:szCs w:val="16"/>
              </w:rPr>
              <w:t>Chapter 98 overlay</w:t>
            </w:r>
          </w:p>
        </w:tc>
        <w:tc>
          <w:tcPr>
            <w:tcW w:type="dxa" w:w="1296"/>
            <w:vAlign w:val="top"/>
          </w:tcPr>
          <w:p>
            <w:pPr>
              <w:spacing w:before="20" w:after="20"/>
            </w:pPr>
            <w:r>
              <w:rPr>
                <w:sz w:val="16"/>
                <w:szCs w:val="16"/>
              </w:rPr>
              <w:t>USITC HTS 2026 Rev.19, 9823 search</w:t>
            </w:r>
          </w:p>
        </w:tc>
        <w:tc>
          <w:tcPr>
            <w:tcW w:type="dxa" w:w="1296"/>
            <w:vAlign w:val="top"/>
          </w:tcPr>
          <w:p>
            <w:pPr>
              <w:spacing w:before="20" w:after="20"/>
            </w:pPr>
            <w:r>
              <w:rPr>
                <w:sz w:val="16"/>
                <w:szCs w:val="16"/>
              </w:rPr>
              <w:t>Verified - Official Structured</w:t>
            </w:r>
          </w:p>
        </w:tc>
        <w:tc>
          <w:tcPr>
            <w:tcW w:type="dxa" w:w="1296"/>
            <w:vAlign w:val="top"/>
          </w:tcPr>
          <w:p>
            <w:pPr>
              <w:spacing w:before="20" w:after="20"/>
            </w:pPr>
            <w:r>
              <w:rPr>
                <w:sz w:val="16"/>
                <w:szCs w:val="16"/>
              </w:rPr>
              <w:t>Overlay record distinct from base code</w:t>
            </w:r>
          </w:p>
        </w:tc>
      </w:tr>
    </w:tbl>
    <w:p>
      <w:pPr>
        <w:pStyle w:val="Heading3"/>
      </w:pPr>
      <w:r>
        <w:t>Pilot Population C: Mexico - 20 records</w:t>
      </w:r>
    </w:p>
    <w:tbl>
      <w:tblPr>
        <w:tblStyle w:val="TableGrid"/>
        <w:tblW w:type="dxa" w:w="14256"/>
        <w:jc w:val="center"/>
        <w:tblLayout w:type="fixed"/>
        <w:tblLook w:firstColumn="1" w:firstRow="1" w:lastColumn="0" w:lastRow="0" w:noHBand="0" w:noVBand="1" w:val="04A0"/>
      </w:tblPr>
      <w:tblGrid>
        <w:gridCol w:w="1296"/>
        <w:gridCol w:w="1296"/>
        <w:gridCol w:w="1296"/>
        <w:gridCol w:w="1296"/>
        <w:gridCol w:w="1296"/>
        <w:gridCol w:w="1296"/>
        <w:gridCol w:w="1296"/>
        <w:gridCol w:w="1296"/>
        <w:gridCol w:w="1296"/>
        <w:gridCol w:w="1296"/>
        <w:gridCol w:w="1296"/>
      </w:tblGrid>
      <w:tr>
        <w:tc>
          <w:tcPr>
            <w:tcW w:type="dxa" w:w="1296"/>
            <w:vAlign w:val="center"/>
          </w:tcPr>
          <w:p>
            <w:pPr>
              <w:spacing w:before="20" w:after="20"/>
            </w:pPr>
            <w:r>
              <w:rPr>
                <w:b/>
                <w:sz w:val="16"/>
                <w:szCs w:val="16"/>
              </w:rPr>
              <w:t>Pilot ID</w:t>
            </w:r>
          </w:p>
        </w:tc>
        <w:tc>
          <w:tcPr>
            <w:tcW w:type="dxa" w:w="1296"/>
            <w:vAlign w:val="center"/>
          </w:tcPr>
          <w:p>
            <w:pPr>
              <w:spacing w:before="20" w:after="20"/>
            </w:pPr>
            <w:r>
              <w:rPr>
                <w:b/>
                <w:sz w:val="16"/>
                <w:szCs w:val="16"/>
              </w:rPr>
              <w:t>Party</w:t>
            </w:r>
          </w:p>
        </w:tc>
        <w:tc>
          <w:tcPr>
            <w:tcW w:type="dxa" w:w="1296"/>
            <w:vAlign w:val="center"/>
          </w:tcPr>
          <w:p>
            <w:pPr>
              <w:spacing w:before="20" w:after="20"/>
            </w:pPr>
            <w:r>
              <w:rPr>
                <w:b/>
                <w:sz w:val="16"/>
                <w:szCs w:val="16"/>
              </w:rPr>
              <w:t>National code</w:t>
            </w:r>
          </w:p>
        </w:tc>
        <w:tc>
          <w:tcPr>
            <w:tcW w:type="dxa" w:w="1296"/>
            <w:vAlign w:val="center"/>
          </w:tcPr>
          <w:p>
            <w:pPr>
              <w:spacing w:before="20" w:after="20"/>
            </w:pPr>
            <w:r>
              <w:rPr>
                <w:b/>
                <w:sz w:val="16"/>
                <w:szCs w:val="16"/>
              </w:rPr>
              <w:t>Product / legal description</w:t>
            </w:r>
          </w:p>
        </w:tc>
        <w:tc>
          <w:tcPr>
            <w:tcW w:type="dxa" w:w="1296"/>
            <w:vAlign w:val="center"/>
          </w:tcPr>
          <w:p>
            <w:pPr>
              <w:spacing w:before="20" w:after="20"/>
            </w:pPr>
            <w:r>
              <w:rPr>
                <w:b/>
                <w:sz w:val="16"/>
                <w:szCs w:val="16"/>
              </w:rPr>
              <w:t>Unit</w:t>
            </w:r>
          </w:p>
        </w:tc>
        <w:tc>
          <w:tcPr>
            <w:tcW w:type="dxa" w:w="1296"/>
            <w:vAlign w:val="center"/>
          </w:tcPr>
          <w:p>
            <w:pPr>
              <w:spacing w:before="20" w:after="20"/>
            </w:pPr>
            <w:r>
              <w:rPr>
                <w:b/>
                <w:sz w:val="16"/>
                <w:szCs w:val="16"/>
              </w:rPr>
              <w:t>General / MFN tariff state</w:t>
            </w:r>
          </w:p>
        </w:tc>
        <w:tc>
          <w:tcPr>
            <w:tcW w:type="dxa" w:w="1296"/>
            <w:vAlign w:val="center"/>
          </w:tcPr>
          <w:p>
            <w:pPr>
              <w:spacing w:before="20" w:after="20"/>
            </w:pPr>
            <w:r>
              <w:rPr>
                <w:b/>
                <w:sz w:val="16"/>
                <w:szCs w:val="16"/>
              </w:rPr>
              <w:t>North American preferential state</w:t>
            </w:r>
          </w:p>
        </w:tc>
        <w:tc>
          <w:tcPr>
            <w:tcW w:type="dxa" w:w="1296"/>
            <w:vAlign w:val="center"/>
          </w:tcPr>
          <w:p>
            <w:pPr>
              <w:spacing w:before="20" w:after="20"/>
            </w:pPr>
            <w:r>
              <w:rPr>
                <w:b/>
                <w:sz w:val="16"/>
                <w:szCs w:val="16"/>
              </w:rPr>
              <w:t>Rate type / complexity</w:t>
            </w:r>
          </w:p>
        </w:tc>
        <w:tc>
          <w:tcPr>
            <w:tcW w:type="dxa" w:w="1296"/>
            <w:vAlign w:val="center"/>
          </w:tcPr>
          <w:p>
            <w:pPr>
              <w:spacing w:before="20" w:after="20"/>
            </w:pPr>
            <w:r>
              <w:rPr>
                <w:b/>
                <w:sz w:val="16"/>
                <w:szCs w:val="16"/>
              </w:rPr>
              <w:t>Official source / edition</w:t>
            </w:r>
          </w:p>
        </w:tc>
        <w:tc>
          <w:tcPr>
            <w:tcW w:type="dxa" w:w="1296"/>
            <w:vAlign w:val="center"/>
          </w:tcPr>
          <w:p>
            <w:pPr>
              <w:spacing w:before="20" w:after="20"/>
            </w:pPr>
            <w:r>
              <w:rPr>
                <w:b/>
                <w:sz w:val="16"/>
                <w:szCs w:val="16"/>
              </w:rPr>
              <w:t>Verification</w:t>
            </w:r>
          </w:p>
        </w:tc>
        <w:tc>
          <w:tcPr>
            <w:tcW w:type="dxa" w:w="1296"/>
            <w:vAlign w:val="center"/>
          </w:tcPr>
          <w:p>
            <w:pPr>
              <w:spacing w:before="20" w:after="20"/>
            </w:pPr>
            <w:r>
              <w:rPr>
                <w:b/>
                <w:sz w:val="16"/>
                <w:szCs w:val="16"/>
              </w:rPr>
              <w:t>Schema stress exposed</w:t>
            </w:r>
          </w:p>
        </w:tc>
        <w:trPr>
          <w:tblHeader/>
        </w:trPr>
      </w:tr>
      <w:tr>
        <w:tc>
          <w:tcPr>
            <w:tcW w:type="dxa" w:w="1296"/>
            <w:vAlign w:val="top"/>
          </w:tcPr>
          <w:p>
            <w:pPr>
              <w:spacing w:before="20" w:after="20"/>
            </w:pPr>
            <w:r>
              <w:rPr>
                <w:sz w:val="16"/>
                <w:szCs w:val="16"/>
              </w:rPr>
              <w:t>MX-001</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0201.10.01</w:t>
            </w:r>
          </w:p>
        </w:tc>
        <w:tc>
          <w:tcPr>
            <w:tcW w:type="dxa" w:w="1296"/>
            <w:vAlign w:val="top"/>
          </w:tcPr>
          <w:p>
            <w:pPr>
              <w:spacing w:before="20" w:after="20"/>
            </w:pPr>
            <w:r>
              <w:rPr>
                <w:sz w:val="16"/>
                <w:szCs w:val="16"/>
              </w:rPr>
              <w:t>Bovine meat, carcasses/half-carcasses (official TIGIE code evidence)</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Historical DOF instrument</w:t>
            </w:r>
          </w:p>
        </w:tc>
        <w:tc>
          <w:tcPr>
            <w:tcW w:type="dxa" w:w="1296"/>
            <w:vAlign w:val="top"/>
          </w:tcPr>
          <w:p>
            <w:pPr>
              <w:spacing w:before="20" w:after="20"/>
            </w:pPr>
            <w:r>
              <w:rPr>
                <w:sz w:val="16"/>
                <w:szCs w:val="16"/>
              </w:rPr>
              <w:t>North American preferential treatment historically exempt in cited DOF evidence</w:t>
            </w:r>
          </w:p>
        </w:tc>
        <w:tc>
          <w:tcPr>
            <w:tcW w:type="dxa" w:w="1296"/>
            <w:vAlign w:val="top"/>
          </w:tcPr>
          <w:p>
            <w:pPr>
              <w:spacing w:before="20" w:after="20"/>
            </w:pPr>
            <w:r>
              <w:rPr>
                <w:sz w:val="16"/>
                <w:szCs w:val="16"/>
              </w:rPr>
              <w:t>Code + preference history</w:t>
            </w:r>
          </w:p>
        </w:tc>
        <w:tc>
          <w:tcPr>
            <w:tcW w:type="dxa" w:w="1296"/>
            <w:vAlign w:val="top"/>
          </w:tcPr>
          <w:p>
            <w:pPr>
              <w:spacing w:before="20" w:after="20"/>
            </w:pPr>
            <w:r>
              <w:rPr>
                <w:sz w:val="16"/>
                <w:szCs w:val="16"/>
              </w:rPr>
              <w:t>DOF official publication</w:t>
            </w:r>
          </w:p>
        </w:tc>
        <w:tc>
          <w:tcPr>
            <w:tcW w:type="dxa" w:w="1296"/>
            <w:vAlign w:val="top"/>
          </w:tcPr>
          <w:p>
            <w:pPr>
              <w:spacing w:before="20" w:after="20"/>
            </w:pPr>
            <w:r>
              <w:rPr>
                <w:sz w:val="16"/>
                <w:szCs w:val="16"/>
              </w:rPr>
              <w:t>Partially Verified</w:t>
            </w:r>
          </w:p>
        </w:tc>
        <w:tc>
          <w:tcPr>
            <w:tcW w:type="dxa" w:w="1296"/>
            <w:vAlign w:val="top"/>
          </w:tcPr>
          <w:p>
            <w:pPr>
              <w:spacing w:before="20" w:after="20"/>
            </w:pPr>
            <w:r>
              <w:rPr>
                <w:sz w:val="16"/>
                <w:szCs w:val="16"/>
              </w:rPr>
              <w:t>Current-rate supersession</w:t>
            </w:r>
          </w:p>
        </w:tc>
      </w:tr>
      <w:tr>
        <w:tc>
          <w:tcPr>
            <w:tcW w:type="dxa" w:w="1296"/>
            <w:vAlign w:val="top"/>
          </w:tcPr>
          <w:p>
            <w:pPr>
              <w:spacing w:before="20" w:after="20"/>
            </w:pPr>
            <w:r>
              <w:rPr>
                <w:sz w:val="16"/>
                <w:szCs w:val="16"/>
              </w:rPr>
              <w:t>MX-002</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0201.20.99</w:t>
            </w:r>
          </w:p>
        </w:tc>
        <w:tc>
          <w:tcPr>
            <w:tcW w:type="dxa" w:w="1296"/>
            <w:vAlign w:val="top"/>
          </w:tcPr>
          <w:p>
            <w:pPr>
              <w:spacing w:before="20" w:after="20"/>
            </w:pPr>
            <w:r>
              <w:rPr>
                <w:sz w:val="16"/>
                <w:szCs w:val="16"/>
              </w:rPr>
              <w:t>Other bone-in bovine cuts</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Historical evidence: 20% in cited DOF instrument</w:t>
            </w:r>
          </w:p>
        </w:tc>
        <w:tc>
          <w:tcPr>
            <w:tcW w:type="dxa" w:w="1296"/>
            <w:vAlign w:val="top"/>
          </w:tcPr>
          <w:p>
            <w:pPr>
              <w:spacing w:before="20" w:after="20"/>
            </w:pPr>
            <w:r>
              <w:rPr>
                <w:sz w:val="16"/>
                <w:szCs w:val="16"/>
              </w:rPr>
              <w:t>US/Canada-origin exempt in cited instrument</w:t>
            </w:r>
          </w:p>
        </w:tc>
        <w:tc>
          <w:tcPr>
            <w:tcW w:type="dxa" w:w="1296"/>
            <w:vAlign w:val="top"/>
          </w:tcPr>
          <w:p>
            <w:pPr>
              <w:spacing w:before="20" w:after="20"/>
            </w:pPr>
            <w:r>
              <w:rPr>
                <w:sz w:val="16"/>
                <w:szCs w:val="16"/>
              </w:rPr>
              <w:t>Ad valorem + preference history</w:t>
            </w:r>
          </w:p>
        </w:tc>
        <w:tc>
          <w:tcPr>
            <w:tcW w:type="dxa" w:w="1296"/>
            <w:vAlign w:val="top"/>
          </w:tcPr>
          <w:p>
            <w:pPr>
              <w:spacing w:before="20" w:after="20"/>
            </w:pPr>
            <w:r>
              <w:rPr>
                <w:sz w:val="16"/>
                <w:szCs w:val="16"/>
              </w:rPr>
              <w:t>DOF code 5140065</w:t>
            </w:r>
          </w:p>
        </w:tc>
        <w:tc>
          <w:tcPr>
            <w:tcW w:type="dxa" w:w="1296"/>
            <w:vAlign w:val="top"/>
          </w:tcPr>
          <w:p>
            <w:pPr>
              <w:spacing w:before="20" w:after="20"/>
            </w:pPr>
            <w:r>
              <w:rPr>
                <w:sz w:val="16"/>
                <w:szCs w:val="16"/>
              </w:rPr>
              <w:t>Partially Verified</w:t>
            </w:r>
          </w:p>
        </w:tc>
        <w:tc>
          <w:tcPr>
            <w:tcW w:type="dxa" w:w="1296"/>
            <w:vAlign w:val="top"/>
          </w:tcPr>
          <w:p>
            <w:pPr>
              <w:spacing w:before="20" w:after="20"/>
            </w:pPr>
            <w:r>
              <w:rPr>
                <w:sz w:val="16"/>
                <w:szCs w:val="16"/>
              </w:rPr>
              <w:t>Historical vs current value</w:t>
            </w:r>
          </w:p>
        </w:tc>
      </w:tr>
      <w:tr>
        <w:tc>
          <w:tcPr>
            <w:tcW w:type="dxa" w:w="1296"/>
            <w:vAlign w:val="top"/>
          </w:tcPr>
          <w:p>
            <w:pPr>
              <w:spacing w:before="20" w:after="20"/>
            </w:pPr>
            <w:r>
              <w:rPr>
                <w:sz w:val="16"/>
                <w:szCs w:val="16"/>
              </w:rPr>
              <w:t>MX-003</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0201.30.01</w:t>
            </w:r>
          </w:p>
        </w:tc>
        <w:tc>
          <w:tcPr>
            <w:tcW w:type="dxa" w:w="1296"/>
            <w:vAlign w:val="top"/>
          </w:tcPr>
          <w:p>
            <w:pPr>
              <w:spacing w:before="20" w:after="20"/>
            </w:pPr>
            <w:r>
              <w:rPr>
                <w:sz w:val="16"/>
                <w:szCs w:val="16"/>
              </w:rPr>
              <w:t>Boneless bovine meat</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Historical evidence: 20% in cited DOF instrument</w:t>
            </w:r>
          </w:p>
        </w:tc>
        <w:tc>
          <w:tcPr>
            <w:tcW w:type="dxa" w:w="1296"/>
            <w:vAlign w:val="top"/>
          </w:tcPr>
          <w:p>
            <w:pPr>
              <w:spacing w:before="20" w:after="20"/>
            </w:pPr>
            <w:r>
              <w:rPr>
                <w:sz w:val="16"/>
                <w:szCs w:val="16"/>
              </w:rPr>
              <w:t>US/Canada-origin exempt in cited instrument</w:t>
            </w:r>
          </w:p>
        </w:tc>
        <w:tc>
          <w:tcPr>
            <w:tcW w:type="dxa" w:w="1296"/>
            <w:vAlign w:val="top"/>
          </w:tcPr>
          <w:p>
            <w:pPr>
              <w:spacing w:before="20" w:after="20"/>
            </w:pPr>
            <w:r>
              <w:rPr>
                <w:sz w:val="16"/>
                <w:szCs w:val="16"/>
              </w:rPr>
              <w:t>Ad valorem + preference history</w:t>
            </w:r>
          </w:p>
        </w:tc>
        <w:tc>
          <w:tcPr>
            <w:tcW w:type="dxa" w:w="1296"/>
            <w:vAlign w:val="top"/>
          </w:tcPr>
          <w:p>
            <w:pPr>
              <w:spacing w:before="20" w:after="20"/>
            </w:pPr>
            <w:r>
              <w:rPr>
                <w:sz w:val="16"/>
                <w:szCs w:val="16"/>
              </w:rPr>
              <w:t>DOF code 5140065</w:t>
            </w:r>
          </w:p>
        </w:tc>
        <w:tc>
          <w:tcPr>
            <w:tcW w:type="dxa" w:w="1296"/>
            <w:vAlign w:val="top"/>
          </w:tcPr>
          <w:p>
            <w:pPr>
              <w:spacing w:before="20" w:after="20"/>
            </w:pPr>
            <w:r>
              <w:rPr>
                <w:sz w:val="16"/>
                <w:szCs w:val="16"/>
              </w:rPr>
              <w:t>Partially Verified</w:t>
            </w:r>
          </w:p>
        </w:tc>
        <w:tc>
          <w:tcPr>
            <w:tcW w:type="dxa" w:w="1296"/>
            <w:vAlign w:val="top"/>
          </w:tcPr>
          <w:p>
            <w:pPr>
              <w:spacing w:before="20" w:after="20"/>
            </w:pPr>
            <w:r>
              <w:rPr>
                <w:sz w:val="16"/>
                <w:szCs w:val="16"/>
              </w:rPr>
              <w:t>Historical vs current value</w:t>
            </w:r>
          </w:p>
        </w:tc>
      </w:tr>
      <w:tr>
        <w:tc>
          <w:tcPr>
            <w:tcW w:type="dxa" w:w="1296"/>
            <w:vAlign w:val="top"/>
          </w:tcPr>
          <w:p>
            <w:pPr>
              <w:spacing w:before="20" w:after="20"/>
            </w:pPr>
            <w:r>
              <w:rPr>
                <w:sz w:val="16"/>
                <w:szCs w:val="16"/>
              </w:rPr>
              <w:t>MX-004</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0202.10.01</w:t>
            </w:r>
          </w:p>
        </w:tc>
        <w:tc>
          <w:tcPr>
            <w:tcW w:type="dxa" w:w="1296"/>
            <w:vAlign w:val="top"/>
          </w:tcPr>
          <w:p>
            <w:pPr>
              <w:spacing w:before="20" w:after="20"/>
            </w:pPr>
            <w:r>
              <w:rPr>
                <w:sz w:val="16"/>
                <w:szCs w:val="16"/>
              </w:rPr>
              <w:t>Frozen bovine carcasses/half-carcasses</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Current rate Pending Verification</w:t>
            </w:r>
          </w:p>
        </w:tc>
        <w:tc>
          <w:tcPr>
            <w:tcW w:type="dxa" w:w="1296"/>
            <w:vAlign w:val="top"/>
          </w:tcPr>
          <w:p>
            <w:pPr>
              <w:spacing w:before="20" w:after="20"/>
            </w:pPr>
            <w:r>
              <w:rPr>
                <w:sz w:val="16"/>
                <w:szCs w:val="16"/>
              </w:rPr>
              <w:t>T-MEC treatment Pending line-level check</w:t>
            </w:r>
          </w:p>
        </w:tc>
        <w:tc>
          <w:tcPr>
            <w:tcW w:type="dxa" w:w="1296"/>
            <w:vAlign w:val="top"/>
          </w:tcPr>
          <w:p>
            <w:pPr>
              <w:spacing w:before="20" w:after="20"/>
            </w:pPr>
            <w:r>
              <w:rPr>
                <w:sz w:val="16"/>
                <w:szCs w:val="16"/>
              </w:rPr>
              <w:t>National fraction</w:t>
            </w:r>
          </w:p>
        </w:tc>
        <w:tc>
          <w:tcPr>
            <w:tcW w:type="dxa" w:w="1296"/>
            <w:vAlign w:val="top"/>
          </w:tcPr>
          <w:p>
            <w:pPr>
              <w:spacing w:before="20" w:after="20"/>
            </w:pPr>
            <w:r>
              <w:rPr>
                <w:sz w:val="16"/>
                <w:szCs w:val="16"/>
              </w:rPr>
              <w:t>DOF official beef instruments</w:t>
            </w:r>
          </w:p>
        </w:tc>
        <w:tc>
          <w:tcPr>
            <w:tcW w:type="dxa" w:w="1296"/>
            <w:vAlign w:val="top"/>
          </w:tcPr>
          <w:p>
            <w:pPr>
              <w:spacing w:before="20" w:after="20"/>
            </w:pPr>
            <w:r>
              <w:rPr>
                <w:sz w:val="16"/>
                <w:szCs w:val="16"/>
              </w:rPr>
              <w:t>Pending Verification</w:t>
            </w:r>
          </w:p>
        </w:tc>
        <w:tc>
          <w:tcPr>
            <w:tcW w:type="dxa" w:w="1296"/>
            <w:vAlign w:val="top"/>
          </w:tcPr>
          <w:p>
            <w:pPr>
              <w:spacing w:before="20" w:after="20"/>
            </w:pPr>
            <w:r>
              <w:rPr>
                <w:sz w:val="16"/>
                <w:szCs w:val="16"/>
              </w:rPr>
              <w:t>Current modification chain</w:t>
            </w:r>
          </w:p>
        </w:tc>
      </w:tr>
      <w:tr>
        <w:tc>
          <w:tcPr>
            <w:tcW w:type="dxa" w:w="1296"/>
            <w:vAlign w:val="top"/>
          </w:tcPr>
          <w:p>
            <w:pPr>
              <w:spacing w:before="20" w:after="20"/>
            </w:pPr>
            <w:r>
              <w:rPr>
                <w:sz w:val="16"/>
                <w:szCs w:val="16"/>
              </w:rPr>
              <w:t>MX-005</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0202.20.99</w:t>
            </w:r>
          </w:p>
        </w:tc>
        <w:tc>
          <w:tcPr>
            <w:tcW w:type="dxa" w:w="1296"/>
            <w:vAlign w:val="top"/>
          </w:tcPr>
          <w:p>
            <w:pPr>
              <w:spacing w:before="20" w:after="20"/>
            </w:pPr>
            <w:r>
              <w:rPr>
                <w:sz w:val="16"/>
                <w:szCs w:val="16"/>
              </w:rPr>
              <w:t>Other frozen bone-in bovine cuts</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Historical evidence: 25% in cited DOF instrument</w:t>
            </w:r>
          </w:p>
        </w:tc>
        <w:tc>
          <w:tcPr>
            <w:tcW w:type="dxa" w:w="1296"/>
            <w:vAlign w:val="top"/>
          </w:tcPr>
          <w:p>
            <w:pPr>
              <w:spacing w:before="20" w:after="20"/>
            </w:pPr>
            <w:r>
              <w:rPr>
                <w:sz w:val="16"/>
                <w:szCs w:val="16"/>
              </w:rPr>
              <w:t>US/Canada-origin exempt in cited instrument</w:t>
            </w:r>
          </w:p>
        </w:tc>
        <w:tc>
          <w:tcPr>
            <w:tcW w:type="dxa" w:w="1296"/>
            <w:vAlign w:val="top"/>
          </w:tcPr>
          <w:p>
            <w:pPr>
              <w:spacing w:before="20" w:after="20"/>
            </w:pPr>
            <w:r>
              <w:rPr>
                <w:sz w:val="16"/>
                <w:szCs w:val="16"/>
              </w:rPr>
              <w:t>Ad valorem + preference history</w:t>
            </w:r>
          </w:p>
        </w:tc>
        <w:tc>
          <w:tcPr>
            <w:tcW w:type="dxa" w:w="1296"/>
            <w:vAlign w:val="top"/>
          </w:tcPr>
          <w:p>
            <w:pPr>
              <w:spacing w:before="20" w:after="20"/>
            </w:pPr>
            <w:r>
              <w:rPr>
                <w:sz w:val="16"/>
                <w:szCs w:val="16"/>
              </w:rPr>
              <w:t>DOF code 5140065</w:t>
            </w:r>
          </w:p>
        </w:tc>
        <w:tc>
          <w:tcPr>
            <w:tcW w:type="dxa" w:w="1296"/>
            <w:vAlign w:val="top"/>
          </w:tcPr>
          <w:p>
            <w:pPr>
              <w:spacing w:before="20" w:after="20"/>
            </w:pPr>
            <w:r>
              <w:rPr>
                <w:sz w:val="16"/>
                <w:szCs w:val="16"/>
              </w:rPr>
              <w:t>Partially Verified</w:t>
            </w:r>
          </w:p>
        </w:tc>
        <w:tc>
          <w:tcPr>
            <w:tcW w:type="dxa" w:w="1296"/>
            <w:vAlign w:val="top"/>
          </w:tcPr>
          <w:p>
            <w:pPr>
              <w:spacing w:before="20" w:after="20"/>
            </w:pPr>
            <w:r>
              <w:rPr>
                <w:sz w:val="16"/>
                <w:szCs w:val="16"/>
              </w:rPr>
              <w:t>Historical vs current value</w:t>
            </w:r>
          </w:p>
        </w:tc>
      </w:tr>
      <w:tr>
        <w:tc>
          <w:tcPr>
            <w:tcW w:type="dxa" w:w="1296"/>
            <w:vAlign w:val="top"/>
          </w:tcPr>
          <w:p>
            <w:pPr>
              <w:spacing w:before="20" w:after="20"/>
            </w:pPr>
            <w:r>
              <w:rPr>
                <w:sz w:val="16"/>
                <w:szCs w:val="16"/>
              </w:rPr>
              <w:t>MX-006</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0202.30.01</w:t>
            </w:r>
          </w:p>
        </w:tc>
        <w:tc>
          <w:tcPr>
            <w:tcW w:type="dxa" w:w="1296"/>
            <w:vAlign w:val="top"/>
          </w:tcPr>
          <w:p>
            <w:pPr>
              <w:spacing w:before="20" w:after="20"/>
            </w:pPr>
            <w:r>
              <w:rPr>
                <w:sz w:val="16"/>
                <w:szCs w:val="16"/>
              </w:rPr>
              <w:t>Frozen boneless bovine meat</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Historical evidence: 25% in cited DOF instrument</w:t>
            </w:r>
          </w:p>
        </w:tc>
        <w:tc>
          <w:tcPr>
            <w:tcW w:type="dxa" w:w="1296"/>
            <w:vAlign w:val="top"/>
          </w:tcPr>
          <w:p>
            <w:pPr>
              <w:spacing w:before="20" w:after="20"/>
            </w:pPr>
            <w:r>
              <w:rPr>
                <w:sz w:val="16"/>
                <w:szCs w:val="16"/>
              </w:rPr>
              <w:t>US/Canada-origin exempt in cited instrument</w:t>
            </w:r>
          </w:p>
        </w:tc>
        <w:tc>
          <w:tcPr>
            <w:tcW w:type="dxa" w:w="1296"/>
            <w:vAlign w:val="top"/>
          </w:tcPr>
          <w:p>
            <w:pPr>
              <w:spacing w:before="20" w:after="20"/>
            </w:pPr>
            <w:r>
              <w:rPr>
                <w:sz w:val="16"/>
                <w:szCs w:val="16"/>
              </w:rPr>
              <w:t>Ad valorem + preference history</w:t>
            </w:r>
          </w:p>
        </w:tc>
        <w:tc>
          <w:tcPr>
            <w:tcW w:type="dxa" w:w="1296"/>
            <w:vAlign w:val="top"/>
          </w:tcPr>
          <w:p>
            <w:pPr>
              <w:spacing w:before="20" w:after="20"/>
            </w:pPr>
            <w:r>
              <w:rPr>
                <w:sz w:val="16"/>
                <w:szCs w:val="16"/>
              </w:rPr>
              <w:t>DOF code 5140065</w:t>
            </w:r>
          </w:p>
        </w:tc>
        <w:tc>
          <w:tcPr>
            <w:tcW w:type="dxa" w:w="1296"/>
            <w:vAlign w:val="top"/>
          </w:tcPr>
          <w:p>
            <w:pPr>
              <w:spacing w:before="20" w:after="20"/>
            </w:pPr>
            <w:r>
              <w:rPr>
                <w:sz w:val="16"/>
                <w:szCs w:val="16"/>
              </w:rPr>
              <w:t>Partially Verified</w:t>
            </w:r>
          </w:p>
        </w:tc>
        <w:tc>
          <w:tcPr>
            <w:tcW w:type="dxa" w:w="1296"/>
            <w:vAlign w:val="top"/>
          </w:tcPr>
          <w:p>
            <w:pPr>
              <w:spacing w:before="20" w:after="20"/>
            </w:pPr>
            <w:r>
              <w:rPr>
                <w:sz w:val="16"/>
                <w:szCs w:val="16"/>
              </w:rPr>
              <w:t>Historical vs current value</w:t>
            </w:r>
          </w:p>
        </w:tc>
      </w:tr>
      <w:tr>
        <w:tc>
          <w:tcPr>
            <w:tcW w:type="dxa" w:w="1296"/>
            <w:vAlign w:val="top"/>
          </w:tcPr>
          <w:p>
            <w:pPr>
              <w:spacing w:before="20" w:after="20"/>
            </w:pPr>
            <w:r>
              <w:rPr>
                <w:sz w:val="16"/>
                <w:szCs w:val="16"/>
              </w:rPr>
              <w:t>MX-007</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0406.10.01</w:t>
            </w:r>
          </w:p>
        </w:tc>
        <w:tc>
          <w:tcPr>
            <w:tcW w:type="dxa" w:w="1296"/>
            <w:vAlign w:val="top"/>
          </w:tcPr>
          <w:p>
            <w:pPr>
              <w:spacing w:before="20" w:after="20"/>
            </w:pPr>
            <w:r>
              <w:rPr>
                <w:sz w:val="16"/>
                <w:szCs w:val="16"/>
              </w:rPr>
              <w:t>Fresh cheese, retail-conditioned (official quota instrument description)</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Current rate Pending Verification</w:t>
            </w:r>
          </w:p>
        </w:tc>
        <w:tc>
          <w:tcPr>
            <w:tcW w:type="dxa" w:w="1296"/>
            <w:vAlign w:val="top"/>
          </w:tcPr>
          <w:p>
            <w:pPr>
              <w:spacing w:before="20" w:after="20"/>
            </w:pPr>
            <w:r>
              <w:rPr>
                <w:sz w:val="16"/>
                <w:szCs w:val="16"/>
              </w:rPr>
              <w:t>T-MEC treatment Pending line-level check</w:t>
            </w:r>
          </w:p>
        </w:tc>
        <w:tc>
          <w:tcPr>
            <w:tcW w:type="dxa" w:w="1296"/>
            <w:vAlign w:val="top"/>
          </w:tcPr>
          <w:p>
            <w:pPr>
              <w:spacing w:before="20" w:after="20"/>
            </w:pPr>
            <w:r>
              <w:rPr>
                <w:sz w:val="16"/>
                <w:szCs w:val="16"/>
              </w:rPr>
              <w:t>Quota-linked fraction</w:t>
            </w:r>
          </w:p>
        </w:tc>
        <w:tc>
          <w:tcPr>
            <w:tcW w:type="dxa" w:w="1296"/>
            <w:vAlign w:val="top"/>
          </w:tcPr>
          <w:p>
            <w:pPr>
              <w:spacing w:before="20" w:after="20"/>
            </w:pPr>
            <w:r>
              <w:rPr>
                <w:sz w:val="16"/>
                <w:szCs w:val="16"/>
              </w:rPr>
              <w:t>DOF code 2082393</w:t>
            </w:r>
          </w:p>
        </w:tc>
        <w:tc>
          <w:tcPr>
            <w:tcW w:type="dxa" w:w="1296"/>
            <w:vAlign w:val="top"/>
          </w:tcPr>
          <w:p>
            <w:pPr>
              <w:spacing w:before="20" w:after="20"/>
            </w:pPr>
            <w:r>
              <w:rPr>
                <w:sz w:val="16"/>
                <w:szCs w:val="16"/>
              </w:rPr>
              <w:t>Partially Verified</w:t>
            </w:r>
          </w:p>
        </w:tc>
        <w:tc>
          <w:tcPr>
            <w:tcW w:type="dxa" w:w="1296"/>
            <w:vAlign w:val="top"/>
          </w:tcPr>
          <w:p>
            <w:pPr>
              <w:spacing w:before="20" w:after="20"/>
            </w:pPr>
            <w:r>
              <w:rPr>
                <w:sz w:val="16"/>
                <w:szCs w:val="16"/>
              </w:rPr>
              <w:t>Quota instrument dependency</w:t>
            </w:r>
          </w:p>
        </w:tc>
      </w:tr>
      <w:tr>
        <w:tc>
          <w:tcPr>
            <w:tcW w:type="dxa" w:w="1296"/>
            <w:vAlign w:val="top"/>
          </w:tcPr>
          <w:p>
            <w:pPr>
              <w:spacing w:before="20" w:after="20"/>
            </w:pPr>
            <w:r>
              <w:rPr>
                <w:sz w:val="16"/>
                <w:szCs w:val="16"/>
              </w:rPr>
              <w:t>MX-008</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0406.40.01</w:t>
            </w:r>
          </w:p>
        </w:tc>
        <w:tc>
          <w:tcPr>
            <w:tcW w:type="dxa" w:w="1296"/>
            <w:vAlign w:val="top"/>
          </w:tcPr>
          <w:p>
            <w:pPr>
              <w:spacing w:before="20" w:after="20"/>
            </w:pPr>
            <w:r>
              <w:rPr>
                <w:sz w:val="16"/>
                <w:szCs w:val="16"/>
              </w:rPr>
              <w:t>Blue-veined cheese / Penicillium roqueforti</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Historical TIGIE evidence: 20%</w:t>
            </w:r>
          </w:p>
        </w:tc>
        <w:tc>
          <w:tcPr>
            <w:tcW w:type="dxa" w:w="1296"/>
            <w:vAlign w:val="top"/>
          </w:tcPr>
          <w:p>
            <w:pPr>
              <w:spacing w:before="20" w:after="20"/>
            </w:pPr>
            <w:r>
              <w:rPr>
                <w:sz w:val="16"/>
                <w:szCs w:val="16"/>
              </w:rPr>
              <w:t>T-MEC treatment Pending current check</w:t>
            </w:r>
          </w:p>
        </w:tc>
        <w:tc>
          <w:tcPr>
            <w:tcW w:type="dxa" w:w="1296"/>
            <w:vAlign w:val="top"/>
          </w:tcPr>
          <w:p>
            <w:pPr>
              <w:spacing w:before="20" w:after="20"/>
            </w:pPr>
            <w:r>
              <w:rPr>
                <w:sz w:val="16"/>
                <w:szCs w:val="16"/>
              </w:rPr>
              <w:t>Ad valorem</w:t>
            </w:r>
          </w:p>
        </w:tc>
        <w:tc>
          <w:tcPr>
            <w:tcW w:type="dxa" w:w="1296"/>
            <w:vAlign w:val="top"/>
          </w:tcPr>
          <w:p>
            <w:pPr>
              <w:spacing w:before="20" w:after="20"/>
            </w:pPr>
            <w:r>
              <w:rPr>
                <w:sz w:val="16"/>
                <w:szCs w:val="16"/>
              </w:rPr>
              <w:t>DOF code 4992284</w:t>
            </w:r>
          </w:p>
        </w:tc>
        <w:tc>
          <w:tcPr>
            <w:tcW w:type="dxa" w:w="1296"/>
            <w:vAlign w:val="top"/>
          </w:tcPr>
          <w:p>
            <w:pPr>
              <w:spacing w:before="20" w:after="20"/>
            </w:pPr>
            <w:r>
              <w:rPr>
                <w:sz w:val="16"/>
                <w:szCs w:val="16"/>
              </w:rPr>
              <w:t>Historical Only</w:t>
            </w:r>
          </w:p>
        </w:tc>
        <w:tc>
          <w:tcPr>
            <w:tcW w:type="dxa" w:w="1296"/>
            <w:vAlign w:val="top"/>
          </w:tcPr>
          <w:p>
            <w:pPr>
              <w:spacing w:before="20" w:after="20"/>
            </w:pPr>
            <w:r>
              <w:rPr>
                <w:sz w:val="16"/>
                <w:szCs w:val="16"/>
              </w:rPr>
              <w:t>Rate supersession risk</w:t>
            </w:r>
          </w:p>
        </w:tc>
      </w:tr>
      <w:tr>
        <w:tc>
          <w:tcPr>
            <w:tcW w:type="dxa" w:w="1296"/>
            <w:vAlign w:val="top"/>
          </w:tcPr>
          <w:p>
            <w:pPr>
              <w:spacing w:before="20" w:after="20"/>
            </w:pPr>
            <w:r>
              <w:rPr>
                <w:sz w:val="16"/>
                <w:szCs w:val="16"/>
              </w:rPr>
              <w:t>MX-009</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0701.90.99</w:t>
            </w:r>
          </w:p>
        </w:tc>
        <w:tc>
          <w:tcPr>
            <w:tcW w:type="dxa" w:w="1296"/>
            <w:vAlign w:val="top"/>
          </w:tcPr>
          <w:p>
            <w:pPr>
              <w:spacing w:before="20" w:after="20"/>
            </w:pPr>
            <w:r>
              <w:rPr>
                <w:sz w:val="16"/>
                <w:szCs w:val="16"/>
              </w:rPr>
              <w:t>Other fresh/chilled potatoes</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Official arancel-cupo instrument: Ex. when conditions/certificate met</w:t>
            </w:r>
          </w:p>
        </w:tc>
        <w:tc>
          <w:tcPr>
            <w:tcW w:type="dxa" w:w="1296"/>
            <w:vAlign w:val="top"/>
          </w:tcPr>
          <w:p>
            <w:pPr>
              <w:spacing w:before="20" w:after="20"/>
            </w:pPr>
            <w:r>
              <w:rPr>
                <w:sz w:val="16"/>
                <w:szCs w:val="16"/>
              </w:rPr>
              <w:t>T-MEC treatment Pending current check</w:t>
            </w:r>
          </w:p>
        </w:tc>
        <w:tc>
          <w:tcPr>
            <w:tcW w:type="dxa" w:w="1296"/>
            <w:vAlign w:val="top"/>
          </w:tcPr>
          <w:p>
            <w:pPr>
              <w:spacing w:before="20" w:after="20"/>
            </w:pPr>
            <w:r>
              <w:rPr>
                <w:sz w:val="16"/>
                <w:szCs w:val="16"/>
              </w:rPr>
              <w:t>Quota overlay</w:t>
            </w:r>
          </w:p>
        </w:tc>
        <w:tc>
          <w:tcPr>
            <w:tcW w:type="dxa" w:w="1296"/>
            <w:vAlign w:val="top"/>
          </w:tcPr>
          <w:p>
            <w:pPr>
              <w:spacing w:before="20" w:after="20"/>
            </w:pPr>
            <w:r>
              <w:rPr>
                <w:sz w:val="16"/>
                <w:szCs w:val="16"/>
              </w:rPr>
              <w:t>DOF code 5469479</w:t>
            </w:r>
          </w:p>
        </w:tc>
        <w:tc>
          <w:tcPr>
            <w:tcW w:type="dxa" w:w="1296"/>
            <w:vAlign w:val="top"/>
          </w:tcPr>
          <w:p>
            <w:pPr>
              <w:spacing w:before="20" w:after="20"/>
            </w:pPr>
            <w:r>
              <w:rPr>
                <w:sz w:val="16"/>
                <w:szCs w:val="16"/>
              </w:rPr>
              <w:t>Historical Only</w:t>
            </w:r>
          </w:p>
        </w:tc>
        <w:tc>
          <w:tcPr>
            <w:tcW w:type="dxa" w:w="1296"/>
            <w:vAlign w:val="top"/>
          </w:tcPr>
          <w:p>
            <w:pPr>
              <w:spacing w:before="20" w:after="20"/>
            </w:pPr>
            <w:r>
              <w:rPr>
                <w:sz w:val="16"/>
                <w:szCs w:val="16"/>
              </w:rPr>
              <w:t>Arancel-cupo overlay</w:t>
            </w:r>
          </w:p>
        </w:tc>
      </w:tr>
      <w:tr>
        <w:tc>
          <w:tcPr>
            <w:tcW w:type="dxa" w:w="1296"/>
            <w:vAlign w:val="top"/>
          </w:tcPr>
          <w:p>
            <w:pPr>
              <w:spacing w:before="20" w:after="20"/>
            </w:pPr>
            <w:r>
              <w:rPr>
                <w:sz w:val="16"/>
                <w:szCs w:val="16"/>
              </w:rPr>
              <w:t>MX-010</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0702.00.99</w:t>
            </w:r>
          </w:p>
        </w:tc>
        <w:tc>
          <w:tcPr>
            <w:tcW w:type="dxa" w:w="1296"/>
            <w:vAlign w:val="top"/>
          </w:tcPr>
          <w:p>
            <w:pPr>
              <w:spacing w:before="20" w:after="20"/>
            </w:pPr>
            <w:r>
              <w:rPr>
                <w:sz w:val="16"/>
                <w:szCs w:val="16"/>
              </w:rPr>
              <w:t>Other tomatoes</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Official arancel-cupo instrument: Ex. when conditions/certificate met</w:t>
            </w:r>
          </w:p>
        </w:tc>
        <w:tc>
          <w:tcPr>
            <w:tcW w:type="dxa" w:w="1296"/>
            <w:vAlign w:val="top"/>
          </w:tcPr>
          <w:p>
            <w:pPr>
              <w:spacing w:before="20" w:after="20"/>
            </w:pPr>
            <w:r>
              <w:rPr>
                <w:sz w:val="16"/>
                <w:szCs w:val="16"/>
              </w:rPr>
              <w:t>T-MEC treatment Pending current check</w:t>
            </w:r>
          </w:p>
        </w:tc>
        <w:tc>
          <w:tcPr>
            <w:tcW w:type="dxa" w:w="1296"/>
            <w:vAlign w:val="top"/>
          </w:tcPr>
          <w:p>
            <w:pPr>
              <w:spacing w:before="20" w:after="20"/>
            </w:pPr>
            <w:r>
              <w:rPr>
                <w:sz w:val="16"/>
                <w:szCs w:val="16"/>
              </w:rPr>
              <w:t>Quota overlay</w:t>
            </w:r>
          </w:p>
        </w:tc>
        <w:tc>
          <w:tcPr>
            <w:tcW w:type="dxa" w:w="1296"/>
            <w:vAlign w:val="top"/>
          </w:tcPr>
          <w:p>
            <w:pPr>
              <w:spacing w:before="20" w:after="20"/>
            </w:pPr>
            <w:r>
              <w:rPr>
                <w:sz w:val="16"/>
                <w:szCs w:val="16"/>
              </w:rPr>
              <w:t>DOF code 5469479</w:t>
            </w:r>
          </w:p>
        </w:tc>
        <w:tc>
          <w:tcPr>
            <w:tcW w:type="dxa" w:w="1296"/>
            <w:vAlign w:val="top"/>
          </w:tcPr>
          <w:p>
            <w:pPr>
              <w:spacing w:before="20" w:after="20"/>
            </w:pPr>
            <w:r>
              <w:rPr>
                <w:sz w:val="16"/>
                <w:szCs w:val="16"/>
              </w:rPr>
              <w:t>Historical Only</w:t>
            </w:r>
          </w:p>
        </w:tc>
        <w:tc>
          <w:tcPr>
            <w:tcW w:type="dxa" w:w="1296"/>
            <w:vAlign w:val="top"/>
          </w:tcPr>
          <w:p>
            <w:pPr>
              <w:spacing w:before="20" w:after="20"/>
            </w:pPr>
            <w:r>
              <w:rPr>
                <w:sz w:val="16"/>
                <w:szCs w:val="16"/>
              </w:rPr>
              <w:t>Temporary/quota overlay</w:t>
            </w:r>
          </w:p>
        </w:tc>
      </w:tr>
      <w:tr>
        <w:tc>
          <w:tcPr>
            <w:tcW w:type="dxa" w:w="1296"/>
            <w:vAlign w:val="top"/>
          </w:tcPr>
          <w:p>
            <w:pPr>
              <w:spacing w:before="20" w:after="20"/>
            </w:pPr>
            <w:r>
              <w:rPr>
                <w:sz w:val="16"/>
                <w:szCs w:val="16"/>
              </w:rPr>
              <w:t>MX-011</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0703.10.01</w:t>
            </w:r>
          </w:p>
        </w:tc>
        <w:tc>
          <w:tcPr>
            <w:tcW w:type="dxa" w:w="1296"/>
            <w:vAlign w:val="top"/>
          </w:tcPr>
          <w:p>
            <w:pPr>
              <w:spacing w:before="20" w:after="20"/>
            </w:pPr>
            <w:r>
              <w:rPr>
                <w:sz w:val="16"/>
                <w:szCs w:val="16"/>
              </w:rPr>
              <w:t>Onions</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Official arancel-cupo instrument: Ex. when conditions/certificate met</w:t>
            </w:r>
          </w:p>
        </w:tc>
        <w:tc>
          <w:tcPr>
            <w:tcW w:type="dxa" w:w="1296"/>
            <w:vAlign w:val="top"/>
          </w:tcPr>
          <w:p>
            <w:pPr>
              <w:spacing w:before="20" w:after="20"/>
            </w:pPr>
            <w:r>
              <w:rPr>
                <w:sz w:val="16"/>
                <w:szCs w:val="16"/>
              </w:rPr>
              <w:t>T-MEC treatment Pending current check</w:t>
            </w:r>
          </w:p>
        </w:tc>
        <w:tc>
          <w:tcPr>
            <w:tcW w:type="dxa" w:w="1296"/>
            <w:vAlign w:val="top"/>
          </w:tcPr>
          <w:p>
            <w:pPr>
              <w:spacing w:before="20" w:after="20"/>
            </w:pPr>
            <w:r>
              <w:rPr>
                <w:sz w:val="16"/>
                <w:szCs w:val="16"/>
              </w:rPr>
              <w:t>Quota overlay</w:t>
            </w:r>
          </w:p>
        </w:tc>
        <w:tc>
          <w:tcPr>
            <w:tcW w:type="dxa" w:w="1296"/>
            <w:vAlign w:val="top"/>
          </w:tcPr>
          <w:p>
            <w:pPr>
              <w:spacing w:before="20" w:after="20"/>
            </w:pPr>
            <w:r>
              <w:rPr>
                <w:sz w:val="16"/>
                <w:szCs w:val="16"/>
              </w:rPr>
              <w:t>DOF code 5469479</w:t>
            </w:r>
          </w:p>
        </w:tc>
        <w:tc>
          <w:tcPr>
            <w:tcW w:type="dxa" w:w="1296"/>
            <w:vAlign w:val="top"/>
          </w:tcPr>
          <w:p>
            <w:pPr>
              <w:spacing w:before="20" w:after="20"/>
            </w:pPr>
            <w:r>
              <w:rPr>
                <w:sz w:val="16"/>
                <w:szCs w:val="16"/>
              </w:rPr>
              <w:t>Historical Only</w:t>
            </w:r>
          </w:p>
        </w:tc>
        <w:tc>
          <w:tcPr>
            <w:tcW w:type="dxa" w:w="1296"/>
            <w:vAlign w:val="top"/>
          </w:tcPr>
          <w:p>
            <w:pPr>
              <w:spacing w:before="20" w:after="20"/>
            </w:pPr>
            <w:r>
              <w:rPr>
                <w:sz w:val="16"/>
                <w:szCs w:val="16"/>
              </w:rPr>
              <w:t>Quota certificate dependency</w:t>
            </w:r>
          </w:p>
        </w:tc>
      </w:tr>
      <w:tr>
        <w:tc>
          <w:tcPr>
            <w:tcW w:type="dxa" w:w="1296"/>
            <w:vAlign w:val="top"/>
          </w:tcPr>
          <w:p>
            <w:pPr>
              <w:spacing w:before="20" w:after="20"/>
            </w:pPr>
            <w:r>
              <w:rPr>
                <w:sz w:val="16"/>
                <w:szCs w:val="16"/>
              </w:rPr>
              <w:t>MX-012</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0709.60.99</w:t>
            </w:r>
          </w:p>
        </w:tc>
        <w:tc>
          <w:tcPr>
            <w:tcW w:type="dxa" w:w="1296"/>
            <w:vAlign w:val="top"/>
          </w:tcPr>
          <w:p>
            <w:pPr>
              <w:spacing w:before="20" w:after="20"/>
            </w:pPr>
            <w:r>
              <w:rPr>
                <w:sz w:val="16"/>
                <w:szCs w:val="16"/>
              </w:rPr>
              <w:t>Other peppers</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Official arancel-cupo instrument: Ex. when conditions/certificate met</w:t>
            </w:r>
          </w:p>
        </w:tc>
        <w:tc>
          <w:tcPr>
            <w:tcW w:type="dxa" w:w="1296"/>
            <w:vAlign w:val="top"/>
          </w:tcPr>
          <w:p>
            <w:pPr>
              <w:spacing w:before="20" w:after="20"/>
            </w:pPr>
            <w:r>
              <w:rPr>
                <w:sz w:val="16"/>
                <w:szCs w:val="16"/>
              </w:rPr>
              <w:t>T-MEC treatment Pending current check</w:t>
            </w:r>
          </w:p>
        </w:tc>
        <w:tc>
          <w:tcPr>
            <w:tcW w:type="dxa" w:w="1296"/>
            <w:vAlign w:val="top"/>
          </w:tcPr>
          <w:p>
            <w:pPr>
              <w:spacing w:before="20" w:after="20"/>
            </w:pPr>
            <w:r>
              <w:rPr>
                <w:sz w:val="16"/>
                <w:szCs w:val="16"/>
              </w:rPr>
              <w:t>Quota overlay</w:t>
            </w:r>
          </w:p>
        </w:tc>
        <w:tc>
          <w:tcPr>
            <w:tcW w:type="dxa" w:w="1296"/>
            <w:vAlign w:val="top"/>
          </w:tcPr>
          <w:p>
            <w:pPr>
              <w:spacing w:before="20" w:after="20"/>
            </w:pPr>
            <w:r>
              <w:rPr>
                <w:sz w:val="16"/>
                <w:szCs w:val="16"/>
              </w:rPr>
              <w:t>DOF code 5469479</w:t>
            </w:r>
          </w:p>
        </w:tc>
        <w:tc>
          <w:tcPr>
            <w:tcW w:type="dxa" w:w="1296"/>
            <w:vAlign w:val="top"/>
          </w:tcPr>
          <w:p>
            <w:pPr>
              <w:spacing w:before="20" w:after="20"/>
            </w:pPr>
            <w:r>
              <w:rPr>
                <w:sz w:val="16"/>
                <w:szCs w:val="16"/>
              </w:rPr>
              <w:t>Historical Only</w:t>
            </w:r>
          </w:p>
        </w:tc>
        <w:tc>
          <w:tcPr>
            <w:tcW w:type="dxa" w:w="1296"/>
            <w:vAlign w:val="top"/>
          </w:tcPr>
          <w:p>
            <w:pPr>
              <w:spacing w:before="20" w:after="20"/>
            </w:pPr>
            <w:r>
              <w:rPr>
                <w:sz w:val="16"/>
                <w:szCs w:val="16"/>
              </w:rPr>
              <w:t>Quota overlay</w:t>
            </w:r>
          </w:p>
        </w:tc>
      </w:tr>
      <w:tr>
        <w:tc>
          <w:tcPr>
            <w:tcW w:type="dxa" w:w="1296"/>
            <w:vAlign w:val="top"/>
          </w:tcPr>
          <w:p>
            <w:pPr>
              <w:spacing w:before="20" w:after="20"/>
            </w:pPr>
            <w:r>
              <w:rPr>
                <w:sz w:val="16"/>
                <w:szCs w:val="16"/>
              </w:rPr>
              <w:t>MX-013</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0808.10.01</w:t>
            </w:r>
          </w:p>
        </w:tc>
        <w:tc>
          <w:tcPr>
            <w:tcW w:type="dxa" w:w="1296"/>
            <w:vAlign w:val="top"/>
          </w:tcPr>
          <w:p>
            <w:pPr>
              <w:spacing w:before="20" w:after="20"/>
            </w:pPr>
            <w:r>
              <w:rPr>
                <w:sz w:val="16"/>
                <w:szCs w:val="16"/>
              </w:rPr>
              <w:t>Apples</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Official arancel-cupo instrument: Ex. when conditions/certificate met</w:t>
            </w:r>
          </w:p>
        </w:tc>
        <w:tc>
          <w:tcPr>
            <w:tcW w:type="dxa" w:w="1296"/>
            <w:vAlign w:val="top"/>
          </w:tcPr>
          <w:p>
            <w:pPr>
              <w:spacing w:before="20" w:after="20"/>
            </w:pPr>
            <w:r>
              <w:rPr>
                <w:sz w:val="16"/>
                <w:szCs w:val="16"/>
              </w:rPr>
              <w:t>T-MEC treatment Pending current check</w:t>
            </w:r>
          </w:p>
        </w:tc>
        <w:tc>
          <w:tcPr>
            <w:tcW w:type="dxa" w:w="1296"/>
            <w:vAlign w:val="top"/>
          </w:tcPr>
          <w:p>
            <w:pPr>
              <w:spacing w:before="20" w:after="20"/>
            </w:pPr>
            <w:r>
              <w:rPr>
                <w:sz w:val="16"/>
                <w:szCs w:val="16"/>
              </w:rPr>
              <w:t>Quota overlay</w:t>
            </w:r>
          </w:p>
        </w:tc>
        <w:tc>
          <w:tcPr>
            <w:tcW w:type="dxa" w:w="1296"/>
            <w:vAlign w:val="top"/>
          </w:tcPr>
          <w:p>
            <w:pPr>
              <w:spacing w:before="20" w:after="20"/>
            </w:pPr>
            <w:r>
              <w:rPr>
                <w:sz w:val="16"/>
                <w:szCs w:val="16"/>
              </w:rPr>
              <w:t>DOF code 5469479</w:t>
            </w:r>
          </w:p>
        </w:tc>
        <w:tc>
          <w:tcPr>
            <w:tcW w:type="dxa" w:w="1296"/>
            <w:vAlign w:val="top"/>
          </w:tcPr>
          <w:p>
            <w:pPr>
              <w:spacing w:before="20" w:after="20"/>
            </w:pPr>
            <w:r>
              <w:rPr>
                <w:sz w:val="16"/>
                <w:szCs w:val="16"/>
              </w:rPr>
              <w:t>Historical Only</w:t>
            </w:r>
          </w:p>
        </w:tc>
        <w:tc>
          <w:tcPr>
            <w:tcW w:type="dxa" w:w="1296"/>
            <w:vAlign w:val="top"/>
          </w:tcPr>
          <w:p>
            <w:pPr>
              <w:spacing w:before="20" w:after="20"/>
            </w:pPr>
            <w:r>
              <w:rPr>
                <w:sz w:val="16"/>
                <w:szCs w:val="16"/>
              </w:rPr>
              <w:t>Seasonal/temporary policy</w:t>
            </w:r>
          </w:p>
        </w:tc>
      </w:tr>
      <w:tr>
        <w:tc>
          <w:tcPr>
            <w:tcW w:type="dxa" w:w="1296"/>
            <w:vAlign w:val="top"/>
          </w:tcPr>
          <w:p>
            <w:pPr>
              <w:spacing w:before="20" w:after="20"/>
            </w:pPr>
            <w:r>
              <w:rPr>
                <w:sz w:val="16"/>
                <w:szCs w:val="16"/>
              </w:rPr>
              <w:t>MX-014</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0904.21.01</w:t>
            </w:r>
          </w:p>
        </w:tc>
        <w:tc>
          <w:tcPr>
            <w:tcW w:type="dxa" w:w="1296"/>
            <w:vAlign w:val="top"/>
          </w:tcPr>
          <w:p>
            <w:pPr>
              <w:spacing w:before="20" w:after="20"/>
            </w:pPr>
            <w:r>
              <w:rPr>
                <w:sz w:val="16"/>
                <w:szCs w:val="16"/>
              </w:rPr>
              <w:t>Ancho/Anaheim dried peppers</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Official arancel-cupo instrument: Ex. when conditions/certificate met</w:t>
            </w:r>
          </w:p>
        </w:tc>
        <w:tc>
          <w:tcPr>
            <w:tcW w:type="dxa" w:w="1296"/>
            <w:vAlign w:val="top"/>
          </w:tcPr>
          <w:p>
            <w:pPr>
              <w:spacing w:before="20" w:after="20"/>
            </w:pPr>
            <w:r>
              <w:rPr>
                <w:sz w:val="16"/>
                <w:szCs w:val="16"/>
              </w:rPr>
              <w:t>T-MEC treatment Pending current check</w:t>
            </w:r>
          </w:p>
        </w:tc>
        <w:tc>
          <w:tcPr>
            <w:tcW w:type="dxa" w:w="1296"/>
            <w:vAlign w:val="top"/>
          </w:tcPr>
          <w:p>
            <w:pPr>
              <w:spacing w:before="20" w:after="20"/>
            </w:pPr>
            <w:r>
              <w:rPr>
                <w:sz w:val="16"/>
                <w:szCs w:val="16"/>
              </w:rPr>
              <w:t>Quota overlay</w:t>
            </w:r>
          </w:p>
        </w:tc>
        <w:tc>
          <w:tcPr>
            <w:tcW w:type="dxa" w:w="1296"/>
            <w:vAlign w:val="top"/>
          </w:tcPr>
          <w:p>
            <w:pPr>
              <w:spacing w:before="20" w:after="20"/>
            </w:pPr>
            <w:r>
              <w:rPr>
                <w:sz w:val="16"/>
                <w:szCs w:val="16"/>
              </w:rPr>
              <w:t>DOF code 5469479</w:t>
            </w:r>
          </w:p>
        </w:tc>
        <w:tc>
          <w:tcPr>
            <w:tcW w:type="dxa" w:w="1296"/>
            <w:vAlign w:val="top"/>
          </w:tcPr>
          <w:p>
            <w:pPr>
              <w:spacing w:before="20" w:after="20"/>
            </w:pPr>
            <w:r>
              <w:rPr>
                <w:sz w:val="16"/>
                <w:szCs w:val="16"/>
              </w:rPr>
              <w:t>Historical Only</w:t>
            </w:r>
          </w:p>
        </w:tc>
        <w:tc>
          <w:tcPr>
            <w:tcW w:type="dxa" w:w="1296"/>
            <w:vAlign w:val="top"/>
          </w:tcPr>
          <w:p>
            <w:pPr>
              <w:spacing w:before="20" w:after="20"/>
            </w:pPr>
            <w:r>
              <w:rPr>
                <w:sz w:val="16"/>
                <w:szCs w:val="16"/>
              </w:rPr>
              <w:t>Quota overlay</w:t>
            </w:r>
          </w:p>
        </w:tc>
      </w:tr>
      <w:tr>
        <w:tc>
          <w:tcPr>
            <w:tcW w:type="dxa" w:w="1296"/>
            <w:vAlign w:val="top"/>
          </w:tcPr>
          <w:p>
            <w:pPr>
              <w:spacing w:before="20" w:after="20"/>
            </w:pPr>
            <w:r>
              <w:rPr>
                <w:sz w:val="16"/>
                <w:szCs w:val="16"/>
              </w:rPr>
              <w:t>MX-015</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0904.21.99</w:t>
            </w:r>
          </w:p>
        </w:tc>
        <w:tc>
          <w:tcPr>
            <w:tcW w:type="dxa" w:w="1296"/>
            <w:vAlign w:val="top"/>
          </w:tcPr>
          <w:p>
            <w:pPr>
              <w:spacing w:before="20" w:after="20"/>
            </w:pPr>
            <w:r>
              <w:rPr>
                <w:sz w:val="16"/>
                <w:szCs w:val="16"/>
              </w:rPr>
              <w:t>Other dried peppers</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Official arancel-cupo instrument: Ex. when conditions/certificate met</w:t>
            </w:r>
          </w:p>
        </w:tc>
        <w:tc>
          <w:tcPr>
            <w:tcW w:type="dxa" w:w="1296"/>
            <w:vAlign w:val="top"/>
          </w:tcPr>
          <w:p>
            <w:pPr>
              <w:spacing w:before="20" w:after="20"/>
            </w:pPr>
            <w:r>
              <w:rPr>
                <w:sz w:val="16"/>
                <w:szCs w:val="16"/>
              </w:rPr>
              <w:t>T-MEC treatment Pending current check</w:t>
            </w:r>
          </w:p>
        </w:tc>
        <w:tc>
          <w:tcPr>
            <w:tcW w:type="dxa" w:w="1296"/>
            <w:vAlign w:val="top"/>
          </w:tcPr>
          <w:p>
            <w:pPr>
              <w:spacing w:before="20" w:after="20"/>
            </w:pPr>
            <w:r>
              <w:rPr>
                <w:sz w:val="16"/>
                <w:szCs w:val="16"/>
              </w:rPr>
              <w:t>Quota overlay</w:t>
            </w:r>
          </w:p>
        </w:tc>
        <w:tc>
          <w:tcPr>
            <w:tcW w:type="dxa" w:w="1296"/>
            <w:vAlign w:val="top"/>
          </w:tcPr>
          <w:p>
            <w:pPr>
              <w:spacing w:before="20" w:after="20"/>
            </w:pPr>
            <w:r>
              <w:rPr>
                <w:sz w:val="16"/>
                <w:szCs w:val="16"/>
              </w:rPr>
              <w:t>DOF code 5469479</w:t>
            </w:r>
          </w:p>
        </w:tc>
        <w:tc>
          <w:tcPr>
            <w:tcW w:type="dxa" w:w="1296"/>
            <w:vAlign w:val="top"/>
          </w:tcPr>
          <w:p>
            <w:pPr>
              <w:spacing w:before="20" w:after="20"/>
            </w:pPr>
            <w:r>
              <w:rPr>
                <w:sz w:val="16"/>
                <w:szCs w:val="16"/>
              </w:rPr>
              <w:t>Historical Only</w:t>
            </w:r>
          </w:p>
        </w:tc>
        <w:tc>
          <w:tcPr>
            <w:tcW w:type="dxa" w:w="1296"/>
            <w:vAlign w:val="top"/>
          </w:tcPr>
          <w:p>
            <w:pPr>
              <w:spacing w:before="20" w:after="20"/>
            </w:pPr>
            <w:r>
              <w:rPr>
                <w:sz w:val="16"/>
                <w:szCs w:val="16"/>
              </w:rPr>
              <w:t>Quota overlay</w:t>
            </w:r>
          </w:p>
        </w:tc>
      </w:tr>
      <w:tr>
        <w:tc>
          <w:tcPr>
            <w:tcW w:type="dxa" w:w="1296"/>
            <w:vAlign w:val="top"/>
          </w:tcPr>
          <w:p>
            <w:pPr>
              <w:spacing w:before="20" w:after="20"/>
            </w:pPr>
            <w:r>
              <w:rPr>
                <w:sz w:val="16"/>
                <w:szCs w:val="16"/>
              </w:rPr>
              <w:t>MX-016</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0904.22.01</w:t>
            </w:r>
          </w:p>
        </w:tc>
        <w:tc>
          <w:tcPr>
            <w:tcW w:type="dxa" w:w="1296"/>
            <w:vAlign w:val="top"/>
          </w:tcPr>
          <w:p>
            <w:pPr>
              <w:spacing w:before="20" w:after="20"/>
            </w:pPr>
            <w:r>
              <w:rPr>
                <w:sz w:val="16"/>
                <w:szCs w:val="16"/>
              </w:rPr>
              <w:t>Crushed/ground ancho/Anaheim peppers</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Official arancel-cupo instrument: Ex. when conditions/certificate met</w:t>
            </w:r>
          </w:p>
        </w:tc>
        <w:tc>
          <w:tcPr>
            <w:tcW w:type="dxa" w:w="1296"/>
            <w:vAlign w:val="top"/>
          </w:tcPr>
          <w:p>
            <w:pPr>
              <w:spacing w:before="20" w:after="20"/>
            </w:pPr>
            <w:r>
              <w:rPr>
                <w:sz w:val="16"/>
                <w:szCs w:val="16"/>
              </w:rPr>
              <w:t>T-MEC treatment Pending current check</w:t>
            </w:r>
          </w:p>
        </w:tc>
        <w:tc>
          <w:tcPr>
            <w:tcW w:type="dxa" w:w="1296"/>
            <w:vAlign w:val="top"/>
          </w:tcPr>
          <w:p>
            <w:pPr>
              <w:spacing w:before="20" w:after="20"/>
            </w:pPr>
            <w:r>
              <w:rPr>
                <w:sz w:val="16"/>
                <w:szCs w:val="16"/>
              </w:rPr>
              <w:t>Quota overlay</w:t>
            </w:r>
          </w:p>
        </w:tc>
        <w:tc>
          <w:tcPr>
            <w:tcW w:type="dxa" w:w="1296"/>
            <w:vAlign w:val="top"/>
          </w:tcPr>
          <w:p>
            <w:pPr>
              <w:spacing w:before="20" w:after="20"/>
            </w:pPr>
            <w:r>
              <w:rPr>
                <w:sz w:val="16"/>
                <w:szCs w:val="16"/>
              </w:rPr>
              <w:t>DOF code 5469479</w:t>
            </w:r>
          </w:p>
        </w:tc>
        <w:tc>
          <w:tcPr>
            <w:tcW w:type="dxa" w:w="1296"/>
            <w:vAlign w:val="top"/>
          </w:tcPr>
          <w:p>
            <w:pPr>
              <w:spacing w:before="20" w:after="20"/>
            </w:pPr>
            <w:r>
              <w:rPr>
                <w:sz w:val="16"/>
                <w:szCs w:val="16"/>
              </w:rPr>
              <w:t>Historical Only</w:t>
            </w:r>
          </w:p>
        </w:tc>
        <w:tc>
          <w:tcPr>
            <w:tcW w:type="dxa" w:w="1296"/>
            <w:vAlign w:val="top"/>
          </w:tcPr>
          <w:p>
            <w:pPr>
              <w:spacing w:before="20" w:after="20"/>
            </w:pPr>
            <w:r>
              <w:rPr>
                <w:sz w:val="16"/>
                <w:szCs w:val="16"/>
              </w:rPr>
              <w:t>Quota overlay</w:t>
            </w:r>
          </w:p>
        </w:tc>
      </w:tr>
      <w:tr>
        <w:tc>
          <w:tcPr>
            <w:tcW w:type="dxa" w:w="1296"/>
            <w:vAlign w:val="top"/>
          </w:tcPr>
          <w:p>
            <w:pPr>
              <w:spacing w:before="20" w:after="20"/>
            </w:pPr>
            <w:r>
              <w:rPr>
                <w:sz w:val="16"/>
                <w:szCs w:val="16"/>
              </w:rPr>
              <w:t>MX-017</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0904.22.99</w:t>
            </w:r>
          </w:p>
        </w:tc>
        <w:tc>
          <w:tcPr>
            <w:tcW w:type="dxa" w:w="1296"/>
            <w:vAlign w:val="top"/>
          </w:tcPr>
          <w:p>
            <w:pPr>
              <w:spacing w:before="20" w:after="20"/>
            </w:pPr>
            <w:r>
              <w:rPr>
                <w:sz w:val="16"/>
                <w:szCs w:val="16"/>
              </w:rPr>
              <w:t>Other crushed/ground peppers</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Official arancel-cupo instrument: Ex. when conditions/certificate met</w:t>
            </w:r>
          </w:p>
        </w:tc>
        <w:tc>
          <w:tcPr>
            <w:tcW w:type="dxa" w:w="1296"/>
            <w:vAlign w:val="top"/>
          </w:tcPr>
          <w:p>
            <w:pPr>
              <w:spacing w:before="20" w:after="20"/>
            </w:pPr>
            <w:r>
              <w:rPr>
                <w:sz w:val="16"/>
                <w:szCs w:val="16"/>
              </w:rPr>
              <w:t>T-MEC treatment Pending current check</w:t>
            </w:r>
          </w:p>
        </w:tc>
        <w:tc>
          <w:tcPr>
            <w:tcW w:type="dxa" w:w="1296"/>
            <w:vAlign w:val="top"/>
          </w:tcPr>
          <w:p>
            <w:pPr>
              <w:spacing w:before="20" w:after="20"/>
            </w:pPr>
            <w:r>
              <w:rPr>
                <w:sz w:val="16"/>
                <w:szCs w:val="16"/>
              </w:rPr>
              <w:t>Quota overlay</w:t>
            </w:r>
          </w:p>
        </w:tc>
        <w:tc>
          <w:tcPr>
            <w:tcW w:type="dxa" w:w="1296"/>
            <w:vAlign w:val="top"/>
          </w:tcPr>
          <w:p>
            <w:pPr>
              <w:spacing w:before="20" w:after="20"/>
            </w:pPr>
            <w:r>
              <w:rPr>
                <w:sz w:val="16"/>
                <w:szCs w:val="16"/>
              </w:rPr>
              <w:t>DOF code 5469479</w:t>
            </w:r>
          </w:p>
        </w:tc>
        <w:tc>
          <w:tcPr>
            <w:tcW w:type="dxa" w:w="1296"/>
            <w:vAlign w:val="top"/>
          </w:tcPr>
          <w:p>
            <w:pPr>
              <w:spacing w:before="20" w:after="20"/>
            </w:pPr>
            <w:r>
              <w:rPr>
                <w:sz w:val="16"/>
                <w:szCs w:val="16"/>
              </w:rPr>
              <w:t>Historical Only</w:t>
            </w:r>
          </w:p>
        </w:tc>
        <w:tc>
          <w:tcPr>
            <w:tcW w:type="dxa" w:w="1296"/>
            <w:vAlign w:val="top"/>
          </w:tcPr>
          <w:p>
            <w:pPr>
              <w:spacing w:before="20" w:after="20"/>
            </w:pPr>
            <w:r>
              <w:rPr>
                <w:sz w:val="16"/>
                <w:szCs w:val="16"/>
              </w:rPr>
              <w:t>Quota overlay</w:t>
            </w:r>
          </w:p>
        </w:tc>
      </w:tr>
      <w:tr>
        <w:tc>
          <w:tcPr>
            <w:tcW w:type="dxa" w:w="1296"/>
            <w:vAlign w:val="top"/>
          </w:tcPr>
          <w:p>
            <w:pPr>
              <w:spacing w:before="20" w:after="20"/>
            </w:pPr>
            <w:r>
              <w:rPr>
                <w:sz w:val="16"/>
                <w:szCs w:val="16"/>
              </w:rPr>
              <w:t>MX-018</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1005.90.04</w:t>
            </w:r>
          </w:p>
        </w:tc>
        <w:tc>
          <w:tcPr>
            <w:tcW w:type="dxa" w:w="1296"/>
            <w:vAlign w:val="top"/>
          </w:tcPr>
          <w:p>
            <w:pPr>
              <w:spacing w:before="20" w:after="20"/>
            </w:pPr>
            <w:r>
              <w:rPr>
                <w:sz w:val="16"/>
                <w:szCs w:val="16"/>
              </w:rPr>
              <w:t>White flour corn</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Temporary 2023 import tariff 50%; expired 2023-12-31</w:t>
            </w:r>
          </w:p>
        </w:tc>
        <w:tc>
          <w:tcPr>
            <w:tcW w:type="dxa" w:w="1296"/>
            <w:vAlign w:val="top"/>
          </w:tcPr>
          <w:p>
            <w:pPr>
              <w:spacing w:before="20" w:after="20"/>
            </w:pPr>
            <w:r>
              <w:rPr>
                <w:sz w:val="16"/>
                <w:szCs w:val="16"/>
              </w:rPr>
              <w:t>T-MEC treatment must be separately verified</w:t>
            </w:r>
          </w:p>
        </w:tc>
        <w:tc>
          <w:tcPr>
            <w:tcW w:type="dxa" w:w="1296"/>
            <w:vAlign w:val="top"/>
          </w:tcPr>
          <w:p>
            <w:pPr>
              <w:spacing w:before="20" w:after="20"/>
            </w:pPr>
            <w:r>
              <w:rPr>
                <w:sz w:val="16"/>
                <w:szCs w:val="16"/>
              </w:rPr>
              <w:t>Temporary ad valorem overlay</w:t>
            </w:r>
          </w:p>
        </w:tc>
        <w:tc>
          <w:tcPr>
            <w:tcW w:type="dxa" w:w="1296"/>
            <w:vAlign w:val="top"/>
          </w:tcPr>
          <w:p>
            <w:pPr>
              <w:spacing w:before="20" w:after="20"/>
            </w:pPr>
            <w:r>
              <w:rPr>
                <w:sz w:val="16"/>
                <w:szCs w:val="16"/>
              </w:rPr>
              <w:t>DOF code 5693309</w:t>
            </w:r>
          </w:p>
        </w:tc>
        <w:tc>
          <w:tcPr>
            <w:tcW w:type="dxa" w:w="1296"/>
            <w:vAlign w:val="top"/>
          </w:tcPr>
          <w:p>
            <w:pPr>
              <w:spacing w:before="20" w:after="20"/>
            </w:pPr>
            <w:r>
              <w:rPr>
                <w:sz w:val="16"/>
                <w:szCs w:val="16"/>
              </w:rPr>
              <w:t>Historical Only</w:t>
            </w:r>
          </w:p>
        </w:tc>
        <w:tc>
          <w:tcPr>
            <w:tcW w:type="dxa" w:w="1296"/>
            <w:vAlign w:val="top"/>
          </w:tcPr>
          <w:p>
            <w:pPr>
              <w:spacing w:before="20" w:after="20"/>
            </w:pPr>
            <w:r>
              <w:rPr>
                <w:sz w:val="16"/>
                <w:szCs w:val="16"/>
              </w:rPr>
              <w:t>Temporary overlay must not reset baseline</w:t>
            </w:r>
          </w:p>
        </w:tc>
      </w:tr>
      <w:tr>
        <w:tc>
          <w:tcPr>
            <w:tcW w:type="dxa" w:w="1296"/>
            <w:vAlign w:val="top"/>
          </w:tcPr>
          <w:p>
            <w:pPr>
              <w:spacing w:before="20" w:after="20"/>
            </w:pPr>
            <w:r>
              <w:rPr>
                <w:sz w:val="16"/>
                <w:szCs w:val="16"/>
              </w:rPr>
              <w:t>MX-019</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1701.91.04</w:t>
            </w:r>
          </w:p>
        </w:tc>
        <w:tc>
          <w:tcPr>
            <w:tcW w:type="dxa" w:w="1296"/>
            <w:vAlign w:val="top"/>
          </w:tcPr>
          <w:p>
            <w:pPr>
              <w:spacing w:before="20" w:after="20"/>
            </w:pPr>
            <w:r>
              <w:rPr>
                <w:sz w:val="16"/>
                <w:szCs w:val="16"/>
              </w:rPr>
              <w:t>Sugar with added flavoring/coloring</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Current rate Pending Verification</w:t>
            </w:r>
          </w:p>
        </w:tc>
        <w:tc>
          <w:tcPr>
            <w:tcW w:type="dxa" w:w="1296"/>
            <w:vAlign w:val="top"/>
          </w:tcPr>
          <w:p>
            <w:pPr>
              <w:spacing w:before="20" w:after="20"/>
            </w:pPr>
            <w:r>
              <w:rPr>
                <w:sz w:val="16"/>
                <w:szCs w:val="16"/>
              </w:rPr>
              <w:t>T-MEC treatment Pending line-level check</w:t>
            </w:r>
          </w:p>
        </w:tc>
        <w:tc>
          <w:tcPr>
            <w:tcW w:type="dxa" w:w="1296"/>
            <w:vAlign w:val="top"/>
          </w:tcPr>
          <w:p>
            <w:pPr>
              <w:spacing w:before="20" w:after="20"/>
            </w:pPr>
            <w:r>
              <w:rPr>
                <w:sz w:val="16"/>
                <w:szCs w:val="16"/>
              </w:rPr>
              <w:t>National fraction + NICO evidence</w:t>
            </w:r>
          </w:p>
        </w:tc>
        <w:tc>
          <w:tcPr>
            <w:tcW w:type="dxa" w:w="1296"/>
            <w:vAlign w:val="top"/>
          </w:tcPr>
          <w:p>
            <w:pPr>
              <w:spacing w:before="20" w:after="20"/>
            </w:pPr>
            <w:r>
              <w:rPr>
                <w:sz w:val="16"/>
                <w:szCs w:val="16"/>
              </w:rPr>
              <w:t>DOF code 5714750</w:t>
            </w:r>
          </w:p>
        </w:tc>
        <w:tc>
          <w:tcPr>
            <w:tcW w:type="dxa" w:w="1296"/>
            <w:vAlign w:val="top"/>
          </w:tcPr>
          <w:p>
            <w:pPr>
              <w:spacing w:before="20" w:after="20"/>
            </w:pPr>
            <w:r>
              <w:rPr>
                <w:sz w:val="16"/>
                <w:szCs w:val="16"/>
              </w:rPr>
              <w:t>Partially Verified</w:t>
            </w:r>
          </w:p>
        </w:tc>
        <w:tc>
          <w:tcPr>
            <w:tcW w:type="dxa" w:w="1296"/>
            <w:vAlign w:val="top"/>
          </w:tcPr>
          <w:p>
            <w:pPr>
              <w:spacing w:before="20" w:after="20"/>
            </w:pPr>
            <w:r>
              <w:rPr>
                <w:sz w:val="16"/>
                <w:szCs w:val="16"/>
              </w:rPr>
              <w:t>NICO / current-rate check</w:t>
            </w:r>
          </w:p>
        </w:tc>
      </w:tr>
      <w:tr>
        <w:tc>
          <w:tcPr>
            <w:tcW w:type="dxa" w:w="1296"/>
            <w:vAlign w:val="top"/>
          </w:tcPr>
          <w:p>
            <w:pPr>
              <w:spacing w:before="20" w:after="20"/>
            </w:pPr>
            <w:r>
              <w:rPr>
                <w:sz w:val="16"/>
                <w:szCs w:val="16"/>
              </w:rPr>
              <w:t>MX-020</w:t>
            </w:r>
          </w:p>
        </w:tc>
        <w:tc>
          <w:tcPr>
            <w:tcW w:type="dxa" w:w="1296"/>
            <w:vAlign w:val="top"/>
          </w:tcPr>
          <w:p>
            <w:pPr>
              <w:spacing w:before="20" w:after="20"/>
            </w:pPr>
            <w:r>
              <w:rPr>
                <w:sz w:val="16"/>
                <w:szCs w:val="16"/>
              </w:rPr>
              <w:t>Mexico</w:t>
            </w:r>
          </w:p>
        </w:tc>
        <w:tc>
          <w:tcPr>
            <w:tcW w:type="dxa" w:w="1296"/>
            <w:vAlign w:val="top"/>
          </w:tcPr>
          <w:p>
            <w:pPr>
              <w:spacing w:before="20" w:after="20"/>
            </w:pPr>
            <w:r>
              <w:rPr>
                <w:sz w:val="16"/>
                <w:szCs w:val="16"/>
              </w:rPr>
              <w:t>1701.99.99</w:t>
            </w:r>
          </w:p>
        </w:tc>
        <w:tc>
          <w:tcPr>
            <w:tcW w:type="dxa" w:w="1296"/>
            <w:vAlign w:val="top"/>
          </w:tcPr>
          <w:p>
            <w:pPr>
              <w:spacing w:before="20" w:after="20"/>
            </w:pPr>
            <w:r>
              <w:rPr>
                <w:sz w:val="16"/>
                <w:szCs w:val="16"/>
              </w:rPr>
              <w:t>Other sugar</w:t>
            </w:r>
          </w:p>
        </w:tc>
        <w:tc>
          <w:tcPr>
            <w:tcW w:type="dxa" w:w="1296"/>
            <w:vAlign w:val="top"/>
          </w:tcPr>
          <w:p>
            <w:pPr>
              <w:spacing w:before="20" w:after="20"/>
            </w:pPr>
            <w:r>
              <w:rPr>
                <w:sz w:val="16"/>
                <w:szCs w:val="16"/>
              </w:rPr>
              <w:t>kg</w:t>
            </w:r>
          </w:p>
        </w:tc>
        <w:tc>
          <w:tcPr>
            <w:tcW w:type="dxa" w:w="1296"/>
            <w:vAlign w:val="top"/>
          </w:tcPr>
          <w:p>
            <w:pPr>
              <w:spacing w:before="20" w:after="20"/>
            </w:pPr>
            <w:r>
              <w:rPr>
                <w:sz w:val="16"/>
                <w:szCs w:val="16"/>
              </w:rPr>
              <w:t>Current rate Pending Verification</w:t>
            </w:r>
          </w:p>
        </w:tc>
        <w:tc>
          <w:tcPr>
            <w:tcW w:type="dxa" w:w="1296"/>
            <w:vAlign w:val="top"/>
          </w:tcPr>
          <w:p>
            <w:pPr>
              <w:spacing w:before="20" w:after="20"/>
            </w:pPr>
            <w:r>
              <w:rPr>
                <w:sz w:val="16"/>
                <w:szCs w:val="16"/>
              </w:rPr>
              <w:t>T-MEC treatment Pending line-level check</w:t>
            </w:r>
          </w:p>
        </w:tc>
        <w:tc>
          <w:tcPr>
            <w:tcW w:type="dxa" w:w="1296"/>
            <w:vAlign w:val="top"/>
          </w:tcPr>
          <w:p>
            <w:pPr>
              <w:spacing w:before="20" w:after="20"/>
            </w:pPr>
            <w:r>
              <w:rPr>
                <w:sz w:val="16"/>
                <w:szCs w:val="16"/>
              </w:rPr>
              <w:t>National fraction + NICO evidence</w:t>
            </w:r>
          </w:p>
        </w:tc>
        <w:tc>
          <w:tcPr>
            <w:tcW w:type="dxa" w:w="1296"/>
            <w:vAlign w:val="top"/>
          </w:tcPr>
          <w:p>
            <w:pPr>
              <w:spacing w:before="20" w:after="20"/>
            </w:pPr>
            <w:r>
              <w:rPr>
                <w:sz w:val="16"/>
                <w:szCs w:val="16"/>
              </w:rPr>
              <w:t>DOF code 5714750</w:t>
            </w:r>
          </w:p>
        </w:tc>
        <w:tc>
          <w:tcPr>
            <w:tcW w:type="dxa" w:w="1296"/>
            <w:vAlign w:val="top"/>
          </w:tcPr>
          <w:p>
            <w:pPr>
              <w:spacing w:before="20" w:after="20"/>
            </w:pPr>
            <w:r>
              <w:rPr>
                <w:sz w:val="16"/>
                <w:szCs w:val="16"/>
              </w:rPr>
              <w:t>Partially Verified</w:t>
            </w:r>
          </w:p>
        </w:tc>
        <w:tc>
          <w:tcPr>
            <w:tcW w:type="dxa" w:w="1296"/>
            <w:vAlign w:val="top"/>
          </w:tcPr>
          <w:p>
            <w:pPr>
              <w:spacing w:before="20" w:after="20"/>
            </w:pPr>
            <w:r>
              <w:rPr>
                <w:sz w:val="16"/>
                <w:szCs w:val="16"/>
              </w:rPr>
              <w:t>NICO + rate-type history</w:t>
            </w:r>
          </w:p>
        </w:tc>
      </w:tr>
    </w:tbl>
    <w:p>
      <w:pPr>
        <w:spacing w:before="0" w:after="0" w:line="20" w:lineRule="exact"/>
        <w:sectPr>
          <w:headerReference w:type="default" r:id="rId9"/>
          <w:footerReference w:type="default" r:id="rId10"/>
          <w:type w:val="nextPage"/>
          <w:pgSz w:w="15840" w:h="12240" w:orient="landscape"/>
          <w:pgMar w:top="792" w:right="792" w:bottom="792" w:left="792" w:header="576" w:footer="576" w:gutter="0"/>
          <w:cols w:space="720"/>
          <w:docGrid w:linePitch="360"/>
        </w:sectPr>
      </w:pPr>
      <w:r>
        <w:rPr>
          <w:sz w:val="2"/>
          <w:szCs w:val="2"/>
        </w:rPr>
      </w:r>
    </w:p>
    <w:p>
      <w:pPr>
        <w:pStyle w:val="Heading3"/>
      </w:pPr>
      <w:r>
        <w:t xml:space="preserve">Pilot Findings and Schema Stress Result</w:t>
      </w:r>
    </w:p>
    <w:p>
      <w:pPr>
        <w:pStyle w:val="ListBullet"/>
      </w:pPr>
      <w:r>
        <w:t>Canada immediately validates separate within-access and over-access tariff records, preservation of specific and compound rate expressions, statistical-suffix handling, and independent MFN versus preferential fields.</w:t>
      </w:r>
    </w:p>
    <w:p>
      <w:pPr>
        <w:pStyle w:val="ListBullet"/>
      </w:pPr>
      <w:r>
        <w:t>The United States validates a distinct overlay/dependency architecture. A base HTS line can route USMCA treatment through Chapter 98 rather than state the complete preferential consequence on the base line, and statistical breakouts can be country-specific.</w:t>
      </w:r>
    </w:p>
    <w:p>
      <w:pPr>
        <w:pStyle w:val="ListBullet"/>
      </w:pPr>
      <w:r>
        <w:t>Mexico validates the strict separation of code verification, historical treatment, current treatment, temporary overlays, quota instruments, and version provenance. Official DOF evidence can verify a fraction while still being insufficient to certify its current 2026 rate.</w:t>
      </w:r>
    </w:p>
    <w:p>
      <w:pPr>
        <w:pStyle w:val="ListBullet"/>
      </w:pPr>
      <w:r>
        <w:t>No pilot record justifies collapsing national tariff codes into the Annex A Product Record ID. The same HS6 family can split differently by Party and can carry national statistical or commercial subdivisions that are legally or administratively important.</w:t>
      </w:r>
    </w:p>
    <w:p>
      <w:pPr>
        <w:pStyle w:val="ListBullet"/>
      </w:pPr>
      <w:r>
        <w:t>The pilot demonstrated that the Annex A/B schema could receive official-source records without adding a new substantive field. Its earlier source-access and amendment-chain limitations are historical findings rather than current implementation blockers. Later controlled population, correction, and reconciliation passes supersede the pilot's record counts and source-completeness conclusions while preserving the pilot as provenance. No historical pilot statement independently controls a current tariff value, Coverage Status, Baseline Date, or negotiated schedule decision.</w:t>
      </w:r>
    </w:p>
    <w:p>
      <w:pPr>
        <w:pStyle w:val="Heading3"/>
      </w:pPr>
      <w:r>
        <w:t xml:space="preserve">Controlled Promotion Rule</w:t>
      </w:r>
    </w:p>
    <w:p>
      <w:r>
        <w:t>A historical pilot datum enters or remains in the current controlled Annex A/B dataset only through the later verification, correction, and promotion controls applicable to the relevant field. Historical official evidence remains useful provenance but does not silently become a current value or a Compact-created legal commitment. Where a later controlled source verifies only part of a record, verified fields retain their provenance and unresolved fields retain the applicable field-level Verification Status or Coverage Status under Chapter 3. This rule prevents a convenient but stale official tariff value from being laundered into the Compact as a current or baseline legal fact.</w:t>
      </w:r>
    </w:p>
    <w:sectPr>
      <w:headerReference w:type="default" r:id="rId9"/>
      <w:footerReference w:type="default" r:id="rId10"/>
      <w:type w:val="nextPage"/>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B7A"/>
        <w:sz w:val="16"/>
      </w:rPr>
      <w:t xml:space="preserve">NAAFTC  |  Page </w:t>
    </w:r>
    <w:r>
      <w:rPr>
        <w:rFonts w:ascii="Aptos" w:hAnsi="Aptos"/>
        <w:color w:val="5B6B7A"/>
        <w:sz w:val="16"/>
      </w:rPr>
      <w:fldChar w:fldCharType="begin"/>
    </w:r>
    <w:r>
      <w:rPr>
        <w:rFonts w:ascii="Aptos" w:hAnsi="Aptos"/>
        <w:color w:val="5B6B7A"/>
        <w:sz w:val="16"/>
      </w:rPr>
      <w:instrText xml:space="preserve"> PAGE </w:instrText>
    </w:r>
    <w:r>
      <w:rPr>
        <w:rFonts w:ascii="Aptos" w:hAnsi="Aptos"/>
        <w:color w:val="5B6B7A"/>
        <w:sz w:val="16"/>
      </w:rPr>
      <w:fldChar w:fldCharType="separate"/>
    </w:r>
    <w:r>
      <w:rPr>
        <w:rFonts w:ascii="Aptos" w:hAnsi="Aptos"/>
        <w:color w:val="5B6B7A"/>
        <w:sz w:val="16"/>
      </w:rPr>
      <w:t>1</w:t>
    </w:r>
    <w:r>
      <w:rPr>
        <w:rFonts w:ascii="Aptos" w:hAnsi="Aptos"/>
        <w:color w:val="5B6B7A"/>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A58A55"/>
      </w:pBdr>
      <w:jc w:val="center"/>
    </w:pPr>
    <w:r>
      <w:rPr>
        <w:rFonts w:ascii="Aptos" w:hAnsi="Aptos"/>
        <w:b/>
        <w:color w:val="5B6B7A"/>
        <w:spacing w:val="10"/>
        <w:sz w:val="15"/>
      </w:rPr>
      <w:t>NORTH AMERICAN AGRICULTURAL FREE TRADE COMPACT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spacing w:before="0" w:after="120" w:line="240" w:lineRule="auto"/>
    </w:pPr>
    <w:rPr>
      <w:rFonts w:ascii="Aptos" w:hAnsi="Aptos"/>
      <w:sz w:val="21"/>
      <w:szCs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pPr>
      <w:keepNext/>
      <w:keepLines/>
      <w:pageBreakBefore/>
      <w:pBdr>
        <w:bottom w:val="single" w:sz="6" w:space="4" w:color="A58A55"/>
      </w:pBdr>
      <w:spacing w:before="0" w:after="240"/>
      <w:outlineLvl w:val="0"/>
    </w:pPr>
    <w:rPr>
      <w:rFonts w:ascii="Aptos" w:hAnsi="Aptos" w:cs="Aptos"/>
      <w:b/>
      <w:bCs/>
      <w:color w:val="17365D"/>
      <w:sz w:val="32"/>
      <w:szCs w:val="32"/>
    </w:rPr>
  </w:style>
  <w:style w:type="paragraph" w:styleId="Heading2">
    <w:name w:val="heading 2"/>
    <w:basedOn w:val="Normal"/>
    <w:next w:val="Normal"/>
    <w:link w:val="Heading2Char"/>
    <w:uiPriority w:val="9"/>
    <w:unhideWhenUsed/>
    <w:qFormat/>
    <w:pPr>
      <w:keepNext/>
      <w:keepLines/>
      <w:spacing w:before="280" w:after="100"/>
      <w:outlineLvl w:val="1"/>
    </w:pPr>
    <w:rPr>
      <w:rFonts w:ascii="Aptos" w:hAnsi="Aptos" w:cs="Aptos"/>
      <w:b/>
      <w:bCs/>
      <w:color w:val="17365D"/>
      <w:sz w:val="25"/>
      <w:szCs w:val="25"/>
    </w:rPr>
  </w:style>
  <w:style w:type="paragraph" w:styleId="Heading3">
    <w:name w:val="heading 3"/>
    <w:basedOn w:val="Normal"/>
    <w:next w:val="Normal"/>
    <w:link w:val="Heading3Char"/>
    <w:uiPriority w:val="9"/>
    <w:unhideWhenUsed/>
    <w:qFormat/>
    <w:pPr>
      <w:keepNext/>
      <w:keepLines/>
      <w:spacing w:before="160" w:after="80"/>
      <w:outlineLvl w:val="2"/>
    </w:pPr>
    <w:rPr>
      <w:rFonts w:ascii="Aptos" w:hAnsi="Aptos" w:cs="Aptos"/>
      <w:b/>
      <w:bCs/>
      <w:color w:val="5B6B7A"/>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C1C1C"/>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Title">
    <w:name w:val="TOC Title"/>
    <w:basedOn w:val="Normal"/>
    <w:next w:val="Normal"/>
    <w:pPr>
      <w:pBdr>
        <w:bottom w:val="single" w:sz="6" w:space="4" w:color="A58A55"/>
      </w:pBdr>
      <w:spacing w:before="0" w:after="360"/>
    </w:pPr>
    <w:rPr>
      <w:rFonts w:ascii="Aptos Display" w:hAnsi="Aptos Display"/>
      <w:b/>
      <w:caps/>
      <w:color w:val="17365D"/>
      <w:spacing w:val="20"/>
      <w:sz w:val="32"/>
      <w:szCs w:val="32"/>
    </w:rPr>
  </w:style>
  <w:style w:type="paragraph" w:styleId="TOC1">
    <w:name w:val="toc 1"/>
    <w:basedOn w:val="Normal"/>
    <w:next w:val="Normal"/>
    <w:uiPriority w:val="39"/>
    <w:unhideWhenUsed/>
    <w:pPr>
      <w:keepNext/>
      <w:tabs>
        <w:tab w:val="right" w:leader="dot" w:pos="9994"/>
      </w:tabs>
      <w:spacing w:before="140" w:after="30" w:line="240" w:lineRule="auto"/>
      <w:ind w:left="360" w:right="720" w:hanging="360"/>
    </w:pPr>
    <w:rPr>
      <w:rFonts w:ascii="Aptos" w:hAnsi="Aptos" w:cs="Aptos"/>
      <w:b/>
      <w:color w:val="17365D"/>
      <w:sz w:val="19"/>
      <w:szCs w:val="19"/>
    </w:rPr>
  </w:style>
  <w:style w:type="paragraph" w:styleId="TOC2">
    <w:name w:val="toc 2"/>
    <w:basedOn w:val="Normal"/>
    <w:next w:val="Normal"/>
    <w:uiPriority w:val="39"/>
    <w:unhideWhenUsed/>
    <w:pPr>
      <w:tabs>
        <w:tab w:val="right" w:leader="dot" w:pos="9994"/>
      </w:tabs>
      <w:spacing w:before="0" w:after="10" w:line="240" w:lineRule="auto"/>
      <w:ind w:left="720" w:right="720" w:hanging="360"/>
    </w:pPr>
    <w:rPr>
      <w:rFonts w:ascii="Aptos" w:hAnsi="Aptos" w:cs="Aptos"/>
      <w:color w:val="212121"/>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 American Agricultural Free Trade Compact - Version 1.24 RC1.1 Status-Only Release Cleanup</dc:title>
  <dc:subject>Status-only cleanup following final adversarial and hostile-path validation</dc:subject>
  <dc:creator/>
  <cp:keywords/>
  <dc:description/>
  <cp:lastModifiedBy/>
  <cp:revision>2</cp:revision>
  <dcterms:created xsi:type="dcterms:W3CDTF">2026-09-23T12:00:00Z</dcterms:created>
  <dcterms:modified xsi:type="dcterms:W3CDTF">2026-09-23T12:00:00Z</dcterms:modified>
  <cp:category/>
</cp:coreProperties>
</file>