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before="1200"/>
        <w:jc w:val="center"/>
      </w:pPr>
      <w:r>
        <w:rPr>
          <w:rFonts w:ascii="Times New Roman" w:cs="Times New Roman" w:eastAsia="SimSun" w:hAnsi="Times New Roman"/>
          <w:b/>
          <w:bCs/>
          <w:color w:val="1F3A52"/>
          <w:sz w:val="40"/>
          <w:szCs w:val="40"/>
        </w:rPr>
        <w:t xml:space="preserve">THE NORTH AMERICAN COOPERATION REAFFIRMATION INSTRUMENT</w:t>
      </w:r>
    </w:p>
    <w:p>
      <w:pPr>
        <w:spacing w:after="420"/>
        <w:jc w:val="center"/>
      </w:pPr>
      <w:r>
        <w:rPr>
          <w:rFonts w:ascii="Times New Roman" w:cs="Times New Roman" w:eastAsia="SimSun" w:hAnsi="Times New Roman"/>
          <w:color w:val="33556E"/>
          <w:sz w:val="26"/>
          <w:szCs w:val="26"/>
        </w:rPr>
        <w:t xml:space="preserve">Framework Agreement among Canada, the United Mexican States, and the United States of America on the Re-establishment of Trilateral Negotiating Posture, Verified De-escalation, and the Structured Negotiation of the North American Economic Security and Trade Modernization Agreement (NAESTMA v9.7A)</w:t>
      </w:r>
    </w:p>
    <w:p>
      <w:pPr>
        <w:spacing w:after="200"/>
        <w:jc w:val="center"/>
      </w:pPr>
      <w:r>
        <w:rPr>
          <w:rFonts w:ascii="Times New Roman" w:cs="Times New Roman" w:eastAsia="SimSun" w:hAnsi="Times New Roman"/>
          <w:b/>
          <w:bCs/>
          <w:color w:val="33556E"/>
          <w:sz w:val="24"/>
          <w:szCs w:val="24"/>
        </w:rPr>
        <w:t xml:space="preserve">FRAMEWORK AGREEMENT, NEGOTIATING TEXT</w:t>
      </w:r>
    </w:p>
    <w:p>
      <w:pPr>
        <w:spacing w:after="720"/>
        <w:jc w:val="center"/>
      </w:pPr>
      <w:r>
        <w:rPr>
          <w:rFonts w:ascii="Times New Roman" w:cs="Times New Roman" w:eastAsia="SimSun" w:hAnsi="Times New Roman"/>
          <w:i/>
          <w:iCs/>
          <w:color w:val="33556E"/>
          <w:sz w:val="23"/>
          <w:szCs w:val="23"/>
        </w:rPr>
        <w:t xml:space="preserve">Incorporating the Cothrom Verification Method (Trade Adaptation)</w:t>
      </w:r>
    </w:p>
    <w:p>
      <w:pPr>
        <w:spacing w:after="240"/>
        <w:jc w:val="center"/>
      </w:pPr>
      <w:r>
        <w:rPr>
          <w:rFonts w:ascii="Times New Roman" w:cs="Times New Roman" w:eastAsia="SimSun" w:hAnsi="Times New Roman"/>
          <w:b/>
          <w:bCs/>
          <w:color w:val="1F3A52"/>
          <w:sz w:val="23"/>
          <w:szCs w:val="23"/>
        </w:rPr>
        <w:t xml:space="preserve">CANADA | UNITED MEXICAN STATES | UNITED STATES OF AMERICA</w:t>
      </w:r>
    </w:p>
    <w:p>
      <w:pPr>
        <w:spacing w:after="120"/>
        <w:jc w:val="center"/>
      </w:pPr>
      <w:r>
        <w:rPr>
          <w:rFonts w:ascii="Times New Roman" w:cs="Times New Roman" w:eastAsia="SimSun" w:hAnsi="Times New Roman"/>
          <w:sz w:val="23"/>
          <w:szCs w:val="23"/>
        </w:rPr>
        <w:t xml:space="preserve">Version 1.0, September 2026</w:t>
      </w:r>
    </w:p>
    <w:p>
      <w:pPr>
        <w:spacing w:after="120"/>
        <w:jc w:val="center"/>
      </w:pPr>
      <w:r>
        <w:rPr>
          <w:rFonts w:ascii="Times New Roman" w:cs="Times New Roman" w:eastAsia="SimSun" w:hAnsi="Times New Roman"/>
          <w:i/>
          <w:iCs/>
          <w:color w:val="33556E"/>
          <w:sz w:val="21"/>
          <w:szCs w:val="21"/>
        </w:rPr>
        <w:t xml:space="preserve">Negotiating draft prepared for signature | Without prejudice to final treaty text</w:t>
      </w:r>
    </w:p>
    <w:p>
      <w:r>
        <w:br w:type="page"/>
      </w:r>
    </w:p>
    <w:p>
      <w:pPr>
        <w:pStyle w:val="Heading1"/>
        <w:spacing w:after="160" w:before="320"/>
      </w:pPr>
      <w:r>
        <w:rPr>
          <w:rFonts w:ascii="Times New Roman" w:cs="Times New Roman" w:eastAsia="SimSun" w:hAnsi="Times New Roman"/>
          <w:b/>
          <w:bCs/>
          <w:color w:val="1F3A52"/>
          <w:sz w:val="28"/>
          <w:szCs w:val="28"/>
        </w:rPr>
        <w:t xml:space="preserve">Document Status, Purpose, and Legal Caution</w:t>
      </w:r>
    </w:p>
    <w:p>
      <w:pPr>
        <w:spacing w:after="140" w:line="288"/>
        <w:ind w:firstLine="431"/>
        <w:jc w:val="both"/>
      </w:pPr>
      <w:r>
        <w:rPr>
          <w:rFonts w:ascii="Times New Roman" w:cs="Times New Roman" w:eastAsia="SimSun" w:hAnsi="Times New Roman"/>
          <w:sz w:val="23"/>
          <w:szCs w:val="23"/>
        </w:rPr>
        <w:t xml:space="preserve">This Instrument is a framework agreement in the classical sense: an interim constitutive text that re-establishes negotiating posture, defines the scope and parameters of a negotiation, locks in existing areas of consensus, creates binding deadlines and procedural obligations, and compels the Parties back to the negotiating table, without committing any Party to the final substantive text of the agreement under negotiation. It exists for signature before the substantive bargain completes. Its obligations are procedural, institutional, and de-escalatory; the substantive trade outcomes await negotiation inside the architecture it creates.</w:t>
      </w:r>
    </w:p>
    <w:p>
      <w:pPr>
        <w:spacing w:after="140" w:line="288"/>
        <w:ind w:firstLine="431"/>
        <w:jc w:val="both"/>
      </w:pPr>
      <w:r>
        <w:rPr>
          <w:rFonts w:ascii="Times New Roman" w:cs="Times New Roman" w:eastAsia="SimSun" w:hAnsi="Times New Roman"/>
          <w:sz w:val="23"/>
          <w:szCs w:val="23"/>
        </w:rPr>
        <w:t xml:space="preserve">The negotiation it governs concerns the North American Economic Security and Trade Modernization Agreement (NAESTMA), consolidated negotiating Version 9.7A, a modernized, hardened successor framework to the Canada–United States–Mexico Agreement (CUSMA/USMCA/T-MEC) comprising a Protocol of Modernization, sixty-eight chapters, annexes, implementation instruments, and an amendment ledger. This Instrument designates that consolidated text as the single negotiating basis and surrounds it with procedural law.</w:t>
      </w:r>
    </w:p>
    <w:p>
      <w:pPr>
        <w:spacing w:after="140" w:line="288"/>
        <w:ind w:firstLine="431"/>
        <w:jc w:val="both"/>
      </w:pPr>
      <w:r>
        <w:rPr>
          <w:rFonts w:ascii="Times New Roman" w:cs="Times New Roman" w:eastAsia="SimSun" w:hAnsi="Times New Roman"/>
          <w:sz w:val="23"/>
          <w:szCs w:val="23"/>
        </w:rPr>
        <w:t xml:space="preserve">The verification and compliance architecture of this Instrument applies the Cothrom Verification Method, a unified, balanced verification architecture built on proportionality, graduated and reversible step-back in place of snapback, adversarial claim verification, neutral third-party expert oversight, guaranteed earn-back pathways, and a strict cross-module firewall, adapted here to trade administration and negotiating-process obligations.</w:t>
      </w:r>
    </w:p>
    <w:p>
      <w:pPr>
        <w:spacing w:after="140" w:line="288"/>
        <w:ind w:firstLine="431"/>
        <w:jc w:val="both"/>
      </w:pPr>
      <w:r>
        <w:rPr>
          <w:rFonts w:ascii="Times New Roman" w:cs="Times New Roman" w:eastAsia="SimSun" w:hAnsi="Times New Roman"/>
          <w:sz w:val="23"/>
          <w:szCs w:val="23"/>
        </w:rPr>
        <w:t xml:space="preserve">Nothing in this Instrument amends CUSMA, engages Article 34.3 of CUSMA, prejudges the outcome of the annual joint reviews conducted under Article 34.7.4 of CUSMA, or commits a Party to any final substantive provision of NAESTMA v9.7A. Each Party implements its commitments through its own competent authorities under its domestic law. Measures requiring legislation, appropriations, regulatory approval, or subnational action proceed through the applicable domestic channels on the timelines this Instrument specifies.</w:t>
      </w:r>
    </w:p>
    <w:p>
      <w:r>
        <w:br w:type="page"/>
      </w:r>
    </w:p>
    <w:p>
      <w:pPr>
        <w:pStyle w:val="Heading1"/>
        <w:spacing w:after="200" w:before="240"/>
      </w:pPr>
      <w:r>
        <w:rPr>
          <w:rFonts w:ascii="Times New Roman" w:cs="Times New Roman" w:eastAsia="SimSun" w:hAnsi="Times New Roman"/>
          <w:b/>
          <w:bCs/>
          <w:color w:val="1F3A52"/>
          <w:sz w:val="28"/>
          <w:szCs w:val="28"/>
        </w:rPr>
        <w:t xml:space="preserve">TABLE OF CONTENTS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PREAMBLE</w:t>
          </w:r>
          <w:r>
            <w:tab/>
          </w:r>
          <w:r>
            <w:t>5</w:t>
          </w:r>
        </w:p>
        <w:p>
          <w:pPr>
            <w:pStyle w:val="TOC1"/>
            <w:tabs>
              <w:tab w:val="right" w:leader="dot" w:pos="9000"/>
            </w:tabs>
            <w:ind w:left="0"/>
          </w:pPr>
          <w:r>
            <w:t>PART I: PURPOSE, LEGAL CHARACTER, AND DEFINITIONS</w:t>
          </w:r>
          <w:r>
            <w:tab/>
          </w:r>
          <w:r>
            <w:t>6</w:t>
          </w:r>
        </w:p>
        <w:p>
          <w:pPr>
            <w:pStyle w:val="TOC2"/>
            <w:tabs>
              <w:tab w:val="right" w:leader="dot" w:pos="9000"/>
            </w:tabs>
            <w:ind w:left="360"/>
          </w:pPr>
          <w:r>
            <w:t>Article 1: Purpose</w:t>
          </w:r>
          <w:r>
            <w:tab/>
          </w:r>
          <w:r>
            <w:t>6</w:t>
          </w:r>
        </w:p>
        <w:p>
          <w:pPr>
            <w:pStyle w:val="TOC2"/>
            <w:tabs>
              <w:tab w:val="right" w:leader="dot" w:pos="9000"/>
            </w:tabs>
            <w:ind w:left="360"/>
          </w:pPr>
          <w:r>
            <w:t>Article 2: Legal Character</w:t>
          </w:r>
          <w:r>
            <w:tab/>
          </w:r>
          <w:r>
            <w:t>6</w:t>
          </w:r>
        </w:p>
        <w:p>
          <w:pPr>
            <w:pStyle w:val="TOC2"/>
            <w:tabs>
              <w:tab w:val="right" w:leader="dot" w:pos="9000"/>
            </w:tabs>
            <w:ind w:left="360"/>
          </w:pPr>
          <w:r>
            <w:t>Article 3: Relationship to the CUSMA and to NAESTMA v9.7A</w:t>
          </w:r>
          <w:r>
            <w:tab/>
          </w:r>
          <w:r>
            <w:t>7</w:t>
          </w:r>
        </w:p>
        <w:p>
          <w:pPr>
            <w:pStyle w:val="TOC2"/>
            <w:tabs>
              <w:tab w:val="right" w:leader="dot" w:pos="9000"/>
            </w:tabs>
            <w:ind w:left="360"/>
          </w:pPr>
          <w:r>
            <w:t>Article 4: Definitions</w:t>
          </w:r>
          <w:r>
            <w:tab/>
          </w:r>
          <w:r>
            <w:t>7</w:t>
          </w:r>
        </w:p>
        <w:p>
          <w:pPr>
            <w:pStyle w:val="TOC1"/>
            <w:tabs>
              <w:tab w:val="right" w:leader="dot" w:pos="9000"/>
            </w:tabs>
            <w:ind w:left="0"/>
          </w:pPr>
          <w:r>
            <w:t>PART II: RE-ESTABLISHMENT OF NEGOTIATING POSTURE</w:t>
          </w:r>
          <w:r>
            <w:tab/>
          </w:r>
          <w:r>
            <w:t>8</w:t>
          </w:r>
        </w:p>
        <w:p>
          <w:pPr>
            <w:pStyle w:val="TOC2"/>
            <w:tabs>
              <w:tab w:val="right" w:leader="dot" w:pos="9000"/>
            </w:tabs>
            <w:ind w:left="360"/>
          </w:pPr>
          <w:r>
            <w:t>Article 5: Duty to Reconvene</w:t>
          </w:r>
          <w:r>
            <w:tab/>
          </w:r>
          <w:r>
            <w:t>8</w:t>
          </w:r>
        </w:p>
        <w:p>
          <w:pPr>
            <w:pStyle w:val="TOC2"/>
            <w:tabs>
              <w:tab w:val="right" w:leader="dot" w:pos="9000"/>
            </w:tabs>
            <w:ind w:left="360"/>
          </w:pPr>
          <w:r>
            <w:t>Article 6: Negotiating Principals and Delegations</w:t>
          </w:r>
          <w:r>
            <w:tab/>
          </w:r>
          <w:r>
            <w:t>9</w:t>
          </w:r>
        </w:p>
        <w:p>
          <w:pPr>
            <w:pStyle w:val="TOC2"/>
            <w:tabs>
              <w:tab w:val="right" w:leader="dot" w:pos="9000"/>
            </w:tabs>
            <w:ind w:left="360"/>
          </w:pPr>
          <w:r>
            <w:t>Article 7: Rules of Procedure</w:t>
          </w:r>
          <w:r>
            <w:tab/>
          </w:r>
          <w:r>
            <w:t>9</w:t>
          </w:r>
        </w:p>
        <w:p>
          <w:pPr>
            <w:pStyle w:val="TOC2"/>
            <w:tabs>
              <w:tab w:val="right" w:leader="dot" w:pos="9000"/>
            </w:tabs>
            <w:ind w:left="360"/>
          </w:pPr>
          <w:r>
            <w:t>Article 8: Procedural Obligations as Verified Commitments</w:t>
          </w:r>
          <w:r>
            <w:tab/>
          </w:r>
          <w:r>
            <w:t>10</w:t>
          </w:r>
        </w:p>
        <w:p>
          <w:pPr>
            <w:pStyle w:val="TOC1"/>
            <w:tabs>
              <w:tab w:val="right" w:leader="dot" w:pos="9000"/>
            </w:tabs>
            <w:ind w:left="0"/>
          </w:pPr>
          <w:r>
            <w:t>PART III: IMMEDIATE DE-ESCALATION AND STANDSTILL</w:t>
          </w:r>
          <w:r>
            <w:tab/>
          </w:r>
          <w:r>
            <w:t>11</w:t>
          </w:r>
        </w:p>
        <w:p>
          <w:pPr>
            <w:pStyle w:val="TOC2"/>
            <w:tabs>
              <w:tab w:val="right" w:leader="dot" w:pos="9000"/>
            </w:tabs>
            <w:ind w:left="360"/>
          </w:pPr>
          <w:r>
            <w:t>Article 9: Covered Measures and Baseline Inventory</w:t>
          </w:r>
          <w:r>
            <w:tab/>
          </w:r>
          <w:r>
            <w:t>11</w:t>
          </w:r>
        </w:p>
        <w:p>
          <w:pPr>
            <w:pStyle w:val="TOC2"/>
            <w:tabs>
              <w:tab w:val="right" w:leader="dot" w:pos="9000"/>
            </w:tabs>
            <w:ind w:left="360"/>
          </w:pPr>
          <w:r>
            <w:t>Article 10: United States Standstill Actions</w:t>
          </w:r>
          <w:r>
            <w:tab/>
          </w:r>
          <w:r>
            <w:t>11</w:t>
          </w:r>
        </w:p>
        <w:p>
          <w:pPr>
            <w:pStyle w:val="TOC2"/>
            <w:tabs>
              <w:tab w:val="right" w:leader="dot" w:pos="9000"/>
            </w:tabs>
            <w:ind w:left="360"/>
          </w:pPr>
          <w:r>
            <w:t>Article 11: Canadian Standstill Actions</w:t>
          </w:r>
          <w:r>
            <w:tab/>
          </w:r>
          <w:r>
            <w:t>12</w:t>
          </w:r>
        </w:p>
        <w:p>
          <w:pPr>
            <w:pStyle w:val="TOC2"/>
            <w:tabs>
              <w:tab w:val="right" w:leader="dot" w:pos="9000"/>
            </w:tabs>
            <w:ind w:left="360"/>
          </w:pPr>
          <w:r>
            <w:t>Article 12: Mexican Standstill Actions and Symmetry</w:t>
          </w:r>
          <w:r>
            <w:tab/>
          </w:r>
          <w:r>
            <w:t>12</w:t>
          </w:r>
        </w:p>
        <w:p>
          <w:pPr>
            <w:pStyle w:val="TOC2"/>
            <w:tabs>
              <w:tab w:val="right" w:leader="dot" w:pos="9000"/>
            </w:tabs>
            <w:ind w:left="360"/>
          </w:pPr>
          <w:r>
            <w:t>Article 13: No-New-Measures Standstill</w:t>
          </w:r>
          <w:r>
            <w:tab/>
          </w:r>
          <w:r>
            <w:t>13</w:t>
          </w:r>
        </w:p>
        <w:p>
          <w:pPr>
            <w:pStyle w:val="TOC2"/>
            <w:tabs>
              <w:tab w:val="right" w:leader="dot" w:pos="9000"/>
            </w:tabs>
            <w:ind w:left="360"/>
          </w:pPr>
          <w:r>
            <w:t>Article 14: Attendance-Conditioned Maintenance and Graduated Reactivation</w:t>
          </w:r>
          <w:r>
            <w:tab/>
          </w:r>
          <w:r>
            <w:t>13</w:t>
          </w:r>
        </w:p>
        <w:p>
          <w:pPr>
            <w:pStyle w:val="TOC1"/>
            <w:tabs>
              <w:tab w:val="right" w:leader="dot" w:pos="9000"/>
            </w:tabs>
            <w:ind w:left="0"/>
          </w:pPr>
          <w:r>
            <w:t>PART IV: LOCKED CONSENSUS REGISTER</w:t>
          </w:r>
          <w:r>
            <w:tab/>
          </w:r>
          <w:r>
            <w:t>14</w:t>
          </w:r>
        </w:p>
        <w:p>
          <w:pPr>
            <w:pStyle w:val="TOC2"/>
            <w:tabs>
              <w:tab w:val="right" w:leader="dot" w:pos="9000"/>
            </w:tabs>
            <w:ind w:left="360"/>
          </w:pPr>
          <w:r>
            <w:t>Article 15: Establishment and Content of the Register</w:t>
          </w:r>
          <w:r>
            <w:tab/>
          </w:r>
          <w:r>
            <w:t>14</w:t>
          </w:r>
        </w:p>
        <w:p>
          <w:pPr>
            <w:pStyle w:val="TOC2"/>
            <w:tabs>
              <w:tab w:val="right" w:leader="dot" w:pos="9000"/>
            </w:tabs>
            <w:ind w:left="360"/>
          </w:pPr>
          <w:r>
            <w:t>Article 16: Effect of Locked Items</w:t>
          </w:r>
          <w:r>
            <w:tab/>
          </w:r>
          <w:r>
            <w:t>15</w:t>
          </w:r>
        </w:p>
        <w:p>
          <w:pPr>
            <w:pStyle w:val="TOC2"/>
            <w:tabs>
              <w:tab w:val="right" w:leader="dot" w:pos="9000"/>
            </w:tabs>
            <w:ind w:left="360"/>
          </w:pPr>
          <w:r>
            <w:t>Article 17: Amendment and Custody of the Register</w:t>
          </w:r>
          <w:r>
            <w:tab/>
          </w:r>
          <w:r>
            <w:t>16</w:t>
          </w:r>
        </w:p>
        <w:p>
          <w:pPr>
            <w:pStyle w:val="TOC1"/>
            <w:tabs>
              <w:tab w:val="right" w:leader="dot" w:pos="9000"/>
            </w:tabs>
            <w:ind w:left="0"/>
          </w:pPr>
          <w:r>
            <w:t>PART V: SCOPE, PARAMETERS, AND NEGOTIATING ARCHITECTURE</w:t>
          </w:r>
          <w:r>
            <w:tab/>
          </w:r>
          <w:r>
            <w:t>16</w:t>
          </w:r>
        </w:p>
        <w:p>
          <w:pPr>
            <w:pStyle w:val="TOC2"/>
            <w:tabs>
              <w:tab w:val="right" w:leader="dot" w:pos="9000"/>
            </w:tabs>
            <w:ind w:left="360"/>
          </w:pPr>
          <w:r>
            <w:t>Article 18: The Six Negotiating Lanes</w:t>
          </w:r>
          <w:r>
            <w:tab/>
          </w:r>
          <w:r>
            <w:t>16</w:t>
          </w:r>
        </w:p>
        <w:p>
          <w:pPr>
            <w:pStyle w:val="TOC2"/>
            <w:tabs>
              <w:tab w:val="right" w:leader="dot" w:pos="9000"/>
            </w:tabs>
            <w:ind w:left="360"/>
          </w:pPr>
          <w:r>
            <w:t>Article 19: Negotiating Parameters</w:t>
          </w:r>
          <w:r>
            <w:tab/>
          </w:r>
          <w:r>
            <w:t>16</w:t>
          </w:r>
        </w:p>
        <w:p>
          <w:pPr>
            <w:pStyle w:val="TOC2"/>
            <w:tabs>
              <w:tab w:val="right" w:leader="dot" w:pos="9000"/>
            </w:tabs>
            <w:ind w:left="360"/>
          </w:pPr>
          <w:r>
            <w:t>Article 20: Drafting Conventions and Text Management</w:t>
          </w:r>
          <w:r>
            <w:tab/>
          </w:r>
          <w:r>
            <w:t>17</w:t>
          </w:r>
        </w:p>
        <w:p>
          <w:pPr>
            <w:pStyle w:val="TOC2"/>
            <w:tabs>
              <w:tab w:val="right" w:leader="dot" w:pos="9000"/>
            </w:tabs>
            <w:ind w:left="360"/>
          </w:pPr>
          <w:r>
            <w:t>Article 21: Early Harvest and Interim Application</w:t>
          </w:r>
          <w:r>
            <w:tab/>
          </w:r>
          <w:r>
            <w:t>18</w:t>
          </w:r>
        </w:p>
        <w:p>
          <w:pPr>
            <w:pStyle w:val="TOC2"/>
            <w:tabs>
              <w:tab w:val="right" w:leader="dot" w:pos="9000"/>
            </w:tabs>
            <w:ind w:left="360"/>
          </w:pPr>
          <w:r>
            <w:t>Article 22: Relationship of Parameters to Domestic Authority</w:t>
          </w:r>
          <w:r>
            <w:tab/>
          </w:r>
          <w:r>
            <w:t>18</w:t>
          </w:r>
        </w:p>
        <w:p>
          <w:pPr>
            <w:pStyle w:val="TOC1"/>
            <w:tabs>
              <w:tab w:val="right" w:leader="dot" w:pos="9000"/>
            </w:tabs>
            <w:ind w:left="0"/>
          </w:pPr>
          <w:r>
            <w:t>PART VI: TIMETABLE, DEADLINES, AND GATES</w:t>
          </w:r>
          <w:r>
            <w:tab/>
          </w:r>
          <w:r>
            <w:t>18</w:t>
          </w:r>
        </w:p>
        <w:p>
          <w:pPr>
            <w:pStyle w:val="TOC2"/>
            <w:tabs>
              <w:tab w:val="right" w:leader="dot" w:pos="9000"/>
            </w:tabs>
            <w:ind w:left="360"/>
          </w:pPr>
          <w:r>
            <w:t>Article 23: The Negotiation Period</w:t>
          </w:r>
          <w:r>
            <w:tab/>
          </w:r>
          <w:r>
            <w:t>18</w:t>
          </w:r>
        </w:p>
        <w:p>
          <w:pPr>
            <w:pStyle w:val="TOC2"/>
            <w:tabs>
              <w:tab w:val="right" w:leader="dot" w:pos="9000"/>
            </w:tabs>
            <w:ind w:left="360"/>
          </w:pPr>
          <w:r>
            <w:t>Article 24: The Five Gates</w:t>
          </w:r>
          <w:r>
            <w:tab/>
          </w:r>
          <w:r>
            <w:t>18</w:t>
          </w:r>
        </w:p>
        <w:p>
          <w:pPr>
            <w:pStyle w:val="TOC2"/>
            <w:tabs>
              <w:tab w:val="right" w:leader="dot" w:pos="9000"/>
            </w:tabs>
            <w:ind w:left="360"/>
          </w:pPr>
          <w:r>
            <w:t>Article 25: Round Calendar and Intersessional Work</w:t>
          </w:r>
          <w:r>
            <w:tab/>
          </w:r>
          <w:r>
            <w:t>19</w:t>
          </w:r>
        </w:p>
        <w:p>
          <w:pPr>
            <w:pStyle w:val="TOC2"/>
            <w:tabs>
              <w:tab w:val="right" w:leader="dot" w:pos="9000"/>
            </w:tabs>
            <w:ind w:left="360"/>
          </w:pPr>
          <w:r>
            <w:t>Article 26: Anti-Deadlock Mechanics</w:t>
          </w:r>
          <w:r>
            <w:tab/>
          </w:r>
          <w:r>
            <w:t>19</w:t>
          </w:r>
        </w:p>
        <w:p>
          <w:pPr>
            <w:pStyle w:val="TOC1"/>
            <w:tabs>
              <w:tab w:val="right" w:leader="dot" w:pos="9000"/>
            </w:tabs>
            <w:ind w:left="0"/>
          </w:pPr>
          <w:r>
            <w:t>PART VII: COTHROM VERIFICATION ARCHITECTURE</w:t>
          </w:r>
          <w:r>
            <w:tab/>
          </w:r>
          <w:r>
            <w:t>20</w:t>
          </w:r>
        </w:p>
        <w:p>
          <w:pPr>
            <w:pStyle w:val="TOC2"/>
            <w:tabs>
              <w:tab w:val="right" w:leader="dot" w:pos="9000"/>
            </w:tabs>
            <w:ind w:left="360"/>
          </w:pPr>
          <w:r>
            <w:t>Article 27: Adoption and Trade Adaptation of the Cothrom Method</w:t>
          </w:r>
          <w:r>
            <w:tab/>
          </w:r>
          <w:r>
            <w:t>20</w:t>
          </w:r>
        </w:p>
        <w:p>
          <w:pPr>
            <w:pStyle w:val="TOC2"/>
            <w:tabs>
              <w:tab w:val="right" w:leader="dot" w:pos="9000"/>
            </w:tabs>
            <w:ind w:left="360"/>
          </w:pPr>
          <w:r>
            <w:t>Article 28: Joint Trade Verification Secretariat and Shared Trade Registry</w:t>
          </w:r>
          <w:r>
            <w:tab/>
          </w:r>
          <w:r>
            <w:t>20</w:t>
          </w:r>
        </w:p>
        <w:p>
          <w:pPr>
            <w:pStyle w:val="TOC2"/>
            <w:tabs>
              <w:tab w:val="right" w:leader="dot" w:pos="9000"/>
            </w:tabs>
            <w:ind w:left="360"/>
          </w:pPr>
          <w:r>
            <w:t>Article 29: Verification Claims and Evidence Standards</w:t>
          </w:r>
          <w:r>
            <w:tab/>
          </w:r>
          <w:r>
            <w:t>21</w:t>
          </w:r>
        </w:p>
        <w:p>
          <w:pPr>
            <w:pStyle w:val="TOC2"/>
            <w:tabs>
              <w:tab w:val="right" w:leader="dot" w:pos="9000"/>
            </w:tabs>
            <w:ind w:left="360"/>
          </w:pPr>
          <w:r>
            <w:t>Article 30: Challenge Window and Trade Verification Panels</w:t>
          </w:r>
          <w:r>
            <w:tab/>
          </w:r>
          <w:r>
            <w:t>22</w:t>
          </w:r>
        </w:p>
        <w:p>
          <w:pPr>
            <w:pStyle w:val="TOC2"/>
            <w:tabs>
              <w:tab w:val="right" w:leader="dot" w:pos="9000"/>
            </w:tabs>
            <w:ind w:left="360"/>
          </w:pPr>
          <w:r>
            <w:t>Article 31: Partial Credit and Frivolous Challenge Control</w:t>
          </w:r>
          <w:r>
            <w:tab/>
          </w:r>
          <w:r>
            <w:t>22</w:t>
          </w:r>
        </w:p>
        <w:p>
          <w:pPr>
            <w:pStyle w:val="TOC2"/>
            <w:tabs>
              <w:tab w:val="right" w:leader="dot" w:pos="9000"/>
            </w:tabs>
            <w:ind w:left="360"/>
          </w:pPr>
          <w:r>
            <w:t>Article 32: Three-Tier Classification of Compliance Events</w:t>
          </w:r>
          <w:r>
            <w:tab/>
          </w:r>
          <w:r>
            <w:t>23</w:t>
          </w:r>
        </w:p>
        <w:p>
          <w:pPr>
            <w:pStyle w:val="TOC2"/>
            <w:tabs>
              <w:tab w:val="right" w:leader="dot" w:pos="9000"/>
            </w:tabs>
            <w:ind w:left="360"/>
          </w:pPr>
          <w:r>
            <w:t>Article 33: Graduated Step-Back</w:t>
          </w:r>
          <w:r>
            <w:tab/>
          </w:r>
          <w:r>
            <w:t>23</w:t>
          </w:r>
        </w:p>
        <w:p>
          <w:pPr>
            <w:pStyle w:val="TOC2"/>
            <w:tabs>
              <w:tab w:val="right" w:leader="dot" w:pos="9000"/>
            </w:tabs>
            <w:ind w:left="360"/>
          </w:pPr>
          <w:r>
            <w:t>Article 34: Earn-Back</w:t>
          </w:r>
          <w:r>
            <w:tab/>
          </w:r>
          <w:r>
            <w:t>24</w:t>
          </w:r>
        </w:p>
        <w:p>
          <w:pPr>
            <w:pStyle w:val="TOC2"/>
            <w:tabs>
              <w:tab w:val="right" w:leader="dot" w:pos="9000"/>
            </w:tabs>
            <w:ind w:left="360"/>
          </w:pPr>
          <w:r>
            <w:t>Article 35: Cross-Module Firewall and Partial Success</w:t>
          </w:r>
          <w:r>
            <w:tab/>
          </w:r>
          <w:r>
            <w:t>25</w:t>
          </w:r>
        </w:p>
        <w:p>
          <w:pPr>
            <w:pStyle w:val="TOC2"/>
            <w:tabs>
              <w:tab w:val="right" w:leader="dot" w:pos="9000"/>
            </w:tabs>
            <w:ind w:left="360"/>
          </w:pPr>
          <w:r>
            <w:t>Article 36: Protective Architecture</w:t>
          </w:r>
          <w:r>
            <w:tab/>
          </w:r>
          <w:r>
            <w:t>25</w:t>
          </w:r>
        </w:p>
        <w:p>
          <w:pPr>
            <w:pStyle w:val="TOC1"/>
            <w:tabs>
              <w:tab w:val="right" w:leader="dot" w:pos="9000"/>
            </w:tabs>
            <w:ind w:left="0"/>
          </w:pPr>
          <w:r>
            <w:t>PART VIII: RELATIONSHIP TO BILATERAL INSTRUMENTS AND EXISTING TRACKS</w:t>
          </w:r>
          <w:r>
            <w:tab/>
          </w:r>
          <w:r>
            <w:t>26</w:t>
          </w:r>
        </w:p>
        <w:p>
          <w:pPr>
            <w:pStyle w:val="TOC2"/>
            <w:tabs>
              <w:tab w:val="right" w:leader="dot" w:pos="9000"/>
            </w:tabs>
            <w:ind w:left="360"/>
          </w:pPr>
          <w:r>
            <w:t>Article 37: Recognized Bilateral Instruments</w:t>
          </w:r>
          <w:r>
            <w:tab/>
          </w:r>
          <w:r>
            <w:t>26</w:t>
          </w:r>
        </w:p>
        <w:p>
          <w:pPr>
            <w:pStyle w:val="TOC2"/>
            <w:tabs>
              <w:tab w:val="right" w:leader="dot" w:pos="9000"/>
            </w:tabs>
            <w:ind w:left="360"/>
          </w:pPr>
          <w:r>
            <w:t>Article 38: Trilateral Symmetry and Mexican Accommodation</w:t>
          </w:r>
          <w:r>
            <w:tab/>
          </w:r>
          <w:r>
            <w:t>27</w:t>
          </w:r>
        </w:p>
        <w:p>
          <w:pPr>
            <w:pStyle w:val="TOC2"/>
            <w:tabs>
              <w:tab w:val="right" w:leader="dot" w:pos="9000"/>
            </w:tabs>
            <w:ind w:left="360"/>
          </w:pPr>
          <w:r>
            <w:t>Article 39: Conflict and Gap Rule</w:t>
          </w:r>
          <w:r>
            <w:tab/>
          </w:r>
          <w:r>
            <w:t>27</w:t>
          </w:r>
        </w:p>
        <w:p>
          <w:pPr>
            <w:pStyle w:val="TOC1"/>
            <w:tabs>
              <w:tab w:val="right" w:leader="dot" w:pos="9000"/>
            </w:tabs>
            <w:ind w:left="0"/>
          </w:pPr>
          <w:r>
            <w:t>PART IX: INTERIM APPLICATION AND EARLY HARVEST</w:t>
          </w:r>
          <w:r>
            <w:tab/>
          </w:r>
          <w:r>
            <w:t>27</w:t>
          </w:r>
        </w:p>
        <w:p>
          <w:pPr>
            <w:pStyle w:val="TOC2"/>
            <w:tabs>
              <w:tab w:val="right" w:leader="dot" w:pos="9000"/>
            </w:tabs>
            <w:ind w:left="360"/>
          </w:pPr>
          <w:r>
            <w:t>Article 40: Interim Application Notes</w:t>
          </w:r>
          <w:r>
            <w:tab/>
          </w:r>
          <w:r>
            <w:t>27</w:t>
          </w:r>
        </w:p>
        <w:p>
          <w:pPr>
            <w:pStyle w:val="TOC2"/>
            <w:tabs>
              <w:tab w:val="right" w:leader="dot" w:pos="9000"/>
            </w:tabs>
            <w:ind w:left="360"/>
          </w:pPr>
          <w:r>
            <w:t>Article 41: Early Harvest Candidates</w:t>
          </w:r>
          <w:r>
            <w:tab/>
          </w:r>
          <w:r>
            <w:t>27</w:t>
          </w:r>
        </w:p>
        <w:p>
          <w:pPr>
            <w:pStyle w:val="TOC2"/>
            <w:tabs>
              <w:tab w:val="right" w:leader="dot" w:pos="9000"/>
            </w:tabs>
            <w:ind w:left="360"/>
          </w:pPr>
          <w:r>
            <w:t>Article 42: Conversion at Gate Four</w:t>
          </w:r>
          <w:r>
            <w:tab/>
          </w:r>
          <w:r>
            <w:t>28</w:t>
          </w:r>
        </w:p>
        <w:p>
          <w:pPr>
            <w:pStyle w:val="TOC1"/>
            <w:tabs>
              <w:tab w:val="right" w:leader="dot" w:pos="9000"/>
            </w:tabs>
            <w:ind w:left="0"/>
          </w:pPr>
          <w:r>
            <w:t>PART X: INSTITUTIONS</w:t>
          </w:r>
          <w:r>
            <w:tab/>
          </w:r>
          <w:r>
            <w:t>28</w:t>
          </w:r>
        </w:p>
        <w:p>
          <w:pPr>
            <w:pStyle w:val="TOC2"/>
            <w:tabs>
              <w:tab w:val="right" w:leader="dot" w:pos="9000"/>
            </w:tabs>
            <w:ind w:left="360"/>
          </w:pPr>
          <w:r>
            <w:t>Article 43: Reaffirmation Council</w:t>
          </w:r>
          <w:r>
            <w:tab/>
          </w:r>
          <w:r>
            <w:t>28</w:t>
          </w:r>
        </w:p>
        <w:p>
          <w:pPr>
            <w:pStyle w:val="TOC2"/>
            <w:tabs>
              <w:tab w:val="right" w:leader="dot" w:pos="9000"/>
            </w:tabs>
            <w:ind w:left="360"/>
          </w:pPr>
          <w:r>
            <w:t>Article 44: Depositary and Facilitator</w:t>
          </w:r>
          <w:r>
            <w:tab/>
          </w:r>
          <w:r>
            <w:t>29</w:t>
          </w:r>
        </w:p>
        <w:p>
          <w:pPr>
            <w:pStyle w:val="TOC2"/>
            <w:tabs>
              <w:tab w:val="right" w:leader="dot" w:pos="9000"/>
            </w:tabs>
            <w:ind w:left="360"/>
          </w:pPr>
          <w:r>
            <w:t>Article 45: Committees and Technical Working Groups</w:t>
          </w:r>
          <w:r>
            <w:tab/>
          </w:r>
          <w:r>
            <w:t>29</w:t>
          </w:r>
        </w:p>
        <w:p>
          <w:pPr>
            <w:pStyle w:val="TOC2"/>
            <w:tabs>
              <w:tab w:val="right" w:leader="dot" w:pos="9000"/>
            </w:tabs>
            <w:ind w:left="360"/>
          </w:pPr>
          <w:r>
            <w:t>Article 46: Budget and Funding</w:t>
          </w:r>
          <w:r>
            <w:tab/>
          </w:r>
          <w:r>
            <w:t>29</w:t>
          </w:r>
        </w:p>
        <w:p>
          <w:pPr>
            <w:pStyle w:val="TOC1"/>
            <w:tabs>
              <w:tab w:val="right" w:leader="dot" w:pos="9000"/>
            </w:tabs>
            <w:ind w:left="0"/>
          </w:pPr>
          <w:r>
            <w:t>PART XI: FINAL PROVISIONS</w:t>
          </w:r>
          <w:r>
            <w:tab/>
          </w:r>
          <w:r>
            <w:t>29</w:t>
          </w:r>
        </w:p>
        <w:p>
          <w:pPr>
            <w:pStyle w:val="TOC2"/>
            <w:tabs>
              <w:tab w:val="right" w:leader="dot" w:pos="9000"/>
            </w:tabs>
            <w:ind w:left="360"/>
          </w:pPr>
          <w:r>
            <w:t>Article 47: Signature</w:t>
          </w:r>
          <w:r>
            <w:tab/>
          </w:r>
          <w:r>
            <w:t>30</w:t>
          </w:r>
        </w:p>
        <w:p>
          <w:pPr>
            <w:pStyle w:val="TOC2"/>
            <w:tabs>
              <w:tab w:val="right" w:leader="dot" w:pos="9000"/>
            </w:tabs>
            <w:ind w:left="360"/>
          </w:pPr>
          <w:r>
            <w:t>Article 48: Entry into Force</w:t>
          </w:r>
          <w:r>
            <w:tab/>
          </w:r>
          <w:r>
            <w:t>30</w:t>
          </w:r>
        </w:p>
        <w:p>
          <w:pPr>
            <w:pStyle w:val="TOC2"/>
            <w:tabs>
              <w:tab w:val="right" w:leader="dot" w:pos="9000"/>
            </w:tabs>
            <w:ind w:left="360"/>
          </w:pPr>
          <w:r>
            <w:t>Article 49: Standing Invitation and Accession Mechanics</w:t>
          </w:r>
          <w:r>
            <w:tab/>
          </w:r>
          <w:r>
            <w:t>30</w:t>
          </w:r>
        </w:p>
        <w:p>
          <w:pPr>
            <w:pStyle w:val="TOC2"/>
            <w:tabs>
              <w:tab w:val="right" w:leader="dot" w:pos="9000"/>
            </w:tabs>
            <w:ind w:left="360"/>
          </w:pPr>
          <w:r>
            <w:t>Article 50: Duration, Review, and Declassification</w:t>
          </w:r>
          <w:r>
            <w:tab/>
          </w:r>
          <w:r>
            <w:t>30</w:t>
          </w:r>
        </w:p>
        <w:p>
          <w:pPr>
            <w:pStyle w:val="TOC2"/>
            <w:tabs>
              <w:tab w:val="right" w:leader="dot" w:pos="9000"/>
            </w:tabs>
            <w:ind w:left="360"/>
          </w:pPr>
          <w:r>
            <w:t>Article 51: Succession, Withdrawal, and Wind-Down</w:t>
          </w:r>
          <w:r>
            <w:tab/>
          </w:r>
          <w:r>
            <w:t>31</w:t>
          </w:r>
        </w:p>
        <w:p>
          <w:pPr>
            <w:pStyle w:val="TOC2"/>
            <w:tabs>
              <w:tab w:val="right" w:leader="dot" w:pos="9000"/>
            </w:tabs>
            <w:ind w:left="360"/>
          </w:pPr>
          <w:r>
            <w:t>Article 52: Annexes</w:t>
          </w:r>
          <w:r>
            <w:tab/>
          </w:r>
          <w:r>
            <w:t>31</w:t>
          </w:r>
        </w:p>
        <w:p>
          <w:pPr>
            <w:pStyle w:val="TOC1"/>
            <w:tabs>
              <w:tab w:val="right" w:leader="dot" w:pos="9000"/>
            </w:tabs>
            <w:ind w:left="0"/>
          </w:pPr>
          <w:r>
            <w:t>ANNEX A: NEGOTIATION CALENDAR AND GATE SCHEDULE</w:t>
          </w:r>
          <w:r>
            <w:tab/>
          </w:r>
          <w:r>
            <w:t>31</w:t>
          </w:r>
        </w:p>
        <w:p>
          <w:pPr>
            <w:pStyle w:val="TOC1"/>
            <w:tabs>
              <w:tab w:val="right" w:leader="dot" w:pos="9000"/>
            </w:tabs>
            <w:ind w:left="0"/>
          </w:pPr>
          <w:r>
            <w:t>ANNEX B: COVERED MEASURES AND DE-ESCALATION SCHEDULE</w:t>
          </w:r>
          <w:r>
            <w:tab/>
          </w:r>
          <w:r>
            <w:t>32</w:t>
          </w:r>
        </w:p>
        <w:p>
          <w:pPr>
            <w:pStyle w:val="TOC1"/>
            <w:tabs>
              <w:tab w:val="right" w:leader="dot" w:pos="9000"/>
            </w:tabs>
            <w:ind w:left="0"/>
          </w:pPr>
          <w:r>
            <w:t>ANNEX C: LOCKED CONSENSUS REGISTER AND RESERVATIONS RECORD</w:t>
          </w:r>
          <w:r>
            <w:tab/>
          </w:r>
          <w:r>
            <w:t>33</w:t>
          </w:r>
        </w:p>
        <w:p>
          <w:pPr>
            <w:pStyle w:val="TOC1"/>
            <w:tabs>
              <w:tab w:val="right" w:leader="dot" w:pos="9000"/>
            </w:tabs>
            <w:ind w:left="0"/>
          </w:pPr>
          <w:r>
            <w:t>ANNEX D: NEGOTIATING LANE MAP TO THE REFERENCE CONSOLIDATED TEXT</w:t>
          </w:r>
          <w:r>
            <w:tab/>
          </w:r>
          <w:r>
            <w:t>34</w:t>
          </w:r>
        </w:p>
        <w:p>
          <w:pPr>
            <w:pStyle w:val="TOC1"/>
            <w:tabs>
              <w:tab w:val="right" w:leader="dot" w:pos="9000"/>
            </w:tabs>
            <w:ind w:left="0"/>
          </w:pPr>
          <w:r>
            <w:t>ANNEX E: COTHROM TRADE ADAPTATION: OPERATING PARAMETERS</w:t>
          </w:r>
          <w:r>
            <w:tab/>
          </w:r>
          <w:r>
            <w:t>35</w:t>
          </w:r>
        </w:p>
        <w:p>
          <w:pPr>
            <w:pStyle w:val="TOC1"/>
            <w:tabs>
              <w:tab w:val="right" w:leader="dot" w:pos="9000"/>
            </w:tabs>
            <w:ind w:left="0"/>
          </w:pPr>
          <w:r>
            <w:t>ANNEX F: RECIPROCAL OBLIGATION LEDGER: TEMPLATE AND STATUS RULES</w:t>
          </w:r>
          <w:r>
            <w:tab/>
          </w:r>
          <w:r>
            <w:t>36</w:t>
          </w:r>
        </w:p>
        <w:p>
          <w:pPr>
            <w:pStyle w:val="TOC1"/>
            <w:tabs>
              <w:tab w:val="right" w:leader="dot" w:pos="9000"/>
            </w:tabs>
            <w:ind w:left="0"/>
          </w:pPr>
          <w:r>
            <w:t>ANNEX G: FAILURE SCENARIOS AND PRESCRIBED RESPONSES</w:t>
          </w:r>
          <w:r>
            <w:tab/>
          </w:r>
          <w:r>
            <w:t>37</w:t>
          </w:r>
        </w:p>
        <w:p>
          <w:pPr>
            <w:pStyle w:val="TOC1"/>
            <w:tabs>
              <w:tab w:val="right" w:leader="dot" w:pos="9000"/>
            </w:tabs>
            <w:ind w:left="0"/>
          </w:pPr>
          <w:r>
            <w:t>ANNEX H: SIGNATURE, ACCESSION, AND CONFIRMATION FORMS</w:t>
          </w:r>
          <w:r>
            <w:tab/>
          </w:r>
          <w:r>
            <w:t>38</w:t>
          </w:r>
        </w:p>
        <w:p>
          <w:pPr>
            <w:pStyle w:val="TOC1"/>
            <w:tabs>
              <w:tab w:val="right" w:leader="dot" w:pos="9000"/>
            </w:tabs>
            <w:ind w:left="0"/>
          </w:pPr>
          <w:r>
            <w:t>ANNEX I: SITUATION ASSESSMENT AND RECORD BASIS</w:t>
          </w:r>
          <w:r>
            <w:tab/>
          </w:r>
          <w:r>
            <w:t>38</w:t>
          </w:r>
        </w:p>
        <w:p>
          <w:pPr>
            <w:pStyle w:val="TOC1"/>
            <w:tabs>
              <w:tab w:val="right" w:leader="dot" w:pos="9000"/>
            </w:tabs>
            <w:ind w:left="0"/>
          </w:pPr>
          <w:r>
            <w:t>CLOSING PROVISION: THE OPERATING IDEA</w:t>
          </w:r>
          <w:r>
            <w:tab/>
          </w:r>
          <w:r>
            <w:t>39</w:t>
          </w:r>
        </w:p>
        <w:p>
          <w:r>
            <w:fldChar w:fldCharType="end"/>
          </w:r>
        </w:p>
      </w:sdtContent>
    </w:sdt>
    <w:p>
      <w:r>
        <w:br w:type="page"/>
      </w:r>
    </w:p>
    <w:p>
      <w:pPr>
        <w:pStyle w:val="Heading1"/>
        <w:spacing w:after="160" w:before="320"/>
      </w:pPr>
      <w:r>
        <w:rPr>
          <w:rFonts w:ascii="Times New Roman" w:cs="Times New Roman" w:eastAsia="SimSun" w:hAnsi="Times New Roman"/>
          <w:b/>
          <w:bCs/>
          <w:color w:val="1F3A52"/>
          <w:sz w:val="28"/>
          <w:szCs w:val="28"/>
        </w:rPr>
        <w:t xml:space="preserve">PREAMBLE</w:t>
      </w:r>
    </w:p>
    <w:p>
      <w:pPr>
        <w:spacing w:after="140" w:line="288"/>
        <w:jc w:val="both"/>
      </w:pPr>
      <w:r>
        <w:rPr>
          <w:rFonts w:ascii="Times New Roman" w:cs="Times New Roman" w:eastAsia="SimSun" w:hAnsi="Times New Roman"/>
          <w:sz w:val="23"/>
          <w:szCs w:val="23"/>
        </w:rPr>
        <w:t xml:space="preserve">The Governments of Canada, the United Mexican States, and the United States of America (the "Parties"),</w:t>
      </w:r>
    </w:p>
    <w:p>
      <w:pPr>
        <w:spacing w:after="140" w:line="288"/>
        <w:jc w:val="both"/>
      </w:pPr>
      <w:r>
        <w:rPr>
          <w:rFonts w:ascii="Times New Roman" w:cs="Times New Roman" w:eastAsia="SimSun" w:hAnsi="Times New Roman"/>
          <w:sz w:val="23"/>
          <w:szCs w:val="23"/>
        </w:rPr>
        <w:t xml:space="preserve">RECALLING the Agreement between Canada, the United States of America, and the United Mexican States, done at Buenos Aires on November 30, 2018, as amended by the Protocol of Amendment done at Mexico City on December 10, 2019, which entered into force on July 1, 2020 (the "CUSMA"), and which governs the largest integrated trading relationship in the world, encompassing more than 500 million persons and approximately two trillion dollars in annual trilateral trade in goods and services;</w:t>
      </w:r>
    </w:p>
    <w:p>
      <w:pPr>
        <w:spacing w:after="140" w:line="288"/>
        <w:jc w:val="both"/>
      </w:pPr>
      <w:r>
        <w:rPr>
          <w:rFonts w:ascii="Times New Roman" w:cs="Times New Roman" w:eastAsia="SimSun" w:hAnsi="Times New Roman"/>
          <w:sz w:val="23"/>
          <w:szCs w:val="23"/>
        </w:rPr>
        <w:t xml:space="preserve">RECALLING that the Free Trade Commission conducted the mandatory six-year joint review under Article 34.7 of the CUSMA on July 1, 2026, at which Canada and the United Mexican States each confirmed their support for extending the Agreement for an additional sixteen-year period, while the United States declined to confirm its intention to extend the Agreement in its current form, thereby activating annual joint reviews under Article 34.7.4 for the remainder of the Agreement's term through July 1, 2036;</w:t>
      </w:r>
    </w:p>
    <w:p>
      <w:pPr>
        <w:spacing w:after="140" w:line="288"/>
        <w:jc w:val="both"/>
      </w:pPr>
      <w:r>
        <w:rPr>
          <w:rFonts w:ascii="Times New Roman" w:cs="Times New Roman" w:eastAsia="SimSun" w:hAnsi="Times New Roman"/>
          <w:sz w:val="23"/>
          <w:szCs w:val="23"/>
        </w:rPr>
        <w:t xml:space="preserve">AFFIRMING that, notwithstanding the absence of an extension confirmation, the CUSMA remains fully in force; that all preferential tariff treatment, rules of origin, investment protections, and dispute settlement mechanisms remain operative; and that Article 34.7.4 permits the Parties to extend the Agreement for an additional sixteen-year period at any time before its expiry by written confirmation through their respective heads of government;</w:t>
      </w:r>
    </w:p>
    <w:p>
      <w:pPr>
        <w:spacing w:after="140" w:line="288"/>
        <w:jc w:val="both"/>
      </w:pPr>
      <w:r>
        <w:rPr>
          <w:rFonts w:ascii="Times New Roman" w:cs="Times New Roman" w:eastAsia="SimSun" w:hAnsi="Times New Roman"/>
          <w:sz w:val="23"/>
          <w:szCs w:val="23"/>
        </w:rPr>
        <w:t xml:space="preserve">NOTING with concern the imposition by the United States of additional duties under Section 338 of the Trade Act of 1930 on specified goods of Canada effective August 22, 2026, the prior and concurrent application of duties under Section 232 of the Trade Expansion Act of 1962 to steel, aluminum, and automotive goods, and the publication by Canada on August 25, 2026 of counter-tariffs of 15, 25, and 50 per cent on approximately $27.6 billion of United States goods, scheduled to take effect at 12:01 a.m. on September 8, 2026, alongside existing Canadian countermeasures on United States automobiles;</w:t>
      </w:r>
    </w:p>
    <w:p>
      <w:pPr>
        <w:spacing w:after="140" w:line="288"/>
        <w:jc w:val="both"/>
      </w:pPr>
      <w:r>
        <w:rPr>
          <w:rFonts w:ascii="Times New Roman" w:cs="Times New Roman" w:eastAsia="SimSun" w:hAnsi="Times New Roman"/>
          <w:sz w:val="23"/>
          <w:szCs w:val="23"/>
        </w:rPr>
        <w:t xml:space="preserve">NOTING FURTHER that the bilateral negotiating track between Canada and the United States stands suspended since late August 2026, that the bilateral track between the United States and the United Mexican States has continued through successive rounds, and that no trilateral text-based negotiation presently convenes;</w:t>
      </w:r>
    </w:p>
    <w:p>
      <w:pPr>
        <w:spacing w:after="140" w:line="288"/>
        <w:jc w:val="both"/>
      </w:pPr>
      <w:r>
        <w:rPr>
          <w:rFonts w:ascii="Times New Roman" w:cs="Times New Roman" w:eastAsia="SimSun" w:hAnsi="Times New Roman"/>
          <w:sz w:val="23"/>
          <w:szCs w:val="23"/>
        </w:rPr>
        <w:t xml:space="preserve">CONVINCED that the continuation of extraordinary border measures between the Parties injures workers, farmers, manufacturers, and consumers in all three countries; that escalation dynamics reward delay and punish good faith; and that an orderly, verified, and reciprocal de-escalation is superior to unmanaged confrontation;</w:t>
      </w:r>
    </w:p>
    <w:p>
      <w:pPr>
        <w:spacing w:after="140" w:line="288"/>
        <w:jc w:val="both"/>
      </w:pPr>
      <w:r>
        <w:rPr>
          <w:rFonts w:ascii="Times New Roman" w:cs="Times New Roman" w:eastAsia="SimSun" w:hAnsi="Times New Roman"/>
          <w:sz w:val="23"/>
          <w:szCs w:val="23"/>
        </w:rPr>
        <w:t xml:space="preserve">HAVING PREPARED, through technical drafting work, the consolidated negotiating text of the North American Economic Security and Trade Modernization Agreement, Version 9.7A ("NAESTMA v9.7A"), comprising a Protocol of Modernization, sixty-eight chapters, modernization provisions appended to the existing chapters of the CUSMA, annexes, implementation instruments, and an amendment ledger, and intending that this text serve as the single negotiating basis for a modernized, hardened, and durably extended continental framework;</w:t>
      </w:r>
    </w:p>
    <w:p>
      <w:pPr>
        <w:spacing w:after="140" w:line="288"/>
        <w:jc w:val="both"/>
      </w:pPr>
      <w:r>
        <w:rPr>
          <w:rFonts w:ascii="Times New Roman" w:cs="Times New Roman" w:eastAsia="SimSun" w:hAnsi="Times New Roman"/>
          <w:sz w:val="23"/>
          <w:szCs w:val="23"/>
        </w:rPr>
        <w:t xml:space="preserve">DETERMINED to re-establish a trilateral negotiating posture, to define the scope and parameters of the negotiation, to lock in the areas of consensus that already exist, to create binding deadlines and procedural obligations, and to compel the resumption of structured negotiation without committing any Party to final substantive text;</w:t>
      </w:r>
    </w:p>
    <w:p>
      <w:pPr>
        <w:spacing w:after="140" w:line="288"/>
        <w:jc w:val="both"/>
      </w:pPr>
      <w:r>
        <w:rPr>
          <w:rFonts w:ascii="Times New Roman" w:cs="Times New Roman" w:eastAsia="SimSun" w:hAnsi="Times New Roman"/>
          <w:sz w:val="23"/>
          <w:szCs w:val="23"/>
        </w:rPr>
        <w:t xml:space="preserve">RESOLVING that verification under this Instrument follows the Cothrom principle, cothrom signifying equal, balanced, level, and fair, under which both compliance and scrutiny are reciprocal, no minor infraction produces existential collapse, discretionary benefits pause first and core protections survive longest, every penalty carries a defined earn-back pathway, and no violation creates permanent exclusion;</w:t>
      </w:r>
    </w:p>
    <w:p>
      <w:pPr>
        <w:spacing w:after="140" w:line="288"/>
        <w:jc w:val="both"/>
      </w:pPr>
      <w:r>
        <w:rPr>
          <w:rFonts w:ascii="Times New Roman" w:cs="Times New Roman" w:eastAsia="SimSun" w:hAnsi="Times New Roman"/>
          <w:sz w:val="23"/>
          <w:szCs w:val="23"/>
        </w:rPr>
        <w:t xml:space="preserve">HAVE AGREED as follows:</w:t>
      </w:r>
    </w:p>
    <w:p>
      <w:pPr>
        <w:pStyle w:val="Heading1"/>
        <w:spacing w:after="160" w:before="320"/>
      </w:pPr>
      <w:r>
        <w:rPr>
          <w:rFonts w:ascii="Times New Roman" w:cs="Times New Roman" w:eastAsia="SimSun" w:hAnsi="Times New Roman"/>
          <w:b/>
          <w:bCs/>
          <w:color w:val="1F3A52"/>
          <w:sz w:val="28"/>
          <w:szCs w:val="28"/>
        </w:rPr>
        <w:t xml:space="preserve">PART I: PURPOSE, LEGAL CHARACTER, AND DEFINITIONS</w:t>
      </w:r>
    </w:p>
    <w:p>
      <w:pPr>
        <w:pStyle w:val="Heading2"/>
        <w:spacing w:after="120" w:before="240"/>
      </w:pPr>
      <w:r>
        <w:rPr>
          <w:rFonts w:ascii="Times New Roman" w:cs="Times New Roman" w:eastAsia="SimSun" w:hAnsi="Times New Roman"/>
          <w:b/>
          <w:bCs/>
          <w:color w:val="33556E"/>
          <w:sz w:val="24"/>
          <w:szCs w:val="24"/>
        </w:rPr>
        <w:t xml:space="preserve">Article 1: Purpose</w:t>
      </w:r>
    </w:p>
    <w:p>
      <w:pPr>
        <w:spacing w:after="140" w:line="288"/>
        <w:ind w:firstLine="431"/>
        <w:jc w:val="both"/>
      </w:pPr>
      <w:r>
        <w:rPr>
          <w:rFonts w:ascii="Times New Roman" w:cs="Times New Roman" w:eastAsia="SimSun" w:hAnsi="Times New Roman"/>
          <w:sz w:val="23"/>
          <w:szCs w:val="23"/>
        </w:rPr>
        <w:t xml:space="preserve">This Instrument establishes an interim trilateral framework whose purposes are to: (a) re-establish the negotiating posture of the Parties by convening a structured, continuous, and verifiable negotiation on the basis of a single consolidated reference text; (b) define the scope, parameters, lanes, and drafting conventions of that negotiation; (c) lock in, in a Locked Consensus Register, the matters on which the Parties already agree, so that no subsequent disagreement erases recorded common ground; (d) create binding deadlines, procedural obligations, attendance duties, and anti-deadlock machinery that compel the Parties to remain at, or return to, the negotiating table; and (e) establish an immediate, verified, and reversible de-escalation of extraordinary border measures in force or announced between the Parties, calibrated so that continued participation in the negotiation itself sustains the commercial calm the negotiation needs.</w:t>
      </w:r>
    </w:p>
    <w:p>
      <w:pPr>
        <w:spacing w:after="140" w:line="288"/>
        <w:ind w:firstLine="431"/>
        <w:jc w:val="both"/>
      </w:pPr>
      <w:r>
        <w:rPr>
          <w:rFonts w:ascii="Times New Roman" w:cs="Times New Roman" w:eastAsia="SimSun" w:hAnsi="Times New Roman"/>
          <w:sz w:val="23"/>
          <w:szCs w:val="23"/>
        </w:rPr>
        <w:t xml:space="preserve">This Instrument does not conclude the underlying bargain. It creates the table, sets the clock, fixes the text, suspends the tariffs, and makes absence from the table measurable, reviewable, and costly in strictly graduated proportion.</w:t>
      </w:r>
    </w:p>
    <w:p>
      <w:pPr>
        <w:pStyle w:val="Heading2"/>
        <w:spacing w:after="120" w:before="240"/>
      </w:pPr>
      <w:r>
        <w:rPr>
          <w:rFonts w:ascii="Times New Roman" w:cs="Times New Roman" w:eastAsia="SimSun" w:hAnsi="Times New Roman"/>
          <w:b/>
          <w:bCs/>
          <w:color w:val="33556E"/>
          <w:sz w:val="24"/>
          <w:szCs w:val="24"/>
        </w:rPr>
        <w:t xml:space="preserve">Article 2: Legal Character</w:t>
      </w:r>
    </w:p>
    <w:p>
      <w:pPr>
        <w:spacing w:after="140" w:line="288"/>
        <w:ind w:firstLine="431"/>
        <w:jc w:val="both"/>
      </w:pPr>
      <w:r>
        <w:rPr>
          <w:rFonts w:ascii="Times New Roman" w:cs="Times New Roman" w:eastAsia="SimSun" w:hAnsi="Times New Roman"/>
          <w:sz w:val="23"/>
          <w:szCs w:val="23"/>
        </w:rPr>
        <w:t xml:space="preserve">This Instrument binds the Parties as to its procedural, institutional, de-escalation, verification, and transparency obligations, in accordance with its terms. It is without prejudice to: (a) the legal position of each Party under the CUSMA, the WTO Agreement, and other international agreements; (b) the legality or illegality of any extraordinary measure listed in Annex B, as to which each Party reserves its position in full; (c) the sovereign authority of each Party over its domestic law, including constitutional processes for treaty approval; and (d) any final substantive provision of NAESTMA v9.7A, no part of which binds any Party unless and until the Parties sign the Protocol of Modernization and it enters into force in accordance with its own terms.</w:t>
      </w:r>
    </w:p>
    <w:p>
      <w:pPr>
        <w:spacing w:after="140" w:line="288"/>
        <w:ind w:firstLine="431"/>
        <w:jc w:val="both"/>
      </w:pPr>
      <w:r>
        <w:rPr>
          <w:rFonts w:ascii="Times New Roman" w:cs="Times New Roman" w:eastAsia="SimSun" w:hAnsi="Times New Roman"/>
          <w:sz w:val="23"/>
          <w:szCs w:val="23"/>
        </w:rPr>
        <w:t xml:space="preserve">This Instrument is not an amendment to the CUSMA and does not engage Article 34.3 of the CUSMA. It operates beside the CUSMA as an interim procedural and stabilization framework. Upon entry into force of the Protocol of Modernization, Article 51 subsumes and terminates this Instrument.</w:t>
      </w:r>
    </w:p>
    <w:p>
      <w:pPr>
        <w:spacing w:after="140" w:line="288"/>
        <w:ind w:firstLine="431"/>
        <w:jc w:val="both"/>
      </w:pPr>
      <w:r>
        <w:rPr>
          <w:rFonts w:ascii="Times New Roman" w:cs="Times New Roman" w:eastAsia="SimSun" w:hAnsi="Times New Roman"/>
          <w:sz w:val="23"/>
          <w:szCs w:val="23"/>
        </w:rPr>
        <w:t xml:space="preserve">No provision of this Instrument compels a Party to take an action that its constitution reserves to its legislature, except that each Party promptly and in good faith initiates the domestic procedures necessary to give effect to the commitments it has accepted, and reports the status of those procedures to the Shared Trade Registry.</w:t>
      </w:r>
    </w:p>
    <w:p>
      <w:pPr>
        <w:pStyle w:val="Heading2"/>
        <w:spacing w:after="120" w:before="240"/>
      </w:pPr>
      <w:r>
        <w:rPr>
          <w:rFonts w:ascii="Times New Roman" w:cs="Times New Roman" w:eastAsia="SimSun" w:hAnsi="Times New Roman"/>
          <w:b/>
          <w:bCs/>
          <w:color w:val="33556E"/>
          <w:sz w:val="24"/>
          <w:szCs w:val="24"/>
        </w:rPr>
        <w:t xml:space="preserve">Article 3: Relationship to the CUSMA and to NAESTMA v9.7A</w:t>
      </w:r>
    </w:p>
    <w:p>
      <w:pPr>
        <w:spacing w:after="140" w:line="288"/>
        <w:ind w:firstLine="431"/>
        <w:jc w:val="both"/>
      </w:pPr>
      <w:r>
        <w:rPr>
          <w:rFonts w:ascii="Times New Roman" w:cs="Times New Roman" w:eastAsia="SimSun" w:hAnsi="Times New Roman"/>
          <w:sz w:val="23"/>
          <w:szCs w:val="23"/>
        </w:rPr>
        <w:t xml:space="preserve">The CUSMA remains the legal baseline of North American trade relations throughout the operation of this Instrument. Nothing in this Instrument suspends, modifies, or displaces any CUSMA right or obligation, except that the de-escalation measures in Part III suspend, as between the Parties, the application of specified extraordinary measures that operate outside the CUSMA preference architecture.</w:t>
      </w:r>
    </w:p>
    <w:p>
      <w:pPr>
        <w:spacing w:after="140" w:line="288"/>
        <w:ind w:firstLine="431"/>
        <w:jc w:val="both"/>
      </w:pPr>
      <w:r>
        <w:rPr>
          <w:rFonts w:ascii="Times New Roman" w:cs="Times New Roman" w:eastAsia="SimSun" w:hAnsi="Times New Roman"/>
          <w:sz w:val="23"/>
          <w:szCs w:val="23"/>
        </w:rPr>
        <w:t xml:space="preserve">NAESTMA v9.7A, comprising the consolidated negotiating text deposited with the Depositary on the date of signature of this Instrument, constitutes the Reference Consolidated Text. The Reference Consolidated Text is the sole negotiating basis for the Negotiation conducted under this Instrument. No Party is bound by any provision of the Reference Consolidated Text by virtue of this designation; the designation fixes the subject matter and drafting conventions of the Negotiation, not its outcome.</w:t>
      </w:r>
    </w:p>
    <w:p>
      <w:pPr>
        <w:spacing w:after="140" w:line="288"/>
        <w:ind w:firstLine="431"/>
        <w:jc w:val="both"/>
      </w:pPr>
      <w:r>
        <w:rPr>
          <w:rFonts w:ascii="Times New Roman" w:cs="Times New Roman" w:eastAsia="SimSun" w:hAnsi="Times New Roman"/>
          <w:sz w:val="23"/>
          <w:szCs w:val="23"/>
        </w:rPr>
        <w:t xml:space="preserve">The Negotiation pursues the objectives embodied in the Reference Consolidated Text, including: durable tariff treatment for originating goods effective against extraordinary measures however denominated; replacement of punitive tariff diplomacy with verified, proportionate, and self-correcting trade remedies; modernized rules of origin, customs, digital, energy, critical minerals, and economic security architecture; continuous duration in place of sunset mechanics; and the institutional and verification provisions necessary to make those commitments credible.</w:t>
      </w:r>
    </w:p>
    <w:p>
      <w:pPr>
        <w:pStyle w:val="Heading2"/>
        <w:spacing w:after="120" w:before="240"/>
      </w:pPr>
      <w:r>
        <w:rPr>
          <w:rFonts w:ascii="Times New Roman" w:cs="Times New Roman" w:eastAsia="SimSun" w:hAnsi="Times New Roman"/>
          <w:b/>
          <w:bCs/>
          <w:color w:val="33556E"/>
          <w:sz w:val="24"/>
          <w:szCs w:val="24"/>
        </w:rPr>
        <w:t xml:space="preserve">Article 4: Definitions</w:t>
      </w:r>
    </w:p>
    <w:p>
      <w:pPr>
        <w:spacing w:after="140" w:line="288"/>
        <w:ind w:firstLine="431"/>
        <w:jc w:val="both"/>
      </w:pPr>
      <w:r>
        <w:rPr>
          <w:rFonts w:ascii="Times New Roman" w:cs="Times New Roman" w:eastAsia="SimSun" w:hAnsi="Times New Roman"/>
          <w:sz w:val="23"/>
          <w:szCs w:val="23"/>
        </w:rPr>
        <w:t xml:space="preserve">For the purposes of this Instrument:</w:t>
      </w:r>
    </w:p>
    <w:p>
      <w:pPr>
        <w:pStyle w:val="ListParagraph"/>
        <w:numPr>
          <w:ilvl w:val="0"/>
          <w:numId w:val="2"/>
        </w:numPr>
        <w:spacing w:after="100" w:line="288"/>
        <w:jc w:val="both"/>
      </w:pPr>
      <w:r>
        <w:rPr>
          <w:rFonts w:ascii="Times New Roman" w:cs="Times New Roman" w:eastAsia="SimSun" w:hAnsi="Times New Roman"/>
          <w:sz w:val="23"/>
          <w:szCs w:val="23"/>
        </w:rPr>
        <w:t xml:space="preserve">"Attendance Obligation" means the obligation of each Party, under Article 8, to attend scheduled Rounds, table scheduled responses, and maintain Secretariat staffing, as recorded and verified in the Shared Trade Registry;</w:t>
      </w:r>
    </w:p>
    <w:p>
      <w:pPr>
        <w:pStyle w:val="ListParagraph"/>
        <w:numPr>
          <w:ilvl w:val="0"/>
          <w:numId w:val="2"/>
        </w:numPr>
        <w:spacing w:after="100" w:line="288"/>
        <w:jc w:val="both"/>
      </w:pPr>
      <w:r>
        <w:rPr>
          <w:rFonts w:ascii="Times New Roman" w:cs="Times New Roman" w:eastAsia="SimSun" w:hAnsi="Times New Roman"/>
          <w:sz w:val="23"/>
          <w:szCs w:val="23"/>
        </w:rPr>
        <w:t xml:space="preserve">"Cothrom Method" means the Cothrom Verification Method, Version 1.0, as adapted to trade and negotiating-process obligations by Part VII and Annex E of this Instrument;</w:t>
      </w:r>
    </w:p>
    <w:p>
      <w:pPr>
        <w:pStyle w:val="ListParagraph"/>
        <w:numPr>
          <w:ilvl w:val="0"/>
          <w:numId w:val="2"/>
        </w:numPr>
        <w:spacing w:after="100" w:line="288"/>
        <w:jc w:val="both"/>
      </w:pPr>
      <w:r>
        <w:rPr>
          <w:rFonts w:ascii="Times New Roman" w:cs="Times New Roman" w:eastAsia="SimSun" w:hAnsi="Times New Roman"/>
          <w:sz w:val="23"/>
          <w:szCs w:val="23"/>
        </w:rPr>
        <w:t xml:space="preserve">"Covered Measure" means an extraordinary border measure listed in a Party's Annex B schedule, including additional duties, surtaxes, counter-tariffs, surcharges, import fees, and equivalent charges applied between the Parties outside ordinary CUSMA preference administration;</w:t>
      </w:r>
    </w:p>
    <w:p>
      <w:pPr>
        <w:pStyle w:val="ListParagraph"/>
        <w:numPr>
          <w:ilvl w:val="0"/>
          <w:numId w:val="2"/>
        </w:numPr>
        <w:spacing w:after="100" w:line="288"/>
        <w:jc w:val="both"/>
      </w:pPr>
      <w:r>
        <w:rPr>
          <w:rFonts w:ascii="Times New Roman" w:cs="Times New Roman" w:eastAsia="SimSun" w:hAnsi="Times New Roman"/>
          <w:sz w:val="23"/>
          <w:szCs w:val="23"/>
        </w:rPr>
        <w:t xml:space="preserve">"Depositary" means the institution designated under Article 44;</w:t>
      </w:r>
    </w:p>
    <w:p>
      <w:pPr>
        <w:pStyle w:val="ListParagraph"/>
        <w:numPr>
          <w:ilvl w:val="0"/>
          <w:numId w:val="2"/>
        </w:numPr>
        <w:spacing w:after="100" w:line="288"/>
        <w:jc w:val="both"/>
      </w:pPr>
      <w:r>
        <w:rPr>
          <w:rFonts w:ascii="Times New Roman" w:cs="Times New Roman" w:eastAsia="SimSun" w:hAnsi="Times New Roman"/>
          <w:sz w:val="23"/>
          <w:szCs w:val="23"/>
        </w:rPr>
        <w:t xml:space="preserve">"Earn-Back" means the automatic restoration of a paused or reduced benefit following verified remediation and a defined period of clean compliance, in accordance with Article 34;</w:t>
      </w:r>
    </w:p>
    <w:p>
      <w:pPr>
        <w:pStyle w:val="ListParagraph"/>
        <w:numPr>
          <w:ilvl w:val="0"/>
          <w:numId w:val="2"/>
        </w:numPr>
        <w:spacing w:after="100" w:line="288"/>
        <w:jc w:val="both"/>
      </w:pPr>
      <w:r>
        <w:rPr>
          <w:rFonts w:ascii="Times New Roman" w:cs="Times New Roman" w:eastAsia="SimSun" w:hAnsi="Times New Roman"/>
          <w:sz w:val="23"/>
          <w:szCs w:val="23"/>
        </w:rPr>
        <w:t xml:space="preserve">"Early Harvest Module" means a module of the Reference Consolidated Text, or of a Recognized Bilateral Instrument, placed into interim application under Article 40;</w:t>
      </w:r>
    </w:p>
    <w:p>
      <w:pPr>
        <w:pStyle w:val="ListParagraph"/>
        <w:numPr>
          <w:ilvl w:val="0"/>
          <w:numId w:val="2"/>
        </w:numPr>
        <w:spacing w:after="100" w:line="288"/>
        <w:jc w:val="both"/>
      </w:pPr>
      <w:r>
        <w:rPr>
          <w:rFonts w:ascii="Times New Roman" w:cs="Times New Roman" w:eastAsia="SimSun" w:hAnsi="Times New Roman"/>
          <w:sz w:val="23"/>
          <w:szCs w:val="23"/>
        </w:rPr>
        <w:t xml:space="preserve">"Gate" means a dated review point in the Negotiation Calendar set out in Article 24 and Annex A;</w:t>
      </w:r>
    </w:p>
    <w:p>
      <w:pPr>
        <w:pStyle w:val="ListParagraph"/>
        <w:numPr>
          <w:ilvl w:val="0"/>
          <w:numId w:val="2"/>
        </w:numPr>
        <w:spacing w:after="100" w:line="288"/>
        <w:jc w:val="both"/>
      </w:pPr>
      <w:r>
        <w:rPr>
          <w:rFonts w:ascii="Times New Roman" w:cs="Times New Roman" w:eastAsia="SimSun" w:hAnsi="Times New Roman"/>
          <w:sz w:val="23"/>
          <w:szCs w:val="23"/>
        </w:rPr>
        <w:t xml:space="preserve">"Locked Consensus Register" means the register established under Article 15 and set out in Annex C;</w:t>
      </w:r>
    </w:p>
    <w:p>
      <w:pPr>
        <w:pStyle w:val="ListParagraph"/>
        <w:numPr>
          <w:ilvl w:val="0"/>
          <w:numId w:val="2"/>
        </w:numPr>
        <w:spacing w:after="100" w:line="288"/>
        <w:jc w:val="both"/>
      </w:pPr>
      <w:r>
        <w:rPr>
          <w:rFonts w:ascii="Times New Roman" w:cs="Times New Roman" w:eastAsia="SimSun" w:hAnsi="Times New Roman"/>
          <w:sz w:val="23"/>
          <w:szCs w:val="23"/>
        </w:rPr>
        <w:t xml:space="preserve">"Negotiation" means the structured negotiation of the Reference Consolidated Text conducted under this Instrument;</w:t>
      </w:r>
    </w:p>
    <w:p>
      <w:pPr>
        <w:pStyle w:val="ListParagraph"/>
        <w:numPr>
          <w:ilvl w:val="0"/>
          <w:numId w:val="2"/>
        </w:numPr>
        <w:spacing w:after="100" w:line="288"/>
        <w:jc w:val="both"/>
      </w:pPr>
      <w:r>
        <w:rPr>
          <w:rFonts w:ascii="Times New Roman" w:cs="Times New Roman" w:eastAsia="SimSun" w:hAnsi="Times New Roman"/>
          <w:sz w:val="23"/>
          <w:szCs w:val="23"/>
        </w:rPr>
        <w:t xml:space="preserve">"Negotiation Period" means the period defined in Article 23;</w:t>
      </w:r>
    </w:p>
    <w:p>
      <w:pPr>
        <w:pStyle w:val="ListParagraph"/>
        <w:numPr>
          <w:ilvl w:val="0"/>
          <w:numId w:val="2"/>
        </w:numPr>
        <w:spacing w:after="100" w:line="288"/>
        <w:jc w:val="both"/>
      </w:pPr>
      <w:r>
        <w:rPr>
          <w:rFonts w:ascii="Times New Roman" w:cs="Times New Roman" w:eastAsia="SimSun" w:hAnsi="Times New Roman"/>
          <w:sz w:val="23"/>
          <w:szCs w:val="23"/>
        </w:rPr>
        <w:t xml:space="preserve">"Party" means a State for which this Instrument is in force; "Signatory" means a State that has signed this Instrument, whether or not it is yet in force for that State;</w:t>
      </w:r>
    </w:p>
    <w:p>
      <w:pPr>
        <w:pStyle w:val="ListParagraph"/>
        <w:numPr>
          <w:ilvl w:val="0"/>
          <w:numId w:val="2"/>
        </w:numPr>
        <w:spacing w:after="100" w:line="288"/>
        <w:jc w:val="both"/>
      </w:pPr>
      <w:r>
        <w:rPr>
          <w:rFonts w:ascii="Times New Roman" w:cs="Times New Roman" w:eastAsia="SimSun" w:hAnsi="Times New Roman"/>
          <w:sz w:val="23"/>
          <w:szCs w:val="23"/>
        </w:rPr>
        <w:t xml:space="preserve">"Procedural Default" means a verified failure of an Attendance Obligation or of a procedural deadline established by this Instrument;</w:t>
      </w:r>
    </w:p>
    <w:p>
      <w:pPr>
        <w:pStyle w:val="ListParagraph"/>
        <w:numPr>
          <w:ilvl w:val="0"/>
          <w:numId w:val="2"/>
        </w:numPr>
        <w:spacing w:after="100" w:line="288"/>
        <w:jc w:val="both"/>
      </w:pPr>
      <w:r>
        <w:rPr>
          <w:rFonts w:ascii="Times New Roman" w:cs="Times New Roman" w:eastAsia="SimSun" w:hAnsi="Times New Roman"/>
          <w:sz w:val="23"/>
          <w:szCs w:val="23"/>
        </w:rPr>
        <w:t xml:space="preserve">"Reaffirmation Council" means the ministerial body established under Article 43;</w:t>
      </w:r>
    </w:p>
    <w:p>
      <w:pPr>
        <w:pStyle w:val="ListParagraph"/>
        <w:numPr>
          <w:ilvl w:val="0"/>
          <w:numId w:val="2"/>
        </w:numPr>
        <w:spacing w:after="100" w:line="288"/>
        <w:jc w:val="both"/>
      </w:pPr>
      <w:r>
        <w:rPr>
          <w:rFonts w:ascii="Times New Roman" w:cs="Times New Roman" w:eastAsia="SimSun" w:hAnsi="Times New Roman"/>
          <w:sz w:val="23"/>
          <w:szCs w:val="23"/>
        </w:rPr>
        <w:t xml:space="preserve">"Recognized Bilateral Instrument" means an instrument listed in Article 37, including the Northstar Dividend Compact, the Great Lakes Gateway Interim Trade Accord, and the Niagara Bridge Interim Trade Accord;</w:t>
      </w:r>
    </w:p>
    <w:p>
      <w:pPr>
        <w:pStyle w:val="ListParagraph"/>
        <w:numPr>
          <w:ilvl w:val="0"/>
          <w:numId w:val="2"/>
        </w:numPr>
        <w:spacing w:after="100" w:line="288"/>
        <w:jc w:val="both"/>
      </w:pPr>
      <w:r>
        <w:rPr>
          <w:rFonts w:ascii="Times New Roman" w:cs="Times New Roman" w:eastAsia="SimSun" w:hAnsi="Times New Roman"/>
          <w:sz w:val="23"/>
          <w:szCs w:val="23"/>
        </w:rPr>
        <w:t xml:space="preserve">"Reference Consolidated Text" means NAESTMA v9.7A as designated under Article 3;</w:t>
      </w:r>
    </w:p>
    <w:p>
      <w:pPr>
        <w:pStyle w:val="ListParagraph"/>
        <w:numPr>
          <w:ilvl w:val="0"/>
          <w:numId w:val="2"/>
        </w:numPr>
        <w:spacing w:after="100" w:line="288"/>
        <w:jc w:val="both"/>
      </w:pPr>
      <w:r>
        <w:rPr>
          <w:rFonts w:ascii="Times New Roman" w:cs="Times New Roman" w:eastAsia="SimSun" w:hAnsi="Times New Roman"/>
          <w:sz w:val="23"/>
          <w:szCs w:val="23"/>
        </w:rPr>
        <w:t xml:space="preserve">"Round" means a formal negotiating round convened under Part VI;</w:t>
      </w:r>
    </w:p>
    <w:p>
      <w:pPr>
        <w:pStyle w:val="ListParagraph"/>
        <w:numPr>
          <w:ilvl w:val="0"/>
          <w:numId w:val="2"/>
        </w:numPr>
        <w:spacing w:after="100" w:line="288"/>
        <w:jc w:val="both"/>
      </w:pPr>
      <w:r>
        <w:rPr>
          <w:rFonts w:ascii="Times New Roman" w:cs="Times New Roman" w:eastAsia="SimSun" w:hAnsi="Times New Roman"/>
          <w:sz w:val="23"/>
          <w:szCs w:val="23"/>
        </w:rPr>
        <w:t xml:space="preserve">"Secretariat" means the Joint Trade Verification Secretariat established under Article 28;</w:t>
      </w:r>
    </w:p>
    <w:p>
      <w:pPr>
        <w:pStyle w:val="ListParagraph"/>
        <w:numPr>
          <w:ilvl w:val="0"/>
          <w:numId w:val="2"/>
        </w:numPr>
        <w:spacing w:after="100" w:line="288"/>
        <w:jc w:val="both"/>
      </w:pPr>
      <w:r>
        <w:rPr>
          <w:rFonts w:ascii="Times New Roman" w:cs="Times New Roman" w:eastAsia="SimSun" w:hAnsi="Times New Roman"/>
          <w:sz w:val="23"/>
          <w:szCs w:val="23"/>
        </w:rPr>
        <w:t xml:space="preserve">"Shared Trade Registry" means the shared, timestamped, tamper-evident data registry established under Article 28;</w:t>
      </w:r>
    </w:p>
    <w:p>
      <w:pPr>
        <w:pStyle w:val="ListParagraph"/>
        <w:numPr>
          <w:ilvl w:val="0"/>
          <w:numId w:val="2"/>
        </w:numPr>
        <w:spacing w:after="100" w:line="288"/>
        <w:jc w:val="both"/>
      </w:pPr>
      <w:r>
        <w:rPr>
          <w:rFonts w:ascii="Times New Roman" w:cs="Times New Roman" w:eastAsia="SimSun" w:hAnsi="Times New Roman"/>
          <w:sz w:val="23"/>
          <w:szCs w:val="23"/>
        </w:rPr>
        <w:t xml:space="preserve">"Standstill" means the suspension, freeze, or abeyance of Covered Measures under Part III;</w:t>
      </w:r>
    </w:p>
    <w:p>
      <w:pPr>
        <w:pStyle w:val="ListParagraph"/>
        <w:numPr>
          <w:ilvl w:val="0"/>
          <w:numId w:val="2"/>
        </w:numPr>
        <w:spacing w:after="100" w:line="288"/>
        <w:jc w:val="both"/>
      </w:pPr>
      <w:r>
        <w:rPr>
          <w:rFonts w:ascii="Times New Roman" w:cs="Times New Roman" w:eastAsia="SimSun" w:hAnsi="Times New Roman"/>
          <w:sz w:val="23"/>
          <w:szCs w:val="23"/>
        </w:rPr>
        <w:t xml:space="preserve">"Step-Back" means a graduated, reversible reduction of benefits under Article 33;</w:t>
      </w:r>
    </w:p>
    <w:p>
      <w:pPr>
        <w:pStyle w:val="ListParagraph"/>
        <w:numPr>
          <w:ilvl w:val="0"/>
          <w:numId w:val="2"/>
        </w:numPr>
        <w:spacing w:after="100" w:line="288"/>
        <w:jc w:val="both"/>
      </w:pPr>
      <w:r>
        <w:rPr>
          <w:rFonts w:ascii="Times New Roman" w:cs="Times New Roman" w:eastAsia="SimSun" w:hAnsi="Times New Roman"/>
          <w:sz w:val="23"/>
          <w:szCs w:val="23"/>
        </w:rPr>
        <w:t xml:space="preserve">"Trade Verification Panel" means a panel constituted under Article 30; and</w:t>
      </w:r>
    </w:p>
    <w:p>
      <w:pPr>
        <w:pStyle w:val="ListParagraph"/>
        <w:numPr>
          <w:ilvl w:val="0"/>
          <w:numId w:val="2"/>
        </w:numPr>
        <w:spacing w:after="100" w:line="288"/>
        <w:jc w:val="both"/>
      </w:pPr>
      <w:r>
        <w:rPr>
          <w:rFonts w:ascii="Times New Roman" w:cs="Times New Roman" w:eastAsia="SimSun" w:hAnsi="Times New Roman"/>
          <w:sz w:val="23"/>
          <w:szCs w:val="23"/>
        </w:rPr>
        <w:t xml:space="preserve">"Verification Claim" means a claim of performance filed in the Shared Trade Registry under Article 29, whether concerning a substantive measure or a procedural obligation.</w:t>
      </w:r>
    </w:p>
    <w:p>
      <w:pPr>
        <w:pStyle w:val="Heading1"/>
        <w:spacing w:after="160" w:before="320"/>
      </w:pPr>
      <w:r>
        <w:rPr>
          <w:rFonts w:ascii="Times New Roman" w:cs="Times New Roman" w:eastAsia="SimSun" w:hAnsi="Times New Roman"/>
          <w:b/>
          <w:bCs/>
          <w:color w:val="1F3A52"/>
          <w:sz w:val="28"/>
          <w:szCs w:val="28"/>
        </w:rPr>
        <w:t xml:space="preserve">PART II: RE-ESTABLISHMENT OF NEGOTIATING POSTURE</w:t>
      </w:r>
    </w:p>
    <w:p>
      <w:pPr>
        <w:pStyle w:val="Heading2"/>
        <w:spacing w:after="120" w:before="240"/>
      </w:pPr>
      <w:r>
        <w:rPr>
          <w:rFonts w:ascii="Times New Roman" w:cs="Times New Roman" w:eastAsia="SimSun" w:hAnsi="Times New Roman"/>
          <w:b/>
          <w:bCs/>
          <w:color w:val="33556E"/>
          <w:sz w:val="24"/>
          <w:szCs w:val="24"/>
        </w:rPr>
        <w:t xml:space="preserve">Article 5: Duty to Reconvene</w:t>
      </w:r>
    </w:p>
    <w:p>
      <w:pPr>
        <w:spacing w:after="140" w:line="288"/>
        <w:ind w:firstLine="431"/>
        <w:jc w:val="both"/>
      </w:pPr>
      <w:r>
        <w:rPr>
          <w:rFonts w:ascii="Times New Roman" w:cs="Times New Roman" w:eastAsia="SimSun" w:hAnsi="Times New Roman"/>
          <w:sz w:val="23"/>
          <w:szCs w:val="23"/>
        </w:rPr>
        <w:t xml:space="preserve">The Parties convene a Resumption Conference at ministerial level within fourteen days after the date on which this Instrument enters into force for all three Parties. Pending such entry into force, the Parties for which this Instrument is in force convene a Preparatory Conference within fourteen days after its entry into force for at least two Parties, and the framework extends an observer invitation, with full access to the Shared Trade Registry's public tier, to each non-Party Signatory and to the United States if not then a Party.</w:t>
      </w:r>
    </w:p>
    <w:p>
      <w:pPr>
        <w:spacing w:after="140" w:line="288"/>
        <w:ind w:firstLine="431"/>
        <w:jc w:val="both"/>
      </w:pPr>
      <w:r>
        <w:rPr>
          <w:rFonts w:ascii="Times New Roman" w:cs="Times New Roman" w:eastAsia="SimSun" w:hAnsi="Times New Roman"/>
          <w:sz w:val="23"/>
          <w:szCs w:val="23"/>
        </w:rPr>
        <w:t xml:space="preserve">The Resumption Conference: (a) confirms the appointment of each Party's Chief Negotiator and Deputy Chief Negotiators; (b) adopts the Rules of Procedure set out in Article 7; (c) activates the six Negotiating Lanes under Article 18; (d) confirms the Negotiation Calendar in Annex A; and (e) records in the Locked Consensus Register any additions agreed at the Conference.</w:t>
      </w:r>
    </w:p>
    <w:p>
      <w:pPr>
        <w:spacing w:after="140" w:line="288"/>
        <w:ind w:firstLine="431"/>
        <w:jc w:val="both"/>
      </w:pPr>
      <w:r>
        <w:rPr>
          <w:rFonts w:ascii="Times New Roman" w:cs="Times New Roman" w:eastAsia="SimSun" w:hAnsi="Times New Roman"/>
          <w:sz w:val="23"/>
          <w:szCs w:val="23"/>
        </w:rPr>
        <w:t xml:space="preserve">If a Resumption Conference has not occurred within twenty-one days after the obligation in paragraph 1 arises, the Depositary convenes it automatically, fixes its venue at the next seat in the rotation order (Ottawa, Washington, Mexico City), and notifies all Signatories. A convening by the Depositary satisfies the convening obligation; the Attendance Obligation of each Party then applies independently.</w:t>
      </w:r>
    </w:p>
    <w:p>
      <w:pPr>
        <w:pStyle w:val="Heading2"/>
        <w:spacing w:after="120" w:before="240"/>
      </w:pPr>
      <w:r>
        <w:rPr>
          <w:rFonts w:ascii="Times New Roman" w:cs="Times New Roman" w:eastAsia="SimSun" w:hAnsi="Times New Roman"/>
          <w:b/>
          <w:bCs/>
          <w:color w:val="33556E"/>
          <w:sz w:val="24"/>
          <w:szCs w:val="24"/>
        </w:rPr>
        <w:t xml:space="preserve">Article 6: Negotiating Principals and Delegations</w:t>
      </w:r>
    </w:p>
    <w:p>
      <w:pPr>
        <w:spacing w:after="140" w:line="288"/>
        <w:ind w:firstLine="431"/>
        <w:jc w:val="both"/>
      </w:pPr>
      <w:r>
        <w:rPr>
          <w:rFonts w:ascii="Times New Roman" w:cs="Times New Roman" w:eastAsia="SimSun" w:hAnsi="Times New Roman"/>
          <w:sz w:val="23"/>
          <w:szCs w:val="23"/>
        </w:rPr>
        <w:t xml:space="preserve">Each Party designates, within seven days after this Instrument enters into force for it, a Chief Negotiator holding rank sufficient to commit the Party's positions at official level, and notifies the designation to the Secretariat for publication in the Shared Trade Registry. Each Party maintains, throughout the Negotiation Period, a staffed negotiating delegation for each active Negotiating Lane, with named lane leads and technical experts for rules of origin, customs, tariff administration, agriculture, automotive goods, energy, digital trade, labor, environment, and dispute settlement.</w:t>
      </w:r>
    </w:p>
    <w:p>
      <w:pPr>
        <w:spacing w:after="140" w:line="288"/>
        <w:ind w:firstLine="431"/>
        <w:jc w:val="both"/>
      </w:pPr>
      <w:r>
        <w:rPr>
          <w:rFonts w:ascii="Times New Roman" w:cs="Times New Roman" w:eastAsia="SimSun" w:hAnsi="Times New Roman"/>
          <w:sz w:val="23"/>
          <w:szCs w:val="23"/>
        </w:rPr>
        <w:t xml:space="preserve">A Round is quorate with two Parties present. Positions of an absent Party recorded in the Shared Trade Registry before the Round stand preserved in the negotiating record, and the framework closes no text in a manner that forecloses a recorded position of an absent Party. Text provisionally agreed by two Parties in the absence of the third carries the mark "ad referendum, two-Party" and acquires no status against the absent Party until it confirms adherence in writing.</w:t>
      </w:r>
    </w:p>
    <w:p>
      <w:pPr>
        <w:spacing w:after="140" w:line="288"/>
        <w:ind w:firstLine="431"/>
        <w:jc w:val="both"/>
      </w:pPr>
      <w:r>
        <w:rPr>
          <w:rFonts w:ascii="Times New Roman" w:cs="Times New Roman" w:eastAsia="SimSun" w:hAnsi="Times New Roman"/>
          <w:sz w:val="23"/>
          <w:szCs w:val="23"/>
        </w:rPr>
        <w:t xml:space="preserve">Delegations negotiate in English, French, and Spanish, with interpretation at ministerial sessions and with drafting conducted against the trilingual concordance maintained by the Secretariat for the Reference Consolidated Text.</w:t>
      </w:r>
    </w:p>
    <w:p>
      <w:pPr>
        <w:pStyle w:val="Heading2"/>
        <w:spacing w:after="120" w:before="240"/>
      </w:pPr>
      <w:r>
        <w:rPr>
          <w:rFonts w:ascii="Times New Roman" w:cs="Times New Roman" w:eastAsia="SimSun" w:hAnsi="Times New Roman"/>
          <w:b/>
          <w:bCs/>
          <w:color w:val="33556E"/>
          <w:sz w:val="24"/>
          <w:szCs w:val="24"/>
        </w:rPr>
        <w:t xml:space="preserve">Article 7: Rules of Procedure</w:t>
      </w:r>
    </w:p>
    <w:p>
      <w:pPr>
        <w:spacing w:after="140" w:line="288"/>
        <w:ind w:firstLine="431"/>
        <w:jc w:val="both"/>
      </w:pPr>
      <w:r>
        <w:rPr>
          <w:rFonts w:ascii="Times New Roman" w:cs="Times New Roman" w:eastAsia="SimSun" w:hAnsi="Times New Roman"/>
          <w:sz w:val="23"/>
          <w:szCs w:val="23"/>
        </w:rPr>
        <w:t xml:space="preserve">The Negotiation proceeds on the single-text principle: the Reference Consolidated Text, as successively consolidated by the Secretariat, is the only negotiating document. A Party proposing a change tables a written textual amendment against the Reference Consolidated Text, in the drafting conventions of Article 20, with a statement of the problem the amendment addresses. The record notes oral proposals without text, but they do not enter the consolidated text.</w:t>
      </w:r>
    </w:p>
    <w:p>
      <w:pPr>
        <w:spacing w:after="140" w:line="288"/>
        <w:ind w:firstLine="431"/>
        <w:jc w:val="both"/>
      </w:pPr>
      <w:r>
        <w:rPr>
          <w:rFonts w:ascii="Times New Roman" w:cs="Times New Roman" w:eastAsia="SimSun" w:hAnsi="Times New Roman"/>
          <w:sz w:val="23"/>
          <w:szCs w:val="23"/>
        </w:rPr>
        <w:t xml:space="preserve">The Secretariat circulates the agenda for each Round no later than five days before the Round and allocates time to each active Negotiating Lane in proportion to the open-item count maintained in the Shared Trade Registry. A Party adds an agenda item up to forty-eight hours before the Round; later additions proceed only with the consent of all attending Parties.</w:t>
      </w:r>
    </w:p>
    <w:p>
      <w:pPr>
        <w:spacing w:after="140" w:line="288"/>
        <w:ind w:firstLine="431"/>
        <w:jc w:val="both"/>
      </w:pPr>
      <w:r>
        <w:rPr>
          <w:rFonts w:ascii="Times New Roman" w:cs="Times New Roman" w:eastAsia="SimSun" w:hAnsi="Times New Roman"/>
          <w:sz w:val="23"/>
          <w:szCs w:val="23"/>
        </w:rPr>
        <w:t xml:space="preserve">The Reaffirmation Council and any committee under this Instrument reach procedural decisions by consensus of the Parties present, subject to Article 36(4) (consensus-minus-one for verification findings concerning one Party's conduct). Only consensus of all Parties closes substantive text.</w:t>
      </w:r>
    </w:p>
    <w:p>
      <w:pPr>
        <w:spacing w:after="140" w:line="288"/>
        <w:ind w:firstLine="431"/>
        <w:jc w:val="both"/>
      </w:pPr>
      <w:r>
        <w:rPr>
          <w:rFonts w:ascii="Times New Roman" w:cs="Times New Roman" w:eastAsia="SimSun" w:hAnsi="Times New Roman"/>
          <w:sz w:val="23"/>
          <w:szCs w:val="23"/>
        </w:rPr>
        <w:t xml:space="preserve">A silence procedure applies to procedural matters: a proposal circulated by the Secretariat for procedural decision stands adopted if no Party objects in writing within ten business days. The framework excludes the silence procedure from substantive text, from changes to Annexes A, B, or C, and from any decision affecting a Party's Covered Measures.</w:t>
      </w:r>
    </w:p>
    <w:p>
      <w:pPr>
        <w:pStyle w:val="Heading2"/>
        <w:spacing w:after="120" w:before="240"/>
      </w:pPr>
      <w:r>
        <w:rPr>
          <w:rFonts w:ascii="Times New Roman" w:cs="Times New Roman" w:eastAsia="SimSun" w:hAnsi="Times New Roman"/>
          <w:b/>
          <w:bCs/>
          <w:color w:val="33556E"/>
          <w:sz w:val="24"/>
          <w:szCs w:val="24"/>
        </w:rPr>
        <w:t xml:space="preserve">Article 8: Procedural Obligations as Verified Commitments</w:t>
      </w:r>
    </w:p>
    <w:p>
      <w:pPr>
        <w:spacing w:after="140" w:line="288"/>
        <w:ind w:firstLine="431"/>
        <w:jc w:val="both"/>
      </w:pPr>
      <w:r>
        <w:rPr>
          <w:rFonts w:ascii="Times New Roman" w:cs="Times New Roman" w:eastAsia="SimSun" w:hAnsi="Times New Roman"/>
          <w:sz w:val="23"/>
          <w:szCs w:val="23"/>
        </w:rPr>
        <w:t xml:space="preserve">The following obligations of each Party are Procedural Obligations within the meaning of Part VII and are subject to verification, challenge, tiered classification, step-back, and earn-back in the same manner as substantive performance: (a) attendance of a headed delegation at each scheduled Round and Gate meeting; (b) tabling of written responses to the other Parties' textual proposals within twenty business days of their circulation; (c) tabling of each Party's own textual proposals for each active Lane within the lane deadlines in Annex A; (d) maintenance of the Party's Secretariat complement and Registry liaison at the staffing floor set in Article 28; (e) timely payment of the Party's share of the common budget under Article 46; and (f) issuance and maintenance in force of the domestic instruments implementing Part III within the periods there specified.</w:t>
      </w:r>
    </w:p>
    <w:p>
      <w:pPr>
        <w:spacing w:after="140" w:line="288"/>
        <w:ind w:firstLine="431"/>
        <w:jc w:val="both"/>
      </w:pPr>
      <w:r>
        <w:rPr>
          <w:rFonts w:ascii="Times New Roman" w:cs="Times New Roman" w:eastAsia="SimSun" w:hAnsi="Times New Roman"/>
          <w:sz w:val="23"/>
          <w:szCs w:val="23"/>
        </w:rPr>
        <w:t xml:space="preserve">The design premise of this Article is that return to the table is itself a verifiable deliverable. A Party that attends, tables, staffs, and funds on time is in full procedural compliance regardless of the positions it advances; a Party that absents itself incurs measured, announced, and reversible consequences under Part VII, applied to the de-escalation benefits the Standstill provides it. No provision of this Instrument compels any Party to agree to any substantive text.</w:t>
      </w:r>
    </w:p>
    <w:p>
      <w:pPr>
        <w:spacing w:after="140" w:line="288"/>
        <w:ind w:firstLine="431"/>
        <w:jc w:val="both"/>
      </w:pPr>
      <w:r>
        <w:rPr>
          <w:rFonts w:ascii="Times New Roman" w:cs="Times New Roman" w:eastAsia="SimSun" w:hAnsi="Times New Roman"/>
          <w:sz w:val="23"/>
          <w:szCs w:val="23"/>
        </w:rPr>
        <w:t xml:space="preserve">The Secretariat publishes, at the close of each Round and each Gate, a Procedural Compliance Record for each Party showing attendance, tabling timeliness, staffing, and funding status, in Green, Amber, Orange, or Red status in accordance with Annex E. The Procedural Compliance Record is the factual basis for the maintenance or graduated reactivation of Standstill treatment under Article 14.</w:t>
      </w:r>
    </w:p>
    <w:p>
      <w:pPr>
        <w:pStyle w:val="Heading1"/>
        <w:spacing w:after="160" w:before="320"/>
      </w:pPr>
      <w:r>
        <w:rPr>
          <w:rFonts w:ascii="Times New Roman" w:cs="Times New Roman" w:eastAsia="SimSun" w:hAnsi="Times New Roman"/>
          <w:b/>
          <w:bCs/>
          <w:color w:val="1F3A52"/>
          <w:sz w:val="28"/>
          <w:szCs w:val="28"/>
        </w:rPr>
        <w:t xml:space="preserve">PART III: IMMEDIATE DE-ESCALATION AND STANDSTILL</w:t>
      </w:r>
    </w:p>
    <w:p>
      <w:pPr>
        <w:pStyle w:val="Heading2"/>
        <w:spacing w:after="120" w:before="240"/>
      </w:pPr>
      <w:r>
        <w:rPr>
          <w:rFonts w:ascii="Times New Roman" w:cs="Times New Roman" w:eastAsia="SimSun" w:hAnsi="Times New Roman"/>
          <w:b/>
          <w:bCs/>
          <w:color w:val="33556E"/>
          <w:sz w:val="24"/>
          <w:szCs w:val="24"/>
        </w:rPr>
        <w:t xml:space="preserve">Article 9: Covered Measures and Baseline Inventory</w:t>
      </w:r>
    </w:p>
    <w:p>
      <w:pPr>
        <w:spacing w:after="140" w:line="288"/>
        <w:ind w:firstLine="431"/>
        <w:jc w:val="both"/>
      </w:pPr>
      <w:r>
        <w:rPr>
          <w:rFonts w:ascii="Times New Roman" w:cs="Times New Roman" w:eastAsia="SimSun" w:hAnsi="Times New Roman"/>
          <w:sz w:val="23"/>
          <w:szCs w:val="23"/>
        </w:rPr>
        <w:t xml:space="preserve">Within five days after this Instrument enters into force for a Party, that Party deposits with the Secretariat a complete schedule of its Covered Measures, at the tariff-item level, including: the legal instrument; the domestic statutory authority; the covered products by tariff classification; the applicable rate or charge; the effective date; any exclusions, exemptions, in-transit rules, and remission or drawback mechanisms; and the customs coding instructions used to administer the measure. The deposited schedules, as verified by the Secretariat, constitute Annex B.</w:t>
      </w:r>
    </w:p>
    <w:p>
      <w:pPr>
        <w:spacing w:after="140" w:line="288"/>
        <w:ind w:firstLine="431"/>
        <w:jc w:val="both"/>
      </w:pPr>
      <w:r>
        <w:rPr>
          <w:rFonts w:ascii="Times New Roman" w:cs="Times New Roman" w:eastAsia="SimSun" w:hAnsi="Times New Roman"/>
          <w:sz w:val="23"/>
          <w:szCs w:val="23"/>
        </w:rPr>
        <w:t xml:space="preserve">The baseline inventory includes, without limitation: (a) the additional duties proclaimed by the United States under Section 338 of the Trade Act of 1930 with effect from August 22, 2026, together with any extension, modification, or temporary suspension of those duties; (b) the duties applied by the United States under Section 232 of the Trade Expansion Act of 1962 on steel, aluminum, and automotive goods of the other Parties; (c) the counter-tariffs published by Canada on August 25, 2026 and scheduled to take effect on September 8, 2026 at rates of 15, 25, and 50 per cent on approximately $27.6 billion of United States goods, together with existing Canadian countermeasures on United States automobiles and the earlier surtax orders; and (d) any corresponding measures of the United Mexican States adopted in connection with the matters under negotiation.</w:t>
      </w:r>
    </w:p>
    <w:p>
      <w:pPr>
        <w:spacing w:after="140" w:line="288"/>
        <w:ind w:firstLine="431"/>
        <w:jc w:val="both"/>
      </w:pPr>
      <w:r>
        <w:rPr>
          <w:rFonts w:ascii="Times New Roman" w:cs="Times New Roman" w:eastAsia="SimSun" w:hAnsi="Times New Roman"/>
          <w:sz w:val="23"/>
          <w:szCs w:val="23"/>
        </w:rPr>
        <w:t xml:space="preserve">Deposit of a Covered Measure in Annex B is without prejudice to the depositing Party's legal position regarding the measure's consistency with the CUSMA, the WTO Agreement, or any other obligation. The Annex B record is administrative, not admissions-based.</w:t>
      </w:r>
    </w:p>
    <w:p>
      <w:pPr>
        <w:pStyle w:val="Heading2"/>
        <w:spacing w:after="120" w:before="240"/>
      </w:pPr>
      <w:r>
        <w:rPr>
          <w:rFonts w:ascii="Times New Roman" w:cs="Times New Roman" w:eastAsia="SimSun" w:hAnsi="Times New Roman"/>
          <w:b/>
          <w:bCs/>
          <w:color w:val="33556E"/>
          <w:sz w:val="24"/>
          <w:szCs w:val="24"/>
        </w:rPr>
        <w:t xml:space="preserve">Article 10: United States Standstill Actions</w:t>
      </w:r>
    </w:p>
    <w:p>
      <w:pPr>
        <w:spacing w:after="140" w:line="288"/>
        <w:ind w:firstLine="431"/>
        <w:jc w:val="both"/>
      </w:pPr>
      <w:r>
        <w:rPr>
          <w:rFonts w:ascii="Times New Roman" w:cs="Times New Roman" w:eastAsia="SimSun" w:hAnsi="Times New Roman"/>
          <w:sz w:val="23"/>
          <w:szCs w:val="23"/>
        </w:rPr>
        <w:t xml:space="preserve">Upon this Instrument entering into force for the United States, and in any event not later than the opening of the Resumption Conference, the United States: (a) suspends collection of the additional duties referred to in Article 9(2)(a), through presidential proclamation or other competent instrument, with immediate instructions to U.S. Customs and Border Protection and publication of implementation guidance; (b) preserves ordinary CUSMA preference processing for originating goods outside the suspended measures; (c) establishes a refund procedure, with interest at the applicable statutory rate, for duties collected on entries made after the suspension effective time and before customs systems reflect it; and (d) freezes the expansion of Covered Measures to additional product lines of the other Parties for the duration of the Negotiation Period, without prejudice to measures of general, non-Party-specific application and to ordinary-course trade-remedy proceedings under Article 13(3).</w:t>
      </w:r>
    </w:p>
    <w:p>
      <w:pPr>
        <w:spacing w:after="140" w:line="288"/>
        <w:ind w:firstLine="431"/>
        <w:jc w:val="both"/>
      </w:pPr>
      <w:r>
        <w:rPr>
          <w:rFonts w:ascii="Times New Roman" w:cs="Times New Roman" w:eastAsia="SimSun" w:hAnsi="Times New Roman"/>
          <w:sz w:val="23"/>
          <w:szCs w:val="23"/>
        </w:rPr>
        <w:t xml:space="preserve">The United States further tables, not later than Gate One, an interim treatment schedule for steel, aluminum, and automotive goods of the other Parties, consistent with the negotiating bands recorded in the Recognized Bilateral Instruments, including the interim automotive content-credit formula under which United States content receives full deduction credit and other CUSMA-origin content receives a transitional deduction credit, as a basis for Lane A and Lane D negotiation. Tabling of the schedule is a Procedural Obligation; adoption of any particular rate is not.</w:t>
      </w:r>
    </w:p>
    <w:p>
      <w:pPr>
        <w:pStyle w:val="Heading2"/>
        <w:spacing w:after="120" w:before="240"/>
      </w:pPr>
      <w:r>
        <w:rPr>
          <w:rFonts w:ascii="Times New Roman" w:cs="Times New Roman" w:eastAsia="SimSun" w:hAnsi="Times New Roman"/>
          <w:b/>
          <w:bCs/>
          <w:color w:val="33556E"/>
          <w:sz w:val="24"/>
          <w:szCs w:val="24"/>
        </w:rPr>
        <w:t xml:space="preserve">Article 11: Canadian Standstill Actions</w:t>
      </w:r>
    </w:p>
    <w:p>
      <w:pPr>
        <w:spacing w:after="140" w:line="288"/>
        <w:ind w:firstLine="431"/>
        <w:jc w:val="both"/>
      </w:pPr>
      <w:r>
        <w:rPr>
          <w:rFonts w:ascii="Times New Roman" w:cs="Times New Roman" w:eastAsia="SimSun" w:hAnsi="Times New Roman"/>
          <w:sz w:val="23"/>
          <w:szCs w:val="23"/>
        </w:rPr>
        <w:t xml:space="preserve">Upon this Instrument entering into force for Canada and the United States, and in any event not later than the opening of the Resumption Conference, Canada: (a) maintains the counter-tariff order of August 25, 2026 in published but non-collecting status, the order and its tariff-item schedule remaining enacted while the applicable surtax rate sits at zero for the duration of the Standstill, so that restoration proceeds without any new legislative or order-in-council action; (b) places the countermeasures on United States automobiles in administrative abeyance on the schedule set out in Annex B, synchronized with the United States interim automotive treatment tabled under Article 10(2); (c) maintains the existing remission framework and extends its relief to any Covered Measure during the Standstill; and (d) establishes a refund procedure for any counter-tariff amounts collected after the suspension effective time, including guidance to importers to advise customs brokers of applicable relief at time of entry.</w:t>
      </w:r>
    </w:p>
    <w:p>
      <w:pPr>
        <w:spacing w:after="140" w:line="288"/>
        <w:ind w:firstLine="431"/>
        <w:jc w:val="both"/>
      </w:pPr>
      <w:r>
        <w:rPr>
          <w:rFonts w:ascii="Times New Roman" w:cs="Times New Roman" w:eastAsia="SimSun" w:hAnsi="Times New Roman"/>
          <w:sz w:val="23"/>
          <w:szCs w:val="23"/>
        </w:rPr>
        <w:t xml:space="preserve">The in-transit rule of the underlying order governs goods of United States origin in transit to Canada on any date on which a suspension under this Article takes effect or ceases, and the Secretariat records the applicable timestamps in the Shared Trade Registry so that in-transit eligibility stands verifiable rather than disputed.</w:t>
      </w:r>
    </w:p>
    <w:p>
      <w:pPr>
        <w:pStyle w:val="Heading2"/>
        <w:spacing w:after="120" w:before="240"/>
      </w:pPr>
      <w:r>
        <w:rPr>
          <w:rFonts w:ascii="Times New Roman" w:cs="Times New Roman" w:eastAsia="SimSun" w:hAnsi="Times New Roman"/>
          <w:b/>
          <w:bCs/>
          <w:color w:val="33556E"/>
          <w:sz w:val="24"/>
          <w:szCs w:val="24"/>
        </w:rPr>
        <w:t xml:space="preserve">Article 12: Mexican Standstill Actions and Symmetry</w:t>
      </w:r>
    </w:p>
    <w:p>
      <w:pPr>
        <w:spacing w:after="140" w:line="288"/>
        <w:ind w:firstLine="431"/>
        <w:jc w:val="both"/>
      </w:pPr>
      <w:r>
        <w:rPr>
          <w:rFonts w:ascii="Times New Roman" w:cs="Times New Roman" w:eastAsia="SimSun" w:hAnsi="Times New Roman"/>
          <w:sz w:val="23"/>
          <w:szCs w:val="23"/>
        </w:rPr>
        <w:t xml:space="preserve">The United Mexican States: (a) maintains its posture of non-retaliation in connection with the matters under negotiation, channelling any grievance concerning Covered Measures of another Party into the Negotiating Lanes and the consultation procedures of this Instrument; (b) deposits its schedule of relevant measures under Article 9; and (c) tables, not later than Gate One, its positions on the matters within Lanes A through F, including its positions on rules of origin, economic security, agriculture, labor, and the treatment of non-Party content.</w:t>
      </w:r>
    </w:p>
    <w:p>
      <w:pPr>
        <w:spacing w:after="140" w:line="288"/>
        <w:ind w:firstLine="431"/>
        <w:jc w:val="both"/>
      </w:pPr>
      <w:r>
        <w:rPr>
          <w:rFonts w:ascii="Times New Roman" w:cs="Times New Roman" w:eastAsia="SimSun" w:hAnsi="Times New Roman"/>
          <w:sz w:val="23"/>
          <w:szCs w:val="23"/>
        </w:rPr>
        <w:t xml:space="preserve">The Parties recognize that the bilateral negotiating rounds between the United States and the United Mexican States held in May, June, and July 2026, and any subsequent round, constitute part of the factual and textual record of the Negotiation. The Secretariat obtains the public record of those rounds and incorporates agreed elements into the consolidated text as "ad referendum, two-Party" text pending trilateral confirmation.</w:t>
      </w:r>
    </w:p>
    <w:p>
      <w:pPr>
        <w:pStyle w:val="Heading2"/>
        <w:spacing w:after="120" w:before="240"/>
      </w:pPr>
      <w:r>
        <w:rPr>
          <w:rFonts w:ascii="Times New Roman" w:cs="Times New Roman" w:eastAsia="SimSun" w:hAnsi="Times New Roman"/>
          <w:b/>
          <w:bCs/>
          <w:color w:val="33556E"/>
          <w:sz w:val="24"/>
          <w:szCs w:val="24"/>
        </w:rPr>
        <w:t xml:space="preserve">Article 13: No-New-Measures Standstill</w:t>
      </w:r>
    </w:p>
    <w:p>
      <w:pPr>
        <w:spacing w:after="140" w:line="288"/>
        <w:ind w:firstLine="431"/>
        <w:jc w:val="both"/>
      </w:pPr>
      <w:r>
        <w:rPr>
          <w:rFonts w:ascii="Times New Roman" w:cs="Times New Roman" w:eastAsia="SimSun" w:hAnsi="Times New Roman"/>
          <w:sz w:val="23"/>
          <w:szCs w:val="23"/>
        </w:rPr>
        <w:t xml:space="preserve">During the Negotiation Period, the Standstill architecture excludes any new Party-specific extraordinary border measure against the goods of a Party, whether under emergency, security, balance-of-payments, or other exceptional domestic authority, except as this Article provides.</w:t>
      </w:r>
    </w:p>
    <w:p>
      <w:pPr>
        <w:spacing w:after="140" w:line="288"/>
        <w:ind w:firstLine="431"/>
        <w:jc w:val="both"/>
      </w:pPr>
      <w:r>
        <w:rPr>
          <w:rFonts w:ascii="Times New Roman" w:cs="Times New Roman" w:eastAsia="SimSun" w:hAnsi="Times New Roman"/>
          <w:sz w:val="23"/>
          <w:szCs w:val="23"/>
        </w:rPr>
        <w:t xml:space="preserve">A Party that considers that exceptional circumstances warrant a new measure: (a) notifies the other Parties and the Secretariat in writing no less than seventy-two hours before the measure takes effect, identifying the legal authority, the products, the rate, the expected duration, and the exceptional circumstances relied upon; (b) receives the other Parties in consultation within that seventy-two-hour window; and (c) records the measure in the Shared Trade Registry with a proposed tier classification. Absence of notification converts the measure, for the purposes of Part VII, into a rebuttably presumed Tier 2 event in the affected module.</w:t>
      </w:r>
    </w:p>
    <w:p>
      <w:pPr>
        <w:spacing w:after="140" w:line="288"/>
        <w:ind w:firstLine="431"/>
        <w:jc w:val="both"/>
      </w:pPr>
      <w:r>
        <w:rPr>
          <w:rFonts w:ascii="Times New Roman" w:cs="Times New Roman" w:eastAsia="SimSun" w:hAnsi="Times New Roman"/>
          <w:sz w:val="23"/>
          <w:szCs w:val="23"/>
        </w:rPr>
        <w:t xml:space="preserve">This Article does not apply to: (a) ordinary-course antidumping and countervailing duty proceedings conducted under domestic law consistent with the WTO Agreement, provided they are not Party-targeted in design; (b) sanitary, phytosanitary, or safety measures applied through neutral rules; (c) measures of general application not directed at the goods of a Party; or (d) actions required by judicial order, provided the Party notifies the Secretariat within twenty-four hours of the order.</w:t>
      </w:r>
    </w:p>
    <w:p>
      <w:pPr>
        <w:pStyle w:val="Heading2"/>
        <w:spacing w:after="120" w:before="240"/>
      </w:pPr>
      <w:r>
        <w:rPr>
          <w:rFonts w:ascii="Times New Roman" w:cs="Times New Roman" w:eastAsia="SimSun" w:hAnsi="Times New Roman"/>
          <w:b/>
          <w:bCs/>
          <w:color w:val="33556E"/>
          <w:sz w:val="24"/>
          <w:szCs w:val="24"/>
        </w:rPr>
        <w:t xml:space="preserve">Article 14: Attendance-Conditioned Maintenance and Graduated Reactivation</w:t>
      </w:r>
    </w:p>
    <w:p>
      <w:pPr>
        <w:spacing w:after="140" w:line="288"/>
        <w:ind w:firstLine="431"/>
        <w:jc w:val="both"/>
      </w:pPr>
      <w:r>
        <w:rPr>
          <w:rFonts w:ascii="Times New Roman" w:cs="Times New Roman" w:eastAsia="SimSun" w:hAnsi="Times New Roman"/>
          <w:sz w:val="23"/>
          <w:szCs w:val="23"/>
        </w:rPr>
        <w:t xml:space="preserve">The Standstill under this Part continues automatically for each Party for so long as that Party's Procedural Compliance Record remains Green or Amber. The design premise is symmetrical: suspension of tariffs purchases presence at the table, not concession at the table. A Party complies by attending, tabling, staffing, and funding; nothing obliges it to agree.</w:t>
      </w:r>
    </w:p>
    <w:p>
      <w:pPr>
        <w:spacing w:after="140" w:line="288"/>
        <w:ind w:firstLine="431"/>
        <w:jc w:val="both"/>
      </w:pPr>
      <w:r>
        <w:rPr>
          <w:rFonts w:ascii="Times New Roman" w:cs="Times New Roman" w:eastAsia="SimSun" w:hAnsi="Times New Roman"/>
          <w:sz w:val="23"/>
          <w:szCs w:val="23"/>
        </w:rPr>
        <w:t xml:space="preserve">Where a Party's Procedural Compliance Record reaches Orange status, the following graduated reactivation ladder applies to that Party's benefit from the Standstill, and to no other module of this Instrument: (a) on the fourteenth day of continuous unexcused Procedural Default, the Secretariat issues a formal notice of default to the defaulting Party and the Reaffirmation Council; (b) on the twenty-first day, the framework reduces Standstill treatment by twenty-five per cent, measured by trade coverage of the suspended schedule, applied to the product lines most recently added to the schedule; (c) on the thirty-fifth day, the reduction rises to fifty per cent; and (d) on the fiftieth day, the suspended schedule resumes in full against the defaulting Party's goods, and the matter moves to the Reaffirmation Council for an emergency session within seventy-two hours.</w:t>
      </w:r>
    </w:p>
    <w:p>
      <w:pPr>
        <w:spacing w:after="140" w:line="288"/>
        <w:ind w:firstLine="431"/>
        <w:jc w:val="both"/>
      </w:pPr>
      <w:r>
        <w:rPr>
          <w:rFonts w:ascii="Times New Roman" w:cs="Times New Roman" w:eastAsia="SimSun" w:hAnsi="Times New Roman"/>
          <w:sz w:val="23"/>
          <w:szCs w:val="23"/>
        </w:rPr>
        <w:t xml:space="preserve">Reactivation under this Article never constitutes a snapback of the whole framework: the framework confines it to the de-escalation slice affected, the Secretariat calculates it from the Annex B inventory, and it excludes at all times the Protected Flows, food, medicines and medical goods, energy and electricity, critical minerals, potash and agricultural inputs, emergency and wildfire equipment, and goods in transit on the date a step takes effect.</w:t>
      </w:r>
    </w:p>
    <w:p>
      <w:pPr>
        <w:spacing w:after="140" w:line="288"/>
        <w:ind w:firstLine="431"/>
        <w:jc w:val="both"/>
      </w:pPr>
      <w:r>
        <w:rPr>
          <w:rFonts w:ascii="Times New Roman" w:cs="Times New Roman" w:eastAsia="SimSun" w:hAnsi="Times New Roman"/>
          <w:sz w:val="23"/>
          <w:szCs w:val="23"/>
        </w:rPr>
        <w:t xml:space="preserve">A Party that cures its Procedural Default earns back Standstill treatment automatically: upon verified resumption of attendance, tabling, staffing, and funding, and fourteen consecutive days of clean procedural compliance, the reactivated slice is re-suspended at the next daily customs cycle. Earn-back under this Article does not require admission of fault, payment of any penalty, or any substantive concession. Where a Party disputes the Procedural Default, the Trade Verification Panel procedure of Article 30 applies, and the framework holds the reactivation step at issue for seventy-two hours pending the Panel's determination.</w:t>
      </w:r>
    </w:p>
    <w:p>
      <w:pPr>
        <w:spacing w:after="140" w:line="288"/>
        <w:ind w:firstLine="431"/>
        <w:jc w:val="both"/>
      </w:pPr>
      <w:r>
        <w:rPr>
          <w:rFonts w:ascii="Times New Roman" w:cs="Times New Roman" w:eastAsia="SimSun" w:hAnsi="Times New Roman"/>
          <w:sz w:val="23"/>
          <w:szCs w:val="23"/>
        </w:rPr>
        <w:t xml:space="preserve">The Parties acknowledge that Canada published the counter-tariff order of August 25, 2026, to take effect on September 8, 2026, and that the interval between publication and effectiveness constitutes the immediate window within which signature of this Instrument lawfully prevents that order from ever collecting a dollar of duty. The Parties therefore transmit this Instrument to their respective executives with a recommendation for signature within that window.</w:t>
      </w:r>
    </w:p>
    <w:p>
      <w:pPr>
        <w:pStyle w:val="Heading1"/>
        <w:spacing w:after="160" w:before="320"/>
      </w:pPr>
      <w:r>
        <w:rPr>
          <w:rFonts w:ascii="Times New Roman" w:cs="Times New Roman" w:eastAsia="SimSun" w:hAnsi="Times New Roman"/>
          <w:b/>
          <w:bCs/>
          <w:color w:val="1F3A52"/>
          <w:sz w:val="28"/>
          <w:szCs w:val="28"/>
        </w:rPr>
        <w:t xml:space="preserve">PART IV: LOCKED CONSENSUS REGISTER</w:t>
      </w:r>
    </w:p>
    <w:p>
      <w:pPr>
        <w:pStyle w:val="Heading2"/>
        <w:spacing w:after="120" w:before="240"/>
      </w:pPr>
      <w:r>
        <w:rPr>
          <w:rFonts w:ascii="Times New Roman" w:cs="Times New Roman" w:eastAsia="SimSun" w:hAnsi="Times New Roman"/>
          <w:b/>
          <w:bCs/>
          <w:color w:val="33556E"/>
          <w:sz w:val="24"/>
          <w:szCs w:val="24"/>
        </w:rPr>
        <w:t xml:space="preserve">Article 15: Establishment and Content of the Register</w:t>
      </w:r>
    </w:p>
    <w:p>
      <w:pPr>
        <w:spacing w:after="140" w:line="288"/>
        <w:ind w:firstLine="431"/>
        <w:jc w:val="both"/>
      </w:pPr>
      <w:r>
        <w:rPr>
          <w:rFonts w:ascii="Times New Roman" w:cs="Times New Roman" w:eastAsia="SimSun" w:hAnsi="Times New Roman"/>
          <w:sz w:val="23"/>
          <w:szCs w:val="23"/>
        </w:rPr>
        <w:t xml:space="preserve">The Parties establish a Locked Consensus Register recording the matters on which the Parties' positions already coincide, as verified by the Secretariat from the official record, including the July 1, 2026 joint review meeting, the statements of the Free Trade Commission members, the bilateral round readouts, and the instruments and correspondence exchanged among the Parties. The initial Register is set out in Annex C and includes the items summarized in paragraph 2.</w:t>
      </w:r>
    </w:p>
    <w:p>
      <w:pPr>
        <w:spacing w:after="140" w:line="288"/>
        <w:ind w:firstLine="431"/>
        <w:jc w:val="both"/>
      </w:pPr>
      <w:r>
        <w:rPr>
          <w:rFonts w:ascii="Times New Roman" w:cs="Times New Roman" w:eastAsia="SimSun" w:hAnsi="Times New Roman"/>
          <w:sz w:val="23"/>
          <w:szCs w:val="23"/>
        </w:rPr>
        <w:t xml:space="preserve">The Locked Consensus Register initially records that: (a) the CUSMA remains fully in force, and no Party seeks its lapse, termination, or fragmentation into bilateral arrangements; (b) the extension mechanism of Article 34.7.4 of the CUSMA remains available at any time, by written confirmation of the three heads of government, and the Parties share the objective of a confirmed extension, whether of the CUSMA as modernized by NAESTMA or of the CUSMA in its present form pending modernization; (c) the annual joint reviews under Article 34.7.4 proceed as scheduled, and this Instrument's Negotiation is the principal input to the 2027 review; (d) North American integration is a strategic asset of all three Parties, and the review consolidates rather than fragments continental supply chains; (e) extraordinary border measures between the Parties are remedies of last resort, targeted, quantified, time-limited, reversible, and self-correcting upon verified compliance; (f) the free-riding concern, non-Party goods obtaining the benefit of preferences intended for North American production, is a legitimate shared concern, and the Parties address it through origin verification and anti-circumvention cooperation rather than through restrictions on each other's genuine production; (g) verified Canadian, Mexican, and United States production constitutes trusted North American supply, not a security vulnerability; (h) labor rights, the prohibition of goods made with forced labor, environmental protection, and the rights of Indigenous Peoples are permanent features of the continental framework; (i) dispute settlement functions, with standing rosters, anti-deadlock mechanics, and an end to procedural limbo; (j) small and medium-sized enterprises require simplified lanes, templates, and service clocks rather than full-scale compliance burdens; (k) no Party seeks the abolition of another Party's fundamental domestic institutions, including Canadian supply management, Mexican energy sovereignty, and United States trade-remedy authority, and the Negotiation proceeds within, not against, those institutions; and (l) the Cothrom Method, as adapted, constitutes the agreed verification architecture for this Instrument and the reference architecture for the verification chapters of the Reference Consolidated Text.</w:t>
      </w:r>
    </w:p>
    <w:p>
      <w:pPr>
        <w:spacing w:after="140" w:line="288"/>
        <w:ind w:firstLine="431"/>
        <w:jc w:val="both"/>
      </w:pPr>
      <w:r>
        <w:rPr>
          <w:rFonts w:ascii="Times New Roman" w:cs="Times New Roman" w:eastAsia="SimSun" w:hAnsi="Times New Roman"/>
          <w:sz w:val="23"/>
          <w:szCs w:val="23"/>
        </w:rPr>
        <w:t xml:space="preserve">Each Register entry states the matter, the instrument or statement from which the Secretariat verifies the consensus, and the date of verification. The Secretariat maintains the Register in the Shared Trade Registry, visible to the public tier.</w:t>
      </w:r>
    </w:p>
    <w:p>
      <w:pPr>
        <w:pStyle w:val="Heading2"/>
        <w:spacing w:after="120" w:before="240"/>
      </w:pPr>
      <w:r>
        <w:rPr>
          <w:rFonts w:ascii="Times New Roman" w:cs="Times New Roman" w:eastAsia="SimSun" w:hAnsi="Times New Roman"/>
          <w:b/>
          <w:bCs/>
          <w:color w:val="33556E"/>
          <w:sz w:val="24"/>
          <w:szCs w:val="24"/>
        </w:rPr>
        <w:t xml:space="preserve">Article 16: Effect of Locked Items</w:t>
      </w:r>
    </w:p>
    <w:p>
      <w:pPr>
        <w:spacing w:after="140" w:line="288"/>
        <w:ind w:firstLine="431"/>
        <w:jc w:val="both"/>
      </w:pPr>
      <w:r>
        <w:rPr>
          <w:rFonts w:ascii="Times New Roman" w:cs="Times New Roman" w:eastAsia="SimSun" w:hAnsi="Times New Roman"/>
          <w:sz w:val="23"/>
          <w:szCs w:val="23"/>
        </w:rPr>
        <w:t xml:space="preserve">A locked item is not reopenable in the Negotiation except by consensus of all Parties. The Register operates as a ratchet: it prevents the erosion of recorded common ground by later disagreement elsewhere. A Party that considers the factual premise of a locked item to have changed tables a written motion identifying the changed premise; the item remains locked unless all Parties consent to its revision.</w:t>
      </w:r>
    </w:p>
    <w:p>
      <w:pPr>
        <w:spacing w:after="140" w:line="288"/>
        <w:ind w:firstLine="431"/>
        <w:jc w:val="both"/>
      </w:pPr>
      <w:r>
        <w:rPr>
          <w:rFonts w:ascii="Times New Roman" w:cs="Times New Roman" w:eastAsia="SimSun" w:hAnsi="Times New Roman"/>
          <w:sz w:val="23"/>
          <w:szCs w:val="23"/>
        </w:rPr>
        <w:t xml:space="preserve">Locked items do not bind any Party beyond their terms and do not pre-commit the drafting of any NAESTMA provision. They define the floor of the Negotiation, not its ceiling. A Party's signature of this Instrument constitutes its confirmation of the Register as of the date of signature; a Party acceding later confirms the Register as consolidated at the date of accession.</w:t>
      </w:r>
    </w:p>
    <w:p>
      <w:pPr>
        <w:pStyle w:val="Heading2"/>
        <w:spacing w:after="120" w:before="240"/>
      </w:pPr>
      <w:r>
        <w:rPr>
          <w:rFonts w:ascii="Times New Roman" w:cs="Times New Roman" w:eastAsia="SimSun" w:hAnsi="Times New Roman"/>
          <w:b/>
          <w:bCs/>
          <w:color w:val="33556E"/>
          <w:sz w:val="24"/>
          <w:szCs w:val="24"/>
        </w:rPr>
        <w:t xml:space="preserve">Article 17: Amendment and Custody of the Register</w:t>
      </w:r>
    </w:p>
    <w:p>
      <w:pPr>
        <w:spacing w:after="140" w:line="288"/>
        <w:ind w:firstLine="431"/>
        <w:jc w:val="both"/>
      </w:pPr>
      <w:r>
        <w:rPr>
          <w:rFonts w:ascii="Times New Roman" w:cs="Times New Roman" w:eastAsia="SimSun" w:hAnsi="Times New Roman"/>
          <w:sz w:val="23"/>
          <w:szCs w:val="23"/>
        </w:rPr>
        <w:t xml:space="preserve">The Reaffirmation Council adds items to the Register by consensus at any Gate meeting. The Depositary is custodian of the Register, maintains its version history, and transmits a certified copy to the Free Trade Commission at each annual joint review. Only consensus removes a locked item; the version history persists permanently.</w:t>
      </w:r>
    </w:p>
    <w:p>
      <w:pPr>
        <w:pStyle w:val="Heading1"/>
        <w:spacing w:after="160" w:before="320"/>
      </w:pPr>
      <w:r>
        <w:rPr>
          <w:rFonts w:ascii="Times New Roman" w:cs="Times New Roman" w:eastAsia="SimSun" w:hAnsi="Times New Roman"/>
          <w:b/>
          <w:bCs/>
          <w:color w:val="1F3A52"/>
          <w:sz w:val="28"/>
          <w:szCs w:val="28"/>
        </w:rPr>
        <w:t xml:space="preserve">PART V: SCOPE, PARAMETERS, AND NEGOTIATING ARCHITECTURE</w:t>
      </w:r>
    </w:p>
    <w:p>
      <w:pPr>
        <w:pStyle w:val="Heading2"/>
        <w:spacing w:after="120" w:before="240"/>
      </w:pPr>
      <w:r>
        <w:rPr>
          <w:rFonts w:ascii="Times New Roman" w:cs="Times New Roman" w:eastAsia="SimSun" w:hAnsi="Times New Roman"/>
          <w:b/>
          <w:bCs/>
          <w:color w:val="33556E"/>
          <w:sz w:val="24"/>
          <w:szCs w:val="24"/>
        </w:rPr>
        <w:t xml:space="preserve">Article 18: The Six Negotiating Lanes</w:t>
      </w:r>
    </w:p>
    <w:p>
      <w:pPr>
        <w:spacing w:after="140" w:line="288"/>
        <w:ind w:firstLine="431"/>
        <w:jc w:val="both"/>
      </w:pPr>
      <w:r>
        <w:rPr>
          <w:rFonts w:ascii="Times New Roman" w:cs="Times New Roman" w:eastAsia="SimSun" w:hAnsi="Times New Roman"/>
          <w:sz w:val="23"/>
          <w:szCs w:val="23"/>
        </w:rPr>
        <w:t xml:space="preserve">The Negotiation proceeds through six Negotiating Lanes, each mapped to defined portions of the Reference Consolidated Text as set out in Annex D: Lane A: Treaty Integrity, Tariff Architecture, and the Proportional Trade Adjustment Mechanism; Lane B: Rules of Origin, Origin Procedures, and Customs Modernization; Lane C: Economic Security, Critical Minerals, Energy, and Supply-Chain Resilience; Lane D: Automotive Integration, Steel and Aluminum, and Strategic Sector Stability; Lane E: Agriculture, Sectoral Market Access, Digital Trade, and Services; and Lane F: Institutional Provisions, Dispute Settlement, Labor, Environment, and Final Provisions.</w:t>
      </w:r>
    </w:p>
    <w:p>
      <w:pPr>
        <w:spacing w:after="140" w:line="288"/>
        <w:ind w:firstLine="431"/>
        <w:jc w:val="both"/>
      </w:pPr>
      <w:r>
        <w:rPr>
          <w:rFonts w:ascii="Times New Roman" w:cs="Times New Roman" w:eastAsia="SimSun" w:hAnsi="Times New Roman"/>
          <w:sz w:val="23"/>
          <w:szCs w:val="23"/>
        </w:rPr>
        <w:t xml:space="preserve">Each Lane operates as an independent contractual track under the partial-success doctrine: progress, delay, or failure in one Lane does not determine the status of any other Lane. Lane leads report to the Chief Negotiators at the close of each Round. The Parties present place a Lane in Parked status by consensus where the Lane lead certifies that no text is ready for advancement; parking a Lane does not affect the Attendance Obligation for the remaining Lanes.</w:t>
      </w:r>
    </w:p>
    <w:p>
      <w:pPr>
        <w:spacing w:after="140" w:line="288"/>
        <w:ind w:firstLine="431"/>
        <w:jc w:val="both"/>
      </w:pPr>
      <w:r>
        <w:rPr>
          <w:rFonts w:ascii="Times New Roman" w:cs="Times New Roman" w:eastAsia="SimSun" w:hAnsi="Times New Roman"/>
          <w:sz w:val="23"/>
          <w:szCs w:val="23"/>
        </w:rPr>
        <w:t xml:space="preserve">Cross-cutting chapters of the Reference Consolidated Text, including the Cothrom verification chapter, the treaty-resilience and safe-mode chapter, and the review-stability chapter, sit in Lane F and draw on the verified operating record of this Instrument as their evidentiary basis.</w:t>
      </w:r>
    </w:p>
    <w:p>
      <w:pPr>
        <w:pStyle w:val="Heading2"/>
        <w:spacing w:after="120" w:before="240"/>
      </w:pPr>
      <w:r>
        <w:rPr>
          <w:rFonts w:ascii="Times New Roman" w:cs="Times New Roman" w:eastAsia="SimSun" w:hAnsi="Times New Roman"/>
          <w:b/>
          <w:bCs/>
          <w:color w:val="33556E"/>
          <w:sz w:val="24"/>
          <w:szCs w:val="24"/>
        </w:rPr>
        <w:t xml:space="preserve">Article 19: Negotiating Parameters</w:t>
      </w:r>
    </w:p>
    <w:p>
      <w:pPr>
        <w:spacing w:after="140" w:line="288"/>
        <w:ind w:firstLine="431"/>
        <w:jc w:val="both"/>
      </w:pPr>
      <w:r>
        <w:rPr>
          <w:rFonts w:ascii="Times New Roman" w:cs="Times New Roman" w:eastAsia="SimSun" w:hAnsi="Times New Roman"/>
          <w:sz w:val="23"/>
          <w:szCs w:val="23"/>
        </w:rPr>
        <w:t xml:space="preserve">The Negotiation observes the following parameters: (a) proportionality: remedies and disciplines in the negotiated text fit verified distortions, and broad punitive tariffs between the Parties operate only as remedies of last resort; (b) reciprocity: each Party secures meaningful benefits and accepts meaningful disciplines, and the framework bars any provision from operating as a concealed unilateral concession; (c) durability: the negotiated text grants rights and preferences that do not fade, lapse, or expire by the mere passage of time, in accordance with the no-fade principle of the Reference Consolidated Text, while restrictive extraordinary measures carry automatic self-correction; (d) sovereignty preservation, each Party retains authority over natural resources, national security review, investment screening, industrial policy, taxation, public health, environmental regulation, cultural policy, and regulatory administration, except as expressly constrained by text the Party itself accepts; (e) evidence over assertion: data deposited in the Shared Trade Registry supports every negotiating position on trade effects; and (f) no negotiation by escalation: a Party that adopts or threatens a new Party-specific extraordinary measure during the Negotiation Period, outside Article 13, forfeits the procedural benefit of the doubt in the affected Lane for thirty days, meaning its textual proposals in that Lane require affirmative adoption rather than advancing by silence.</w:t>
      </w:r>
    </w:p>
    <w:p>
      <w:pPr>
        <w:spacing w:after="140" w:line="288"/>
        <w:ind w:firstLine="431"/>
        <w:jc w:val="both"/>
      </w:pPr>
      <w:r>
        <w:rPr>
          <w:rFonts w:ascii="Times New Roman" w:cs="Times New Roman" w:eastAsia="SimSun" w:hAnsi="Times New Roman"/>
          <w:sz w:val="23"/>
          <w:szCs w:val="23"/>
        </w:rPr>
        <w:t xml:space="preserve">The Reservations Record, set out in Annex C, Part 2, records each Party's notified red-line reservations. A recorded reservation is not a breach and does not delay the Negotiation; it gives the other Parties notice that the reserving Party declines text crossing the reservation, so that no drafting effort goes to waste and the reservation-holder's attendance remains productive.</w:t>
      </w:r>
    </w:p>
    <w:p>
      <w:pPr>
        <w:pStyle w:val="Heading2"/>
        <w:spacing w:after="120" w:before="240"/>
      </w:pPr>
      <w:r>
        <w:rPr>
          <w:rFonts w:ascii="Times New Roman" w:cs="Times New Roman" w:eastAsia="SimSun" w:hAnsi="Times New Roman"/>
          <w:b/>
          <w:bCs/>
          <w:color w:val="33556E"/>
          <w:sz w:val="24"/>
          <w:szCs w:val="24"/>
        </w:rPr>
        <w:t xml:space="preserve">Article 20: Drafting Conventions and Text Management</w:t>
      </w:r>
    </w:p>
    <w:p>
      <w:pPr>
        <w:spacing w:after="140" w:line="288"/>
        <w:ind w:firstLine="431"/>
        <w:jc w:val="both"/>
      </w:pPr>
      <w:r>
        <w:rPr>
          <w:rFonts w:ascii="Times New Roman" w:cs="Times New Roman" w:eastAsia="SimSun" w:hAnsi="Times New Roman"/>
          <w:sz w:val="23"/>
          <w:szCs w:val="23"/>
        </w:rPr>
        <w:t xml:space="preserve">All drafting in the Negotiation follows the consolidation conventions of the Reference Consolidated Text, which assigns each modal verb a fixed legal meaning and reserves deterministic present-tense language for automatic consequences; the Parties observe those conventions as recorded in the drafting-and-consolidation section of the Reference Consolidated Text. This Instrument itself observes a stricter discipline: every provision states an operational reality in active present tense, with a named subject performing a direct action, consistent with the Immutable Present-Tense Matrix.</w:t>
      </w:r>
    </w:p>
    <w:p>
      <w:pPr>
        <w:spacing w:after="140" w:line="288"/>
        <w:ind w:firstLine="431"/>
        <w:jc w:val="both"/>
      </w:pPr>
      <w:r>
        <w:rPr>
          <w:rFonts w:ascii="Times New Roman" w:cs="Times New Roman" w:eastAsia="SimSun" w:hAnsi="Times New Roman"/>
          <w:sz w:val="23"/>
          <w:szCs w:val="23"/>
        </w:rPr>
        <w:t xml:space="preserve">The Secretariat maintains the consolidated text with full bracket management: each bracketed provision records the proposing Party or Parties, the date proposed, and the Lane in which it is under discussion. The framework bars the presentation of any substantive change as a stylistic clarification. The consolidated text reproduces legacy CUSMA provisions that remain substantively unchanged with their established wording preserved, and no drafting exercise rewrites them for style alone.</w:t>
      </w:r>
    </w:p>
    <w:p>
      <w:pPr>
        <w:spacing w:after="140" w:line="288"/>
        <w:ind w:firstLine="431"/>
        <w:jc w:val="both"/>
      </w:pPr>
      <w:r>
        <w:rPr>
          <w:rFonts w:ascii="Times New Roman" w:cs="Times New Roman" w:eastAsia="SimSun" w:hAnsi="Times New Roman"/>
          <w:sz w:val="23"/>
          <w:szCs w:val="23"/>
        </w:rPr>
        <w:t xml:space="preserve">At the close of each Gate, the Secretariat issues a consolidated text edition, a change log, and a bracket census showing the number, age, and Lane distribution of open brackets. The bracket census stands on every Reaffirmation Council agenda.</w:t>
      </w:r>
    </w:p>
    <w:p>
      <w:pPr>
        <w:pStyle w:val="Heading2"/>
        <w:spacing w:after="120" w:before="240"/>
      </w:pPr>
      <w:r>
        <w:rPr>
          <w:rFonts w:ascii="Times New Roman" w:cs="Times New Roman" w:eastAsia="SimSun" w:hAnsi="Times New Roman"/>
          <w:b/>
          <w:bCs/>
          <w:color w:val="33556E"/>
          <w:sz w:val="24"/>
          <w:szCs w:val="24"/>
        </w:rPr>
        <w:t xml:space="preserve">Article 21: Early Harvest and Interim Application</w:t>
      </w:r>
    </w:p>
    <w:p>
      <w:pPr>
        <w:spacing w:after="140" w:line="288"/>
        <w:ind w:firstLine="431"/>
        <w:jc w:val="both"/>
      </w:pPr>
      <w:r>
        <w:rPr>
          <w:rFonts w:ascii="Times New Roman" w:cs="Times New Roman" w:eastAsia="SimSun" w:hAnsi="Times New Roman"/>
          <w:sz w:val="23"/>
          <w:szCs w:val="23"/>
        </w:rPr>
        <w:t xml:space="preserve">Where the Parties close text in a Lane and each Party confirms that interim application of the closed text is within its executive authority, the Reaffirmation Council issues an Interim Application Note placing the closed text into provisional operation, pending entry into force of the Protocol of Modernization. The Shared Trade Registry records each Interim Application Note; each Note takes effect on the date specified and stands as a verifiable commitment under Part VII.</w:t>
      </w:r>
    </w:p>
    <w:p>
      <w:pPr>
        <w:spacing w:after="140" w:line="288"/>
        <w:ind w:firstLine="431"/>
        <w:jc w:val="both"/>
      </w:pPr>
      <w:r>
        <w:rPr>
          <w:rFonts w:ascii="Times New Roman" w:cs="Times New Roman" w:eastAsia="SimSun" w:hAnsi="Times New Roman"/>
          <w:sz w:val="23"/>
          <w:szCs w:val="23"/>
        </w:rPr>
        <w:t xml:space="preserve">An Interim Application Note expires with this Instrument unless the Protocol of Modernization adopts the underlying text. Early-harvest operation creates no precedent for unclosed text, and a Party's acceptance of interim application of one module does not commit it to any other module.</w:t>
      </w:r>
    </w:p>
    <w:p>
      <w:pPr>
        <w:pStyle w:val="Heading2"/>
        <w:spacing w:after="120" w:before="240"/>
      </w:pPr>
      <w:r>
        <w:rPr>
          <w:rFonts w:ascii="Times New Roman" w:cs="Times New Roman" w:eastAsia="SimSun" w:hAnsi="Times New Roman"/>
          <w:b/>
          <w:bCs/>
          <w:color w:val="33556E"/>
          <w:sz w:val="24"/>
          <w:szCs w:val="24"/>
        </w:rPr>
        <w:t xml:space="preserve">Article 22: Relationship of Parameters to Domestic Authority</w:t>
      </w:r>
    </w:p>
    <w:p>
      <w:pPr>
        <w:spacing w:after="140" w:line="288"/>
        <w:ind w:firstLine="431"/>
        <w:jc w:val="both"/>
      </w:pPr>
      <w:r>
        <w:rPr>
          <w:rFonts w:ascii="Times New Roman" w:cs="Times New Roman" w:eastAsia="SimSun" w:hAnsi="Times New Roman"/>
          <w:sz w:val="23"/>
          <w:szCs w:val="23"/>
        </w:rPr>
        <w:t xml:space="preserve">Nothing in this Part obliges a Party to close text that its domestic law does not permit it to implement. Where a Chief Negotiator determines that a closed provision requires legislative or subnational action, the provision carries an "implementation-conditional" mark, and the Party tables, within twenty business days, an implementation plan identifying the domestic instruments needed and the expected timeline. The Shared Trade Registry records implementation plans, and Part VII governs their procedural completion.</w:t>
      </w:r>
    </w:p>
    <w:p>
      <w:pPr>
        <w:pStyle w:val="Heading1"/>
        <w:spacing w:after="160" w:before="320"/>
      </w:pPr>
      <w:r>
        <w:rPr>
          <w:rFonts w:ascii="Times New Roman" w:cs="Times New Roman" w:eastAsia="SimSun" w:hAnsi="Times New Roman"/>
          <w:b/>
          <w:bCs/>
          <w:color w:val="1F3A52"/>
          <w:sz w:val="28"/>
          <w:szCs w:val="28"/>
        </w:rPr>
        <w:t xml:space="preserve">PART VI: TIMETABLE, DEADLINES, AND GATES</w:t>
      </w:r>
    </w:p>
    <w:p>
      <w:pPr>
        <w:pStyle w:val="Heading2"/>
        <w:spacing w:after="120" w:before="240"/>
      </w:pPr>
      <w:r>
        <w:rPr>
          <w:rFonts w:ascii="Times New Roman" w:cs="Times New Roman" w:eastAsia="SimSun" w:hAnsi="Times New Roman"/>
          <w:b/>
          <w:bCs/>
          <w:color w:val="33556E"/>
          <w:sz w:val="24"/>
          <w:szCs w:val="24"/>
        </w:rPr>
        <w:t xml:space="preserve">Article 23: The Negotiation Period</w:t>
      </w:r>
    </w:p>
    <w:p>
      <w:pPr>
        <w:spacing w:after="140" w:line="288"/>
        <w:ind w:firstLine="431"/>
        <w:jc w:val="both"/>
      </w:pPr>
      <w:r>
        <w:rPr>
          <w:rFonts w:ascii="Times New Roman" w:cs="Times New Roman" w:eastAsia="SimSun" w:hAnsi="Times New Roman"/>
          <w:sz w:val="23"/>
          <w:szCs w:val="23"/>
        </w:rPr>
        <w:t xml:space="preserve">The Negotiation Period runs for twelve months from the date of the Resumption Conference, extends automatically by six months where the Reaffirmation Council so records at Gate Four, and extends further by consensus. The target outcome is a Protocol of Modernization initialled by the Chief Negotiators in sufficient time for heads of government to consider written confirmation of extension under Article 34.7.4 of the CUSMA at or before the annual joint review of July 2027.</w:t>
      </w:r>
    </w:p>
    <w:p>
      <w:pPr>
        <w:spacing w:after="140" w:line="288"/>
        <w:ind w:firstLine="431"/>
        <w:jc w:val="both"/>
      </w:pPr>
      <w:r>
        <w:rPr>
          <w:rFonts w:ascii="Times New Roman" w:cs="Times New Roman" w:eastAsia="SimSun" w:hAnsi="Times New Roman"/>
          <w:sz w:val="23"/>
          <w:szCs w:val="23"/>
        </w:rPr>
        <w:t xml:space="preserve">The expiry of the Negotiation Period without a Protocol of Modernization does not terminate this Instrument, which continues to govern the institutions, the Register, the Registry, and the Standstill in accordance with Article 50.</w:t>
      </w:r>
    </w:p>
    <w:p>
      <w:pPr>
        <w:pStyle w:val="Heading2"/>
        <w:spacing w:after="120" w:before="240"/>
      </w:pPr>
      <w:r>
        <w:rPr>
          <w:rFonts w:ascii="Times New Roman" w:cs="Times New Roman" w:eastAsia="SimSun" w:hAnsi="Times New Roman"/>
          <w:b/>
          <w:bCs/>
          <w:color w:val="33556E"/>
          <w:sz w:val="24"/>
          <w:szCs w:val="24"/>
        </w:rPr>
        <w:t xml:space="preserve">Article 24: The Five Gates</w:t>
      </w:r>
    </w:p>
    <w:p>
      <w:pPr>
        <w:spacing w:after="140" w:line="288"/>
        <w:ind w:firstLine="431"/>
        <w:jc w:val="both"/>
      </w:pPr>
      <w:r>
        <w:rPr>
          <w:rFonts w:ascii="Times New Roman" w:cs="Times New Roman" w:eastAsia="SimSun" w:hAnsi="Times New Roman"/>
          <w:sz w:val="23"/>
          <w:szCs w:val="23"/>
        </w:rPr>
        <w:t xml:space="preserve">Five Gates manage the Negotiation, each with defined deliverables that the Shared Trade Registry verifies: Gate Zero (Hour 0 to 72 after entry into force), stabilization: domestic suspension instruments issued, customs instructions published, Registry activated, Secretariat staffing confirmed. Gate One (Day 30), posture: Resumption Conference held; Rules of Procedure adopted; all Annex B schedules deposited; each Party's opening textual proposals tabled in at least four of six Lanes; interim treatment schedules tabled under Articles 10(2) and 12(1)(c). Gate Two (Day 90), engagement: at least four Rounds held; first consolidated text edition issued; at least twenty per cent of the initial bracket census resolved; first Early Harvest candidates identified. Gate Three (Day 180), conversion: Interim Application Notes in force for at least two Early Harvest Modules; bracket census reduced by at least half; mid-Negotiation ministerial review completed; the Secretariat's evidence report on each Recognized Bilateral Instrument delivered to the Lanes. Gate Four (Day 300), closing architecture: final consolidated text substantially complete; residual bracket list with named principals for each open item; draft Protocol of Modernization before the Reaffirmation Council.</w:t>
      </w:r>
    </w:p>
    <w:p>
      <w:pPr>
        <w:spacing w:after="140" w:line="288"/>
        <w:ind w:firstLine="431"/>
        <w:jc w:val="both"/>
      </w:pPr>
      <w:r>
        <w:rPr>
          <w:rFonts w:ascii="Times New Roman" w:cs="Times New Roman" w:eastAsia="SimSun" w:hAnsi="Times New Roman"/>
          <w:sz w:val="23"/>
          <w:szCs w:val="23"/>
        </w:rPr>
        <w:t xml:space="preserve">The Secretariat verifies Gate deliverables under Part VII. A Gate met late stands recorded as met-late; the tier rules classify the delay and govern any consequences. The calendar bends; the framework does not break.</w:t>
      </w:r>
    </w:p>
    <w:p>
      <w:pPr>
        <w:pStyle w:val="Heading2"/>
        <w:spacing w:after="120" w:before="240"/>
      </w:pPr>
      <w:r>
        <w:rPr>
          <w:rFonts w:ascii="Times New Roman" w:cs="Times New Roman" w:eastAsia="SimSun" w:hAnsi="Times New Roman"/>
          <w:b/>
          <w:bCs/>
          <w:color w:val="33556E"/>
          <w:sz w:val="24"/>
          <w:szCs w:val="24"/>
        </w:rPr>
        <w:t xml:space="preserve">Article 25: Round Calendar and Intersessional Work</w:t>
      </w:r>
    </w:p>
    <w:p>
      <w:pPr>
        <w:spacing w:after="140" w:line="288"/>
        <w:ind w:firstLine="431"/>
        <w:jc w:val="both"/>
      </w:pPr>
      <w:r>
        <w:rPr>
          <w:rFonts w:ascii="Times New Roman" w:cs="Times New Roman" w:eastAsia="SimSun" w:hAnsi="Times New Roman"/>
          <w:sz w:val="23"/>
          <w:szCs w:val="23"/>
        </w:rPr>
        <w:t xml:space="preserve">The Parties hold no fewer than ten formal Rounds during the Negotiation Period, approximately monthly, rotating among Ottawa, Washington, and Mexico City unless the Reaffirmation Council records otherwise. Each Round lasts five working days unless the attending Chief Negotiators agree to adjourn early after the delegations exhaust the agenda. Deputy-level intersessional video sessions occur between Rounds on a standing weekly schedule the Secretariat maintains.</w:t>
      </w:r>
    </w:p>
    <w:p>
      <w:pPr>
        <w:spacing w:after="140" w:line="288"/>
        <w:ind w:firstLine="431"/>
        <w:jc w:val="both"/>
      </w:pPr>
      <w:r>
        <w:rPr>
          <w:rFonts w:ascii="Times New Roman" w:cs="Times New Roman" w:eastAsia="SimSun" w:hAnsi="Times New Roman"/>
          <w:sz w:val="23"/>
          <w:szCs w:val="23"/>
        </w:rPr>
        <w:t xml:space="preserve">Postponement of a Round proceeds only through notice to the Secretariat no less than seventy-two hours before its opening, with the reason recorded in the Shared Trade Registry, and the Secretariat automatically reschedules the postponed Round within fourteen days. A failure to attend a Round without timely postponement constitutes a Procedural Default, and the Secretariat verifies it as such; three consecutive unexcused absences from Rounds place the Party's Procedural Compliance Record in Orange status and engage Article 14.</w:t>
      </w:r>
    </w:p>
    <w:p>
      <w:pPr>
        <w:spacing w:after="140" w:line="288"/>
        <w:ind w:firstLine="431"/>
        <w:jc w:val="both"/>
      </w:pPr>
      <w:r>
        <w:rPr>
          <w:rFonts w:ascii="Times New Roman" w:cs="Times New Roman" w:eastAsia="SimSun" w:hAnsi="Times New Roman"/>
          <w:sz w:val="23"/>
          <w:szCs w:val="23"/>
        </w:rPr>
        <w:t xml:space="preserve">If no Round takes place for forty-five consecutive days for any reason, the Depositary convenes the next Round automatically within a further fourteen days, fix the venue by the rotation order, and notify all Signatories. The automatic convening duty is the structural guarantee that the Negotiation cannot die of scheduling silence.</w:t>
      </w:r>
    </w:p>
    <w:p>
      <w:pPr>
        <w:pStyle w:val="Heading2"/>
        <w:spacing w:after="120" w:before="240"/>
      </w:pPr>
      <w:r>
        <w:rPr>
          <w:rFonts w:ascii="Times New Roman" w:cs="Times New Roman" w:eastAsia="SimSun" w:hAnsi="Times New Roman"/>
          <w:b/>
          <w:bCs/>
          <w:color w:val="33556E"/>
          <w:sz w:val="24"/>
          <w:szCs w:val="24"/>
        </w:rPr>
        <w:t xml:space="preserve">Article 26: Anti-Deadlock Mechanics</w:t>
      </w:r>
    </w:p>
    <w:p>
      <w:pPr>
        <w:spacing w:after="140" w:line="288"/>
        <w:ind w:firstLine="431"/>
        <w:jc w:val="both"/>
      </w:pPr>
      <w:r>
        <w:rPr>
          <w:rFonts w:ascii="Times New Roman" w:cs="Times New Roman" w:eastAsia="SimSun" w:hAnsi="Times New Roman"/>
          <w:sz w:val="23"/>
          <w:szCs w:val="23"/>
        </w:rPr>
        <w:t xml:space="preserve">Where a bracketed item remains unresolved for two consecutive Rounds, the Lane lead: (a) restates the item as a specific choice between identified options; (b) commissions the relevant Technical Working Group to produce, within twenty business days, an evidence note quantifying the trade, fiscal, or operational effect of each option; and (c) places the item on the agenda of the next ministerial Gate meeting with a recommended resolution path.</w:t>
      </w:r>
    </w:p>
    <w:p>
      <w:pPr>
        <w:spacing w:after="140" w:line="288"/>
        <w:ind w:firstLine="431"/>
        <w:jc w:val="both"/>
      </w:pPr>
      <w:r>
        <w:rPr>
          <w:rFonts w:ascii="Times New Roman" w:cs="Times New Roman" w:eastAsia="SimSun" w:hAnsi="Times New Roman"/>
          <w:sz w:val="23"/>
          <w:szCs w:val="23"/>
        </w:rPr>
        <w:t xml:space="preserve">The Parties present park, by consensus, an item unresolved after three Rounds, and the Registry carries the parking decision and the state of the text. A parked item revives automatically at the next Gate unless the Parties present agree to continued parking. Parking is a management tool, not a deletion: parked text remains in the consolidated text with its bracket history.</w:t>
      </w:r>
    </w:p>
    <w:p>
      <w:pPr>
        <w:spacing w:after="140" w:line="288"/>
        <w:ind w:firstLine="431"/>
        <w:jc w:val="both"/>
      </w:pPr>
      <w:r>
        <w:rPr>
          <w:rFonts w:ascii="Times New Roman" w:cs="Times New Roman" w:eastAsia="SimSun" w:hAnsi="Times New Roman"/>
          <w:sz w:val="23"/>
          <w:szCs w:val="23"/>
        </w:rPr>
        <w:t xml:space="preserve">At the request of any two Parties, the Facilitator provides good offices on any deadlocked item, convenes the principals in a facilitated session within ten days, and, only where all Parties to the dispute consent in writing, submits the technical element of the deadlock to the Expert Pool under Article 30 for a non-binding technical assessment. Facilitation never produces text binding on a Party.</w:t>
      </w:r>
    </w:p>
    <w:p>
      <w:pPr>
        <w:pStyle w:val="Heading1"/>
        <w:spacing w:after="160" w:before="320"/>
      </w:pPr>
      <w:r>
        <w:rPr>
          <w:rFonts w:ascii="Times New Roman" w:cs="Times New Roman" w:eastAsia="SimSun" w:hAnsi="Times New Roman"/>
          <w:b/>
          <w:bCs/>
          <w:color w:val="1F3A52"/>
          <w:sz w:val="28"/>
          <w:szCs w:val="28"/>
        </w:rPr>
        <w:t xml:space="preserve">PART VII: COTHROM VERIFICATION ARCHITECTURE</w:t>
      </w:r>
    </w:p>
    <w:p>
      <w:pPr>
        <w:pStyle w:val="Heading2"/>
        <w:spacing w:after="120" w:before="240"/>
      </w:pPr>
      <w:r>
        <w:rPr>
          <w:rFonts w:ascii="Times New Roman" w:cs="Times New Roman" w:eastAsia="SimSun" w:hAnsi="Times New Roman"/>
          <w:b/>
          <w:bCs/>
          <w:color w:val="33556E"/>
          <w:sz w:val="24"/>
          <w:szCs w:val="24"/>
        </w:rPr>
        <w:t xml:space="preserve">Article 27: Adoption and Trade Adaptation of the Cothrom Method</w:t>
      </w:r>
    </w:p>
    <w:p>
      <w:pPr>
        <w:spacing w:after="140" w:line="288"/>
        <w:ind w:firstLine="431"/>
        <w:jc w:val="both"/>
      </w:pPr>
      <w:r>
        <w:rPr>
          <w:rFonts w:ascii="Times New Roman" w:cs="Times New Roman" w:eastAsia="SimSun" w:hAnsi="Times New Roman"/>
          <w:sz w:val="23"/>
          <w:szCs w:val="23"/>
        </w:rPr>
        <w:t xml:space="preserve">The Parties adopt the Cothrom Verification Method, Version 1.0, as the verification and compliance architecture of this Instrument, adapted to trade administration and negotiating-process obligations as set out in this Part and Annex E. The adaptations preserve the Method's core operating principle: the framework does not collapse upon breach, it breathes. Discretionary benefits pause first; core constraints survive longest; humanitarian and essential flows remain absolute; minor infractions produce minor proportional consequences; sustained compliance restores full benefits; no violation creates permanent exclusion.</w:t>
      </w:r>
    </w:p>
    <w:p>
      <w:pPr>
        <w:spacing w:after="140" w:line="288"/>
        <w:ind w:firstLine="431"/>
        <w:jc w:val="both"/>
      </w:pPr>
      <w:r>
        <w:rPr>
          <w:rFonts w:ascii="Times New Roman" w:cs="Times New Roman" w:eastAsia="SimSun" w:hAnsi="Times New Roman"/>
          <w:sz w:val="23"/>
          <w:szCs w:val="23"/>
        </w:rPr>
        <w:t xml:space="preserve">The twelve summary operating principles of the Cothrom Method apply to this Instrument as follows, adapted to trade: proportionality governs every consequence; human judgment sits above automation in every penalty decision; earn-back is always available; food, medicine, energy, and emergency flows are never instruments of pressure; modules and Lanes fire independently; cooling-off precedes every material consequence; monitoring gaps trigger automatic protection rather than automatic punishment; partial success survives; trade consequences never authorize or imply any non-economic sanction; data carries no political meaning beyond the technical record; attribution requires evidence; and verification is reciprocal: every Party invests, every Party verifies, every Party recovers.</w:t>
      </w:r>
    </w:p>
    <w:p>
      <w:pPr>
        <w:pStyle w:val="Heading2"/>
        <w:spacing w:after="120" w:before="240"/>
      </w:pPr>
      <w:r>
        <w:rPr>
          <w:rFonts w:ascii="Times New Roman" w:cs="Times New Roman" w:eastAsia="SimSun" w:hAnsi="Times New Roman"/>
          <w:b/>
          <w:bCs/>
          <w:color w:val="33556E"/>
          <w:sz w:val="24"/>
          <w:szCs w:val="24"/>
        </w:rPr>
        <w:t xml:space="preserve">Article 28: Joint Trade Verification Secretariat and Shared Trade Registry</w:t>
      </w:r>
    </w:p>
    <w:p>
      <w:pPr>
        <w:spacing w:after="140" w:line="288"/>
        <w:ind w:firstLine="431"/>
        <w:jc w:val="both"/>
      </w:pPr>
      <w:r>
        <w:rPr>
          <w:rFonts w:ascii="Times New Roman" w:cs="Times New Roman" w:eastAsia="SimSun" w:hAnsi="Times New Roman"/>
          <w:sz w:val="23"/>
          <w:szCs w:val="23"/>
        </w:rPr>
        <w:t xml:space="preserve">The Parties establish a Joint Trade Verification Secretariat with equal representation of the Parties, one senior co-chair per Party and an equal technical staff complement, operating on a rotating host basis aligned with the Round rotation. Neither a co-chair nor any Party controls publication, classification, or case routing alone. The Secretariat is an administrative verification body; it does not substitute for customs agencies, regulators, courts, or CUSMA dispute settlement panels.</w:t>
      </w:r>
    </w:p>
    <w:p>
      <w:pPr>
        <w:spacing w:after="140" w:line="288"/>
        <w:ind w:firstLine="431"/>
        <w:jc w:val="both"/>
      </w:pPr>
      <w:r>
        <w:rPr>
          <w:rFonts w:ascii="Times New Roman" w:cs="Times New Roman" w:eastAsia="SimSun" w:hAnsi="Times New Roman"/>
          <w:sz w:val="23"/>
          <w:szCs w:val="23"/>
        </w:rPr>
        <w:t xml:space="preserve">The Secretariat maintains the Shared Trade Registry, which records every Covered Measure, every Standstill instrument, every Verification Claim, every Procedural Compliance Record, every Gate deliverable, every challenge and its disposition, every step-back and earn-back event, and every Interim Application Note. Each record carries: the obligation identifier; the baseline; the evidence source; the effective time; the review deadline; the status; the challenge history; and the earn-back status. Every change carries a timestamp and audit trail; corrections preserve the original entry and state the reason for correction.</w:t>
      </w:r>
    </w:p>
    <w:p>
      <w:pPr>
        <w:spacing w:after="140" w:line="288"/>
        <w:ind w:firstLine="431"/>
        <w:jc w:val="both"/>
      </w:pPr>
      <w:r>
        <w:rPr>
          <w:rFonts w:ascii="Times New Roman" w:cs="Times New Roman" w:eastAsia="SimSun" w:hAnsi="Times New Roman"/>
          <w:sz w:val="23"/>
          <w:szCs w:val="23"/>
        </w:rPr>
        <w:t xml:space="preserve">The Registry operates a public tier and a protected tier. The public tier shows module and Lane status, aggregate trade and tariff data, milestone completion, Procedural Compliance Records, and unresolved review counts. The protected tier holds company-level pricing, proprietary sourcing, personal data, and security-sensitive operational detail, accessible to the Parties' verification personnel under role-based access. The Registry retains all data for no less than five years, and declassification follows Article 50(5).</w:t>
      </w:r>
    </w:p>
    <w:p>
      <w:pPr>
        <w:spacing w:after="140" w:line="288"/>
        <w:ind w:firstLine="431"/>
        <w:jc w:val="both"/>
      </w:pPr>
      <w:r>
        <w:rPr>
          <w:rFonts w:ascii="Times New Roman" w:cs="Times New Roman" w:eastAsia="SimSun" w:hAnsi="Times New Roman"/>
          <w:sz w:val="23"/>
          <w:szCs w:val="23"/>
        </w:rPr>
        <w:t xml:space="preserve">Each Party maintains a staffing floor of two accredited verification officers and one Registry liaison, available during all business hours of the Party's customs administration, and a duty officer reachable within four hours at all times for Tier 2 and Tier 3 events. Staffing below the floor for more than seventy-two consecutive hours is a Procedural Default.</w:t>
      </w:r>
    </w:p>
    <w:p>
      <w:pPr>
        <w:pStyle w:val="Heading2"/>
        <w:spacing w:after="120" w:before="240"/>
      </w:pPr>
      <w:r>
        <w:rPr>
          <w:rFonts w:ascii="Times New Roman" w:cs="Times New Roman" w:eastAsia="SimSun" w:hAnsi="Times New Roman"/>
          <w:b/>
          <w:bCs/>
          <w:color w:val="33556E"/>
          <w:sz w:val="24"/>
          <w:szCs w:val="24"/>
        </w:rPr>
        <w:t xml:space="preserve">Article 29: Verification Claims and Evidence Standards</w:t>
      </w:r>
    </w:p>
    <w:p>
      <w:pPr>
        <w:spacing w:after="140" w:line="288"/>
        <w:ind w:firstLine="431"/>
        <w:jc w:val="both"/>
      </w:pPr>
      <w:r>
        <w:rPr>
          <w:rFonts w:ascii="Times New Roman" w:cs="Times New Roman" w:eastAsia="SimSun" w:hAnsi="Times New Roman"/>
          <w:sz w:val="23"/>
          <w:szCs w:val="23"/>
        </w:rPr>
        <w:t xml:space="preserve">Any Party files a Verification Claim asserting performance of a commitment under this Instrument, including a Procedural Obligation, through the Shared Trade Registry. Every claim contains seven fields: the obligation identifier; the performance period; the responsible authority; the objective evidence; the commercial or procedural effect; any confidential attachments; and the requested status. The Secretariat returns an incomplete package for correction within the original submission window without assigning an adverse finding.</w:t>
      </w:r>
    </w:p>
    <w:p>
      <w:pPr>
        <w:spacing w:after="140" w:line="288"/>
        <w:ind w:firstLine="431"/>
        <w:jc w:val="both"/>
      </w:pPr>
      <w:r>
        <w:rPr>
          <w:rFonts w:ascii="Times New Roman" w:cs="Times New Roman" w:eastAsia="SimSun" w:hAnsi="Times New Roman"/>
          <w:sz w:val="23"/>
          <w:szCs w:val="23"/>
        </w:rPr>
        <w:t xml:space="preserve">Objective evidence consists of: customs instructions, entry data, and rate-treatment records for tariff matters; official publications and regulatory instruments for market-access matters; solicitation and award records for procurement matters; deployment rosters and operational summaries for enforcement-visibility matters; utility, regulatory, contract, and construction milestones for energy and compute matters; and agendas, attendance logs, circulated texts, and transmission timestamps for Procedural Obligations. The Secretariat verifies each claim against the Registry record, the golden record, rather than against assertion.</w:t>
      </w:r>
    </w:p>
    <w:p>
      <w:pPr>
        <w:spacing w:after="140" w:line="288"/>
        <w:ind w:firstLine="431"/>
        <w:jc w:val="both"/>
      </w:pPr>
      <w:r>
        <w:rPr>
          <w:rFonts w:ascii="Times New Roman" w:cs="Times New Roman" w:eastAsia="SimSun" w:hAnsi="Times New Roman"/>
          <w:sz w:val="23"/>
          <w:szCs w:val="23"/>
        </w:rPr>
        <w:t xml:space="preserve">The Secretariat assigns each claim one of four statuses: Confirmed, Substantially Confirmed, Partially Confirmed, or Unconfirmed. Partial findings preserve the verified portion; the framework never converts a mixed record into total failure. Claims of procedural performance, attendance, tabling, staffing, and funding, verify against Registry timestamps and receive Confirmed or Unconfirmed status without intermediate gradation.</w:t>
      </w:r>
    </w:p>
    <w:p>
      <w:pPr>
        <w:pStyle w:val="Heading2"/>
        <w:spacing w:after="120" w:before="240"/>
      </w:pPr>
      <w:r>
        <w:rPr>
          <w:rFonts w:ascii="Times New Roman" w:cs="Times New Roman" w:eastAsia="SimSun" w:hAnsi="Times New Roman"/>
          <w:b/>
          <w:bCs/>
          <w:color w:val="33556E"/>
          <w:sz w:val="24"/>
          <w:szCs w:val="24"/>
        </w:rPr>
        <w:t xml:space="preserve">Article 30: Challenge Window and Trade Verification Panels</w:t>
      </w:r>
    </w:p>
    <w:p>
      <w:pPr>
        <w:spacing w:after="140" w:line="288"/>
        <w:ind w:firstLine="431"/>
        <w:jc w:val="both"/>
      </w:pPr>
      <w:r>
        <w:rPr>
          <w:rFonts w:ascii="Times New Roman" w:cs="Times New Roman" w:eastAsia="SimSun" w:hAnsi="Times New Roman"/>
          <w:sz w:val="23"/>
          <w:szCs w:val="23"/>
        </w:rPr>
        <w:t xml:space="preserve">Each Party has forty-eight hours after a Secretariat finding to file a technical challenge. A challenge identifies the exact disputed element and supplies counter-evidence; general political disagreement does not qualify. A challenge freezes only the disputed incremental benefit, not the underlying module, for up to seventy-two hours.</w:t>
      </w:r>
    </w:p>
    <w:p>
      <w:pPr>
        <w:spacing w:after="140" w:line="288"/>
        <w:ind w:firstLine="431"/>
        <w:jc w:val="both"/>
      </w:pPr>
      <w:r>
        <w:rPr>
          <w:rFonts w:ascii="Times New Roman" w:cs="Times New Roman" w:eastAsia="SimSun" w:hAnsi="Times New Roman"/>
          <w:sz w:val="23"/>
          <w:szCs w:val="23"/>
        </w:rPr>
        <w:t xml:space="preserve">An unresolved challenge moves to a three-person Trade Verification Panel: each challenging and challenged Party selects one member from its standing roster, and those two members select the chair from a pre-approved roster of experts in customs, accounting, engineering, trade law, or regulatory administration who hold no current appointment in any Party's government. Where the United States is not a party to the dispute, the same three-person structure applies with the chair drawn from the non-Party roster.</w:t>
      </w:r>
    </w:p>
    <w:p>
      <w:pPr>
        <w:spacing w:after="140" w:line="288"/>
        <w:ind w:firstLine="431"/>
        <w:jc w:val="both"/>
      </w:pPr>
      <w:r>
        <w:rPr>
          <w:rFonts w:ascii="Times New Roman" w:cs="Times New Roman" w:eastAsia="SimSun" w:hAnsi="Times New Roman"/>
          <w:sz w:val="23"/>
          <w:szCs w:val="23"/>
        </w:rPr>
        <w:t xml:space="preserve">The Panel answers a narrow question: did the delivery occur to the standard written in the obligation record? The Panel does not rewrite bargains, award damages, or expand any remedy beyond the paused increment. The standard review clock is five business days; Gate Zero and Article 14 ladder matters use a twenty-four-hour clock. Determinations bind the administration of this Instrument and stand without prejudice to the Parties' rights under CUSMA Chapter 31 and domestic law.</w:t>
      </w:r>
    </w:p>
    <w:p>
      <w:pPr>
        <w:spacing w:after="140" w:line="288"/>
        <w:ind w:firstLine="431"/>
        <w:jc w:val="both"/>
      </w:pPr>
      <w:r>
        <w:rPr>
          <w:rFonts w:ascii="Times New Roman" w:cs="Times New Roman" w:eastAsia="SimSun" w:hAnsi="Times New Roman"/>
          <w:sz w:val="23"/>
          <w:szCs w:val="23"/>
        </w:rPr>
        <w:t xml:space="preserve">The Facilitator accredits a standing Expert Pool of five neutral technical experts, no expert holding the nationality of a Party. Either disputing Party requests a Second Opinion on a Panel determination; a Second Opinion that confirms the Panel charges the requesting Party a procedural debit under Annex E, while a Second Opinion that overturns the Panel vacates the determination, re-adjudicates the claim on the Second Opinion's findings, and rotates the vacated Panel members out of the active roster.</w:t>
      </w:r>
    </w:p>
    <w:p>
      <w:pPr>
        <w:pStyle w:val="Heading2"/>
        <w:spacing w:after="120" w:before="240"/>
      </w:pPr>
      <w:r>
        <w:rPr>
          <w:rFonts w:ascii="Times New Roman" w:cs="Times New Roman" w:eastAsia="SimSun" w:hAnsi="Times New Roman"/>
          <w:b/>
          <w:bCs/>
          <w:color w:val="33556E"/>
          <w:sz w:val="24"/>
          <w:szCs w:val="24"/>
        </w:rPr>
        <w:t xml:space="preserve">Article 31: Partial Credit and Frivolous Challenge Control</w:t>
      </w:r>
    </w:p>
    <w:p>
      <w:pPr>
        <w:spacing w:after="140" w:line="288"/>
        <w:ind w:firstLine="431"/>
        <w:jc w:val="both"/>
      </w:pPr>
      <w:r>
        <w:rPr>
          <w:rFonts w:ascii="Times New Roman" w:cs="Times New Roman" w:eastAsia="SimSun" w:hAnsi="Times New Roman"/>
          <w:sz w:val="23"/>
          <w:szCs w:val="23"/>
        </w:rPr>
        <w:t xml:space="preserve">The Secretariat scores milestone performance by verified completion: ninety per cent or greater receives full credit; seventy to eighty-nine per cent receives seventy-five per cent credit; fifty to sixty-nine per cent receives fifty per cent credit; below fifty per cent receives no credit. Partial credit affects discretionary progression benefits and Gate assessments; it does not by itself alter Standstill treatment, which changes only through Articles 14 and 33.</w:t>
      </w:r>
    </w:p>
    <w:p>
      <w:pPr>
        <w:spacing w:after="140" w:line="288"/>
        <w:ind w:firstLine="431"/>
        <w:jc w:val="both"/>
      </w:pPr>
      <w:r>
        <w:rPr>
          <w:rFonts w:ascii="Times New Roman" w:cs="Times New Roman" w:eastAsia="SimSun" w:hAnsi="Times New Roman"/>
          <w:sz w:val="23"/>
          <w:szCs w:val="23"/>
        </w:rPr>
        <w:t xml:space="preserve">The framework protects the right to challenge and disciplines procedural flooding through a symmetric escalation ladder applied identically to all Parties: a first failed challenge in a module carries no consequence beyond release of the temporary hold; a second failed challenge in the same module narrows the challenger's next hold to forty-eight hours; a third narrows it to twenty-four hours and triggers co-chair review; a fourth failed challenge in the same module within thirty days creates a seven-day presumption in favor of Secretariat findings in that module, after which the presumption lapses automatically.</w:t>
      </w:r>
    </w:p>
    <w:p>
      <w:pPr>
        <w:pStyle w:val="Heading2"/>
        <w:spacing w:after="120" w:before="240"/>
      </w:pPr>
      <w:r>
        <w:rPr>
          <w:rFonts w:ascii="Times New Roman" w:cs="Times New Roman" w:eastAsia="SimSun" w:hAnsi="Times New Roman"/>
          <w:b/>
          <w:bCs/>
          <w:color w:val="33556E"/>
          <w:sz w:val="24"/>
          <w:szCs w:val="24"/>
        </w:rPr>
        <w:t xml:space="preserve">Article 32: Three-Tier Classification of Compliance Events</w:t>
      </w:r>
    </w:p>
    <w:p>
      <w:pPr>
        <w:spacing w:after="140" w:line="288"/>
        <w:ind w:firstLine="431"/>
        <w:jc w:val="both"/>
      </w:pPr>
      <w:r>
        <w:rPr>
          <w:rFonts w:ascii="Times New Roman" w:cs="Times New Roman" w:eastAsia="SimSun" w:hAnsi="Times New Roman"/>
          <w:sz w:val="23"/>
          <w:szCs w:val="23"/>
        </w:rPr>
        <w:t xml:space="preserve">Every compliance event under this Instrument falls into one of three tiers, and the classification, not the political temperature, determines the response.</w:t>
      </w:r>
    </w:p>
    <w:p>
      <w:pPr>
        <w:spacing w:after="140" w:line="288"/>
        <w:ind w:firstLine="431"/>
        <w:jc w:val="both"/>
      </w:pPr>
      <w:r>
        <w:rPr>
          <w:rFonts w:ascii="Times New Roman" w:cs="Times New Roman" w:eastAsia="SimSun" w:hAnsi="Times New Roman"/>
          <w:sz w:val="23"/>
          <w:szCs w:val="23"/>
        </w:rPr>
        <w:t xml:space="preserve">Tier 1: Technical Variance. Customs coding errors, short reporting delays, isolated data gaps, minor listing or publication delays, incomplete documentation, and comparable defects with no material commercial or procedural effect and no evidence of intent. Tier 1 produces no benefit reduction: the responsible authority receives a correction window of up to ten days, the Secretariat provides technical coordination and records the matter privately until closure. A corrected Tier 1 event closes with no residual debit. Repeated identical Tier 1 events enter pattern review after three occurrences in thirty days.</w:t>
      </w:r>
    </w:p>
    <w:p>
      <w:pPr>
        <w:spacing w:after="140" w:line="288"/>
        <w:ind w:firstLine="431"/>
        <w:jc w:val="both"/>
      </w:pPr>
      <w:r>
        <w:rPr>
          <w:rFonts w:ascii="Times New Roman" w:cs="Times New Roman" w:eastAsia="SimSun" w:hAnsi="Times New Roman"/>
          <w:sz w:val="23"/>
          <w:szCs w:val="23"/>
        </w:rPr>
        <w:t xml:space="preserve">Tier 2: Material Disruption. Failure to implement a verified Standstill rate; material denial of a covered market-access or procedural commitment; a Procedural Default continuing beyond its cure window; repeated obstruction of evidence review; deliberate delay beyond a correction window; or a pattern of unresolved Tier 1 events producing commercial or procedural harm. Tier 2 consequences follow Article 33.</w:t>
      </w:r>
    </w:p>
    <w:p>
      <w:pPr>
        <w:spacing w:after="140" w:line="288"/>
        <w:ind w:firstLine="431"/>
        <w:jc w:val="both"/>
      </w:pPr>
      <w:r>
        <w:rPr>
          <w:rFonts w:ascii="Times New Roman" w:cs="Times New Roman" w:eastAsia="SimSun" w:hAnsi="Times New Roman"/>
          <w:sz w:val="23"/>
          <w:szCs w:val="23"/>
        </w:rPr>
        <w:t xml:space="preserve">Tier 3: Deliberate Circumvention. Deliberately falsified performance or Registry data; coordinated customs evasion designed to defeat the Standstill; deliberate destruction of verification records; adoption of a new Party-specific extraordinary measure in bad-faith circumvention of Article 13; or a systematic pattern of Tier 2 conduct demonstrating institutional bad faith. Tier 3 consequences follow Article 33 and include mandatory referral to the Reaffirmation Council within forty-eight hours.</w:t>
      </w:r>
    </w:p>
    <w:p>
      <w:pPr>
        <w:spacing w:after="140" w:line="288"/>
        <w:ind w:firstLine="431"/>
        <w:jc w:val="both"/>
      </w:pPr>
      <w:r>
        <w:rPr>
          <w:rFonts w:ascii="Times New Roman" w:cs="Times New Roman" w:eastAsia="SimSun" w:hAnsi="Times New Roman"/>
          <w:sz w:val="23"/>
          <w:szCs w:val="23"/>
        </w:rPr>
        <w:t xml:space="preserve">The Secretariat proposes each classification, Article 30 challenge rights apply, and automated systems never classify alone, in accordance with the human-in-the-loop requirement of Article 36.</w:t>
      </w:r>
    </w:p>
    <w:p>
      <w:pPr>
        <w:pStyle w:val="Heading2"/>
        <w:spacing w:after="120" w:before="240"/>
      </w:pPr>
      <w:r>
        <w:rPr>
          <w:rFonts w:ascii="Times New Roman" w:cs="Times New Roman" w:eastAsia="SimSun" w:hAnsi="Times New Roman"/>
          <w:b/>
          <w:bCs/>
          <w:color w:val="33556E"/>
          <w:sz w:val="24"/>
          <w:szCs w:val="24"/>
        </w:rPr>
        <w:t xml:space="preserve">Article 33: Graduated Step-Back</w:t>
      </w:r>
    </w:p>
    <w:p>
      <w:pPr>
        <w:spacing w:after="140" w:line="288"/>
        <w:ind w:firstLine="431"/>
        <w:jc w:val="both"/>
      </w:pPr>
      <w:r>
        <w:rPr>
          <w:rFonts w:ascii="Times New Roman" w:cs="Times New Roman" w:eastAsia="SimSun" w:hAnsi="Times New Roman"/>
          <w:sz w:val="23"/>
          <w:szCs w:val="23"/>
        </w:rPr>
        <w:t xml:space="preserve">Before any step-back activates for a Tier 2 or Tier 3 event, the following sequence is mandatory: the Secretariat delivers an evidence package to both affected Parties within six hours of the triggering finding; senior officials of the affected Parties confer within forty-eight hours (the cooling-off period, extendable to seventy-two hours by mutual agreement); and officials at senior level confirm the tier classification. No step-back activates without this human sequence.</w:t>
      </w:r>
    </w:p>
    <w:p>
      <w:pPr>
        <w:spacing w:after="140" w:line="288"/>
        <w:ind w:firstLine="431"/>
        <w:jc w:val="both"/>
      </w:pPr>
      <w:r>
        <w:rPr>
          <w:rFonts w:ascii="Times New Roman" w:cs="Times New Roman" w:eastAsia="SimSun" w:hAnsi="Times New Roman"/>
          <w:sz w:val="23"/>
          <w:szCs w:val="23"/>
        </w:rPr>
        <w:t xml:space="preserve">Tier 2 step-back, within the affected module or de-escalation slice only: ten per cent reduction of the affected discretionary benefit for days one through seven of unremedied disruption; fifteen per cent for days eight through fourteen; twenty-five per cent after day fourteen, together with referral to the Reaffirmation Council if the disruption continues past day thirty.</w:t>
      </w:r>
    </w:p>
    <w:p>
      <w:pPr>
        <w:spacing w:after="140" w:line="288"/>
        <w:ind w:firstLine="431"/>
        <w:jc w:val="both"/>
      </w:pPr>
      <w:r>
        <w:rPr>
          <w:rFonts w:ascii="Times New Roman" w:cs="Times New Roman" w:eastAsia="SimSun" w:hAnsi="Times New Roman"/>
          <w:sz w:val="23"/>
          <w:szCs w:val="23"/>
        </w:rPr>
        <w:t xml:space="preserve">Tier 3 step-back, within the affected module or de-escalation slice only: twenty-five per cent reduction where remediation begins within seventy-two hours of classification; thirty-five per cent after seventy-two hours without remediation; fifty per cent after thirty days without remediation, together with mandatory Reaffirmation Council session and a ninety-day remediation plan.</w:t>
      </w:r>
    </w:p>
    <w:p>
      <w:pPr>
        <w:spacing w:after="140" w:line="288"/>
        <w:ind w:firstLine="431"/>
        <w:jc w:val="both"/>
      </w:pPr>
      <w:r>
        <w:rPr>
          <w:rFonts w:ascii="Times New Roman" w:cs="Times New Roman" w:eastAsia="SimSun" w:hAnsi="Times New Roman"/>
          <w:sz w:val="23"/>
          <w:szCs w:val="23"/>
        </w:rPr>
        <w:t xml:space="preserve">Sequenced impact: within any step-back, benefits pause in the following order, first, discretionary progression benefits (Gate advancement credit, early-harvest expansion, over-compliance credits); second, incremental de-escalation benefits (the most recently granted tranche or slice); third, core Standstill treatment of the affected schedule; and never: Protected Flows (food, medicines and medical goods, energy and electricity, critical minerals, potash and agricultural inputs, emergency and wildfire equipment), completed private contracts, goods in transit, vested rights, or the hotline and consultation channels themselves.</w:t>
      </w:r>
    </w:p>
    <w:p>
      <w:pPr>
        <w:spacing w:after="140" w:line="288"/>
        <w:ind w:firstLine="431"/>
        <w:jc w:val="both"/>
      </w:pPr>
      <w:r>
        <w:rPr>
          <w:rFonts w:ascii="Times New Roman" w:cs="Times New Roman" w:eastAsia="SimSun" w:hAnsi="Times New Roman"/>
          <w:sz w:val="23"/>
          <w:szCs w:val="23"/>
        </w:rPr>
        <w:t xml:space="preserve">The penalty formula is: step-back equals base tier percentage multiplied by a duration multiplier (0.4 if corrected within twenty-four hours, rising to 1.0 when the remediation window expires uncured) multiplied by a remediation factor (0.5 for full remediation, 0.75 for partial, 1.0 for none). The Secretariat publishes each calculation with the determination.</w:t>
      </w:r>
    </w:p>
    <w:p>
      <w:pPr>
        <w:pStyle w:val="Heading2"/>
        <w:spacing w:after="120" w:before="240"/>
      </w:pPr>
      <w:r>
        <w:rPr>
          <w:rFonts w:ascii="Times New Roman" w:cs="Times New Roman" w:eastAsia="SimSun" w:hAnsi="Times New Roman"/>
          <w:b/>
          <w:bCs/>
          <w:color w:val="33556E"/>
          <w:sz w:val="24"/>
          <w:szCs w:val="24"/>
        </w:rPr>
        <w:t xml:space="preserve">Article 34: Earn-Back</w:t>
      </w:r>
    </w:p>
    <w:p>
      <w:pPr>
        <w:spacing w:after="140" w:line="288"/>
        <w:ind w:firstLine="431"/>
        <w:jc w:val="both"/>
      </w:pPr>
      <w:r>
        <w:rPr>
          <w:rFonts w:ascii="Times New Roman" w:cs="Times New Roman" w:eastAsia="SimSun" w:hAnsi="Times New Roman"/>
          <w:sz w:val="23"/>
          <w:szCs w:val="23"/>
        </w:rPr>
        <w:t xml:space="preserve">Every step-back carries an automatic, defined earn-back route; no penalty under this Instrument is permanent. Tier 1 events require no earn-back: correction within the cure window restores full status automatically. Tier 2 earn-back: full restoration follows verified remediation plus seven consecutive clean days, with enhanced verification during the clean period. Tier 3 earn-back: full restoration follows verified remediation plus twenty-one consecutive clean days and Trade Verification Panel confirmation, with the Reaffirmation Council notified.</w:t>
      </w:r>
    </w:p>
    <w:p>
      <w:pPr>
        <w:spacing w:after="140" w:line="288"/>
        <w:ind w:firstLine="431"/>
        <w:jc w:val="both"/>
      </w:pPr>
      <w:r>
        <w:rPr>
          <w:rFonts w:ascii="Times New Roman" w:cs="Times New Roman" w:eastAsia="SimSun" w:hAnsi="Times New Roman"/>
          <w:sz w:val="23"/>
          <w:szCs w:val="23"/>
        </w:rPr>
        <w:t xml:space="preserve">Earn-back never requires admission of guilt, payment of penalties or damages, political concessions beyond return to compliance, or renegotiation of the underlying commitment. Earn-back requires: verified compliance with the breached obligation; sustained compliance for the clean period; the applicable confirmation; and no new Tier 2 or Tier 3 event during the clean period.</w:t>
      </w:r>
    </w:p>
    <w:p>
      <w:pPr>
        <w:spacing w:after="140" w:line="288"/>
        <w:ind w:firstLine="431"/>
        <w:jc w:val="both"/>
      </w:pPr>
      <w:r>
        <w:rPr>
          <w:rFonts w:ascii="Times New Roman" w:cs="Times New Roman" w:eastAsia="SimSun" w:hAnsi="Times New Roman"/>
          <w:sz w:val="23"/>
          <w:szCs w:val="23"/>
        </w:rPr>
        <w:t xml:space="preserve">Over-performance generates earn-back credits: a Party earns one credit unit for completing a material milestone at least seven days early and maintaining clean performance through the original deadline; a credit unit reduces a later clean-period requirement by one day, up to a twenty-five per cent acceleration cap. Credits are module-specific, expire with this Instrument unless the Protocol of Modernization carries them forward by its terms, and the Shared Trade Registry displays them to prevent double use.</w:t>
      </w:r>
    </w:p>
    <w:p>
      <w:pPr>
        <w:pStyle w:val="Heading2"/>
        <w:spacing w:after="120" w:before="240"/>
      </w:pPr>
      <w:r>
        <w:rPr>
          <w:rFonts w:ascii="Times New Roman" w:cs="Times New Roman" w:eastAsia="SimSun" w:hAnsi="Times New Roman"/>
          <w:b/>
          <w:bCs/>
          <w:color w:val="33556E"/>
          <w:sz w:val="24"/>
          <w:szCs w:val="24"/>
        </w:rPr>
        <w:t xml:space="preserve">Article 35: Cross-Module Firewall and Partial Success</w:t>
      </w:r>
    </w:p>
    <w:p>
      <w:pPr>
        <w:spacing w:after="140" w:line="288"/>
        <w:ind w:firstLine="431"/>
        <w:jc w:val="both"/>
      </w:pPr>
      <w:r>
        <w:rPr>
          <w:rFonts w:ascii="Times New Roman" w:cs="Times New Roman" w:eastAsia="SimSun" w:hAnsi="Times New Roman"/>
          <w:sz w:val="23"/>
          <w:szCs w:val="23"/>
        </w:rPr>
        <w:t xml:space="preserve">Consequences attach where the conduct occurred. A failure in one Lane, module, or de-escalation slice does not alter any other Lane, module, or slice. A customs coding dispute in the aluminum schedule does not touch the dairy pilot; a Procedural Default affecting one Party's attendance does not suspend another Party's verified early-harvest benefits; a fraud finding against one exporter does not punish a sector.</w:t>
      </w:r>
    </w:p>
    <w:p>
      <w:pPr>
        <w:spacing w:after="140" w:line="288"/>
        <w:ind w:firstLine="431"/>
        <w:jc w:val="both"/>
      </w:pPr>
      <w:r>
        <w:rPr>
          <w:rFonts w:ascii="Times New Roman" w:cs="Times New Roman" w:eastAsia="SimSun" w:hAnsi="Times New Roman"/>
          <w:sz w:val="23"/>
          <w:szCs w:val="23"/>
        </w:rPr>
        <w:t xml:space="preserve">Cross-module effect requires a specific finding by the Trade Verification Panel that the same conduct directly and materially defeats a second module, which the Panel adopts only after the affected Party exercises its challenge window. Where the finding concerns one Party's conduct, the other oversight members reach the decision by consensus, consensus-minus-one, with automatic referral to the Reaffirmation Council if that consensus fails.</w:t>
      </w:r>
    </w:p>
    <w:p>
      <w:pPr>
        <w:spacing w:after="140" w:line="288"/>
        <w:ind w:firstLine="431"/>
        <w:jc w:val="both"/>
      </w:pPr>
      <w:r>
        <w:rPr>
          <w:rFonts w:ascii="Times New Roman" w:cs="Times New Roman" w:eastAsia="SimSun" w:hAnsi="Times New Roman"/>
          <w:sz w:val="23"/>
          <w:szCs w:val="23"/>
        </w:rPr>
        <w:t xml:space="preserve">The partial-success doctrine binds and guides interpretation: no unresolved module invalidates the remainder of this Instrument. Each module, Lane, Gate, and bilateral annex operates as an independent track, and the framework's default condition remains continued operation.</w:t>
      </w:r>
    </w:p>
    <w:p>
      <w:pPr>
        <w:pStyle w:val="Heading2"/>
        <w:spacing w:after="120" w:before="240"/>
      </w:pPr>
      <w:r>
        <w:rPr>
          <w:rFonts w:ascii="Times New Roman" w:cs="Times New Roman" w:eastAsia="SimSun" w:hAnsi="Times New Roman"/>
          <w:b/>
          <w:bCs/>
          <w:color w:val="33556E"/>
          <w:sz w:val="24"/>
          <w:szCs w:val="24"/>
        </w:rPr>
        <w:t xml:space="preserve">Article 36: Protective Architecture</w:t>
      </w:r>
    </w:p>
    <w:p>
      <w:pPr>
        <w:spacing w:after="140" w:line="288"/>
        <w:ind w:firstLine="431"/>
        <w:jc w:val="both"/>
      </w:pPr>
      <w:r>
        <w:rPr>
          <w:rFonts w:ascii="Times New Roman" w:cs="Times New Roman" w:eastAsia="SimSun" w:hAnsi="Times New Roman"/>
          <w:sz w:val="23"/>
          <w:szCs w:val="23"/>
        </w:rPr>
        <w:t xml:space="preserve">Cooling-off. Before any Tier 2 or Tier 3 consequence activates, a forty-eight-hour cooling-off period applies in which no penalty accrues, senior officials confer directly, and the Facilitator proposes de-escalation measures; the period extends to seventy-two hours by mutual agreement. The cooling-off requirement has one exception: the purely technical automatic hold of a Registry data feed where tamper-evidence indicates compromise, which activates without delay and lifts upon technical certification of integrity.</w:t>
      </w:r>
    </w:p>
    <w:p>
      <w:pPr>
        <w:spacing w:after="140" w:line="288"/>
        <w:ind w:firstLine="431"/>
        <w:jc w:val="both"/>
      </w:pPr>
      <w:r>
        <w:rPr>
          <w:rFonts w:ascii="Times New Roman" w:cs="Times New Roman" w:eastAsia="SimSun" w:hAnsi="Times New Roman"/>
          <w:sz w:val="23"/>
          <w:szCs w:val="23"/>
        </w:rPr>
        <w:t xml:space="preserve">Temporary Operational Pause. A Party invokes a Temporary Operational Pause of up to fourteen days per invocation, at most three invocations per calendar year, for a documented domestic transition, emergency administrative failure, judicial order, cyber incident, natural disaster, or acute implementation crisis. The pause freezes the affected deadlines and milestone clocks, preserves the Standstill and completed commercial rights, suspends the step-back clock in both directions, and is not a breach. The invoking Party records the affected module, the reason, and the expected restoration date in the Shared Trade Registry.</w:t>
      </w:r>
    </w:p>
    <w:p>
      <w:pPr>
        <w:spacing w:after="140" w:line="288"/>
        <w:ind w:firstLine="431"/>
        <w:jc w:val="both"/>
      </w:pPr>
      <w:r>
        <w:rPr>
          <w:rFonts w:ascii="Times New Roman" w:cs="Times New Roman" w:eastAsia="SimSun" w:hAnsi="Times New Roman"/>
          <w:sz w:val="23"/>
          <w:szCs w:val="23"/>
        </w:rPr>
        <w:t xml:space="preserve">Force majeure and market failure. External events materially blocking performance, disaster, infrastructure failure, strike, court order, sudden injunction, pause the relevant performance clock for the verified duration of the impediment upon notice with evidence. Commercial price movements, ordinary demand changes, and private firms' business decisions are market risk, not force majeure, and produce no breach finding either way.</w:t>
      </w:r>
    </w:p>
    <w:p>
      <w:pPr>
        <w:spacing w:after="140" w:line="288"/>
        <w:ind w:firstLine="431"/>
        <w:jc w:val="both"/>
      </w:pPr>
      <w:r>
        <w:rPr>
          <w:rFonts w:ascii="Times New Roman" w:cs="Times New Roman" w:eastAsia="SimSun" w:hAnsi="Times New Roman"/>
          <w:sz w:val="23"/>
          <w:szCs w:val="23"/>
        </w:rPr>
        <w:t xml:space="preserve">Human-in-the-loop. No penalty, tier classification, or Standstill reactivation is made by automated systems alone. Automated systems flag anomalies and assemble evidence packages; designated officials review and decide. The Secretariat conducts an annual human-in-the-loop audit verifying that human review occurred within twenty-four hours of every automated flag, and recalibrates any system that fails the audit within thirty days.</w:t>
      </w:r>
    </w:p>
    <w:p>
      <w:pPr>
        <w:spacing w:after="140" w:line="288"/>
        <w:ind w:firstLine="431"/>
        <w:jc w:val="both"/>
      </w:pPr>
      <w:r>
        <w:rPr>
          <w:rFonts w:ascii="Times New Roman" w:cs="Times New Roman" w:eastAsia="SimSun" w:hAnsi="Times New Roman"/>
          <w:sz w:val="23"/>
          <w:szCs w:val="23"/>
        </w:rPr>
        <w:t xml:space="preserve">Good Faith Reset. A Party whose procedural debit balance in a Gate reaches the reset threshold defined in Annex E invokes one Good Faith Reset per Gate: the debit balance resets to zero upon a written acknowledgment of the procedural errors recorded in the Registry and a seven-day enhanced-cooperation commitment (daily Secretariat contact and same-day response to verification queries). The reset is a safety valve, not a free pass; a Party that requires it in consecutive Gates faces the full ladder without further protection.</w:t>
      </w:r>
    </w:p>
    <w:p>
      <w:pPr>
        <w:spacing w:after="140" w:line="288"/>
        <w:ind w:firstLine="431"/>
        <w:jc w:val="both"/>
      </w:pPr>
      <w:r>
        <w:rPr>
          <w:rFonts w:ascii="Times New Roman" w:cs="Times New Roman" w:eastAsia="SimSun" w:hAnsi="Times New Roman"/>
          <w:sz w:val="23"/>
          <w:szCs w:val="23"/>
        </w:rPr>
        <w:t xml:space="preserve">No automatic escalation. Under no circumstances does a compliance dispute, tier classification, step-back, or suspension under this Instrument authorize, trigger, or justify any measure outside the trade-administration domain. Consequences under this Instrument remain economic and procedural only, proportionate by design, structurally decoupled from every other dimension of the Parties' relationship.</w:t>
      </w:r>
    </w:p>
    <w:p>
      <w:pPr>
        <w:spacing w:after="140" w:line="288"/>
        <w:ind w:firstLine="431"/>
        <w:jc w:val="both"/>
      </w:pPr>
      <w:r>
        <w:rPr>
          <w:rFonts w:ascii="Times New Roman" w:cs="Times New Roman" w:eastAsia="SimSun" w:hAnsi="Times New Roman"/>
          <w:sz w:val="23"/>
          <w:szCs w:val="23"/>
        </w:rPr>
        <w:t xml:space="preserve">False-flag and attribution protection. Where an apparent breach event is potentially attributable to a non-Party actor, including origin fraud by a third-country shipper impersonating a Party's production, the Parties operate under a presumption of good faith, a forty-eight-hour attribution deferral applies before any classification, forensic verification precedes any tier assignment, and the framework addresses verified third-party conduct against the third party's goods, not against the Party.</w:t>
      </w:r>
    </w:p>
    <w:p>
      <w:pPr>
        <w:pStyle w:val="Heading1"/>
        <w:spacing w:after="160" w:before="320"/>
      </w:pPr>
      <w:r>
        <w:rPr>
          <w:rFonts w:ascii="Times New Roman" w:cs="Times New Roman" w:eastAsia="SimSun" w:hAnsi="Times New Roman"/>
          <w:b/>
          <w:bCs/>
          <w:color w:val="1F3A52"/>
          <w:sz w:val="28"/>
          <w:szCs w:val="28"/>
        </w:rPr>
        <w:t xml:space="preserve">PART VIII: RELATIONSHIP TO BILATERAL INSTRUMENTS AND EXISTING TRACKS</w:t>
      </w:r>
    </w:p>
    <w:p>
      <w:pPr>
        <w:pStyle w:val="Heading2"/>
        <w:spacing w:after="120" w:before="240"/>
      </w:pPr>
      <w:r>
        <w:rPr>
          <w:rFonts w:ascii="Times New Roman" w:cs="Times New Roman" w:eastAsia="SimSun" w:hAnsi="Times New Roman"/>
          <w:b/>
          <w:bCs/>
          <w:color w:val="33556E"/>
          <w:sz w:val="24"/>
          <w:szCs w:val="24"/>
        </w:rPr>
        <w:t xml:space="preserve">Article 37: Recognized Bilateral Instruments</w:t>
      </w:r>
    </w:p>
    <w:p>
      <w:pPr>
        <w:spacing w:after="140" w:line="288"/>
        <w:ind w:firstLine="431"/>
        <w:jc w:val="both"/>
      </w:pPr>
      <w:r>
        <w:rPr>
          <w:rFonts w:ascii="Times New Roman" w:cs="Times New Roman" w:eastAsia="SimSun" w:hAnsi="Times New Roman"/>
          <w:sz w:val="23"/>
          <w:szCs w:val="23"/>
        </w:rPr>
        <w:t xml:space="preserve">The Parties recognize the following interim bilateral instruments and negotiating drafts as Recognized Bilateral Instruments: the Northstar Dividend Compact (Canada–United States, Version 1.0), the Great Lakes Gateway Interim Trade Accord (Canada–United States, Version 1.0), and the Niagara Bridge Interim Trade Accord (Canada–United States, Version 1.2), together with any bilateral arrangement the United States and the United Mexican States conclude in their continuing rounds and deposit with the Secretariat.</w:t>
      </w:r>
    </w:p>
    <w:p>
      <w:pPr>
        <w:spacing w:after="140" w:line="288"/>
        <w:ind w:firstLine="431"/>
        <w:jc w:val="both"/>
      </w:pPr>
      <w:r>
        <w:rPr>
          <w:rFonts w:ascii="Times New Roman" w:cs="Times New Roman" w:eastAsia="SimSun" w:hAnsi="Times New Roman"/>
          <w:sz w:val="23"/>
          <w:szCs w:val="23"/>
        </w:rPr>
        <w:t xml:space="preserve">Each Recognized Bilateral Instrument operates as a bilateral annex to this Instrument: its modules, ledgers, gates, and verification records integrate into the Shared Trade Registry as dedicated bilateral modules; its verified results constitute evidence in the corresponding Negotiating Lanes; and its mature, trilaterally compatible provisions are candidates for incorporation into the consolidated text through the ordinary Lane process. No Recognized Bilateral Instrument binds a third Party, creates precedent against a third Party, or amends the trilateral baseline.</w:t>
      </w:r>
    </w:p>
    <w:p>
      <w:pPr>
        <w:pStyle w:val="Heading2"/>
        <w:spacing w:after="120" w:before="240"/>
      </w:pPr>
      <w:r>
        <w:rPr>
          <w:rFonts w:ascii="Times New Roman" w:cs="Times New Roman" w:eastAsia="SimSun" w:hAnsi="Times New Roman"/>
          <w:b/>
          <w:bCs/>
          <w:color w:val="33556E"/>
          <w:sz w:val="24"/>
          <w:szCs w:val="24"/>
        </w:rPr>
        <w:t xml:space="preserve">Article 38: Trilateral Symmetry and Mexican Accommodation</w:t>
      </w:r>
    </w:p>
    <w:p>
      <w:pPr>
        <w:spacing w:after="140" w:line="288"/>
        <w:ind w:firstLine="431"/>
        <w:jc w:val="both"/>
      </w:pPr>
      <w:r>
        <w:rPr>
          <w:rFonts w:ascii="Times New Roman" w:cs="Times New Roman" w:eastAsia="SimSun" w:hAnsi="Times New Roman"/>
          <w:sz w:val="23"/>
          <w:szCs w:val="23"/>
        </w:rPr>
        <w:t xml:space="preserve">The Reaffirmation Council assesses, at each Gate, benefits exchanged bilaterally under a Recognized Bilateral Instrument for trilateralization: where a bilateral module holds Green status and is structurally capable of trilateral application, the Secretariat tables it in the relevant Lane as a trilateralization candidate, and the third Party holds the opportunity to accede to the module on equivalent terms or to table an equivalent bilateral schedule of its own.</w:t>
      </w:r>
    </w:p>
    <w:p>
      <w:pPr>
        <w:spacing w:after="140" w:line="288"/>
        <w:ind w:firstLine="431"/>
        <w:jc w:val="both"/>
      </w:pPr>
      <w:r>
        <w:rPr>
          <w:rFonts w:ascii="Times New Roman" w:cs="Times New Roman" w:eastAsia="SimSun" w:hAnsi="Times New Roman"/>
          <w:sz w:val="23"/>
          <w:szCs w:val="23"/>
        </w:rPr>
        <w:t xml:space="preserve">The Parties ensure that the Negotiation does not produce a two-speed continent by default. Every second Round carries a standing agenda slot for the institutional-diversity and accommodation chapters of the Reference Consolidated Text, and the United Mexican States tables accommodation proposals at any time without waiting for the bilateral tracks to converge.</w:t>
      </w:r>
    </w:p>
    <w:p>
      <w:pPr>
        <w:pStyle w:val="Heading2"/>
        <w:spacing w:after="120" w:before="240"/>
      </w:pPr>
      <w:r>
        <w:rPr>
          <w:rFonts w:ascii="Times New Roman" w:cs="Times New Roman" w:eastAsia="SimSun" w:hAnsi="Times New Roman"/>
          <w:b/>
          <w:bCs/>
          <w:color w:val="33556E"/>
          <w:sz w:val="24"/>
          <w:szCs w:val="24"/>
        </w:rPr>
        <w:t xml:space="preserve">Article 39: Conflict and Gap Rule</w:t>
      </w:r>
    </w:p>
    <w:p>
      <w:pPr>
        <w:spacing w:after="140" w:line="288"/>
        <w:ind w:firstLine="431"/>
        <w:jc w:val="both"/>
      </w:pPr>
      <w:r>
        <w:rPr>
          <w:rFonts w:ascii="Times New Roman" w:cs="Times New Roman" w:eastAsia="SimSun" w:hAnsi="Times New Roman"/>
          <w:sz w:val="23"/>
          <w:szCs w:val="23"/>
        </w:rPr>
        <w:t xml:space="preserve">Where a Recognized Bilateral Instrument is silent on verification, challenge, tier classification, step-back, or earn-back, the rules of Part VII of this Instrument supply the gap as between the parties to that instrument. Where a Recognized Bilateral Instrument conflicts with this Instrument on a trilateral matter, this Instrument prevails; on a purely bilateral matter, the bilateral instrument prevails as between its parties. Nothing in this Article diminishes the CUSMA baseline.</w:t>
      </w:r>
    </w:p>
    <w:p>
      <w:pPr>
        <w:pStyle w:val="Heading1"/>
        <w:spacing w:after="160" w:before="320"/>
      </w:pPr>
      <w:r>
        <w:rPr>
          <w:rFonts w:ascii="Times New Roman" w:cs="Times New Roman" w:eastAsia="SimSun" w:hAnsi="Times New Roman"/>
          <w:b/>
          <w:bCs/>
          <w:color w:val="1F3A52"/>
          <w:sz w:val="28"/>
          <w:szCs w:val="28"/>
        </w:rPr>
        <w:t xml:space="preserve">PART IX: INTERIM APPLICATION AND EARLY HARVEST</w:t>
      </w:r>
    </w:p>
    <w:p>
      <w:pPr>
        <w:pStyle w:val="Heading2"/>
        <w:spacing w:after="120" w:before="240"/>
      </w:pPr>
      <w:r>
        <w:rPr>
          <w:rFonts w:ascii="Times New Roman" w:cs="Times New Roman" w:eastAsia="SimSun" w:hAnsi="Times New Roman"/>
          <w:b/>
          <w:bCs/>
          <w:color w:val="33556E"/>
          <w:sz w:val="24"/>
          <w:szCs w:val="24"/>
        </w:rPr>
        <w:t xml:space="preserve">Article 40: Interim Application Notes</w:t>
      </w:r>
    </w:p>
    <w:p>
      <w:pPr>
        <w:spacing w:after="140" w:line="288"/>
        <w:ind w:firstLine="431"/>
        <w:jc w:val="both"/>
      </w:pPr>
      <w:r>
        <w:rPr>
          <w:rFonts w:ascii="Times New Roman" w:cs="Times New Roman" w:eastAsia="SimSun" w:hAnsi="Times New Roman"/>
          <w:sz w:val="23"/>
          <w:szCs w:val="23"/>
        </w:rPr>
        <w:t xml:space="preserve">An Interim Application Note under Article 21 specifies: the closed text applied; the domestic instruments giving it effect; the effective date; the verification standard and evidence sources; the review date; and the expiry rule. The Secretariat verifies operation of each Note as a dedicated module in the Shared Trade Registry, and Part VII applies to it in full.</w:t>
      </w:r>
    </w:p>
    <w:p>
      <w:pPr>
        <w:spacing w:after="140" w:line="288"/>
        <w:ind w:firstLine="431"/>
        <w:jc w:val="both"/>
      </w:pPr>
      <w:r>
        <w:rPr>
          <w:rFonts w:ascii="Times New Roman" w:cs="Times New Roman" w:eastAsia="SimSun" w:hAnsi="Times New Roman"/>
          <w:sz w:val="23"/>
          <w:szCs w:val="23"/>
        </w:rPr>
        <w:t xml:space="preserve">The issuing Parties jointly terminate interim application, or a Party terminates unilaterally on thirty days' notice where its legislature or courts withdraw the domestic authority. Termination of a Note restores the status quo ante for that module without prejudice and without consequence to any other Note or module.</w:t>
      </w:r>
    </w:p>
    <w:p>
      <w:pPr>
        <w:pStyle w:val="Heading2"/>
        <w:spacing w:after="120" w:before="240"/>
      </w:pPr>
      <w:r>
        <w:rPr>
          <w:rFonts w:ascii="Times New Roman" w:cs="Times New Roman" w:eastAsia="SimSun" w:hAnsi="Times New Roman"/>
          <w:b/>
          <w:bCs/>
          <w:color w:val="33556E"/>
          <w:sz w:val="24"/>
          <w:szCs w:val="24"/>
        </w:rPr>
        <w:t xml:space="preserve">Article 41: Early Harvest Candidates</w:t>
      </w:r>
    </w:p>
    <w:p>
      <w:pPr>
        <w:spacing w:after="140" w:line="288"/>
        <w:ind w:firstLine="431"/>
        <w:jc w:val="both"/>
      </w:pPr>
      <w:r>
        <w:rPr>
          <w:rFonts w:ascii="Times New Roman" w:cs="Times New Roman" w:eastAsia="SimSun" w:hAnsi="Times New Roman"/>
          <w:sz w:val="23"/>
          <w:szCs w:val="23"/>
        </w:rPr>
        <w:t xml:space="preserve">The following categories stand as early-harvest candidates, drawn from the verified practice of the Recognized Bilateral Instruments and the mature chapters of the Reference Consolidated Text: (a) tariff-rate-quota administration transparency, including published allocation, utilization, and timed reallocation dashboards; (b) neutral administration of beverage-alcohol listing and ordering, restoring product- and criteria-based treatment in place of nationality-based exclusion; (c) trusted-trader and trusted-origin lanes for firms with verified clean compliance records, with simplified templates for small exporters; (d) interoperable origin records for steel, aluminum, and critical-mineral products, including melt-and-pour and smelt-and-cast data; (e) expedited classification and pre-clearance desks for energy, grid, and data-infrastructure equipment; (f) regulatory service clocks for low-risk licensing and classification matters; (g) border-processing transparency, including published processing-time and reliability metrics at designated crossings; and (h) emergency trade-continuity protocols protecting food, medicine, energy, and emergency equipment flows during any future dispute.</w:t>
      </w:r>
    </w:p>
    <w:p>
      <w:pPr>
        <w:spacing w:after="140" w:line="288"/>
        <w:ind w:firstLine="431"/>
        <w:jc w:val="both"/>
      </w:pPr>
      <w:r>
        <w:rPr>
          <w:rFonts w:ascii="Times New Roman" w:cs="Times New Roman" w:eastAsia="SimSun" w:hAnsi="Times New Roman"/>
          <w:sz w:val="23"/>
          <w:szCs w:val="23"/>
        </w:rPr>
        <w:t xml:space="preserve">Early-harvest selection occurs at Gate Two and Gate Three by consensus of the Parties present, on the basis of the Secretariat's readiness assessment. No early-harvest module crosses a recorded reservation in Annex C, Part 2.</w:t>
      </w:r>
    </w:p>
    <w:p>
      <w:pPr>
        <w:pStyle w:val="Heading2"/>
        <w:spacing w:after="120" w:before="240"/>
      </w:pPr>
      <w:r>
        <w:rPr>
          <w:rFonts w:ascii="Times New Roman" w:cs="Times New Roman" w:eastAsia="SimSun" w:hAnsi="Times New Roman"/>
          <w:b/>
          <w:bCs/>
          <w:color w:val="33556E"/>
          <w:sz w:val="24"/>
          <w:szCs w:val="24"/>
        </w:rPr>
        <w:t xml:space="preserve">Article 42: Conversion at Gate Four</w:t>
      </w:r>
    </w:p>
    <w:p>
      <w:pPr>
        <w:spacing w:after="140" w:line="288"/>
        <w:ind w:firstLine="431"/>
        <w:jc w:val="both"/>
      </w:pPr>
      <w:r>
        <w:rPr>
          <w:rFonts w:ascii="Times New Roman" w:cs="Times New Roman" w:eastAsia="SimSun" w:hAnsi="Times New Roman"/>
          <w:sz w:val="23"/>
          <w:szCs w:val="23"/>
        </w:rPr>
        <w:t xml:space="preserve">At Gate Four, the Reaffirmation Council classifies every interim module, whether arising under this Instrument or a Recognized Bilateral Instrument, as Retire, Extend, Incorporate, or Negotiate: Retire ends an interim experiment without prejudice; Extend continues a performing module for a defined period; Incorporate moves mature text into the draft Protocol of Modernization; Negotiate sends a structural question into the final negotiating package. The classification prevents interim mechanisms from drifting into permanence by inertia and prevents successful pilots from dying with the crisis that produced them.</w:t>
      </w:r>
    </w:p>
    <w:p>
      <w:pPr>
        <w:pStyle w:val="Heading1"/>
        <w:spacing w:after="160" w:before="320"/>
      </w:pPr>
      <w:r>
        <w:rPr>
          <w:rFonts w:ascii="Times New Roman" w:cs="Times New Roman" w:eastAsia="SimSun" w:hAnsi="Times New Roman"/>
          <w:b/>
          <w:bCs/>
          <w:color w:val="1F3A52"/>
          <w:sz w:val="28"/>
          <w:szCs w:val="28"/>
        </w:rPr>
        <w:t xml:space="preserve">PART X: INSTITUTIONS</w:t>
      </w:r>
    </w:p>
    <w:p>
      <w:pPr>
        <w:pStyle w:val="Heading2"/>
        <w:spacing w:after="120" w:before="240"/>
      </w:pPr>
      <w:r>
        <w:rPr>
          <w:rFonts w:ascii="Times New Roman" w:cs="Times New Roman" w:eastAsia="SimSun" w:hAnsi="Times New Roman"/>
          <w:b/>
          <w:bCs/>
          <w:color w:val="33556E"/>
          <w:sz w:val="24"/>
          <w:szCs w:val="24"/>
        </w:rPr>
        <w:t xml:space="preserve">Article 43: Reaffirmation Council</w:t>
      </w:r>
    </w:p>
    <w:p>
      <w:pPr>
        <w:spacing w:after="140" w:line="288"/>
        <w:ind w:firstLine="431"/>
        <w:jc w:val="both"/>
      </w:pPr>
      <w:r>
        <w:rPr>
          <w:rFonts w:ascii="Times New Roman" w:cs="Times New Roman" w:eastAsia="SimSun" w:hAnsi="Times New Roman"/>
          <w:sz w:val="23"/>
          <w:szCs w:val="23"/>
        </w:rPr>
        <w:t xml:space="preserve">The Reaffirmation Council comprises ministerial-level representatives of each Party, for Canada, the minister responsible for Canada–United States trade; for the United Mexican States, the Secretary of Economy; for the United States, the United States Trade Representative, or their designated alternates of equivalent rank. The Council meets at each Gate, at the request of any Party within fourteen days of the request, and automatically within seventy-two hours of any Tier 3 classification or Article 14(2)(d) referral.</w:t>
      </w:r>
    </w:p>
    <w:p>
      <w:pPr>
        <w:spacing w:after="140" w:line="288"/>
        <w:ind w:firstLine="431"/>
        <w:jc w:val="both"/>
      </w:pPr>
      <w:r>
        <w:rPr>
          <w:rFonts w:ascii="Times New Roman" w:cs="Times New Roman" w:eastAsia="SimSun" w:hAnsi="Times New Roman"/>
          <w:sz w:val="23"/>
          <w:szCs w:val="23"/>
        </w:rPr>
        <w:t xml:space="preserve">The Council: supervises the Negotiation; adopts Rules of Procedure and their amendments; issues Interim Application Notes; amends the Locked Consensus Register by consensus; resolves parked items or directs their disposition; reviews the bracket census; and performs the conversion classification under Article 42. The Council reports, through the Depositary, to the CUSMA Free Trade Commission at each annual joint review.</w:t>
      </w:r>
    </w:p>
    <w:p>
      <w:pPr>
        <w:spacing w:after="140" w:line="288"/>
        <w:ind w:firstLine="431"/>
        <w:jc w:val="both"/>
      </w:pPr>
      <w:r>
        <w:rPr>
          <w:rFonts w:ascii="Times New Roman" w:cs="Times New Roman" w:eastAsia="SimSun" w:hAnsi="Times New Roman"/>
          <w:sz w:val="23"/>
          <w:szCs w:val="23"/>
        </w:rPr>
        <w:t xml:space="preserve">The Council reaches decisions by consensus of all Parties, except that consensus-minus-one governs findings concerning one Party's conduct under Article 35(2). The Council acts by written procedure, including the silence procedure of Article 7(4) for procedural matters.</w:t>
      </w:r>
    </w:p>
    <w:p>
      <w:pPr>
        <w:pStyle w:val="Heading2"/>
        <w:spacing w:after="120" w:before="240"/>
      </w:pPr>
      <w:r>
        <w:rPr>
          <w:rFonts w:ascii="Times New Roman" w:cs="Times New Roman" w:eastAsia="SimSun" w:hAnsi="Times New Roman"/>
          <w:b/>
          <w:bCs/>
          <w:color w:val="33556E"/>
          <w:sz w:val="24"/>
          <w:szCs w:val="24"/>
        </w:rPr>
        <w:t xml:space="preserve">Article 44: Depositary and Facilitator</w:t>
      </w:r>
    </w:p>
    <w:p>
      <w:pPr>
        <w:spacing w:after="140" w:line="288"/>
        <w:ind w:firstLine="431"/>
        <w:jc w:val="both"/>
      </w:pPr>
      <w:r>
        <w:rPr>
          <w:rFonts w:ascii="Times New Roman" w:cs="Times New Roman" w:eastAsia="SimSun" w:hAnsi="Times New Roman"/>
          <w:sz w:val="23"/>
          <w:szCs w:val="23"/>
        </w:rPr>
        <w:t xml:space="preserve">The Depositary of this Instrument is the Secretariat, acting through its Registry custodian functions, with custody of the instrument of signature, instruments of accession, the Locked Consensus Register, and the consolidated negotiating text and its version history. The Depositary convenes the Resumption Conference and Rounds where Article 5(3) or 25(3) engages, and transmits certified records to the Free Trade Commission.</w:t>
      </w:r>
    </w:p>
    <w:p>
      <w:pPr>
        <w:spacing w:after="140" w:line="288"/>
        <w:ind w:firstLine="431"/>
        <w:jc w:val="both"/>
      </w:pPr>
      <w:r>
        <w:rPr>
          <w:rFonts w:ascii="Times New Roman" w:cs="Times New Roman" w:eastAsia="SimSun" w:hAnsi="Times New Roman"/>
          <w:sz w:val="23"/>
          <w:szCs w:val="23"/>
        </w:rPr>
        <w:t xml:space="preserve">The Parties invite the Swiss Confederation to act as Facilitator: accrediting the standing Expert Pool of Article 30(4), holding any escrow amounts established under this Instrument, providing good offices under Article 26(3), and receiving notifications where this Instrument requires a neutral channel. If the invitation goes unaccepted within sixty days, the Parties designate an alternate facilitator by consensus, and the Secretariat performs the functions intermediately under co-chair countersignature.</w:t>
      </w:r>
    </w:p>
    <w:p>
      <w:pPr>
        <w:pStyle w:val="Heading2"/>
        <w:spacing w:after="120" w:before="240"/>
      </w:pPr>
      <w:r>
        <w:rPr>
          <w:rFonts w:ascii="Times New Roman" w:cs="Times New Roman" w:eastAsia="SimSun" w:hAnsi="Times New Roman"/>
          <w:b/>
          <w:bCs/>
          <w:color w:val="33556E"/>
          <w:sz w:val="24"/>
          <w:szCs w:val="24"/>
        </w:rPr>
        <w:t xml:space="preserve">Article 45: Committees and Technical Working Groups</w:t>
      </w:r>
    </w:p>
    <w:p>
      <w:pPr>
        <w:spacing w:after="140" w:line="288"/>
        <w:ind w:firstLine="431"/>
        <w:jc w:val="both"/>
      </w:pPr>
      <w:r>
        <w:rPr>
          <w:rFonts w:ascii="Times New Roman" w:cs="Times New Roman" w:eastAsia="SimSun" w:hAnsi="Times New Roman"/>
          <w:sz w:val="23"/>
          <w:szCs w:val="23"/>
        </w:rPr>
        <w:t xml:space="preserve">The Council establishes: a Committee on Negotiation Management (Chief Negotiators, chairing the Round cycle and the bracket census); six Lane-level Technical Working Groups mapped to Annex D; a Customs and Tariff Data Group (administering Annex B inventories, rate synchronization, and refund verification); and a Stakeholder Channel (receiving structured input from business, labor, agricultural, and Indigenous representative bodies of each Party, with submissions logged in the public tier of the Registry).</w:t>
      </w:r>
    </w:p>
    <w:p>
      <w:pPr>
        <w:spacing w:after="140" w:line="288"/>
        <w:ind w:firstLine="431"/>
        <w:jc w:val="both"/>
      </w:pPr>
      <w:r>
        <w:rPr>
          <w:rFonts w:ascii="Times New Roman" w:cs="Times New Roman" w:eastAsia="SimSun" w:hAnsi="Times New Roman"/>
          <w:sz w:val="23"/>
          <w:szCs w:val="23"/>
        </w:rPr>
        <w:t xml:space="preserve">Technical Working Groups meet between Rounds on the intersessional schedule, produce the evidence notes Article 26 assigns, and hold no authority to close text. Working Group records are public unless a Party marks a record protected on Registry tier rules.</w:t>
      </w:r>
    </w:p>
    <w:p>
      <w:pPr>
        <w:pStyle w:val="Heading2"/>
        <w:spacing w:after="120" w:before="240"/>
      </w:pPr>
      <w:r>
        <w:rPr>
          <w:rFonts w:ascii="Times New Roman" w:cs="Times New Roman" w:eastAsia="SimSun" w:hAnsi="Times New Roman"/>
          <w:b/>
          <w:bCs/>
          <w:color w:val="33556E"/>
          <w:sz w:val="24"/>
          <w:szCs w:val="24"/>
        </w:rPr>
        <w:t xml:space="preserve">Article 46: Budget and Funding</w:t>
      </w:r>
    </w:p>
    <w:p>
      <w:pPr>
        <w:spacing w:after="140" w:line="288"/>
        <w:ind w:firstLine="431"/>
        <w:jc w:val="both"/>
      </w:pPr>
      <w:r>
        <w:rPr>
          <w:rFonts w:ascii="Times New Roman" w:cs="Times New Roman" w:eastAsia="SimSun" w:hAnsi="Times New Roman"/>
          <w:sz w:val="23"/>
          <w:szCs w:val="23"/>
        </w:rPr>
        <w:t xml:space="preserve">The common costs of the Secretariat, the Registry, Panel operations, and the Facilitator's functions are borne by the Parties in equal thirds, under an initial annual budget adopted at the Resumption Conference, with a contingency reserve of ten per cent releasable only on joint written request or certification of documented overrun. A Party ninety days in arrears on its assessed share is in Procedural Default as to Article 8(1)(e); budget continuity holds: amounts released before any fallback or pause remain available, and the architecture bars any recall of released funds because of a political dispute.</w:t>
      </w:r>
    </w:p>
    <w:p>
      <w:pPr>
        <w:pStyle w:val="Heading1"/>
        <w:spacing w:after="160" w:before="320"/>
      </w:pPr>
      <w:r>
        <w:rPr>
          <w:rFonts w:ascii="Times New Roman" w:cs="Times New Roman" w:eastAsia="SimSun" w:hAnsi="Times New Roman"/>
          <w:b/>
          <w:bCs/>
          <w:color w:val="1F3A52"/>
          <w:sz w:val="28"/>
          <w:szCs w:val="28"/>
        </w:rPr>
        <w:t xml:space="preserve">PART XI: FINAL PROVISIONS</w:t>
      </w:r>
    </w:p>
    <w:p>
      <w:pPr>
        <w:pStyle w:val="Heading2"/>
        <w:spacing w:after="120" w:before="240"/>
      </w:pPr>
      <w:r>
        <w:rPr>
          <w:rFonts w:ascii="Times New Roman" w:cs="Times New Roman" w:eastAsia="SimSun" w:hAnsi="Times New Roman"/>
          <w:b/>
          <w:bCs/>
          <w:color w:val="33556E"/>
          <w:sz w:val="24"/>
          <w:szCs w:val="24"/>
        </w:rPr>
        <w:t xml:space="preserve">Article 47: Signature</w:t>
      </w:r>
    </w:p>
    <w:p>
      <w:pPr>
        <w:spacing w:after="140" w:line="288"/>
        <w:ind w:firstLine="431"/>
        <w:jc w:val="both"/>
      </w:pPr>
      <w:r>
        <w:rPr>
          <w:rFonts w:ascii="Times New Roman" w:cs="Times New Roman" w:eastAsia="SimSun" w:hAnsi="Times New Roman"/>
          <w:sz w:val="23"/>
          <w:szCs w:val="23"/>
        </w:rPr>
        <w:t xml:space="preserve">This Instrument stands open for signature by Canada, the United Mexican States, and the United States of America. A head of government, a minister responsible for trade, or a duly authorized representative effects signature. The English, French, and Spanish texts are equally authentic.</w:t>
      </w:r>
    </w:p>
    <w:p>
      <w:pPr>
        <w:pStyle w:val="Heading2"/>
        <w:spacing w:after="120" w:before="240"/>
      </w:pPr>
      <w:r>
        <w:rPr>
          <w:rFonts w:ascii="Times New Roman" w:cs="Times New Roman" w:eastAsia="SimSun" w:hAnsi="Times New Roman"/>
          <w:b/>
          <w:bCs/>
          <w:color w:val="33556E"/>
          <w:sz w:val="24"/>
          <w:szCs w:val="24"/>
        </w:rPr>
        <w:t xml:space="preserve">Article 48: Entry into Force</w:t>
      </w:r>
    </w:p>
    <w:p>
      <w:pPr>
        <w:spacing w:after="140" w:line="288"/>
        <w:ind w:firstLine="431"/>
        <w:jc w:val="both"/>
      </w:pPr>
      <w:r>
        <w:rPr>
          <w:rFonts w:ascii="Times New Roman" w:cs="Times New Roman" w:eastAsia="SimSun" w:hAnsi="Times New Roman"/>
          <w:sz w:val="23"/>
          <w:szCs w:val="23"/>
        </w:rPr>
        <w:t xml:space="preserve">This Instrument enters into force for each Signatory on the date of its signature, without requirement of further deposit. As between any two Parties, the reciprocal obligations of Part III apply from the later of their respective dates of entry into force. The institutional parts of this Instrument operate among the Parties then in force, and every meeting, record, and Registry tier remains open to a non-Party Signatory as observer until it becomes a Party.</w:t>
      </w:r>
    </w:p>
    <w:p>
      <w:pPr>
        <w:spacing w:after="140" w:line="288"/>
        <w:ind w:firstLine="431"/>
        <w:jc w:val="both"/>
      </w:pPr>
      <w:r>
        <w:rPr>
          <w:rFonts w:ascii="Times New Roman" w:cs="Times New Roman" w:eastAsia="SimSun" w:hAnsi="Times New Roman"/>
          <w:sz w:val="23"/>
          <w:szCs w:val="23"/>
        </w:rPr>
        <w:t xml:space="preserve">The Parties recognize that this entry-into-force design leaves the door permanently open: a State that does not sign on the first day loses nothing by acceding later except time, and gains the full benefit of the Standstill from the date its accession takes effect.</w:t>
      </w:r>
    </w:p>
    <w:p>
      <w:pPr>
        <w:pStyle w:val="Heading2"/>
        <w:spacing w:after="120" w:before="240"/>
      </w:pPr>
      <w:r>
        <w:rPr>
          <w:rFonts w:ascii="Times New Roman" w:cs="Times New Roman" w:eastAsia="SimSun" w:hAnsi="Times New Roman"/>
          <w:b/>
          <w:bCs/>
          <w:color w:val="33556E"/>
          <w:sz w:val="24"/>
          <w:szCs w:val="24"/>
        </w:rPr>
        <w:t xml:space="preserve">Article 49: Standing Invitation and Accession Mechanics</w:t>
      </w:r>
    </w:p>
    <w:p>
      <w:pPr>
        <w:spacing w:after="140" w:line="288"/>
        <w:ind w:firstLine="431"/>
        <w:jc w:val="both"/>
      </w:pPr>
      <w:r>
        <w:rPr>
          <w:rFonts w:ascii="Times New Roman" w:cs="Times New Roman" w:eastAsia="SimSun" w:hAnsi="Times New Roman"/>
          <w:sz w:val="23"/>
          <w:szCs w:val="23"/>
        </w:rPr>
        <w:t xml:space="preserve">A Signatory that has not yet become a Party accedes at any time before the expiry of this Instrument by written instrument notified to the Depositary, taking effect immediately upon notification. Upon the accession of the United States: (a) Part III applies reciprocally between the United States and each other Party from the effective time of accession; (b) the Resumption Conference obligation of Article 5(1) engages if not already performed; and (c) the Depositary recalculates the Negotiation Calendar in Annex A from the accession date, preserving every Gate proportion, without resetting any verification record already accumulated.</w:t>
      </w:r>
    </w:p>
    <w:p>
      <w:pPr>
        <w:spacing w:after="140" w:line="288"/>
        <w:ind w:firstLine="431"/>
        <w:jc w:val="both"/>
      </w:pPr>
      <w:r>
        <w:rPr>
          <w:rFonts w:ascii="Times New Roman" w:cs="Times New Roman" w:eastAsia="SimSun" w:hAnsi="Times New Roman"/>
          <w:sz w:val="23"/>
          <w:szCs w:val="23"/>
        </w:rPr>
        <w:t xml:space="preserve">Accession carries no admission, no retroactive liability, and no precondition beyond acceptance of this Instrument as it stands, including the Locked Consensus Register as consolidated at the date of accession.</w:t>
      </w:r>
    </w:p>
    <w:p>
      <w:pPr>
        <w:pStyle w:val="Heading2"/>
        <w:spacing w:after="120" w:before="240"/>
      </w:pPr>
      <w:r>
        <w:rPr>
          <w:rFonts w:ascii="Times New Roman" w:cs="Times New Roman" w:eastAsia="SimSun" w:hAnsi="Times New Roman"/>
          <w:b/>
          <w:bCs/>
          <w:color w:val="33556E"/>
          <w:sz w:val="24"/>
          <w:szCs w:val="24"/>
        </w:rPr>
        <w:t xml:space="preserve">Article 50: Duration, Review, and Declassification</w:t>
      </w:r>
    </w:p>
    <w:p>
      <w:pPr>
        <w:spacing w:after="140" w:line="288"/>
        <w:ind w:firstLine="431"/>
        <w:jc w:val="both"/>
      </w:pPr>
      <w:r>
        <w:rPr>
          <w:rFonts w:ascii="Times New Roman" w:cs="Times New Roman" w:eastAsia="SimSun" w:hAnsi="Times New Roman"/>
          <w:sz w:val="23"/>
          <w:szCs w:val="23"/>
        </w:rPr>
        <w:t xml:space="preserve">This Instrument remains in force for eighteen months from its first entry into force, and thereafter until terminated by consensus or subsumed under Article 51. The Council reviews its operation at each Gate and at the close of the Negotiation Period.</w:t>
      </w:r>
    </w:p>
    <w:p>
      <w:pPr>
        <w:spacing w:after="140" w:line="288"/>
        <w:ind w:firstLine="431"/>
        <w:jc w:val="both"/>
      </w:pPr>
      <w:r>
        <w:rPr>
          <w:rFonts w:ascii="Times New Roman" w:cs="Times New Roman" w:eastAsia="SimSun" w:hAnsi="Times New Roman"/>
          <w:sz w:val="23"/>
          <w:szCs w:val="23"/>
        </w:rPr>
        <w:t xml:space="preserve">Upon the earlier of entry into force of the Protocol of Modernization or the fifth anniversary of this Instrument's first entry into force, the Registry's records declassify in accordance with their tier rules, with redaction of personal identifying information; the Parties jointly delay declassification for up to two further periods of one year each.</w:t>
      </w:r>
    </w:p>
    <w:p>
      <w:pPr>
        <w:pStyle w:val="Heading2"/>
        <w:spacing w:after="120" w:before="240"/>
      </w:pPr>
      <w:r>
        <w:rPr>
          <w:rFonts w:ascii="Times New Roman" w:cs="Times New Roman" w:eastAsia="SimSun" w:hAnsi="Times New Roman"/>
          <w:b/>
          <w:bCs/>
          <w:color w:val="33556E"/>
          <w:sz w:val="24"/>
          <w:szCs w:val="24"/>
        </w:rPr>
        <w:t xml:space="preserve">Article 51: Succession, Withdrawal, and Wind-Down</w:t>
      </w:r>
    </w:p>
    <w:p>
      <w:pPr>
        <w:spacing w:after="140" w:line="288"/>
        <w:ind w:firstLine="431"/>
        <w:jc w:val="both"/>
      </w:pPr>
      <w:r>
        <w:rPr>
          <w:rFonts w:ascii="Times New Roman" w:cs="Times New Roman" w:eastAsia="SimSun" w:hAnsi="Times New Roman"/>
          <w:sz w:val="23"/>
          <w:szCs w:val="23"/>
        </w:rPr>
        <w:t xml:space="preserve">Upon entry into force of the Protocol of Modernization, this Instrument terminates and folds into the modernized agreement: its Registry records transfer to the verification architecture of the modernized agreement; its Locked Consensus Register joins the negotiating record as an annex; and the tariff treatment of the modernized agreement replaces its Standstill obligations.</w:t>
      </w:r>
    </w:p>
    <w:p>
      <w:pPr>
        <w:spacing w:after="140" w:line="288"/>
        <w:ind w:firstLine="431"/>
        <w:jc w:val="both"/>
      </w:pPr>
      <w:r>
        <w:rPr>
          <w:rFonts w:ascii="Times New Roman" w:cs="Times New Roman" w:eastAsia="SimSun" w:hAnsi="Times New Roman"/>
          <w:sz w:val="23"/>
          <w:szCs w:val="23"/>
        </w:rPr>
        <w:t xml:space="preserve">A Party withdraws from this Instrument on ninety days' written notice to the Depositary. Withdrawal does not: restore any Covered Measure faster than the ordinary operation of domestic law provides; affect completed private contracts, completed procurements, vested rights, or goods in transit; or constitute, by itself, evidence of bad faith. During the notice period the withdrawing Party remains bound by the Attendance Obligation as to already-scheduled Rounds.</w:t>
      </w:r>
    </w:p>
    <w:p>
      <w:pPr>
        <w:spacing w:after="140" w:line="288"/>
        <w:ind w:firstLine="431"/>
        <w:jc w:val="both"/>
      </w:pPr>
      <w:r>
        <w:rPr>
          <w:rFonts w:ascii="Times New Roman" w:cs="Times New Roman" w:eastAsia="SimSun" w:hAnsi="Times New Roman"/>
          <w:sz w:val="23"/>
          <w:szCs w:val="23"/>
        </w:rPr>
        <w:t xml:space="preserve">Where this Instrument expires or terminates otherwise than by succession, the Council publishes a closure ledger within thirty days identifying closed modules, unresolved disputes, surviving instruments, and records transferred to the Free Trade Commission process.</w:t>
      </w:r>
    </w:p>
    <w:p>
      <w:pPr>
        <w:pStyle w:val="Heading2"/>
        <w:spacing w:after="120" w:before="240"/>
      </w:pPr>
      <w:r>
        <w:rPr>
          <w:rFonts w:ascii="Times New Roman" w:cs="Times New Roman" w:eastAsia="SimSun" w:hAnsi="Times New Roman"/>
          <w:b/>
          <w:bCs/>
          <w:color w:val="33556E"/>
          <w:sz w:val="24"/>
          <w:szCs w:val="24"/>
        </w:rPr>
        <w:t xml:space="preserve">Article 52: Annexes</w:t>
      </w:r>
    </w:p>
    <w:p>
      <w:pPr>
        <w:spacing w:after="140" w:line="288"/>
        <w:ind w:firstLine="431"/>
        <w:jc w:val="both"/>
      </w:pPr>
      <w:r>
        <w:rPr>
          <w:rFonts w:ascii="Times New Roman" w:cs="Times New Roman" w:eastAsia="SimSun" w:hAnsi="Times New Roman"/>
          <w:sz w:val="23"/>
          <w:szCs w:val="23"/>
        </w:rPr>
        <w:t xml:space="preserve">The Annexes to this Instrument constitute an integral part of it: Annex A (Negotiation Calendar and Gate Schedule); Annex B (Covered Measures and De-escalation Schedule); Annex C (Locked Consensus Register and Reservations Record); Annex D (Negotiating Lane Map to the Reference Consolidated Text); Annex E (Cothrom Trade Adaptation, Operating Parameters); Annex F (Reciprocal Obligation Ledger, Template and Status Rules); Annex G (Failure Scenarios and Prescribed Responses); Annex H (Signature, Accession, and Confirmation Forms); and Annex I (Situation Assessment and Record Basis).</w:t>
      </w:r>
    </w:p>
    <w:p>
      <w:pPr>
        <w:pStyle w:val="Heading1"/>
        <w:spacing w:after="160" w:before="320"/>
      </w:pPr>
      <w:r>
        <w:rPr>
          <w:rFonts w:ascii="Times New Roman" w:cs="Times New Roman" w:eastAsia="SimSun" w:hAnsi="Times New Roman"/>
          <w:b/>
          <w:bCs/>
          <w:color w:val="1F3A52"/>
          <w:sz w:val="28"/>
          <w:szCs w:val="28"/>
        </w:rPr>
        <w:t xml:space="preserve">ANNEX A: NEGOTIATION CALENDAR AND GATE SCHEDULE</w:t>
      </w:r>
    </w:p>
    <w:p>
      <w:pPr>
        <w:spacing w:after="140" w:line="288"/>
        <w:ind w:firstLine="431"/>
        <w:jc w:val="both"/>
      </w:pPr>
      <w:r>
        <w:rPr>
          <w:rFonts w:ascii="Times New Roman" w:cs="Times New Roman" w:eastAsia="SimSun" w:hAnsi="Times New Roman"/>
          <w:sz w:val="23"/>
          <w:szCs w:val="23"/>
        </w:rPr>
        <w:t xml:space="preserve">All day counts run from the effective date of entry into force of this Instrument for all three Parties, or from United States accession where Article 49(1)(c) applies. Venues rotate Ottawa, Washington, Mexico City unless the Council records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Milestone</w:t>
            </w:r>
          </w:p>
        </w:tc>
        <w:tc>
          <w:tcPr>
            <w:tcW w:type="dxa" w:w="19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Deadline</w:t>
            </w:r>
          </w:p>
        </w:tc>
        <w:tc>
          <w:tcPr>
            <w:tcW w:type="dxa" w:w="596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Deliverables</w:t>
            </w:r>
          </w:p>
        </w:tc>
      </w:tr>
      <w:tr>
        <w:trPr>
          <w:tblHeader w:val="false"/>
        </w:trPr>
        <w:tc>
          <w:tcPr>
            <w:tcW w:type="dxa" w:w="1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Signature window</w:t>
            </w:r>
          </w:p>
        </w:tc>
        <w:tc>
          <w:tcPr>
            <w:tcW w:type="dxa" w:w="19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On or before September 8, 2026</w:t>
            </w:r>
          </w:p>
        </w:tc>
        <w:tc>
          <w:tcPr>
            <w:tcW w:type="dxa" w:w="59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Signature by available Parties; deposit of instruments; Registry activation order issued; recommendation transmitted to executives of all three States.</w:t>
            </w:r>
          </w:p>
        </w:tc>
      </w:tr>
      <w:tr>
        <w:trPr>
          <w:tblHeader w:val="false"/>
        </w:trPr>
        <w:tc>
          <w:tcPr>
            <w:tcW w:type="dxa" w:w="15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Zero</w:t>
            </w:r>
          </w:p>
        </w:tc>
        <w:tc>
          <w:tcPr>
            <w:tcW w:type="dxa" w:w="19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Hour 0–72</w:t>
            </w:r>
          </w:p>
        </w:tc>
        <w:tc>
          <w:tcPr>
            <w:tcW w:type="dxa" w:w="59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Domestic suspension instruments issued and published; customs coding instructions effective; Annex B schedules deposited; Secretariat staffing confirmed at floor; hotline and duty-officer roster live.</w:t>
            </w:r>
          </w:p>
        </w:tc>
      </w:tr>
      <w:tr>
        <w:trPr>
          <w:tblHeader w:val="false"/>
        </w:trPr>
        <w:tc>
          <w:tcPr>
            <w:tcW w:type="dxa" w:w="1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Resumption Conference</w:t>
            </w:r>
          </w:p>
        </w:tc>
        <w:tc>
          <w:tcPr>
            <w:tcW w:type="dxa" w:w="19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 14</w:t>
            </w:r>
          </w:p>
        </w:tc>
        <w:tc>
          <w:tcPr>
            <w:tcW w:type="dxa" w:w="59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Chief Negotiators confirmed; Rules of Procedure adopted; Lanes activated; Register confirmed; Round calendar fixed.</w:t>
            </w:r>
          </w:p>
        </w:tc>
      </w:tr>
      <w:tr>
        <w:trPr>
          <w:tblHeader w:val="false"/>
        </w:trPr>
        <w:tc>
          <w:tcPr>
            <w:tcW w:type="dxa" w:w="15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One</w:t>
            </w:r>
          </w:p>
        </w:tc>
        <w:tc>
          <w:tcPr>
            <w:tcW w:type="dxa" w:w="19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 30</w:t>
            </w:r>
          </w:p>
        </w:tc>
        <w:tc>
          <w:tcPr>
            <w:tcW w:type="dxa" w:w="59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Opening textual proposals tabled in at least four of six Lanes by each Party; interim treatment schedules tabled (Arts. 10(2), 12(1)(c)); first Procedural Compliance Records published.</w:t>
            </w:r>
          </w:p>
        </w:tc>
      </w:tr>
      <w:tr>
        <w:trPr>
          <w:tblHeader w:val="false"/>
        </w:trPr>
        <w:tc>
          <w:tcPr>
            <w:tcW w:type="dxa" w:w="1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Rounds 1–3</w:t>
            </w:r>
          </w:p>
        </w:tc>
        <w:tc>
          <w:tcPr>
            <w:tcW w:type="dxa" w:w="19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Days 21–85</w:t>
            </w:r>
          </w:p>
        </w:tc>
        <w:tc>
          <w:tcPr>
            <w:tcW w:type="dxa" w:w="59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Monthly Rounds; weekly deputy intersessionals; Lane working groups stood up; evidence notes commissioned on first-generation brackets.</w:t>
            </w:r>
          </w:p>
        </w:tc>
      </w:tr>
      <w:tr>
        <w:trPr>
          <w:tblHeader w:val="false"/>
        </w:trPr>
        <w:tc>
          <w:tcPr>
            <w:tcW w:type="dxa" w:w="15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Two</w:t>
            </w:r>
          </w:p>
        </w:tc>
        <w:tc>
          <w:tcPr>
            <w:tcW w:type="dxa" w:w="19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 90</w:t>
            </w:r>
          </w:p>
        </w:tc>
        <w:tc>
          <w:tcPr>
            <w:tcW w:type="dxa" w:w="59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First consolidated text edition; bracket census baseline and 20% resolution; Early Harvest readiness assessment; Recognized Bilateral Instrument records integrated.</w:t>
            </w:r>
          </w:p>
        </w:tc>
      </w:tr>
      <w:tr>
        <w:trPr>
          <w:tblHeader w:val="false"/>
        </w:trPr>
        <w:tc>
          <w:tcPr>
            <w:tcW w:type="dxa" w:w="1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Rounds 4–7</w:t>
            </w:r>
          </w:p>
        </w:tc>
        <w:tc>
          <w:tcPr>
            <w:tcW w:type="dxa" w:w="19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Days 95–210</w:t>
            </w:r>
          </w:p>
        </w:tc>
        <w:tc>
          <w:tcPr>
            <w:tcW w:type="dxa" w:w="59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Lane negotiation in depth; parked-item management under Art. 26; Interim Application Notes issued for selected Early Harvest Modules.</w:t>
            </w:r>
          </w:p>
        </w:tc>
      </w:tr>
      <w:tr>
        <w:trPr>
          <w:tblHeader w:val="false"/>
        </w:trPr>
        <w:tc>
          <w:tcPr>
            <w:tcW w:type="dxa" w:w="15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Three</w:t>
            </w:r>
          </w:p>
        </w:tc>
        <w:tc>
          <w:tcPr>
            <w:tcW w:type="dxa" w:w="19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 180</w:t>
            </w:r>
          </w:p>
        </w:tc>
        <w:tc>
          <w:tcPr>
            <w:tcW w:type="dxa" w:w="59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At least two Interim Application Notes in force; bracket census reduced by half; ministerial mid-Negotiation review; trilateralization assessment of bilateral modules.</w:t>
            </w:r>
          </w:p>
        </w:tc>
      </w:tr>
      <w:tr>
        <w:trPr>
          <w:tblHeader w:val="false"/>
        </w:trPr>
        <w:tc>
          <w:tcPr>
            <w:tcW w:type="dxa" w:w="1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Rounds 8–10</w:t>
            </w:r>
          </w:p>
        </w:tc>
        <w:tc>
          <w:tcPr>
            <w:tcW w:type="dxa" w:w="19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Days 215–290</w:t>
            </w:r>
          </w:p>
        </w:tc>
        <w:tc>
          <w:tcPr>
            <w:tcW w:type="dxa" w:w="59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Closing negotiations on residual brackets; final consolidated text preparation; heads-of-government briefing packages.</w:t>
            </w:r>
          </w:p>
        </w:tc>
      </w:tr>
      <w:tr>
        <w:trPr>
          <w:tblHeader w:val="false"/>
        </w:trPr>
        <w:tc>
          <w:tcPr>
            <w:tcW w:type="dxa" w:w="15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Four</w:t>
            </w:r>
          </w:p>
        </w:tc>
        <w:tc>
          <w:tcPr>
            <w:tcW w:type="dxa" w:w="19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Day 300</w:t>
            </w:r>
          </w:p>
        </w:tc>
        <w:tc>
          <w:tcPr>
            <w:tcW w:type="dxa" w:w="59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Draft Protocol of Modernization before the Council; Retire/Extend/Incorporate/Negotiate classification of all interim modules; extension decision under Art. 23.</w:t>
            </w:r>
          </w:p>
        </w:tc>
      </w:tr>
      <w:tr>
        <w:trPr>
          <w:tblHeader w:val="false"/>
        </w:trPr>
        <w:tc>
          <w:tcPr>
            <w:tcW w:type="dxa" w:w="1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Confirmation target</w:t>
            </w:r>
          </w:p>
        </w:tc>
        <w:tc>
          <w:tcPr>
            <w:tcW w:type="dxa" w:w="19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On or before the July 2027 annual joint review</w:t>
            </w:r>
          </w:p>
        </w:tc>
        <w:tc>
          <w:tcPr>
            <w:tcW w:type="dxa" w:w="59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Protocol of Modernization initialled; written confirmations under CUSMA Art. 34.7.4 prepared for heads of government.</w:t>
            </w:r>
          </w:p>
        </w:tc>
      </w:tr>
    </w:tbl>
    <w:p>
      <w:pPr>
        <w:spacing w:after="140" w:line="288"/>
        <w:ind w:firstLine="431"/>
        <w:jc w:val="both"/>
      </w:pPr>
      <w:r>
        <w:rPr>
          <w:rFonts w:ascii="Times New Roman" w:cs="Times New Roman" w:eastAsia="SimSun" w:hAnsi="Times New Roman"/>
          <w:sz w:val="23"/>
          <w:szCs w:val="23"/>
        </w:rPr>
        <w:t xml:space="preserve">The Registry records a Gate met late as met-late with the delay measured in days; the classification of the delay (Tier 1, Tier 2, or excused) follows Part VII. The calendar bends; it does not break.</w:t>
      </w:r>
    </w:p>
    <w:p>
      <w:pPr>
        <w:pStyle w:val="Heading1"/>
        <w:spacing w:after="160" w:before="320"/>
      </w:pPr>
      <w:r>
        <w:rPr>
          <w:rFonts w:ascii="Times New Roman" w:cs="Times New Roman" w:eastAsia="SimSun" w:hAnsi="Times New Roman"/>
          <w:b/>
          <w:bCs/>
          <w:color w:val="1F3A52"/>
          <w:sz w:val="28"/>
          <w:szCs w:val="28"/>
        </w:rPr>
        <w:t xml:space="preserve">ANNEX B: COVERED MEASURES AND DE-ESCALATION SCHEDULE</w:t>
      </w:r>
    </w:p>
    <w:p>
      <w:pPr>
        <w:spacing w:after="140" w:line="288"/>
        <w:ind w:firstLine="431"/>
        <w:jc w:val="both"/>
      </w:pPr>
      <w:r>
        <w:rPr>
          <w:rFonts w:ascii="Times New Roman" w:cs="Times New Roman" w:eastAsia="SimSun" w:hAnsi="Times New Roman"/>
          <w:sz w:val="23"/>
          <w:szCs w:val="23"/>
        </w:rPr>
        <w:t xml:space="preserve">Part 1: United States measures. The United States schedule includes, at tariff-item level, the additional duties imposed under Section 338 of the Trade Act of 1930 effective August 22, 2026 (including the product annexes of the July 20, 2026 proclamations covering motor vehicles, alcoholic beverages, and dairy products, and any temporary suspension instrument, including the August 24, 2026 suspension proclamation and its terms), and the Section 232 measures applicable to steel, aluminum, and automotive goods of the Parties.</w:t>
      </w:r>
    </w:p>
    <w:p>
      <w:pPr>
        <w:spacing w:after="140" w:line="288"/>
        <w:ind w:firstLine="431"/>
        <w:jc w:val="both"/>
      </w:pPr>
      <w:r>
        <w:rPr>
          <w:rFonts w:ascii="Times New Roman" w:cs="Times New Roman" w:eastAsia="SimSun" w:hAnsi="Times New Roman"/>
          <w:sz w:val="23"/>
          <w:szCs w:val="23"/>
        </w:rPr>
        <w:t xml:space="preserve">Part 2: Canadian measures. The Canadian schedule includes the counter-tariff order published August 25, 2026 (629 tariff items; rates of 15, 25, and 50 per cent; approximately $27.6 billion of United States goods; effective September 8, 2026 at 12:01 a.m., with its in-transit rule and remission linkage), the pre-existing countermeasures on United States automobiles, and all predecessor surtax orders remaining in force.</w:t>
      </w:r>
    </w:p>
    <w:p>
      <w:pPr>
        <w:spacing w:after="140" w:line="288"/>
        <w:ind w:firstLine="431"/>
        <w:jc w:val="both"/>
      </w:pPr>
      <w:r>
        <w:rPr>
          <w:rFonts w:ascii="Times New Roman" w:cs="Times New Roman" w:eastAsia="SimSun" w:hAnsi="Times New Roman"/>
          <w:sz w:val="23"/>
          <w:szCs w:val="23"/>
        </w:rPr>
        <w:t xml:space="preserve">Part 3: Mexican measures. The Mexican schedule includes any extraordinary measure adopted in connection with the matters under negotiation and any measure whose scheduling a Party requests, subject to verification that it is Party-specific in application.</w:t>
      </w:r>
    </w:p>
    <w:p>
      <w:pPr>
        <w:spacing w:after="140" w:line="288"/>
        <w:ind w:firstLine="431"/>
        <w:jc w:val="both"/>
      </w:pPr>
      <w:r>
        <w:rPr>
          <w:rFonts w:ascii="Times New Roman" w:cs="Times New Roman" w:eastAsia="SimSun" w:hAnsi="Times New Roman"/>
          <w:sz w:val="23"/>
          <w:szCs w:val="23"/>
        </w:rPr>
        <w:t xml:space="preserve">Part 4: De-escalation sequence. Upon reciprocal application of Part III between the relevant Parties, the following sequence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500"/>
        <w:gridCol w:w="3060"/>
      </w:tblGrid>
      <w:tr>
        <w:trPr>
          <w:tblHeader/>
        </w:trPr>
        <w:tc>
          <w:tcPr>
            <w:tcW w:type="dxa" w:w="17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Step</w:t>
            </w:r>
          </w:p>
        </w:tc>
        <w:tc>
          <w:tcPr>
            <w:tcW w:type="dxa" w:w="21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Trigger</w:t>
            </w:r>
          </w:p>
        </w:tc>
        <w:tc>
          <w:tcPr>
            <w:tcW w:type="dxa" w:w="25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United States action</w:t>
            </w:r>
          </w:p>
        </w:tc>
        <w:tc>
          <w:tcPr>
            <w:tcW w:type="dxa" w:w="306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Canadian action</w:t>
            </w:r>
          </w:p>
        </w:tc>
      </w:tr>
      <w:tr>
        <w:trPr>
          <w:tblHeader w:val="false"/>
        </w:trPr>
        <w:tc>
          <w:tcPr>
            <w:tcW w:type="dxa" w:w="1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Step 1</w:t>
            </w:r>
          </w:p>
        </w:tc>
        <w:tc>
          <w:tcPr>
            <w:tcW w:type="dxa" w:w="21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Reciprocal entry into force / accession</w:t>
            </w:r>
          </w:p>
        </w:tc>
        <w:tc>
          <w:tcPr>
            <w:tcW w:type="dxa" w:w="2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Suspend Section 338 collection; CBP instructions; refund lane opened; expansion freeze</w:t>
            </w:r>
          </w:p>
        </w:tc>
        <w:tc>
          <w:tcPr>
            <w:tcW w:type="dxa" w:w="30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Counter-tariff order held at zero collection; remission extended; refund lane opened</w:t>
            </w:r>
          </w:p>
        </w:tc>
      </w:tr>
      <w:tr>
        <w:trPr>
          <w:tblHeader w:val="false"/>
        </w:trPr>
        <w:tc>
          <w:tcPr>
            <w:tcW w:type="dxa" w:w="1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Step 2</w:t>
            </w:r>
          </w:p>
        </w:tc>
        <w:tc>
          <w:tcPr>
            <w:tcW w:type="dxa" w:w="21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One verified</w:t>
            </w:r>
          </w:p>
        </w:tc>
        <w:tc>
          <w:tcPr>
            <w:tcW w:type="dxa" w:w="25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Table interim steel/aluminum and automotive treatment schedule</w:t>
            </w:r>
          </w:p>
        </w:tc>
        <w:tc>
          <w:tcPr>
            <w:tcW w:type="dxa" w:w="30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Auto countermeasures into administrative abeyance; alcohol neutral-administration module tabled for Early Harvest</w:t>
            </w:r>
          </w:p>
        </w:tc>
      </w:tr>
      <w:tr>
        <w:trPr>
          <w:tblHeader w:val="false"/>
        </w:trPr>
        <w:tc>
          <w:tcPr>
            <w:tcW w:type="dxa" w:w="1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Step 3</w:t>
            </w:r>
          </w:p>
        </w:tc>
        <w:tc>
          <w:tcPr>
            <w:tcW w:type="dxa" w:w="21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Two verified</w:t>
            </w:r>
          </w:p>
        </w:tc>
        <w:tc>
          <w:tcPr>
            <w:tcW w:type="dxa" w:w="2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Interim treatment schedule in provisional operation for qualifying goods</w:t>
            </w:r>
          </w:p>
        </w:tc>
        <w:tc>
          <w:tcPr>
            <w:tcW w:type="dxa" w:w="30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Reciprocal provisional operation; dairy TRQ transparency dashboard live</w:t>
            </w:r>
          </w:p>
        </w:tc>
      </w:tr>
      <w:tr>
        <w:trPr>
          <w:tblHeader w:val="false"/>
        </w:trPr>
        <w:tc>
          <w:tcPr>
            <w:tcW w:type="dxa" w:w="1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Step 4</w:t>
            </w:r>
          </w:p>
        </w:tc>
        <w:tc>
          <w:tcPr>
            <w:tcW w:type="dxa" w:w="21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Three verified</w:t>
            </w:r>
          </w:p>
        </w:tc>
        <w:tc>
          <w:tcPr>
            <w:tcW w:type="dxa" w:w="25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Conversion of interim bands toward the negotiated architecture of Lane A</w:t>
            </w:r>
          </w:p>
        </w:tc>
        <w:tc>
          <w:tcPr>
            <w:tcW w:type="dxa" w:w="30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Wind-down of remaining abeyance items per negotiated schedule</w:t>
            </w:r>
          </w:p>
        </w:tc>
      </w:tr>
      <w:tr>
        <w:trPr>
          <w:tblHeader w:val="false"/>
        </w:trPr>
        <w:tc>
          <w:tcPr>
            <w:tcW w:type="dxa" w:w="1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Step 5</w:t>
            </w:r>
          </w:p>
        </w:tc>
        <w:tc>
          <w:tcPr>
            <w:tcW w:type="dxa" w:w="21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Protocol of Modernization</w:t>
            </w:r>
          </w:p>
        </w:tc>
        <w:tc>
          <w:tcPr>
            <w:tcW w:type="dxa" w:w="25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Legacy measures terminated per the wind-down annex of the modernized agreement</w:t>
            </w:r>
          </w:p>
        </w:tc>
        <w:tc>
          <w:tcPr>
            <w:tcW w:type="dxa" w:w="30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Countermeasures terminated per the same wind-down annex</w:t>
            </w:r>
          </w:p>
        </w:tc>
      </w:tr>
    </w:tbl>
    <w:p>
      <w:pPr>
        <w:spacing w:after="140" w:line="288"/>
        <w:ind w:firstLine="431"/>
        <w:jc w:val="both"/>
      </w:pPr>
      <w:r>
        <w:rPr>
          <w:rFonts w:ascii="Times New Roman" w:cs="Times New Roman" w:eastAsia="SimSun" w:hAnsi="Times New Roman"/>
          <w:sz w:val="23"/>
          <w:szCs w:val="23"/>
        </w:rPr>
        <w:t xml:space="preserve">Part 5: Protected Flows. In every step, and under every step-back or reactivation, the framework never interrupts the following flows: food and agricultural staples; medicines and medical goods; energy and electricity; critical minerals and potash; emergency, disaster, and wildfire equipment; and goods in transit on the relevant effective date.</w:t>
      </w:r>
    </w:p>
    <w:p>
      <w:pPr>
        <w:pStyle w:val="Heading1"/>
        <w:spacing w:after="160" w:before="320"/>
      </w:pPr>
      <w:r>
        <w:rPr>
          <w:rFonts w:ascii="Times New Roman" w:cs="Times New Roman" w:eastAsia="SimSun" w:hAnsi="Times New Roman"/>
          <w:b/>
          <w:bCs/>
          <w:color w:val="1F3A52"/>
          <w:sz w:val="28"/>
          <w:szCs w:val="28"/>
        </w:rPr>
        <w:t xml:space="preserve">ANNEX C: LOCKED CONSENSUS REGISTER AND RESERVATIONS RECORD</w:t>
      </w:r>
    </w:p>
    <w:p>
      <w:pPr>
        <w:spacing w:after="140" w:line="288"/>
        <w:ind w:firstLine="431"/>
        <w:jc w:val="both"/>
      </w:pPr>
      <w:r>
        <w:rPr>
          <w:rFonts w:ascii="Times New Roman" w:cs="Times New Roman" w:eastAsia="SimSun" w:hAnsi="Times New Roman"/>
          <w:sz w:val="23"/>
          <w:szCs w:val="23"/>
        </w:rPr>
        <w:t xml:space="preserve">Part 1: Locked Consensus Register (initial entries). The Secretariat verifies each entry against the official record cited in Annex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360"/>
      </w:tblGrid>
      <w:tr>
        <w:trPr>
          <w:tblHeader/>
        </w:trPr>
        <w:tc>
          <w:tcPr>
            <w:tcW w:type="dxa" w:w="7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No.</w:t>
            </w:r>
          </w:p>
        </w:tc>
        <w:tc>
          <w:tcPr>
            <w:tcW w:type="dxa" w:w="53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Locked item</w:t>
            </w:r>
          </w:p>
        </w:tc>
        <w:tc>
          <w:tcPr>
            <w:tcW w:type="dxa" w:w="336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Record basis</w:t>
            </w:r>
          </w:p>
        </w:tc>
      </w:tr>
      <w:tr>
        <w:trPr>
          <w:tblHeader w:val="false"/>
        </w:trPr>
        <w:tc>
          <w:tcPr>
            <w:tcW w:type="dxa" w:w="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1</w:t>
            </w:r>
          </w:p>
        </w:tc>
        <w:tc>
          <w:tcPr>
            <w:tcW w:type="dxa" w:w="5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CUSMA remains fully in force; no Party seeks its lapse, termination, or fragmentation into bilateral frameworks.</w:t>
            </w:r>
          </w:p>
        </w:tc>
        <w:tc>
          <w:tcPr>
            <w:tcW w:type="dxa" w:w="33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Joint review statements of July 1, 2026; all three Parties</w:t>
            </w:r>
          </w:p>
        </w:tc>
      </w:tr>
      <w:tr>
        <w:trPr>
          <w:tblHeader w:val="false"/>
        </w:trPr>
        <w:tc>
          <w:tcPr>
            <w:tcW w:type="dxa" w:w="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2</w:t>
            </w:r>
          </w:p>
        </w:tc>
        <w:tc>
          <w:tcPr>
            <w:tcW w:type="dxa" w:w="5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The Art. 34.7.4 written-confirmation extension pathway remains available at any time; the Parties defer extension; they do not foreclose it.</w:t>
            </w:r>
          </w:p>
        </w:tc>
        <w:tc>
          <w:tcPr>
            <w:tcW w:type="dxa" w:w="33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CUSMA Art. 34.7.4; July 1, 2026 Commission record</w:t>
            </w:r>
          </w:p>
        </w:tc>
      </w:tr>
      <w:tr>
        <w:trPr>
          <w:tblHeader w:val="false"/>
        </w:trPr>
        <w:tc>
          <w:tcPr>
            <w:tcW w:type="dxa" w:w="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3</w:t>
            </w:r>
          </w:p>
        </w:tc>
        <w:tc>
          <w:tcPr>
            <w:tcW w:type="dxa" w:w="5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Annual joint reviews proceed; the Negotiation is the principal input to the 2027 review.</w:t>
            </w:r>
          </w:p>
        </w:tc>
        <w:tc>
          <w:tcPr>
            <w:tcW w:type="dxa" w:w="33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CUSMA Art. 34.7.4; Council mandate</w:t>
            </w:r>
          </w:p>
        </w:tc>
      </w:tr>
      <w:tr>
        <w:trPr>
          <w:tblHeader w:val="false"/>
        </w:trPr>
        <w:tc>
          <w:tcPr>
            <w:tcW w:type="dxa" w:w="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4</w:t>
            </w:r>
          </w:p>
        </w:tc>
        <w:tc>
          <w:tcPr>
            <w:tcW w:type="dxa" w:w="5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North American integration constitutes a strategic asset the Parties hold in common; the review consolidates, not fragments, continental supply chains.</w:t>
            </w:r>
          </w:p>
        </w:tc>
        <w:tc>
          <w:tcPr>
            <w:tcW w:type="dxa" w:w="33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Trilateral statements, June–July 2026</w:t>
            </w:r>
          </w:p>
        </w:tc>
      </w:tr>
      <w:tr>
        <w:trPr>
          <w:tblHeader w:val="false"/>
        </w:trPr>
        <w:tc>
          <w:tcPr>
            <w:tcW w:type="dxa" w:w="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5</w:t>
            </w:r>
          </w:p>
        </w:tc>
        <w:tc>
          <w:tcPr>
            <w:tcW w:type="dxa" w:w="5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Extraordinary border measures between the Parties are last-resort tools: targeted, quantified, time-limited, reversible, self-correcting.</w:t>
            </w:r>
          </w:p>
        </w:tc>
        <w:tc>
          <w:tcPr>
            <w:tcW w:type="dxa" w:w="33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Reference Consolidated Text, Ch. 35; bilateral interim instruments</w:t>
            </w:r>
          </w:p>
        </w:tc>
      </w:tr>
      <w:tr>
        <w:trPr>
          <w:tblHeader w:val="false"/>
        </w:trPr>
        <w:tc>
          <w:tcPr>
            <w:tcW w:type="dxa" w:w="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6</w:t>
            </w:r>
          </w:p>
        </w:tc>
        <w:tc>
          <w:tcPr>
            <w:tcW w:type="dxa" w:w="5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Non-Party free-riding is a legitimate shared concern addressed through origin verification and anti-circumvention, not through restriction of genuine Party production.</w:t>
            </w:r>
          </w:p>
        </w:tc>
        <w:tc>
          <w:tcPr>
            <w:tcW w:type="dxa" w:w="33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Bilateral round readouts; Reference Consolidated Text, Ch. 36</w:t>
            </w:r>
          </w:p>
        </w:tc>
      </w:tr>
      <w:tr>
        <w:trPr>
          <w:tblHeader w:val="false"/>
        </w:trPr>
        <w:tc>
          <w:tcPr>
            <w:tcW w:type="dxa" w:w="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7</w:t>
            </w:r>
          </w:p>
        </w:tc>
        <w:tc>
          <w:tcPr>
            <w:tcW w:type="dxa" w:w="5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Verified Canadian, Mexican, and United States production constitutes trusted North American supply.</w:t>
            </w:r>
          </w:p>
        </w:tc>
        <w:tc>
          <w:tcPr>
            <w:tcW w:type="dxa" w:w="33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Recognized Bilateral Instruments</w:t>
            </w:r>
          </w:p>
        </w:tc>
      </w:tr>
      <w:tr>
        <w:trPr>
          <w:tblHeader w:val="false"/>
        </w:trPr>
        <w:tc>
          <w:tcPr>
            <w:tcW w:type="dxa" w:w="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8</w:t>
            </w:r>
          </w:p>
        </w:tc>
        <w:tc>
          <w:tcPr>
            <w:tcW w:type="dxa" w:w="5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Labor rights, forced-labor prohibition, environmental protection, and Indigenous rights are permanent framework features.</w:t>
            </w:r>
          </w:p>
        </w:tc>
        <w:tc>
          <w:tcPr>
            <w:tcW w:type="dxa" w:w="33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CUSMA Chs. 23, 24, 32; Reference Consolidated Text</w:t>
            </w:r>
          </w:p>
        </w:tc>
      </w:tr>
      <w:tr>
        <w:trPr>
          <w:tblHeader w:val="false"/>
        </w:trPr>
        <w:tc>
          <w:tcPr>
            <w:tcW w:type="dxa" w:w="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9</w:t>
            </w:r>
          </w:p>
        </w:tc>
        <w:tc>
          <w:tcPr>
            <w:tcW w:type="dxa" w:w="5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Dispute settlement functions as a permanent obligation: standing rosters, anti-deadlock, end of procedural limbo.</w:t>
            </w:r>
          </w:p>
        </w:tc>
        <w:tc>
          <w:tcPr>
            <w:tcW w:type="dxa" w:w="33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Reference Consolidated Text, Ch. 31 modernization</w:t>
            </w:r>
          </w:p>
        </w:tc>
      </w:tr>
      <w:tr>
        <w:trPr>
          <w:tblHeader w:val="false"/>
        </w:trPr>
        <w:tc>
          <w:tcPr>
            <w:tcW w:type="dxa" w:w="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10</w:t>
            </w:r>
          </w:p>
        </w:tc>
        <w:tc>
          <w:tcPr>
            <w:tcW w:type="dxa" w:w="5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SMEs receive simplified lanes, templates, and service clocks.</w:t>
            </w:r>
          </w:p>
        </w:tc>
        <w:tc>
          <w:tcPr>
            <w:tcW w:type="dxa" w:w="33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Reference Consolidated Text, Chs. 25, 50</w:t>
            </w:r>
          </w:p>
        </w:tc>
      </w:tr>
      <w:tr>
        <w:trPr>
          <w:tblHeader w:val="false"/>
        </w:trPr>
        <w:tc>
          <w:tcPr>
            <w:tcW w:type="dxa" w:w="7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11</w:t>
            </w:r>
          </w:p>
        </w:tc>
        <w:tc>
          <w:tcPr>
            <w:tcW w:type="dxa" w:w="5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No Party seeks abolition of another's fundamental domestic institutions; negotiation proceeds within them.</w:t>
            </w:r>
          </w:p>
        </w:tc>
        <w:tc>
          <w:tcPr>
            <w:tcW w:type="dxa" w:w="33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Reservations Record, Part 2, read with Art. 19(2)</w:t>
            </w:r>
          </w:p>
        </w:tc>
      </w:tr>
      <w:tr>
        <w:trPr>
          <w:tblHeader w:val="false"/>
        </w:trPr>
        <w:tc>
          <w:tcPr>
            <w:tcW w:type="dxa" w:w="7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12</w:t>
            </w:r>
          </w:p>
        </w:tc>
        <w:tc>
          <w:tcPr>
            <w:tcW w:type="dxa" w:w="5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The Cothrom Method, as adapted, is the verification architecture of this Instrument and the reference architecture for the verification chapters of the negotiated text.</w:t>
            </w:r>
          </w:p>
        </w:tc>
        <w:tc>
          <w:tcPr>
            <w:tcW w:type="dxa" w:w="33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This Instrument, Part VII; Reference Consolidated Text, Ch. 46 and Annex 35-F</w:t>
            </w:r>
          </w:p>
        </w:tc>
      </w:tr>
    </w:tbl>
    <w:p>
      <w:pPr>
        <w:spacing w:after="140" w:line="288"/>
        <w:ind w:firstLine="431"/>
        <w:jc w:val="both"/>
      </w:pPr>
      <w:r>
        <w:rPr>
          <w:rFonts w:ascii="Times New Roman" w:cs="Times New Roman" w:eastAsia="SimSun" w:hAnsi="Times New Roman"/>
          <w:sz w:val="23"/>
          <w:szCs w:val="23"/>
        </w:rPr>
        <w:t xml:space="preserve">Part 2: Reservations Record. Each Party records its notified reservations, which bind no other Party, constitute no breach, and serve notice that the reserving Party declines text crossing them. Initial recorded reservations: Canada, no abolition of supply management; no permanent U.S.-only automotive content floor; no foreign veto over Canadian trade or investment relations; no below-market commodity or electricity commitments; cultural and pharmaceutical-pricing policy preserved. United Mexican States, hydrocarbon ownership and energy-policy sovereignty preserved; no U.S.-specific vehicle content requirement that erases regional content value; labor enforcement under Mexican law and institutions. United States, preservation of trade-remedy and security authorities subject to the procedural disciplines it negotiates; no constraint on non-Party economic-security policy beyond agreed anti-circumvention cooperation. A Party revises its own reservations at any time by notice; revision expands or narrows its own space and never imposes on others.</w:t>
      </w:r>
    </w:p>
    <w:p>
      <w:pPr>
        <w:pStyle w:val="Heading1"/>
        <w:spacing w:after="160" w:before="320"/>
      </w:pPr>
      <w:r>
        <w:rPr>
          <w:rFonts w:ascii="Times New Roman" w:cs="Times New Roman" w:eastAsia="SimSun" w:hAnsi="Times New Roman"/>
          <w:b/>
          <w:bCs/>
          <w:color w:val="1F3A52"/>
          <w:sz w:val="28"/>
          <w:szCs w:val="28"/>
        </w:rPr>
        <w:t xml:space="preserve">ANNEX D: NEGOTIATING LANE MAP TO THE REFERENCE CONSOLIDATED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460"/>
      </w:tblGrid>
      <w:tr>
        <w:trPr>
          <w:tblHeader/>
        </w:trPr>
        <w:tc>
          <w:tcPr>
            <w:tcW w:type="dxa" w:w="23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Lane</w:t>
            </w:r>
          </w:p>
        </w:tc>
        <w:tc>
          <w:tcPr>
            <w:tcW w:type="dxa" w:w="46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Reference Consolidated Text coverage</w:t>
            </w:r>
          </w:p>
        </w:tc>
        <w:tc>
          <w:tcPr>
            <w:tcW w:type="dxa" w:w="246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Lead officials</w:t>
            </w:r>
          </w:p>
        </w:tc>
      </w:tr>
      <w:tr>
        <w:trPr>
          <w:tblHeader w:val="false"/>
        </w:trPr>
        <w:tc>
          <w:tcPr>
            <w:tcW w:type="dxa" w:w="2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Lane A: Treaty Integrity and Tariff Architecture</w:t>
            </w:r>
          </w:p>
        </w:tc>
        <w:tc>
          <w:tcPr>
            <w:tcW w:type="dxa" w:w="4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Protocol of Modernization; Ch. 1 modernization; Ch. 2 modernization; Ch. 32 modernization (essential security, economic emergency); Ch. 35 (Treaty Integrity and PTAM) with Annexes 35-A through 35-F; No-Fade Guarantee; legacy measure wind-down</w:t>
            </w:r>
          </w:p>
        </w:tc>
        <w:tc>
          <w:tcPr>
            <w:tcW w:type="dxa" w:w="24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Chief Negotiators directly</w:t>
            </w:r>
          </w:p>
        </w:tc>
      </w:tr>
      <w:tr>
        <w:trPr>
          <w:tblHeader w:val="false"/>
        </w:trPr>
        <w:tc>
          <w:tcPr>
            <w:tcW w:type="dxa" w:w="2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Lane B: Origin and Customs</w:t>
            </w:r>
          </w:p>
        </w:tc>
        <w:tc>
          <w:tcPr>
            <w:tcW w:type="dxa" w:w="4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Ch. 4 modernization (incl. automotive architecture, melt-and-pour/smelt-and-cast, circular production, semiconductors, SME access); Ch. 5 modernization (verification, data exchange, anti-circumvention, advance rulings); Ch. 7 modernization (single window, uniformity, border times, trusted trader); Ch. 44</w:t>
            </w:r>
          </w:p>
        </w:tc>
        <w:tc>
          <w:tcPr>
            <w:tcW w:type="dxa" w:w="24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Customs and origin leads</w:t>
            </w:r>
          </w:p>
        </w:tc>
      </w:tr>
      <w:tr>
        <w:trPr>
          <w:tblHeader w:val="false"/>
        </w:trPr>
        <w:tc>
          <w:tcPr>
            <w:tcW w:type="dxa" w:w="2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Lane C: Economic Security, Minerals, Energy, Technology</w:t>
            </w:r>
          </w:p>
        </w:tc>
        <w:tc>
          <w:tcPr>
            <w:tcW w:type="dxa" w:w="4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Chs. 36, 37, 38, 39, 40, 55, 61, 63; Package E</w:t>
            </w:r>
          </w:p>
        </w:tc>
        <w:tc>
          <w:tcPr>
            <w:tcW w:type="dxa" w:w="24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Economic-security and energy leads</w:t>
            </w:r>
          </w:p>
        </w:tc>
      </w:tr>
      <w:tr>
        <w:trPr>
          <w:tblHeader w:val="false"/>
        </w:trPr>
        <w:tc>
          <w:tcPr>
            <w:tcW w:type="dxa" w:w="2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Lane D: Automotive, Steel, Aluminum, Strategic Sectors</w:t>
            </w:r>
          </w:p>
        </w:tc>
        <w:tc>
          <w:tcPr>
            <w:tcW w:type="dxa" w:w="4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Ch. 59; Ch. 36.14; Ch. 37.8; Ch. 42 (softwood lumber stability); Ch. 65; sectoral annexes</w:t>
            </w:r>
          </w:p>
        </w:tc>
        <w:tc>
          <w:tcPr>
            <w:tcW w:type="dxa" w:w="24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Automotive and metals leads</w:t>
            </w:r>
          </w:p>
        </w:tc>
      </w:tr>
      <w:tr>
        <w:trPr>
          <w:tblHeader w:val="false"/>
        </w:trPr>
        <w:tc>
          <w:tcPr>
            <w:tcW w:type="dxa" w:w="23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Lane E: Agriculture, Sectoral Access, Digital, Services</w:t>
            </w:r>
          </w:p>
        </w:tc>
        <w:tc>
          <w:tcPr>
            <w:tcW w:type="dxa" w:w="4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Ch. 3; Ch. 43; Ch. 15 modernization; Ch. 16 supplement; Ch. 19 modernization; Ch. 49; Ch. 50; Package K</w:t>
            </w:r>
          </w:p>
        </w:tc>
        <w:tc>
          <w:tcPr>
            <w:tcW w:type="dxa" w:w="24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Agriculture and services leads</w:t>
            </w:r>
          </w:p>
        </w:tc>
      </w:tr>
      <w:tr>
        <w:trPr>
          <w:tblHeader w:val="false"/>
        </w:trPr>
        <w:tc>
          <w:tcPr>
            <w:tcW w:type="dxa" w:w="23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Lane F: Institutions, Disputes, Labor, Environment, Final Provisions</w:t>
            </w:r>
          </w:p>
        </w:tc>
        <w:tc>
          <w:tcPr>
            <w:tcW w:type="dxa" w:w="4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Chs. 23, 24, 26, 28, 30, 31 modernizations; Chs. 41, 45, 46, 47, 48, 51, 52, 53, 54, 56, 57, 58, 60, 62, 64, 66, 67, 68; Ch. 34 modernization; Packages A–F, V; amendment ledger</w:t>
            </w:r>
          </w:p>
        </w:tc>
        <w:tc>
          <w:tcPr>
            <w:tcW w:type="dxa" w:w="24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Institutional and legal leads</w:t>
            </w:r>
          </w:p>
        </w:tc>
      </w:tr>
    </w:tbl>
    <w:p>
      <w:pPr>
        <w:spacing w:after="140" w:line="288"/>
        <w:ind w:firstLine="431"/>
        <w:jc w:val="both"/>
      </w:pPr>
      <w:r>
        <w:rPr>
          <w:rFonts w:ascii="Times New Roman" w:cs="Times New Roman" w:eastAsia="SimSun" w:hAnsi="Times New Roman"/>
          <w:sz w:val="23"/>
          <w:szCs w:val="23"/>
        </w:rPr>
        <w:t xml:space="preserve">The Lane map allocates every chapter of the Reference Consolidated Text to exactly one Lane. Lane F negotiates the cross-cutting verification text (Ch. 46; Annex 35-F) on the basis of this Instrument's operating record. The unresolved-items ledger of the Reference Consolidated Text stands as a permanent annex to the bracket census.</w:t>
      </w:r>
    </w:p>
    <w:p>
      <w:pPr>
        <w:pStyle w:val="Heading1"/>
        <w:spacing w:after="160" w:before="320"/>
      </w:pPr>
      <w:r>
        <w:rPr>
          <w:rFonts w:ascii="Times New Roman" w:cs="Times New Roman" w:eastAsia="SimSun" w:hAnsi="Times New Roman"/>
          <w:b/>
          <w:bCs/>
          <w:color w:val="1F3A52"/>
          <w:sz w:val="28"/>
          <w:szCs w:val="28"/>
        </w:rPr>
        <w:t xml:space="preserve">ANNEX E: COTHROM TRADE ADAPTATION: OPERATING PARAMETERS</w:t>
      </w:r>
    </w:p>
    <w:p>
      <w:pPr>
        <w:spacing w:after="140" w:line="288"/>
        <w:ind w:firstLine="431"/>
        <w:jc w:val="both"/>
      </w:pPr>
      <w:r>
        <w:rPr>
          <w:rFonts w:ascii="Times New Roman" w:cs="Times New Roman" w:eastAsia="SimSun" w:hAnsi="Times New Roman"/>
          <w:sz w:val="23"/>
          <w:szCs w:val="23"/>
        </w:rPr>
        <w:t xml:space="preserve">Part 1: Status bands. Green: verified performance at ninety per cent or greater with no unresolved material challenge. Amber: seventy to eighty-nine per cent performance, or an active technical correction. Orange: fifty to sixty-nine per cent performance, or an unresolved Tier 2 event. Red: below fifty per cent, or an active Tier 3 event. Status informs review and progression; consequences flow only through the tier rules.</w:t>
      </w:r>
    </w:p>
    <w:p>
      <w:pPr>
        <w:spacing w:after="140" w:line="288"/>
        <w:ind w:firstLine="431"/>
        <w:jc w:val="both"/>
      </w:pPr>
      <w:r>
        <w:rPr>
          <w:rFonts w:ascii="Times New Roman" w:cs="Times New Roman" w:eastAsia="SimSun" w:hAnsi="Times New Roman"/>
          <w:sz w:val="23"/>
          <w:szCs w:val="23"/>
        </w:rPr>
        <w:t xml:space="preserve">Part 2: Clocks. Claim submission: within five business days of the performance date. Secretariat verification: within five business days of a complete claim. Challenge window: forty-eight hours from the finding. Challenge hold: seventy-two hours on the disputed increment only. Panel determination: five business days; twenty-four hours for Gate Zero and Article 14 ladder matters. Second Opinion: seventy-two hours from the request.</w:t>
      </w:r>
    </w:p>
    <w:p>
      <w:pPr>
        <w:spacing w:after="140" w:line="288"/>
        <w:ind w:firstLine="431"/>
        <w:jc w:val="both"/>
      </w:pPr>
      <w:r>
        <w:rPr>
          <w:rFonts w:ascii="Times New Roman" w:cs="Times New Roman" w:eastAsia="SimSun" w:hAnsi="Times New Roman"/>
          <w:sz w:val="23"/>
          <w:szCs w:val="23"/>
        </w:rPr>
        <w:t xml:space="preserve">Part 3: Step-back schedule. Tier 2: 10 per cent (days 1–7), 15 per cent (days 8–14), 25 per cent (after day 14), Council referral after day 30. Tier 3: 25 per cent (remediation begun within 72 hours), 35 per cent (after 72 hours), 50 per cent (after 30 days), mandatory Council session and ninety-day remediation plan. Formula: base multiplied by duration multiplier (0.4 to 1.0) multiplied by remediation factor (0.5 full, 0.75 partial, 1.0 none).</w:t>
      </w:r>
    </w:p>
    <w:p>
      <w:pPr>
        <w:spacing w:after="140" w:line="288"/>
        <w:ind w:firstLine="431"/>
        <w:jc w:val="both"/>
      </w:pPr>
      <w:r>
        <w:rPr>
          <w:rFonts w:ascii="Times New Roman" w:cs="Times New Roman" w:eastAsia="SimSun" w:hAnsi="Times New Roman"/>
          <w:sz w:val="23"/>
          <w:szCs w:val="23"/>
        </w:rPr>
        <w:t xml:space="preserve">Part 4: Earn-back. Tier 1: automatic on correction within ten days. Tier 2: remediation plus seven consecutive clean days. Tier 3: remediation plus twenty-one consecutive clean days plus Panel confirmation. Over-performance credits: one unit per milestone completed at least seven days early with clean performance maintained; each unit removes one clean-period day; acceleration capped at twenty-five per cent. Good Faith Reset threshold: a procedural debit balance equivalent to two failed Gates within one Gate period; one reset per Gate; written acknowledgment plus seven-day enhanced cooperation.</w:t>
      </w:r>
    </w:p>
    <w:p>
      <w:pPr>
        <w:spacing w:after="140" w:line="288"/>
        <w:ind w:firstLine="431"/>
        <w:jc w:val="both"/>
      </w:pPr>
      <w:r>
        <w:rPr>
          <w:rFonts w:ascii="Times New Roman" w:cs="Times New Roman" w:eastAsia="SimSun" w:hAnsi="Times New Roman"/>
          <w:sz w:val="23"/>
          <w:szCs w:val="23"/>
        </w:rPr>
        <w:t xml:space="preserve">Part 5: Procedural verification specifics. Registry login plus the delegation roster at Round opening verifies attendance. The transmission timestamp verifies tabling. The Secretariat's daily roster verifies staffing. The Facilitator's escrow statement verifies funding. A Procedural Compliance Record is Green when all four elements are current; Amber when one element is late by ten business days or less; Orange when any element is late by more than ten business days or two elements are late; Red when a Party has neither attended nor tabled for forty-five consecutive days.</w:t>
      </w:r>
    </w:p>
    <w:p>
      <w:pPr>
        <w:spacing w:after="140" w:line="288"/>
        <w:ind w:firstLine="431"/>
        <w:jc w:val="both"/>
      </w:pPr>
      <w:r>
        <w:rPr>
          <w:rFonts w:ascii="Times New Roman" w:cs="Times New Roman" w:eastAsia="SimSun" w:hAnsi="Times New Roman"/>
          <w:sz w:val="23"/>
          <w:szCs w:val="23"/>
        </w:rPr>
        <w:t xml:space="preserve">Part 6: Reactivation ladder (Art. 14). Notice at day 14 of continuous unexcused Procedural Default; 25 per cent slice at day 21; 50 per cent at day 35; full schedule slice at day 50 with emergency Council session; earn-back on verified resumption plus fourteen clean days, effective at the next daily customs cycle. Every rung excludes the Protected Flows.</w:t>
      </w:r>
    </w:p>
    <w:p>
      <w:pPr>
        <w:pStyle w:val="Heading1"/>
        <w:spacing w:after="160" w:before="320"/>
      </w:pPr>
      <w:r>
        <w:rPr>
          <w:rFonts w:ascii="Times New Roman" w:cs="Times New Roman" w:eastAsia="SimSun" w:hAnsi="Times New Roman"/>
          <w:b/>
          <w:bCs/>
          <w:color w:val="1F3A52"/>
          <w:sz w:val="28"/>
          <w:szCs w:val="28"/>
        </w:rPr>
        <w:t xml:space="preserve">ANNEX F: RECIPROCAL OBLIGATION LEDGER: TEMPLATE AND STATUS RULES</w:t>
      </w:r>
    </w:p>
    <w:p>
      <w:pPr>
        <w:spacing w:after="140" w:line="288"/>
        <w:ind w:firstLine="431"/>
        <w:jc w:val="both"/>
      </w:pPr>
      <w:r>
        <w:rPr>
          <w:rFonts w:ascii="Times New Roman" w:cs="Times New Roman" w:eastAsia="SimSun" w:hAnsi="Times New Roman"/>
          <w:sz w:val="23"/>
          <w:szCs w:val="23"/>
        </w:rPr>
        <w:t xml:space="preserve">Every commitment under this Instrument, substantive, procedural, or de-escalatory, enters the ledger as an entry with six mandatory fields: delivery description; evidence source; verification owner; deadline; counterpart benefit; and safeguard or guardrail. Ledger status uses four labels: Filed, Evidenced, Verified, and Effected. An entry reaches Effected only when the counterpart benefit has taken effect; a missed deadline leaves the counterpart benefit locked while all other entries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rPr>
          <w:tblHeader/>
        </w:trPr>
        <w:tc>
          <w:tcPr>
            <w:tcW w:type="dxa" w:w="26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Field</w:t>
            </w:r>
          </w:p>
        </w:tc>
        <w:tc>
          <w:tcPr>
            <w:tcW w:type="dxa" w:w="26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Content rule</w:t>
            </w:r>
          </w:p>
        </w:tc>
        <w:tc>
          <w:tcPr>
            <w:tcW w:type="dxa" w:w="260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Example (illustrative)</w:t>
            </w:r>
          </w:p>
        </w:tc>
        <w:tc>
          <w:tcPr>
            <w:tcW w:type="dxa" w:w="1560"/>
            <w:shd w:fill="EDF2F6" w:val="clear"/>
            <w:tcMar>
              <w:top w:type="dxa" w:w="100"/>
              <w:left w:type="dxa" w:w="120"/>
              <w:bottom w:type="dxa" w:w="100"/>
              <w:right w:type="dxa" w:w="120"/>
            </w:tcMar>
          </w:tcPr>
          <w:p>
            <w:pPr>
              <w:spacing w:after="60" w:line="264"/>
            </w:pPr>
            <w:r>
              <w:rPr>
                <w:rFonts w:ascii="Times New Roman" w:cs="Times New Roman" w:eastAsia="SimSun" w:hAnsi="Times New Roman"/>
                <w:b/>
                <w:bCs/>
                <w:sz w:val="23"/>
                <w:szCs w:val="23"/>
              </w:rPr>
              <w:t xml:space="preserve">Status</w:t>
            </w:r>
          </w:p>
        </w:tc>
      </w:tr>
      <w:tr>
        <w:trPr>
          <w:tblHeader w:val="false"/>
        </w:trPr>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Delivery description</w:t>
            </w:r>
          </w:p>
        </w:tc>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The precise act promised, with scope and standard</w:t>
            </w:r>
          </w:p>
        </w:tc>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Suspension of additional-duty collection with customs instructions published</w:t>
            </w:r>
          </w:p>
        </w:tc>
        <w:tc>
          <w:tcPr>
            <w:tcW w:type="dxa" w:w="15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Filed</w:t>
            </w:r>
          </w:p>
        </w:tc>
      </w:tr>
      <w:tr>
        <w:trPr>
          <w:tblHeader w:val="false"/>
        </w:trPr>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Evidence source</w:t>
            </w:r>
          </w:p>
        </w:tc>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Objective record class</w:t>
            </w:r>
          </w:p>
        </w:tc>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Customs notice; entry-level rate data; refund procedure</w:t>
            </w:r>
          </w:p>
        </w:tc>
        <w:tc>
          <w:tcPr>
            <w:tcW w:type="dxa" w:w="15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Evidenced</w:t>
            </w:r>
          </w:p>
        </w:tc>
      </w:tr>
      <w:tr>
        <w:trPr>
          <w:tblHeader w:val="false"/>
        </w:trPr>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Verification owner</w:t>
            </w:r>
          </w:p>
        </w:tc>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Secretariat unit or Panel</w:t>
            </w:r>
          </w:p>
        </w:tc>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Customs and Tariff Data Group</w:t>
            </w:r>
          </w:p>
        </w:tc>
        <w:tc>
          <w:tcPr>
            <w:tcW w:type="dxa" w:w="15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Verified</w:t>
            </w:r>
          </w:p>
        </w:tc>
      </w:tr>
      <w:tr>
        <w:trPr>
          <w:tblHeader w:val="false"/>
        </w:trPr>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Deadline</w:t>
            </w:r>
          </w:p>
        </w:tc>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Date or clock from the Calendar</w:t>
            </w:r>
          </w:p>
        </w:tc>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Gate Zero, Hour 72</w:t>
            </w:r>
          </w:p>
        </w:tc>
        <w:tc>
          <w:tcPr>
            <w:tcW w:type="dxa" w:w="15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 </w:t>
            </w:r>
          </w:p>
        </w:tc>
      </w:tr>
      <w:tr>
        <w:trPr>
          <w:tblHeader w:val="false"/>
        </w:trPr>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Counterpart benefit</w:t>
            </w:r>
          </w:p>
        </w:tc>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The paired benefit unlocked on verification</w:t>
            </w:r>
          </w:p>
        </w:tc>
        <w:tc>
          <w:tcPr>
            <w:tcW w:type="dxa" w:w="260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Counter-tariff order held at zero collection</w:t>
            </w:r>
          </w:p>
        </w:tc>
        <w:tc>
          <w:tcPr>
            <w:tcW w:type="dxa" w:w="1560"/>
            <w:shd w:fill="FFFFFF"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Effected</w:t>
            </w:r>
          </w:p>
        </w:tc>
      </w:tr>
      <w:tr>
        <w:trPr>
          <w:tblHeader w:val="false"/>
        </w:trPr>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Guardrail</w:t>
            </w:r>
          </w:p>
        </w:tc>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The cost-control or red-line protection</w:t>
            </w:r>
          </w:p>
        </w:tc>
        <w:tc>
          <w:tcPr>
            <w:tcW w:type="dxa" w:w="260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No admission of legality; protected flows excluded</w:t>
            </w:r>
          </w:p>
        </w:tc>
        <w:tc>
          <w:tcPr>
            <w:tcW w:type="dxa" w:w="1560"/>
            <w:shd w:fill="F7FAFC" w:val="clear"/>
            <w:tcMar>
              <w:top w:type="dxa" w:w="100"/>
              <w:left w:type="dxa" w:w="120"/>
              <w:bottom w:type="dxa" w:w="100"/>
              <w:right w:type="dxa" w:w="120"/>
            </w:tcMar>
          </w:tcPr>
          <w:p>
            <w:pPr>
              <w:spacing w:after="60" w:line="264"/>
            </w:pPr>
            <w:r>
              <w:rPr>
                <w:rFonts w:ascii="Times New Roman" w:cs="Times New Roman" w:eastAsia="SimSun" w:hAnsi="Times New Roman"/>
                <w:sz w:val="23"/>
                <w:szCs w:val="23"/>
              </w:rPr>
              <w:t xml:space="preserve">: </w:t>
            </w:r>
          </w:p>
        </w:tc>
      </w:tr>
    </w:tbl>
    <w:p>
      <w:pPr>
        <w:spacing w:after="140" w:line="288"/>
        <w:ind w:firstLine="431"/>
        <w:jc w:val="both"/>
      </w:pPr>
      <w:r>
        <w:rPr>
          <w:rFonts w:ascii="Times New Roman" w:cs="Times New Roman" w:eastAsia="SimSun" w:hAnsi="Times New Roman"/>
          <w:sz w:val="23"/>
          <w:szCs w:val="23"/>
        </w:rPr>
        <w:t xml:space="preserve">The ledger's design creates teeth without cliff effects: a Party gains nothing from exaggerating performance, because an unverified filing unlocks no benefit; and a Party gains nothing from a frivolous objection, because the challenge ladder narrows the objector's procedural holds while the disputed benefit stays isolated.</w:t>
      </w:r>
    </w:p>
    <w:p>
      <w:pPr>
        <w:pStyle w:val="Heading1"/>
        <w:spacing w:after="160" w:before="320"/>
      </w:pPr>
      <w:r>
        <w:rPr>
          <w:rFonts w:ascii="Times New Roman" w:cs="Times New Roman" w:eastAsia="SimSun" w:hAnsi="Times New Roman"/>
          <w:b/>
          <w:bCs/>
          <w:color w:val="1F3A52"/>
          <w:sz w:val="28"/>
          <w:szCs w:val="28"/>
        </w:rPr>
        <w:t xml:space="preserve">ANNEX G: FAILURE SCENARIOS AND PRESCRIBED RESPONSES</w:t>
      </w:r>
    </w:p>
    <w:p>
      <w:pPr>
        <w:spacing w:after="140" w:line="288"/>
        <w:ind w:firstLine="431"/>
        <w:jc w:val="both"/>
      </w:pPr>
      <w:r>
        <w:rPr>
          <w:rFonts w:ascii="Times New Roman" w:cs="Times New Roman" w:eastAsia="SimSun" w:hAnsi="Times New Roman"/>
          <w:sz w:val="23"/>
          <w:szCs w:val="23"/>
        </w:rPr>
        <w:t xml:space="preserve">Scenario 1: A Party misses a Round without postponement. the Secretariat verifies the absence as a Procedural Default; the quorum rule preserves the absent Party's recorded positions; the Depositary's automatic convening duty engages if the forty-five-day silence threshold approaches; the attendance ladder of Article 14 runs only while the default continues unexcused.</w:t>
      </w:r>
    </w:p>
    <w:p>
      <w:pPr>
        <w:spacing w:after="140" w:line="288"/>
        <w:ind w:firstLine="431"/>
        <w:jc w:val="both"/>
      </w:pPr>
      <w:r>
        <w:rPr>
          <w:rFonts w:ascii="Times New Roman" w:cs="Times New Roman" w:eastAsia="SimSun" w:hAnsi="Times New Roman"/>
          <w:sz w:val="23"/>
          <w:szCs w:val="23"/>
        </w:rPr>
        <w:t xml:space="preserve">Scenario 2: Customs systems charge a suspended duty on isolated entries. Tier 1; correction and refund within the ten-day window; no effect on any other module; the Shared Trade Registry records the correction and the refund timestamp.</w:t>
      </w:r>
    </w:p>
    <w:p>
      <w:pPr>
        <w:spacing w:after="140" w:line="288"/>
        <w:ind w:firstLine="431"/>
        <w:jc w:val="both"/>
      </w:pPr>
      <w:r>
        <w:rPr>
          <w:rFonts w:ascii="Times New Roman" w:cs="Times New Roman" w:eastAsia="SimSun" w:hAnsi="Times New Roman"/>
          <w:sz w:val="23"/>
          <w:szCs w:val="23"/>
        </w:rPr>
        <w:t xml:space="preserve">Scenario 3: One exporter in a covered sector is found to have falsified origin data. Exporter-specific Tier 3 review; other verified exporters remain Green; a sector-wide consequence requires a verified pattern plus the consensus-minus-one finding of Article 35(2).</w:t>
      </w:r>
    </w:p>
    <w:p>
      <w:pPr>
        <w:spacing w:after="140" w:line="288"/>
        <w:ind w:firstLine="431"/>
        <w:jc w:val="both"/>
      </w:pPr>
      <w:r>
        <w:rPr>
          <w:rFonts w:ascii="Times New Roman" w:cs="Times New Roman" w:eastAsia="SimSun" w:hAnsi="Times New Roman"/>
          <w:sz w:val="23"/>
          <w:szCs w:val="23"/>
        </w:rPr>
        <w:t xml:space="preserve">Scenario 4: A legislature declines to implement an Interim Application Note. The Note terminates under Article 40(2) on thirty days' notice; the module returns to the Lane as open text; no breach arises where the Party filed its implementation plan in good faith and on time.</w:t>
      </w:r>
    </w:p>
    <w:p>
      <w:pPr>
        <w:spacing w:after="140" w:line="288"/>
        <w:ind w:firstLine="431"/>
        <w:jc w:val="both"/>
      </w:pPr>
      <w:r>
        <w:rPr>
          <w:rFonts w:ascii="Times New Roman" w:cs="Times New Roman" w:eastAsia="SimSun" w:hAnsi="Times New Roman"/>
          <w:sz w:val="23"/>
          <w:szCs w:val="23"/>
        </w:rPr>
        <w:t xml:space="preserve">Scenario 5: A domestic crisis (election transition, judicial injunction, cyber incident, disaster) blocks implementation. Temporary Operational Pause under Article 36(2): clocks freeze, Standstill and completed rights persist, the invoking Party records the restoration date, and the pause constitutes no breach.</w:t>
      </w:r>
    </w:p>
    <w:p>
      <w:pPr>
        <w:spacing w:after="140" w:line="288"/>
        <w:ind w:firstLine="431"/>
        <w:jc w:val="both"/>
      </w:pPr>
      <w:r>
        <w:rPr>
          <w:rFonts w:ascii="Times New Roman" w:cs="Times New Roman" w:eastAsia="SimSun" w:hAnsi="Times New Roman"/>
          <w:sz w:val="23"/>
          <w:szCs w:val="23"/>
        </w:rPr>
        <w:t xml:space="preserve">Scenario 6: A Party announces a new Party-specific measure outside Article 13. The Registry records the announcement; the seventy-two-hour notice and consultation duty runs if the Party proceeds; an unnotified measure carries a rebuttable presumption of Tier 2 in the affected module; the cooling-off and consultation sequence precedes any step-back.</w:t>
      </w:r>
    </w:p>
    <w:p>
      <w:pPr>
        <w:spacing w:after="140" w:line="288"/>
        <w:ind w:firstLine="431"/>
        <w:jc w:val="both"/>
      </w:pPr>
      <w:r>
        <w:rPr>
          <w:rFonts w:ascii="Times New Roman" w:cs="Times New Roman" w:eastAsia="SimSun" w:hAnsi="Times New Roman"/>
          <w:sz w:val="23"/>
          <w:szCs w:val="23"/>
        </w:rPr>
        <w:t xml:space="preserve">Scenario 7: Negotiations succeed in four Lanes but stall in two. The partial-success doctrine applies: the four Lanes proceed to Gate Four classification; the stalled Lanes park with recorded brackets; the Protocol of Modernization proceeds on the agreed text with the stalled items reserved to the next annual review cycle.</w:t>
      </w:r>
    </w:p>
    <w:p>
      <w:pPr>
        <w:spacing w:after="140" w:line="288"/>
        <w:ind w:firstLine="431"/>
        <w:jc w:val="both"/>
      </w:pPr>
      <w:r>
        <w:rPr>
          <w:rFonts w:ascii="Times New Roman" w:cs="Times New Roman" w:eastAsia="SimSun" w:hAnsi="Times New Roman"/>
          <w:sz w:val="23"/>
          <w:szCs w:val="23"/>
        </w:rPr>
        <w:t xml:space="preserve">Scenario 8: One Party never accedes. The Instrument operates between the Parties in force; the Standing Invitation remains open until expiry; the acceding-later mechanics of Article 49 preserve the full calendar; and this Instrument leaves the non-acceding State's CUSMA rights and obligations entirely unaffected.</w:t>
      </w:r>
    </w:p>
    <w:p>
      <w:pPr>
        <w:pStyle w:val="Heading1"/>
        <w:spacing w:after="160" w:before="320"/>
      </w:pPr>
      <w:r>
        <w:rPr>
          <w:rFonts w:ascii="Times New Roman" w:cs="Times New Roman" w:eastAsia="SimSun" w:hAnsi="Times New Roman"/>
          <w:b/>
          <w:bCs/>
          <w:color w:val="1F3A52"/>
          <w:sz w:val="28"/>
          <w:szCs w:val="28"/>
        </w:rPr>
        <w:t xml:space="preserve">ANNEX H: SIGNATURE, ACCESSION, AND CONFIRMATION FORMS</w:t>
      </w:r>
    </w:p>
    <w:p>
      <w:pPr>
        <w:spacing w:after="140" w:line="288"/>
        <w:ind w:firstLine="431"/>
        <w:jc w:val="both"/>
      </w:pPr>
      <w:r>
        <w:rPr>
          <w:rFonts w:ascii="Times New Roman" w:cs="Times New Roman" w:eastAsia="SimSun" w:hAnsi="Times New Roman"/>
          <w:sz w:val="23"/>
          <w:szCs w:val="23"/>
        </w:rPr>
        <w:t xml:space="preserve">Form 1, Signature. The undersigned, duly authorized, sign this Instrument on behalf of their respective Governments, confirming the Locked Consensus Register as of this date and directing their implementation teams to prepare the domestic instruments identified in Part III and Annex B.</w:t>
      </w:r>
    </w:p>
    <w:p>
      <w:pPr>
        <w:spacing w:after="140" w:line="288"/>
        <w:jc w:val="both"/>
      </w:pPr>
      <w:r>
        <w:rPr>
          <w:rFonts w:ascii="Times New Roman" w:cs="Times New Roman" w:eastAsia="SimSun" w:hAnsi="Times New Roman"/>
          <w:sz w:val="23"/>
          <w:szCs w:val="23"/>
        </w:rPr>
        <w:t xml:space="preserve">Signed at ______________________ on ______________________, 2026, in the English, French, and Spanish languages, each text being equally authentic.</w:t>
      </w:r>
    </w:p>
    <w:p>
      <w:pPr>
        <w:spacing w:after="140" w:line="288"/>
        <w:jc w:val="both"/>
      </w:pPr>
      <w:r>
        <w:rPr>
          <w:rFonts w:ascii="Times New Roman" w:cs="Times New Roman" w:eastAsia="SimSun" w:hAnsi="Times New Roman"/>
          <w:sz w:val="23"/>
          <w:szCs w:val="23"/>
        </w:rPr>
        <w:t xml:space="preserve">For Canada: ______________________________________________ Title: ______________________________</w:t>
      </w:r>
    </w:p>
    <w:p>
      <w:pPr>
        <w:spacing w:after="140" w:line="288"/>
        <w:jc w:val="both"/>
      </w:pPr>
      <w:r>
        <w:rPr>
          <w:rFonts w:ascii="Times New Roman" w:cs="Times New Roman" w:eastAsia="SimSun" w:hAnsi="Times New Roman"/>
          <w:sz w:val="23"/>
          <w:szCs w:val="23"/>
        </w:rPr>
        <w:t xml:space="preserve">For the United Mexican States: ___________________________ Title: ______________________________</w:t>
      </w:r>
    </w:p>
    <w:p>
      <w:pPr>
        <w:spacing w:after="140" w:line="288"/>
        <w:jc w:val="both"/>
      </w:pPr>
      <w:r>
        <w:rPr>
          <w:rFonts w:ascii="Times New Roman" w:cs="Times New Roman" w:eastAsia="SimSun" w:hAnsi="Times New Roman"/>
          <w:sz w:val="23"/>
          <w:szCs w:val="23"/>
        </w:rPr>
        <w:t xml:space="preserve">For the United States of America: __________________________ Title: ______________________________</w:t>
      </w:r>
    </w:p>
    <w:p>
      <w:pPr>
        <w:spacing w:after="140" w:line="288"/>
        <w:ind w:firstLine="431"/>
        <w:jc w:val="both"/>
      </w:pPr>
      <w:r>
        <w:rPr>
          <w:rFonts w:ascii="Times New Roman" w:cs="Times New Roman" w:eastAsia="SimSun" w:hAnsi="Times New Roman"/>
          <w:sz w:val="23"/>
          <w:szCs w:val="23"/>
        </w:rPr>
        <w:t xml:space="preserve">Form 2, Instrument of Accession. Whereas the Government of ______________________ signed the North American Cooperation Reaffirmation Instrument on ______________________; now therefore the Government of ______________________ declares that it accedes to the Instrument, accepts it as it stands including the Locked Consensus Register as consolidated at this date, and designates the following effective time for the reciprocal application of Part III: ______________________. This accession takes effect upon notification to the Depositary.</w:t>
      </w:r>
    </w:p>
    <w:p>
      <w:pPr>
        <w:spacing w:after="140" w:line="288"/>
        <w:jc w:val="both"/>
      </w:pPr>
      <w:r>
        <w:rPr>
          <w:rFonts w:ascii="Times New Roman" w:cs="Times New Roman" w:eastAsia="SimSun" w:hAnsi="Times New Roman"/>
          <w:sz w:val="23"/>
          <w:szCs w:val="23"/>
        </w:rPr>
        <w:t xml:space="preserve">Done at ______________________ on ______________________, 20____. Signature: ______________________________ Title: ______________________________</w:t>
      </w:r>
    </w:p>
    <w:p>
      <w:pPr>
        <w:spacing w:after="140" w:line="288"/>
        <w:ind w:firstLine="431"/>
        <w:jc w:val="both"/>
      </w:pPr>
      <w:r>
        <w:rPr>
          <w:rFonts w:ascii="Times New Roman" w:cs="Times New Roman" w:eastAsia="SimSun" w:hAnsi="Times New Roman"/>
          <w:sz w:val="23"/>
          <w:szCs w:val="23"/>
        </w:rPr>
        <w:t xml:space="preserve">Form 3, Extension Confirmation (transitional use). For use where the Parties wish to record extension of the CUSMA under its Article 34.7.4 pending entry into force of the Protocol of Modernization: the undersigned heads of government confirm, in writing, their desire to extend the term of the Agreement for an additional sixteen-year period, pursuant to Article 34.7.4, this confirmation being without prejudice to the negotiated modernization recorded in the Protocol of Modernization.</w:t>
      </w:r>
    </w:p>
    <w:p>
      <w:pPr>
        <w:pStyle w:val="Heading1"/>
        <w:spacing w:after="160" w:before="320"/>
      </w:pPr>
      <w:r>
        <w:rPr>
          <w:rFonts w:ascii="Times New Roman" w:cs="Times New Roman" w:eastAsia="SimSun" w:hAnsi="Times New Roman"/>
          <w:b/>
          <w:bCs/>
          <w:color w:val="1F3A52"/>
          <w:sz w:val="28"/>
          <w:szCs w:val="28"/>
        </w:rPr>
        <w:t xml:space="preserve">ANNEX I: SITUATION ASSESSMENT AND RECORD BASIS</w:t>
      </w:r>
    </w:p>
    <w:p>
      <w:pPr>
        <w:spacing w:after="140" w:line="288"/>
        <w:ind w:firstLine="431"/>
        <w:jc w:val="both"/>
      </w:pPr>
      <w:r>
        <w:rPr>
          <w:rFonts w:ascii="Times New Roman" w:cs="Times New Roman" w:eastAsia="SimSun" w:hAnsi="Times New Roman"/>
          <w:sz w:val="23"/>
          <w:szCs w:val="23"/>
        </w:rPr>
        <w:t xml:space="preserve">This Annex records the factual premises on which this Instrument's design rests, drawn from the public and official record as of early September 2026. It is factual and interpretive, binds no Party, and stands open to Secretariat update without amendment of this Instrument.</w:t>
      </w:r>
    </w:p>
    <w:p>
      <w:pPr>
        <w:spacing w:after="140" w:line="288"/>
        <w:ind w:firstLine="431"/>
        <w:jc w:val="both"/>
      </w:pPr>
      <w:r>
        <w:rPr>
          <w:rFonts w:ascii="Times New Roman" w:cs="Times New Roman" w:eastAsia="SimSun" w:hAnsi="Times New Roman"/>
          <w:sz w:val="23"/>
          <w:szCs w:val="23"/>
        </w:rPr>
        <w:t xml:space="preserve">The joint review. On July 1, 2026, the Free Trade Commission held the mandatory six-year joint review under CUSMA Article 34.7. Canada and the United Mexican States confirmed support for a sixteen-year extension; the United States declined to confirm extension in the Agreement's current form. Article 34.7.4 thereby engages annual joint reviews, the Agreement remains fully in force through July 1, 2036 absent extension, and the written-confirmation pathway remains available at any time.</w:t>
      </w:r>
    </w:p>
    <w:p>
      <w:pPr>
        <w:spacing w:after="140" w:line="288"/>
        <w:ind w:firstLine="431"/>
        <w:jc w:val="both"/>
      </w:pPr>
      <w:r>
        <w:rPr>
          <w:rFonts w:ascii="Times New Roman" w:cs="Times New Roman" w:eastAsia="SimSun" w:hAnsi="Times New Roman"/>
          <w:sz w:val="23"/>
          <w:szCs w:val="23"/>
        </w:rPr>
        <w:t xml:space="preserve">The measures. On July 20, 2026, the United States proclaimed additional duties of fifty per cent under Section 338 of the Trade Act of 1930 on specified Canadian goods, with effectiveness deferred from August 19 to August 22, 2026 after intensive negotiations ended without settlement on August 21. The covered value is approximately $27.6 billion of Canadian goods. On August 25, 2026, Canada published counter-tariffs of 15, 25, and 50 per cent on a corresponding value of United States goods across 629 tariff items, including steel and aluminum, dairy, apparel, appliances, pulp and paper, and electronics, effective September 8, 2026 at 12:01 a.m., with an in-transit exemption and continued remission relief. Pre-existing Canadian countermeasures, including on United States automobiles, remain in force. Canada also announced a $7.5 billion package of support for affected workers and businesses.</w:t>
      </w:r>
    </w:p>
    <w:p>
      <w:pPr>
        <w:spacing w:after="140" w:line="288"/>
        <w:ind w:firstLine="431"/>
        <w:jc w:val="both"/>
      </w:pPr>
      <w:r>
        <w:rPr>
          <w:rFonts w:ascii="Times New Roman" w:cs="Times New Roman" w:eastAsia="SimSun" w:hAnsi="Times New Roman"/>
          <w:sz w:val="23"/>
          <w:szCs w:val="23"/>
        </w:rPr>
        <w:t xml:space="preserve">The tracks. The Canada–United States bilateral track stands suspended, with no further talks on the calendar as of the end of August 2026 and uncertainty whether leaders return to the table before the United States midterm elections of November 3, 2026. The United States–Mexico track has completed three rounds (May, June, and July 2026) with a fourth directed for Washington in September 2026. No trilateral text-based negotiation presently convenes. This Instrument exists for precisely this configuration: it stands open, it suspends the immediate harm, it prices absence procedurally rather than politically, and it carries the negotiation toward the July 2027 annual review, where the Article 34.7.4 confirmation pathway stands ready for exercise on the basis of a negotiated modernization.</w:t>
      </w:r>
    </w:p>
    <w:p>
      <w:pPr>
        <w:spacing w:after="140" w:line="288"/>
        <w:ind w:firstLine="431"/>
        <w:jc w:val="both"/>
      </w:pPr>
      <w:r>
        <w:rPr>
          <w:rFonts w:ascii="Times New Roman" w:cs="Times New Roman" w:eastAsia="SimSun" w:hAnsi="Times New Roman"/>
          <w:sz w:val="23"/>
          <w:szCs w:val="23"/>
        </w:rPr>
        <w:t xml:space="preserve">Design provenance. The negotiation substance derives from the consolidated negotiating text of NAESTMA v9.7A. The de-escalation, ledger, gate, and interim-application mechanics draw on the Recognized Bilateral Instruments, the Northstar Dividend Compact, the Great Lakes Gateway Interim Trade Accord, and the Niagara Bridge Interim Trade Accord, adapted to trilateral operation. The verification architecture applies the Cothrom Verification Method, Version 1.0, under the trade adaptation in Part VII and Annex E.</w:t>
      </w:r>
    </w:p>
    <w:p>
      <w:pPr>
        <w:pStyle w:val="Heading1"/>
        <w:spacing w:after="160" w:before="320"/>
      </w:pPr>
      <w:r>
        <w:rPr>
          <w:rFonts w:ascii="Times New Roman" w:cs="Times New Roman" w:eastAsia="SimSun" w:hAnsi="Times New Roman"/>
          <w:b/>
          <w:bCs/>
          <w:color w:val="1F3A52"/>
          <w:sz w:val="28"/>
          <w:szCs w:val="28"/>
        </w:rPr>
        <w:t xml:space="preserve">CLOSING PROVISION: THE OPERATING IDEA</w:t>
      </w:r>
    </w:p>
    <w:p>
      <w:pPr>
        <w:spacing w:after="140" w:line="288"/>
        <w:ind w:firstLine="431"/>
        <w:jc w:val="both"/>
      </w:pPr>
      <w:r>
        <w:rPr>
          <w:rFonts w:ascii="Times New Roman" w:cs="Times New Roman" w:eastAsia="SimSun" w:hAnsi="Times New Roman"/>
          <w:sz w:val="23"/>
          <w:szCs w:val="23"/>
        </w:rPr>
        <w:t xml:space="preserve">This Instrument rests on a single proposition: the way back to the table is to make the table the least costly place to be. It suspends the September measures before they bite, prices absence in graduated and reversible units rather than in collapsed negotiations, locks the consensus that already exists so it cannot be re-bargained away, and hands the Parties a single consolidated text, a calendar, a registry, and a deadline. It asks no Party to concede the substance in advance. It asks every Party to show up, table text, and let verification, not escalation, arbitrate performance. Cothrom: equal stakes, equal scrutiny, equal protection, equal opportunity to recover.</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288"/>
      <w:jc w:val="center"/>
    </w:pPr>
    <w:r>
      <w:rPr>
        <w:rFonts w:ascii="Times New Roman" w:cs="Times New Roman" w:eastAsia="SimSun" w:hAnsi="Times New Roman"/>
        <w:color w:val="33556E"/>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D9" w:sz="4" w:space="4"/>
      </w:pBdr>
      <w:spacing w:after="40"/>
      <w:jc w:val="center"/>
    </w:pPr>
    <w:r>
      <w:rPr>
        <w:rFonts w:ascii="Times New Roman" w:cs="Times New Roman" w:eastAsia="SimSun" w:hAnsi="Times New Roman"/>
        <w:i/>
        <w:iCs/>
        <w:color w:val="33556E"/>
        <w:sz w:val="19"/>
        <w:szCs w:val="19"/>
      </w:rPr>
      <w:t xml:space="preserve">The North American Cooperation Reaffirmation Instrument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2026-09-02T08:11:16.911Z</dcterms:created>
  <dcterms:modified xsi:type="dcterms:W3CDTF">2026-09-02T08:11:16.912Z</dcterms:modified>
</cp:coreProperties>
</file>

<file path=docProps/custom.xml><?xml version="1.0" encoding="utf-8"?>
<Properties xmlns="http://schemas.openxmlformats.org/officeDocument/2006/custom-properties" xmlns:vt="http://schemas.openxmlformats.org/officeDocument/2006/docPropsVTypes"/>
</file>