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0c80db45e8f24dc4"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Normal"/>
        <w:spacing w:before="2200"/>
      </w:pPr>
    </w:p>
    <w:p>
      <w:pPr>
        <w:pStyle w:val="Normal"/>
        <w:pBdr>
          <w:bottom w:val="single" w:color="2F4858" w:sz="18" w:space="1"/>
        </w:pBdr>
        <w:spacing w:after="1200"/>
        <w:ind w:left="1000" w:right="1000"/>
      </w:pPr>
    </w:p>
    <w:p>
      <w:pPr>
        <w:pStyle w:val="Normal"/>
        <w:shd w:val="clear" w:fill="3E5A70"/>
        <w:spacing w:before="140" w:after="160" w:line="340" w:lineRule="auto"/>
        <w:ind w:left="1000" w:right="1000"/>
        <w:jc w:val="center"/>
      </w:pPr>
      <w:r>
        <w:rPr>
          <w:rFonts w:ascii="Calibri" w:hAnsi="Calibri" w:eastAsia="Microsoft YaHei" w:cs="Calibri"/>
          <w:b/>
          <w:color w:val="D7E3EA"/>
          <w:sz w:val="32"/>
          <w:szCs w:val="32"/>
        </w:rPr>
        <w:t xml:space="preserve">STRATEGIC POLICY SERIES  |  AUGUST 26, 2026</w:t>
      </w:r>
    </w:p>
    <w:p>
      <w:pPr>
        <w:pStyle w:val="Normal"/>
        <w:shd w:val="clear" w:fill="2F4858"/>
        <w:spacing w:before="140" w:after="80" w:line="340" w:lineRule="auto"/>
        <w:ind w:left="1000" w:right="1000"/>
        <w:jc w:val="center"/>
      </w:pPr>
      <w:r>
        <w:rPr>
          <w:rFonts w:ascii="Calibri" w:hAnsi="Calibri" w:eastAsia="Microsoft YaHei" w:cs="Calibri"/>
          <w:b/>
          <w:color w:val="FFFFFF"/>
          <w:sz w:val="84"/>
          <w:szCs w:val="84"/>
        </w:rPr>
        <w:t>Canadian Tariff Strategy Guide</w:t>
      </w:r>
    </w:p>
    <w:p>
      <w:pPr>
        <w:pStyle w:val="Normal"/>
        <w:shd w:val="clear" w:fill="2F4858"/>
        <w:spacing w:before="140" w:after="600" w:line="340" w:lineRule="auto"/>
        <w:ind w:left="1000" w:right="1000"/>
        <w:jc w:val="center"/>
      </w:pPr>
      <w:r>
        <w:rPr>
          <w:rFonts w:ascii="Calibri" w:hAnsi="Calibri" w:eastAsia="Microsoft YaHei" w:cs="Calibri"/>
          <w:color w:val="D7E3EA"/>
          <w:sz w:val="30"/>
          <w:szCs w:val="30"/>
        </w:rPr>
        <w:t>A Comprehensive Retaliatory Tariff and Economic Leverage Package Responding to the 2026 United States Tariff Offensive</w:t>
      </w:r>
    </w:p>
    <w:p>
      <w:pPr>
        <w:pStyle w:val="Normal"/>
        <w:shd w:val="clear" w:fill="E9EFF2"/>
        <w:spacing w:before="140" w:after="40" w:line="340" w:lineRule="auto"/>
        <w:ind w:left="1000" w:right="1000"/>
        <w:jc w:val="center"/>
      </w:pPr>
      <w:r>
        <w:rPr>
          <w:rFonts w:ascii="Calibri" w:hAnsi="Calibri" w:eastAsia="Microsoft YaHei" w:cs="Calibri"/>
          <w:b/>
          <w:color w:val="1F2E38"/>
          <w:sz w:val="24"/>
          <w:szCs w:val="24"/>
        </w:rPr>
        <w:t>Prepared for the Office of the Prime Minister of Canada</w:t>
      </w:r>
    </w:p>
    <w:p>
      <w:pPr>
        <w:pStyle w:val="Normal"/>
        <w:shd w:val="clear" w:fill="E9EFF2"/>
        <w:spacing w:before="140" w:after="40" w:line="340" w:lineRule="auto"/>
        <w:ind w:left="1000" w:right="1000"/>
        <w:jc w:val="center"/>
      </w:pPr>
      <w:r>
        <w:rPr>
          <w:rFonts w:ascii="Calibri" w:hAnsi="Calibri" w:eastAsia="Microsoft YaHei" w:cs="Calibri"/>
          <w:color w:val="55707F"/>
          <w:sz w:val="22"/>
          <w:szCs w:val="22"/>
        </w:rPr>
        <w:t>Scope: 60 tariff and leverage measures across five tiers, with rates, impacts, effectiveness assessments, and a phased bargaining package, plus Part X: an 800-line 50% countertariff schedule calibrated to US$27.6 billion of annual U.S. goods exports to Canada</w:t>
      </w:r>
    </w:p>
    <w:p>
      <w:pPr>
        <w:pStyle w:val="Normal"/>
        <w:shd w:val="clear" w:fill="E9EFF2"/>
        <w:spacing w:before="140" w:after="1200" w:line="340" w:lineRule="auto"/>
        <w:ind w:left="1000" w:right="1000"/>
        <w:jc w:val="center"/>
      </w:pPr>
      <w:r>
        <w:rPr>
          <w:rFonts w:ascii="Calibri" w:hAnsi="Calibri" w:eastAsia="Microsoft YaHei" w:cs="Calibri"/>
          <w:color w:val="55707F"/>
          <w:sz w:val="22"/>
          <w:szCs w:val="22"/>
        </w:rPr>
        <w:t>Status: Strategic policy draft for cabinet deliberation</w:t>
      </w:r>
    </w:p>
    <w:p>
      <w:pPr>
        <w:pStyle w:val="Normal"/>
        <w:pBdr>
          <w:bottom w:val="single" w:color="2F4858" w:sz="18" w:space="1"/>
        </w:pBdr>
        <w:spacing w:after="600"/>
        <w:ind w:left="1000" w:right="1000"/>
      </w:pPr>
    </w:p>
    <w:p>
      <w:pPr>
        <w:pStyle w:val="Normal"/>
        <w:spacing w:after="60"/>
        <w:jc w:val="center"/>
      </w:pPr>
      <w:r>
        <w:rPr>
          <w:color w:val="55707F"/>
          <w:sz w:val="20"/>
          <w:rFonts w:ascii="Calibri" w:hAnsi="Calibri" w:eastAsia="Microsoft YaHei" w:cs="Calibri"/>
          <w:szCs w:val="20"/>
        </w:rPr>
        <w:t>Canada responds to attack with precision, scale, and resolve.</w:t>
      </w:r>
    </w:p>
    <w:p>
      <w:pPr>
        <w:pStyle w:val="Normal"/>
        <w:jc w:val="center"/>
      </w:pPr>
      <w:r>
        <w:rPr>
          <w:color w:val="8AA0AC"/>
          <w:sz w:val="18"/>
          <w:rFonts w:ascii="Calibri" w:hAnsi="Calibri" w:eastAsia="Microsoft YaHei" w:cs="Calibri"/>
          <w:szCs w:val="18"/>
        </w:rPr>
        <w:t>This document contains policy analysis and options for lawful trade action.</w:t>
      </w:r>
    </w:p>
    <w:p>
      <w:pPr>
        <w:pStyle w:val="Normal"/>
        <w:sectPr>
          <w:type w:val="nextPage"/>
          <w:pgSz w:w="11906" w:h="16838"/>
          <w:pgMar w:top="1440" w:right="1440" w:bottom="1440" w:left="1440" w:header="720" w:footer="720"/>
          <w:pgBorders w:offsetFrom="page">
            <w:top w:val="double" w:color="2F4858" w:sz="12" w:space="28"/>
            <w:left w:val="double" w:color="2F4858" w:sz="12" w:space="28"/>
            <w:bottom w:val="double" w:color="2F4858" w:sz="12" w:space="28"/>
            <w:right w:val="double" w:color="2F4858" w:sz="12" w:space="28"/>
          </w:pgBorders>
        </w:sectPr>
      </w:pPr>
    </w:p>
    <w:p>
      <w:pPr>
        <w:pStyle w:val="Heading1"/>
      </w:pPr>
      <w:r>
        <w:rPr>
          <w:rFonts w:ascii="Calibri" w:hAnsi="Calibri" w:eastAsia="Microsoft YaHei" w:cs="Calibri"/>
          <w:b/>
          <w:color w:val="2F4858"/>
          <w:sz w:val="40"/>
          <w:szCs w:val="40"/>
        </w:rPr>
        <w:t>Table of Contents</w:t>
      </w:r>
    </w:p>
    <w:p>
      <w:pPr>
        <w:pStyle w:val="Normal"/>
      </w:pPr>
      <w:r>
        <w:fldChar w:fldCharType="begin"/>
      </w:r>
      <w:r>
        <w:instrText xml:space="preserve"> TOC \o "1-2" \h \z \u </w:instrText>
      </w:r>
      <w:r>
        <w:fldChar w:fldCharType="separate"/>
      </w:r>
    </w:p>
    <w:p>
      <w:pPr>
        <w:pStyle w:val="TOC1"/>
      </w:pPr>
      <w:r>
        <w:rPr>
          <w:rFonts w:ascii="Calibri" w:hAnsi="Calibri" w:eastAsia="Microsoft YaHei" w:cs="Calibri"/>
          <w:b/>
          <w:color w:val="1F2E38"/>
          <w:sz w:val="21"/>
          <w:szCs w:val="21"/>
        </w:rPr>
        <w:t>Executive Summary</w:t>
      </w:r>
      <w:r>
        <w:rPr>
          <w:rFonts w:ascii="Calibri" w:hAnsi="Calibri" w:eastAsia="Microsoft YaHei"/>
          <w:b/>
          <w:color w:val="1F2E38"/>
          <w:sz w:val="21"/>
        </w:rPr>
        <w:tab/>
      </w:r>
      <w:r>
        <w:rPr>
          <w:rFonts w:ascii="Calibri" w:hAnsi="Calibri" w:eastAsia="Microsoft YaHei" w:cs="Calibri"/>
          <w:b/>
          <w:color w:val="1F2E38"/>
          <w:sz w:val="21"/>
          <w:szCs w:val="21"/>
        </w:rPr>
        <w:t>5</w:t>
      </w:r>
    </w:p>
    <w:p>
      <w:pPr>
        <w:pStyle w:val="TOC1"/>
      </w:pPr>
      <w:r>
        <w:rPr>
          <w:rFonts w:ascii="Calibri" w:hAnsi="Calibri" w:eastAsia="Microsoft YaHei" w:cs="Calibri"/>
          <w:b/>
          <w:color w:val="1F2E38"/>
          <w:sz w:val="21"/>
          <w:szCs w:val="21"/>
        </w:rPr>
        <w:t>Part I: The State of the Conflict</w:t>
      </w:r>
      <w:r>
        <w:rPr>
          <w:rFonts w:ascii="Calibri" w:hAnsi="Calibri" w:eastAsia="Microsoft YaHei"/>
          <w:b/>
          <w:color w:val="1F2E38"/>
          <w:sz w:val="21"/>
        </w:rPr>
        <w:tab/>
      </w:r>
      <w:r>
        <w:rPr>
          <w:rFonts w:ascii="Calibri" w:hAnsi="Calibri" w:eastAsia="Microsoft YaHei" w:cs="Calibri"/>
          <w:b/>
          <w:color w:val="1F2E38"/>
          <w:sz w:val="21"/>
          <w:szCs w:val="21"/>
        </w:rPr>
        <w:t>6</w:t>
      </w:r>
    </w:p>
    <w:p>
      <w:pPr>
        <w:pStyle w:val="TOC2"/>
      </w:pPr>
      <w:r>
        <w:rPr>
          <w:rFonts w:ascii="Calibri" w:hAnsi="Calibri" w:eastAsia="Microsoft YaHei" w:cs="Calibri"/>
          <w:color w:val="55707F"/>
          <w:sz w:val="21"/>
          <w:szCs w:val="21"/>
        </w:rPr>
        <w:t>The Last Three Days (August 23 to 26, 2026)</w:t>
      </w:r>
      <w:r>
        <w:rPr>
          <w:rFonts w:ascii="Calibri" w:hAnsi="Calibri" w:eastAsia="Microsoft YaHei"/>
          <w:color w:val="55707F"/>
          <w:sz w:val="21"/>
        </w:rPr>
        <w:tab/>
      </w:r>
      <w:r>
        <w:rPr>
          <w:rFonts w:ascii="Calibri" w:hAnsi="Calibri" w:eastAsia="Microsoft YaHei" w:cs="Calibri"/>
          <w:color w:val="55707F"/>
          <w:sz w:val="21"/>
          <w:szCs w:val="21"/>
        </w:rPr>
        <w:t>6</w:t>
      </w:r>
    </w:p>
    <w:p>
      <w:pPr>
        <w:pStyle w:val="TOC2"/>
      </w:pPr>
      <w:r>
        <w:rPr>
          <w:rFonts w:ascii="Calibri" w:hAnsi="Calibri" w:eastAsia="Microsoft YaHei" w:cs="Calibri"/>
          <w:color w:val="55707F"/>
          <w:sz w:val="21"/>
          <w:szCs w:val="21"/>
        </w:rPr>
        <w:t>The August Escalation Timeline</w:t>
      </w:r>
      <w:r>
        <w:rPr>
          <w:rFonts w:ascii="Calibri" w:hAnsi="Calibri" w:eastAsia="Microsoft YaHei"/>
          <w:color w:val="55707F"/>
          <w:sz w:val="21"/>
        </w:rPr>
        <w:tab/>
      </w:r>
      <w:r>
        <w:rPr>
          <w:rFonts w:ascii="Calibri" w:hAnsi="Calibri" w:eastAsia="Microsoft YaHei" w:cs="Calibri"/>
          <w:color w:val="55707F"/>
          <w:sz w:val="21"/>
          <w:szCs w:val="21"/>
        </w:rPr>
        <w:t>7</w:t>
      </w:r>
    </w:p>
    <w:p>
      <w:pPr>
        <w:pStyle w:val="TOC2"/>
      </w:pPr>
      <w:r>
        <w:rPr>
          <w:rFonts w:ascii="Calibri" w:hAnsi="Calibri" w:eastAsia="Microsoft YaHei" w:cs="Calibri"/>
          <w:color w:val="55707F"/>
          <w:sz w:val="21"/>
          <w:szCs w:val="21"/>
        </w:rPr>
        <w:t>Rhetoric and Political Signalling</w:t>
      </w:r>
      <w:r>
        <w:rPr>
          <w:rFonts w:ascii="Calibri" w:hAnsi="Calibri" w:eastAsia="Microsoft YaHei"/>
          <w:color w:val="55707F"/>
          <w:sz w:val="21"/>
        </w:rPr>
        <w:tab/>
      </w:r>
      <w:r>
        <w:rPr>
          <w:rFonts w:ascii="Calibri" w:hAnsi="Calibri" w:eastAsia="Microsoft YaHei" w:cs="Calibri"/>
          <w:color w:val="55707F"/>
          <w:sz w:val="21"/>
          <w:szCs w:val="21"/>
        </w:rPr>
        <w:t>8</w:t>
      </w:r>
    </w:p>
    <w:p>
      <w:pPr>
        <w:pStyle w:val="TOC2"/>
      </w:pPr>
      <w:r>
        <w:rPr>
          <w:rFonts w:ascii="Calibri" w:hAnsi="Calibri" w:eastAsia="Microsoft YaHei" w:cs="Calibri"/>
          <w:color w:val="55707F"/>
          <w:sz w:val="21"/>
          <w:szCs w:val="21"/>
        </w:rPr>
        <w:t>From February 2025 to the Present</w:t>
      </w:r>
      <w:r>
        <w:rPr>
          <w:rFonts w:ascii="Calibri" w:hAnsi="Calibri" w:eastAsia="Microsoft YaHei"/>
          <w:color w:val="55707F"/>
          <w:sz w:val="21"/>
        </w:rPr>
        <w:tab/>
      </w:r>
      <w:r>
        <w:rPr>
          <w:rFonts w:ascii="Calibri" w:hAnsi="Calibri" w:eastAsia="Microsoft YaHei" w:cs="Calibri"/>
          <w:color w:val="55707F"/>
          <w:sz w:val="21"/>
          <w:szCs w:val="21"/>
        </w:rPr>
        <w:t>8</w:t>
      </w:r>
    </w:p>
    <w:p>
      <w:pPr>
        <w:pStyle w:val="TOC1"/>
      </w:pPr>
      <w:r>
        <w:rPr>
          <w:rFonts w:ascii="Calibri" w:hAnsi="Calibri" w:eastAsia="Microsoft YaHei" w:cs="Calibri"/>
          <w:b/>
          <w:color w:val="1F2E38"/>
          <w:sz w:val="21"/>
          <w:szCs w:val="21"/>
        </w:rPr>
        <w:t>Part II: The CUSMA Legal Framework</w:t>
      </w:r>
      <w:r>
        <w:rPr>
          <w:rFonts w:ascii="Calibri" w:hAnsi="Calibri" w:eastAsia="Microsoft YaHei"/>
          <w:b/>
          <w:color w:val="1F2E38"/>
          <w:sz w:val="21"/>
        </w:rPr>
        <w:tab/>
      </w:r>
      <w:r>
        <w:rPr>
          <w:rFonts w:ascii="Calibri" w:hAnsi="Calibri" w:eastAsia="Microsoft YaHei" w:cs="Calibri"/>
          <w:b/>
          <w:color w:val="1F2E38"/>
          <w:sz w:val="21"/>
          <w:szCs w:val="21"/>
        </w:rPr>
        <w:t>9</w:t>
      </w:r>
    </w:p>
    <w:p>
      <w:pPr>
        <w:pStyle w:val="TOC2"/>
      </w:pPr>
      <w:r>
        <w:rPr>
          <w:rFonts w:ascii="Calibri" w:hAnsi="Calibri" w:eastAsia="Microsoft YaHei" w:cs="Calibri"/>
          <w:color w:val="55707F"/>
          <w:sz w:val="21"/>
          <w:szCs w:val="21"/>
        </w:rPr>
        <w:t>Core Tariff Commitments</w:t>
      </w:r>
      <w:r>
        <w:rPr>
          <w:rFonts w:ascii="Calibri" w:hAnsi="Calibri" w:eastAsia="Microsoft YaHei"/>
          <w:color w:val="55707F"/>
          <w:sz w:val="21"/>
        </w:rPr>
        <w:tab/>
      </w:r>
      <w:r>
        <w:rPr>
          <w:rFonts w:ascii="Calibri" w:hAnsi="Calibri" w:eastAsia="Microsoft YaHei" w:cs="Calibri"/>
          <w:color w:val="55707F"/>
          <w:sz w:val="21"/>
          <w:szCs w:val="21"/>
        </w:rPr>
        <w:t>9</w:t>
      </w:r>
    </w:p>
    <w:p>
      <w:pPr>
        <w:pStyle w:val="TOC2"/>
      </w:pPr>
      <w:r>
        <w:rPr>
          <w:rFonts w:ascii="Calibri" w:hAnsi="Calibri" w:eastAsia="Microsoft YaHei" w:cs="Calibri"/>
          <w:color w:val="55707F"/>
          <w:sz w:val="21"/>
          <w:szCs w:val="21"/>
        </w:rPr>
        <w:t>Agriculture and Supply Management</w:t>
      </w:r>
      <w:r>
        <w:rPr>
          <w:rFonts w:ascii="Calibri" w:hAnsi="Calibri" w:eastAsia="Microsoft YaHei"/>
          <w:color w:val="55707F"/>
          <w:sz w:val="21"/>
        </w:rPr>
        <w:tab/>
      </w:r>
      <w:r>
        <w:rPr>
          <w:rFonts w:ascii="Calibri" w:hAnsi="Calibri" w:eastAsia="Microsoft YaHei" w:cs="Calibri"/>
          <w:color w:val="55707F"/>
          <w:sz w:val="21"/>
          <w:szCs w:val="21"/>
        </w:rPr>
        <w:t>9</w:t>
      </w:r>
    </w:p>
    <w:p>
      <w:pPr>
        <w:pStyle w:val="TOC2"/>
      </w:pPr>
      <w:r>
        <w:rPr>
          <w:rFonts w:ascii="Calibri" w:hAnsi="Calibri" w:eastAsia="Microsoft YaHei" w:cs="Calibri"/>
          <w:color w:val="55707F"/>
          <w:sz w:val="21"/>
          <w:szCs w:val="21"/>
        </w:rPr>
        <w:t>Rules of Origin and the Auto Pact</w:t>
      </w:r>
      <w:r>
        <w:rPr>
          <w:rFonts w:ascii="Calibri" w:hAnsi="Calibri" w:eastAsia="Microsoft YaHei"/>
          <w:color w:val="55707F"/>
          <w:sz w:val="21"/>
        </w:rPr>
        <w:tab/>
      </w:r>
      <w:r>
        <w:rPr>
          <w:rFonts w:ascii="Calibri" w:hAnsi="Calibri" w:eastAsia="Microsoft YaHei" w:cs="Calibri"/>
          <w:color w:val="55707F"/>
          <w:sz w:val="21"/>
          <w:szCs w:val="21"/>
        </w:rPr>
        <w:t>10</w:t>
      </w:r>
    </w:p>
    <w:p>
      <w:pPr>
        <w:pStyle w:val="TOC2"/>
      </w:pPr>
      <w:r>
        <w:rPr>
          <w:rFonts w:ascii="Calibri" w:hAnsi="Calibri" w:eastAsia="Microsoft YaHei" w:cs="Calibri"/>
          <w:color w:val="55707F"/>
          <w:sz w:val="21"/>
          <w:szCs w:val="21"/>
        </w:rPr>
        <w:t>Trade Remedies and Dispute Settlement</w:t>
      </w:r>
      <w:r>
        <w:rPr>
          <w:rFonts w:ascii="Calibri" w:hAnsi="Calibri" w:eastAsia="Microsoft YaHei"/>
          <w:color w:val="55707F"/>
          <w:sz w:val="21"/>
        </w:rPr>
        <w:tab/>
      </w:r>
      <w:r>
        <w:rPr>
          <w:rFonts w:ascii="Calibri" w:hAnsi="Calibri" w:eastAsia="Microsoft YaHei" w:cs="Calibri"/>
          <w:color w:val="55707F"/>
          <w:sz w:val="21"/>
          <w:szCs w:val="21"/>
        </w:rPr>
        <w:t>10</w:t>
      </w:r>
    </w:p>
    <w:p>
      <w:pPr>
        <w:pStyle w:val="TOC2"/>
      </w:pPr>
      <w:r>
        <w:rPr>
          <w:rFonts w:ascii="Calibri" w:hAnsi="Calibri" w:eastAsia="Microsoft YaHei" w:cs="Calibri"/>
          <w:color w:val="55707F"/>
          <w:sz w:val="21"/>
          <w:szCs w:val="21"/>
        </w:rPr>
        <w:t>Exceptions, Withdrawal, and the 2026 Joint Review</w:t>
      </w:r>
      <w:r>
        <w:rPr>
          <w:rFonts w:ascii="Calibri" w:hAnsi="Calibri" w:eastAsia="Microsoft YaHei"/>
          <w:color w:val="55707F"/>
          <w:sz w:val="21"/>
        </w:rPr>
        <w:tab/>
      </w:r>
      <w:r>
        <w:rPr>
          <w:rFonts w:ascii="Calibri" w:hAnsi="Calibri" w:eastAsia="Microsoft YaHei" w:cs="Calibri"/>
          <w:color w:val="55707F"/>
          <w:sz w:val="21"/>
          <w:szCs w:val="21"/>
        </w:rPr>
        <w:t>10</w:t>
      </w:r>
    </w:p>
    <w:p>
      <w:pPr>
        <w:pStyle w:val="TOC2"/>
      </w:pPr>
      <w:r>
        <w:rPr>
          <w:rFonts w:ascii="Calibri" w:hAnsi="Calibri" w:eastAsia="Microsoft YaHei" w:cs="Calibri"/>
          <w:color w:val="55707F"/>
          <w:sz w:val="21"/>
          <w:szCs w:val="21"/>
        </w:rPr>
        <w:t>Side Letters and Section 232</w:t>
      </w:r>
      <w:r>
        <w:rPr>
          <w:rFonts w:ascii="Calibri" w:hAnsi="Calibri" w:eastAsia="Microsoft YaHei"/>
          <w:color w:val="55707F"/>
          <w:sz w:val="21"/>
        </w:rPr>
        <w:tab/>
      </w:r>
      <w:r>
        <w:rPr>
          <w:rFonts w:ascii="Calibri" w:hAnsi="Calibri" w:eastAsia="Microsoft YaHei" w:cs="Calibri"/>
          <w:color w:val="55707F"/>
          <w:sz w:val="21"/>
          <w:szCs w:val="21"/>
        </w:rPr>
        <w:t>11</w:t>
      </w:r>
    </w:p>
    <w:p>
      <w:pPr>
        <w:pStyle w:val="TOC2"/>
      </w:pPr>
      <w:r>
        <w:rPr>
          <w:rFonts w:ascii="Calibri" w:hAnsi="Calibri" w:eastAsia="Microsoft YaHei" w:cs="Calibri"/>
          <w:color w:val="55707F"/>
          <w:sz w:val="21"/>
          <w:szCs w:val="21"/>
        </w:rPr>
        <w:t>The Section 338 Measures Under CUSMA</w:t>
      </w:r>
      <w:r>
        <w:rPr>
          <w:rFonts w:ascii="Calibri" w:hAnsi="Calibri" w:eastAsia="Microsoft YaHei"/>
          <w:color w:val="55707F"/>
          <w:sz w:val="21"/>
        </w:rPr>
        <w:tab/>
      </w:r>
      <w:r>
        <w:rPr>
          <w:rFonts w:ascii="Calibri" w:hAnsi="Calibri" w:eastAsia="Microsoft YaHei" w:cs="Calibri"/>
          <w:color w:val="55707F"/>
          <w:sz w:val="21"/>
          <w:szCs w:val="21"/>
        </w:rPr>
        <w:t>11</w:t>
      </w:r>
    </w:p>
    <w:p>
      <w:pPr>
        <w:pStyle w:val="TOC1"/>
      </w:pPr>
      <w:r>
        <w:rPr>
          <w:rFonts w:ascii="Calibri" w:hAnsi="Calibri" w:eastAsia="Microsoft YaHei" w:cs="Calibri"/>
          <w:b/>
          <w:color w:val="1F2E38"/>
          <w:sz w:val="21"/>
          <w:szCs w:val="21"/>
        </w:rPr>
        <w:t>Part III: The Bilateral Trade Map</w:t>
      </w:r>
      <w:r>
        <w:rPr>
          <w:rFonts w:ascii="Calibri" w:hAnsi="Calibri" w:eastAsia="Microsoft YaHei"/>
          <w:b/>
          <w:color w:val="1F2E38"/>
          <w:sz w:val="21"/>
        </w:rPr>
        <w:tab/>
      </w:r>
      <w:r>
        <w:rPr>
          <w:rFonts w:ascii="Calibri" w:hAnsi="Calibri" w:eastAsia="Microsoft YaHei" w:cs="Calibri"/>
          <w:b/>
          <w:color w:val="1F2E38"/>
          <w:sz w:val="21"/>
          <w:szCs w:val="21"/>
        </w:rPr>
        <w:t>11</w:t>
      </w:r>
    </w:p>
    <w:p>
      <w:pPr>
        <w:pStyle w:val="TOC2"/>
      </w:pPr>
      <w:r>
        <w:rPr>
          <w:rFonts w:ascii="Calibri" w:hAnsi="Calibri" w:eastAsia="Microsoft YaHei" w:cs="Calibri"/>
          <w:color w:val="55707F"/>
          <w:sz w:val="21"/>
          <w:szCs w:val="21"/>
        </w:rPr>
        <w:t>What the United States Buys from Canada</w:t>
      </w:r>
      <w:r>
        <w:rPr>
          <w:rFonts w:ascii="Calibri" w:hAnsi="Calibri" w:eastAsia="Microsoft YaHei"/>
          <w:color w:val="55707F"/>
          <w:sz w:val="21"/>
        </w:rPr>
        <w:tab/>
      </w:r>
      <w:r>
        <w:rPr>
          <w:rFonts w:ascii="Calibri" w:hAnsi="Calibri" w:eastAsia="Microsoft YaHei" w:cs="Calibri"/>
          <w:color w:val="55707F"/>
          <w:sz w:val="21"/>
          <w:szCs w:val="21"/>
        </w:rPr>
        <w:t>11</w:t>
      </w:r>
    </w:p>
    <w:p>
      <w:pPr>
        <w:pStyle w:val="TOC2"/>
      </w:pPr>
      <w:r>
        <w:rPr>
          <w:rFonts w:ascii="Calibri" w:hAnsi="Calibri" w:eastAsia="Microsoft YaHei" w:cs="Calibri"/>
          <w:color w:val="55707F"/>
          <w:sz w:val="21"/>
          <w:szCs w:val="21"/>
        </w:rPr>
        <w:t>What Canada Buys from the United States</w:t>
      </w:r>
      <w:r>
        <w:rPr>
          <w:rFonts w:ascii="Calibri" w:hAnsi="Calibri" w:eastAsia="Microsoft YaHei"/>
          <w:color w:val="55707F"/>
          <w:sz w:val="21"/>
        </w:rPr>
        <w:tab/>
      </w:r>
      <w:r>
        <w:rPr>
          <w:rFonts w:ascii="Calibri" w:hAnsi="Calibri" w:eastAsia="Microsoft YaHei" w:cs="Calibri"/>
          <w:color w:val="55707F"/>
          <w:sz w:val="21"/>
          <w:szCs w:val="21"/>
        </w:rPr>
        <w:t>13</w:t>
      </w:r>
    </w:p>
    <w:p>
      <w:pPr>
        <w:pStyle w:val="TOC2"/>
      </w:pPr>
      <w:r>
        <w:rPr>
          <w:rFonts w:ascii="Calibri" w:hAnsi="Calibri" w:eastAsia="Microsoft YaHei" w:cs="Calibri"/>
          <w:color w:val="55707F"/>
          <w:sz w:val="21"/>
          <w:szCs w:val="21"/>
        </w:rPr>
        <w:t>State-Level Exposure Map</w:t>
      </w:r>
      <w:r>
        <w:rPr>
          <w:rFonts w:ascii="Calibri" w:hAnsi="Calibri" w:eastAsia="Microsoft YaHei"/>
          <w:color w:val="55707F"/>
          <w:sz w:val="21"/>
        </w:rPr>
        <w:tab/>
      </w:r>
      <w:r>
        <w:rPr>
          <w:rFonts w:ascii="Calibri" w:hAnsi="Calibri" w:eastAsia="Microsoft YaHei" w:cs="Calibri"/>
          <w:color w:val="55707F"/>
          <w:sz w:val="21"/>
          <w:szCs w:val="21"/>
        </w:rPr>
        <w:t>14</w:t>
      </w:r>
    </w:p>
    <w:p>
      <w:pPr>
        <w:pStyle w:val="TOC2"/>
      </w:pPr>
      <w:r>
        <w:rPr>
          <w:rFonts w:ascii="Calibri" w:hAnsi="Calibri" w:eastAsia="Microsoft YaHei" w:cs="Calibri"/>
          <w:color w:val="55707F"/>
          <w:sz w:val="21"/>
          <w:szCs w:val="21"/>
        </w:rPr>
        <w:t>Services Trade and the U.S. Surplus</w:t>
      </w:r>
      <w:r>
        <w:rPr>
          <w:rFonts w:ascii="Calibri" w:hAnsi="Calibri" w:eastAsia="Microsoft YaHei"/>
          <w:color w:val="55707F"/>
          <w:sz w:val="21"/>
        </w:rPr>
        <w:tab/>
      </w:r>
      <w:r>
        <w:rPr>
          <w:rFonts w:ascii="Calibri" w:hAnsi="Calibri" w:eastAsia="Microsoft YaHei" w:cs="Calibri"/>
          <w:color w:val="55707F"/>
          <w:sz w:val="21"/>
          <w:szCs w:val="21"/>
        </w:rPr>
        <w:t>15</w:t>
      </w:r>
    </w:p>
    <w:p>
      <w:pPr>
        <w:pStyle w:val="TOC1"/>
      </w:pPr>
      <w:r>
        <w:rPr>
          <w:rFonts w:ascii="Calibri" w:hAnsi="Calibri" w:eastAsia="Microsoft YaHei" w:cs="Calibri"/>
          <w:b/>
          <w:color w:val="1F2E38"/>
          <w:sz w:val="21"/>
          <w:szCs w:val="21"/>
        </w:rPr>
        <w:t>Part IV: Natural Resource Endowments</w:t>
      </w:r>
      <w:r>
        <w:rPr>
          <w:rFonts w:ascii="Calibri" w:hAnsi="Calibri" w:eastAsia="Microsoft YaHei"/>
          <w:b/>
          <w:color w:val="1F2E38"/>
          <w:sz w:val="21"/>
        </w:rPr>
        <w:tab/>
      </w:r>
      <w:r>
        <w:rPr>
          <w:rFonts w:ascii="Calibri" w:hAnsi="Calibri" w:eastAsia="Microsoft YaHei" w:cs="Calibri"/>
          <w:b/>
          <w:color w:val="1F2E38"/>
          <w:sz w:val="21"/>
          <w:szCs w:val="21"/>
        </w:rPr>
        <w:t>15</w:t>
      </w:r>
    </w:p>
    <w:p>
      <w:pPr>
        <w:pStyle w:val="TOC2"/>
      </w:pPr>
      <w:r>
        <w:rPr>
          <w:rFonts w:ascii="Calibri" w:hAnsi="Calibri" w:eastAsia="Microsoft YaHei" w:cs="Calibri"/>
          <w:color w:val="55707F"/>
          <w:sz w:val="21"/>
          <w:szCs w:val="21"/>
        </w:rPr>
        <w:t>The Canadian Endowment</w:t>
      </w:r>
      <w:r>
        <w:rPr>
          <w:rFonts w:ascii="Calibri" w:hAnsi="Calibri" w:eastAsia="Microsoft YaHei"/>
          <w:color w:val="55707F"/>
          <w:sz w:val="21"/>
        </w:rPr>
        <w:tab/>
      </w:r>
      <w:r>
        <w:rPr>
          <w:rFonts w:ascii="Calibri" w:hAnsi="Calibri" w:eastAsia="Microsoft YaHei" w:cs="Calibri"/>
          <w:color w:val="55707F"/>
          <w:sz w:val="21"/>
          <w:szCs w:val="21"/>
        </w:rPr>
        <w:t>15</w:t>
      </w:r>
    </w:p>
    <w:p>
      <w:pPr>
        <w:pStyle w:val="TOC2"/>
      </w:pPr>
      <w:r>
        <w:rPr>
          <w:rFonts w:ascii="Calibri" w:hAnsi="Calibri" w:eastAsia="Microsoft YaHei" w:cs="Calibri"/>
          <w:color w:val="55707F"/>
          <w:sz w:val="21"/>
          <w:szCs w:val="21"/>
        </w:rPr>
        <w:t>The American Endowment</w:t>
      </w:r>
      <w:r>
        <w:rPr>
          <w:rFonts w:ascii="Calibri" w:hAnsi="Calibri" w:eastAsia="Microsoft YaHei"/>
          <w:color w:val="55707F"/>
          <w:sz w:val="21"/>
        </w:rPr>
        <w:tab/>
      </w:r>
      <w:r>
        <w:rPr>
          <w:rFonts w:ascii="Calibri" w:hAnsi="Calibri" w:eastAsia="Microsoft YaHei" w:cs="Calibri"/>
          <w:color w:val="55707F"/>
          <w:sz w:val="21"/>
          <w:szCs w:val="21"/>
        </w:rPr>
        <w:t>16</w:t>
      </w:r>
    </w:p>
    <w:p>
      <w:pPr>
        <w:pStyle w:val="TOC2"/>
      </w:pPr>
      <w:r>
        <w:rPr>
          <w:rFonts w:ascii="Calibri" w:hAnsi="Calibri" w:eastAsia="Microsoft YaHei" w:cs="Calibri"/>
          <w:color w:val="55707F"/>
          <w:sz w:val="21"/>
          <w:szCs w:val="21"/>
        </w:rPr>
        <w:t>Asymmetric Dependencies</w:t>
      </w:r>
      <w:r>
        <w:rPr>
          <w:rFonts w:ascii="Calibri" w:hAnsi="Calibri" w:eastAsia="Microsoft YaHei"/>
          <w:color w:val="55707F"/>
          <w:sz w:val="21"/>
        </w:rPr>
        <w:tab/>
      </w:r>
      <w:r>
        <w:rPr>
          <w:rFonts w:ascii="Calibri" w:hAnsi="Calibri" w:eastAsia="Microsoft YaHei" w:cs="Calibri"/>
          <w:color w:val="55707F"/>
          <w:sz w:val="21"/>
          <w:szCs w:val="21"/>
        </w:rPr>
        <w:t>16</w:t>
      </w:r>
    </w:p>
    <w:p>
      <w:pPr>
        <w:pStyle w:val="TOC1"/>
      </w:pPr>
      <w:r>
        <w:rPr>
          <w:rFonts w:ascii="Calibri" w:hAnsi="Calibri" w:eastAsia="Microsoft YaHei" w:cs="Calibri"/>
          <w:b/>
          <w:color w:val="1F2E38"/>
          <w:sz w:val="21"/>
          <w:szCs w:val="21"/>
        </w:rPr>
        <w:t>Part V: Strategy Framework</w:t>
      </w:r>
      <w:r>
        <w:rPr>
          <w:rFonts w:ascii="Calibri" w:hAnsi="Calibri" w:eastAsia="Microsoft YaHei"/>
          <w:b/>
          <w:color w:val="1F2E38"/>
          <w:sz w:val="21"/>
        </w:rPr>
        <w:tab/>
      </w:r>
      <w:r>
        <w:rPr>
          <w:rFonts w:ascii="Calibri" w:hAnsi="Calibri" w:eastAsia="Microsoft YaHei" w:cs="Calibri"/>
          <w:b/>
          <w:color w:val="1F2E38"/>
          <w:sz w:val="21"/>
          <w:szCs w:val="21"/>
        </w:rPr>
        <w:t>17</w:t>
      </w:r>
    </w:p>
    <w:p>
      <w:pPr>
        <w:pStyle w:val="TOC2"/>
      </w:pPr>
      <w:r>
        <w:rPr>
          <w:rFonts w:ascii="Calibri" w:hAnsi="Calibri" w:eastAsia="Microsoft YaHei" w:cs="Calibri"/>
          <w:color w:val="55707F"/>
          <w:sz w:val="21"/>
          <w:szCs w:val="21"/>
        </w:rPr>
        <w:t>Strategic Objectives</w:t>
      </w:r>
      <w:r>
        <w:rPr>
          <w:rFonts w:ascii="Calibri" w:hAnsi="Calibri" w:eastAsia="Microsoft YaHei"/>
          <w:color w:val="55707F"/>
          <w:sz w:val="21"/>
        </w:rPr>
        <w:tab/>
      </w:r>
      <w:r>
        <w:rPr>
          <w:rFonts w:ascii="Calibri" w:hAnsi="Calibri" w:eastAsia="Microsoft YaHei" w:cs="Calibri"/>
          <w:color w:val="55707F"/>
          <w:sz w:val="21"/>
          <w:szCs w:val="21"/>
        </w:rPr>
        <w:t>17</w:t>
      </w:r>
    </w:p>
    <w:p>
      <w:pPr>
        <w:pStyle w:val="TOC2"/>
      </w:pPr>
      <w:r>
        <w:rPr>
          <w:rFonts w:ascii="Calibri" w:hAnsi="Calibri" w:eastAsia="Microsoft YaHei" w:cs="Calibri"/>
          <w:color w:val="55707F"/>
          <w:sz w:val="21"/>
          <w:szCs w:val="21"/>
        </w:rPr>
        <w:t>Targeting Doctrine</w:t>
      </w:r>
      <w:r>
        <w:rPr>
          <w:rFonts w:ascii="Calibri" w:hAnsi="Calibri" w:eastAsia="Microsoft YaHei"/>
          <w:color w:val="55707F"/>
          <w:sz w:val="21"/>
        </w:rPr>
        <w:tab/>
      </w:r>
      <w:r>
        <w:rPr>
          <w:rFonts w:ascii="Calibri" w:hAnsi="Calibri" w:eastAsia="Microsoft YaHei" w:cs="Calibri"/>
          <w:color w:val="55707F"/>
          <w:sz w:val="21"/>
          <w:szCs w:val="21"/>
        </w:rPr>
        <w:t>17</w:t>
      </w:r>
    </w:p>
    <w:p>
      <w:pPr>
        <w:pStyle w:val="TOC2"/>
      </w:pPr>
      <w:r>
        <w:rPr>
          <w:rFonts w:ascii="Calibri" w:hAnsi="Calibri" w:eastAsia="Microsoft YaHei" w:cs="Calibri"/>
          <w:color w:val="55707F"/>
          <w:sz w:val="21"/>
          <w:szCs w:val="21"/>
        </w:rPr>
        <w:t>Rate Design</w:t>
      </w:r>
      <w:r>
        <w:rPr>
          <w:rFonts w:ascii="Calibri" w:hAnsi="Calibri" w:eastAsia="Microsoft YaHei"/>
          <w:color w:val="55707F"/>
          <w:sz w:val="21"/>
        </w:rPr>
        <w:tab/>
      </w:r>
      <w:r>
        <w:rPr>
          <w:rFonts w:ascii="Calibri" w:hAnsi="Calibri" w:eastAsia="Microsoft YaHei" w:cs="Calibri"/>
          <w:color w:val="55707F"/>
          <w:sz w:val="21"/>
          <w:szCs w:val="21"/>
        </w:rPr>
        <w:t>18</w:t>
      </w:r>
    </w:p>
    <w:p>
      <w:pPr>
        <w:pStyle w:val="TOC2"/>
      </w:pPr>
      <w:r>
        <w:rPr>
          <w:rFonts w:ascii="Calibri" w:hAnsi="Calibri" w:eastAsia="Microsoft YaHei" w:cs="Calibri"/>
          <w:color w:val="55707F"/>
          <w:sz w:val="21"/>
          <w:szCs w:val="21"/>
        </w:rPr>
        <w:t>Sequencing and Escalation Logic</w:t>
      </w:r>
      <w:r>
        <w:rPr>
          <w:rFonts w:ascii="Calibri" w:hAnsi="Calibri" w:eastAsia="Microsoft YaHei"/>
          <w:color w:val="55707F"/>
          <w:sz w:val="21"/>
        </w:rPr>
        <w:tab/>
      </w:r>
      <w:r>
        <w:rPr>
          <w:rFonts w:ascii="Calibri" w:hAnsi="Calibri" w:eastAsia="Microsoft YaHei" w:cs="Calibri"/>
          <w:color w:val="55707F"/>
          <w:sz w:val="21"/>
          <w:szCs w:val="21"/>
        </w:rPr>
        <w:t>18</w:t>
      </w:r>
    </w:p>
    <w:p>
      <w:pPr>
        <w:pStyle w:val="TOC2"/>
      </w:pPr>
      <w:r>
        <w:rPr>
          <w:rFonts w:ascii="Calibri" w:hAnsi="Calibri" w:eastAsia="Microsoft YaHei" w:cs="Calibri"/>
          <w:color w:val="55707F"/>
          <w:sz w:val="21"/>
          <w:szCs w:val="21"/>
        </w:rPr>
        <w:t>Effectiveness Scoring Method</w:t>
      </w:r>
      <w:r>
        <w:rPr>
          <w:rFonts w:ascii="Calibri" w:hAnsi="Calibri" w:eastAsia="Microsoft YaHei"/>
          <w:color w:val="55707F"/>
          <w:sz w:val="21"/>
        </w:rPr>
        <w:tab/>
      </w:r>
      <w:r>
        <w:rPr>
          <w:rFonts w:ascii="Calibri" w:hAnsi="Calibri" w:eastAsia="Microsoft YaHei" w:cs="Calibri"/>
          <w:color w:val="55707F"/>
          <w:sz w:val="21"/>
          <w:szCs w:val="21"/>
        </w:rPr>
        <w:t>18</w:t>
      </w:r>
    </w:p>
    <w:p>
      <w:pPr>
        <w:pStyle w:val="TOC1"/>
      </w:pPr>
      <w:r>
        <w:rPr>
          <w:rFonts w:ascii="Calibri" w:hAnsi="Calibri" w:eastAsia="Microsoft YaHei" w:cs="Calibri"/>
          <w:b/>
          <w:color w:val="1F2E38"/>
          <w:sz w:val="21"/>
          <w:szCs w:val="21"/>
        </w:rPr>
        <w:t>Part VI: The Tariff Arsenal: 60 Measures</w:t>
      </w:r>
      <w:r>
        <w:rPr>
          <w:rFonts w:ascii="Calibri" w:hAnsi="Calibri" w:eastAsia="Microsoft YaHei"/>
          <w:b/>
          <w:color w:val="1F2E38"/>
          <w:sz w:val="21"/>
        </w:rPr>
        <w:tab/>
      </w:r>
      <w:r>
        <w:rPr>
          <w:rFonts w:ascii="Calibri" w:hAnsi="Calibri" w:eastAsia="Microsoft YaHei" w:cs="Calibri"/>
          <w:b/>
          <w:color w:val="1F2E38"/>
          <w:sz w:val="21"/>
          <w:szCs w:val="21"/>
        </w:rPr>
        <w:t>18</w:t>
      </w:r>
    </w:p>
    <w:p>
      <w:pPr>
        <w:pStyle w:val="TOC2"/>
      </w:pPr>
      <w:r>
        <w:rPr>
          <w:rFonts w:ascii="Calibri" w:hAnsi="Calibri" w:eastAsia="Microsoft YaHei" w:cs="Calibri"/>
          <w:color w:val="55707F"/>
          <w:sz w:val="21"/>
          <w:szCs w:val="21"/>
        </w:rPr>
        <w:t>Tier A: Agriculture and Food Products (Measures 1 to 14)</w:t>
      </w:r>
      <w:r>
        <w:rPr>
          <w:rFonts w:ascii="Calibri" w:hAnsi="Calibri" w:eastAsia="Microsoft YaHei"/>
          <w:color w:val="55707F"/>
          <w:sz w:val="21"/>
        </w:rPr>
        <w:tab/>
      </w:r>
      <w:r>
        <w:rPr>
          <w:rFonts w:ascii="Calibri" w:hAnsi="Calibri" w:eastAsia="Microsoft YaHei" w:cs="Calibri"/>
          <w:color w:val="55707F"/>
          <w:sz w:val="21"/>
          <w:szCs w:val="21"/>
        </w:rPr>
        <w:t>19</w:t>
      </w:r>
    </w:p>
    <w:p>
      <w:pPr>
        <w:pStyle w:val="TOC2"/>
      </w:pPr>
      <w:r>
        <w:rPr>
          <w:rFonts w:ascii="Calibri" w:hAnsi="Calibri" w:eastAsia="Microsoft YaHei" w:cs="Calibri"/>
          <w:color w:val="55707F"/>
          <w:sz w:val="21"/>
          <w:szCs w:val="21"/>
        </w:rPr>
        <w:t>Tier B: Consumer and Household Goods (Measures 15 to 26)</w:t>
      </w:r>
      <w:r>
        <w:rPr>
          <w:rFonts w:ascii="Calibri" w:hAnsi="Calibri" w:eastAsia="Microsoft YaHei"/>
          <w:color w:val="55707F"/>
          <w:sz w:val="21"/>
        </w:rPr>
        <w:tab/>
      </w:r>
      <w:r>
        <w:rPr>
          <w:rFonts w:ascii="Calibri" w:hAnsi="Calibri" w:eastAsia="Microsoft YaHei" w:cs="Calibri"/>
          <w:color w:val="55707F"/>
          <w:sz w:val="21"/>
          <w:szCs w:val="21"/>
        </w:rPr>
        <w:t>23</w:t>
      </w:r>
    </w:p>
    <w:p>
      <w:pPr>
        <w:pStyle w:val="TOC2"/>
      </w:pPr>
      <w:r>
        <w:rPr>
          <w:rFonts w:ascii="Calibri" w:hAnsi="Calibri" w:eastAsia="Microsoft YaHei" w:cs="Calibri"/>
          <w:color w:val="55707F"/>
          <w:sz w:val="21"/>
          <w:szCs w:val="21"/>
        </w:rPr>
        <w:t>Tier C: Industrial and Manufacturing Inputs (Measures 27 to 42)</w:t>
      </w:r>
      <w:r>
        <w:rPr>
          <w:rFonts w:ascii="Calibri" w:hAnsi="Calibri" w:eastAsia="Microsoft YaHei"/>
          <w:color w:val="55707F"/>
          <w:sz w:val="21"/>
        </w:rPr>
        <w:tab/>
      </w:r>
      <w:r>
        <w:rPr>
          <w:rFonts w:ascii="Calibri" w:hAnsi="Calibri" w:eastAsia="Microsoft YaHei" w:cs="Calibri"/>
          <w:color w:val="55707F"/>
          <w:sz w:val="21"/>
          <w:szCs w:val="21"/>
        </w:rPr>
        <w:t>27</w:t>
      </w:r>
    </w:p>
    <w:p>
      <w:pPr>
        <w:pStyle w:val="TOC2"/>
      </w:pPr>
      <w:r>
        <w:rPr>
          <w:rFonts w:ascii="Calibri" w:hAnsi="Calibri" w:eastAsia="Microsoft YaHei" w:cs="Calibri"/>
          <w:color w:val="55707F"/>
          <w:sz w:val="21"/>
          <w:szCs w:val="21"/>
        </w:rPr>
        <w:t>Tier D: Energy and Natural Resource Leverage (Measures 43 to 53)</w:t>
      </w:r>
      <w:r>
        <w:rPr>
          <w:rFonts w:ascii="Calibri" w:hAnsi="Calibri" w:eastAsia="Microsoft YaHei"/>
          <w:color w:val="55707F"/>
          <w:sz w:val="21"/>
        </w:rPr>
        <w:tab/>
      </w:r>
      <w:r>
        <w:rPr>
          <w:rFonts w:ascii="Calibri" w:hAnsi="Calibri" w:eastAsia="Microsoft YaHei" w:cs="Calibri"/>
          <w:color w:val="55707F"/>
          <w:sz w:val="21"/>
          <w:szCs w:val="21"/>
        </w:rPr>
        <w:t>32</w:t>
      </w:r>
    </w:p>
    <w:p>
      <w:pPr>
        <w:pStyle w:val="TOC2"/>
      </w:pPr>
      <w:r>
        <w:rPr>
          <w:rFonts w:ascii="Calibri" w:hAnsi="Calibri" w:eastAsia="Microsoft YaHei" w:cs="Calibri"/>
          <w:color w:val="55707F"/>
          <w:sz w:val="21"/>
          <w:szCs w:val="21"/>
        </w:rPr>
        <w:t>Tier E: Services, Digital, and Procurement (Measures 54 to 60)</w:t>
      </w:r>
      <w:r>
        <w:rPr>
          <w:rFonts w:ascii="Calibri" w:hAnsi="Calibri" w:eastAsia="Microsoft YaHei"/>
          <w:color w:val="55707F"/>
          <w:sz w:val="21"/>
        </w:rPr>
        <w:tab/>
      </w:r>
      <w:r>
        <w:rPr>
          <w:rFonts w:ascii="Calibri" w:hAnsi="Calibri" w:eastAsia="Microsoft YaHei" w:cs="Calibri"/>
          <w:color w:val="55707F"/>
          <w:sz w:val="21"/>
          <w:szCs w:val="21"/>
        </w:rPr>
        <w:t>36</w:t>
      </w:r>
    </w:p>
    <w:p>
      <w:pPr>
        <w:pStyle w:val="TOC1"/>
      </w:pPr>
      <w:r>
        <w:rPr>
          <w:rFonts w:ascii="Calibri" w:hAnsi="Calibri" w:eastAsia="Microsoft YaHei" w:cs="Calibri"/>
          <w:b/>
          <w:color w:val="1F2E38"/>
          <w:sz w:val="21"/>
          <w:szCs w:val="21"/>
        </w:rPr>
        <w:t>Part VII: The Comprehensive Package</w:t>
      </w:r>
      <w:r>
        <w:rPr>
          <w:rFonts w:ascii="Calibri" w:hAnsi="Calibri" w:eastAsia="Microsoft YaHei"/>
          <w:b/>
          <w:color w:val="1F2E38"/>
          <w:sz w:val="21"/>
        </w:rPr>
        <w:tab/>
      </w:r>
      <w:r>
        <w:rPr>
          <w:rFonts w:ascii="Calibri" w:hAnsi="Calibri" w:eastAsia="Microsoft YaHei" w:cs="Calibri"/>
          <w:b/>
          <w:color w:val="1F2E38"/>
          <w:sz w:val="21"/>
          <w:szCs w:val="21"/>
        </w:rPr>
        <w:t>38</w:t>
      </w:r>
    </w:p>
    <w:p>
      <w:pPr>
        <w:pStyle w:val="TOC2"/>
      </w:pPr>
      <w:r>
        <w:rPr>
          <w:rFonts w:ascii="Calibri" w:hAnsi="Calibri" w:eastAsia="Microsoft YaHei" w:cs="Calibri"/>
          <w:color w:val="55707F"/>
          <w:sz w:val="21"/>
          <w:szCs w:val="21"/>
        </w:rPr>
        <w:t>Phase Architecture</w:t>
      </w:r>
      <w:r>
        <w:rPr>
          <w:rFonts w:ascii="Calibri" w:hAnsi="Calibri" w:eastAsia="Microsoft YaHei"/>
          <w:color w:val="55707F"/>
          <w:sz w:val="21"/>
        </w:rPr>
        <w:tab/>
      </w:r>
      <w:r>
        <w:rPr>
          <w:rFonts w:ascii="Calibri" w:hAnsi="Calibri" w:eastAsia="Microsoft YaHei" w:cs="Calibri"/>
          <w:color w:val="55707F"/>
          <w:sz w:val="21"/>
          <w:szCs w:val="21"/>
        </w:rPr>
        <w:t>38</w:t>
      </w:r>
    </w:p>
    <w:p>
      <w:pPr>
        <w:pStyle w:val="TOC2"/>
      </w:pPr>
      <w:r>
        <w:rPr>
          <w:rFonts w:ascii="Calibri" w:hAnsi="Calibri" w:eastAsia="Microsoft YaHei" w:cs="Calibri"/>
          <w:color w:val="55707F"/>
          <w:sz w:val="21"/>
          <w:szCs w:val="21"/>
        </w:rPr>
        <w:t>The Trigger Matrix</w:t>
      </w:r>
      <w:r>
        <w:rPr>
          <w:rFonts w:ascii="Calibri" w:hAnsi="Calibri" w:eastAsia="Microsoft YaHei"/>
          <w:color w:val="55707F"/>
          <w:sz w:val="21"/>
        </w:rPr>
        <w:tab/>
      </w:r>
      <w:r>
        <w:rPr>
          <w:rFonts w:ascii="Calibri" w:hAnsi="Calibri" w:eastAsia="Microsoft YaHei" w:cs="Calibri"/>
          <w:color w:val="55707F"/>
          <w:sz w:val="21"/>
          <w:szCs w:val="21"/>
        </w:rPr>
        <w:t>38</w:t>
      </w:r>
    </w:p>
    <w:p>
      <w:pPr>
        <w:pStyle w:val="TOC2"/>
      </w:pPr>
      <w:r>
        <w:rPr>
          <w:rFonts w:ascii="Calibri" w:hAnsi="Calibri" w:eastAsia="Microsoft YaHei" w:cs="Calibri"/>
          <w:color w:val="55707F"/>
          <w:sz w:val="21"/>
          <w:szCs w:val="21"/>
        </w:rPr>
        <w:t>Combined Leverage Estimate</w:t>
      </w:r>
      <w:r>
        <w:rPr>
          <w:rFonts w:ascii="Calibri" w:hAnsi="Calibri" w:eastAsia="Microsoft YaHei"/>
          <w:color w:val="55707F"/>
          <w:sz w:val="21"/>
        </w:rPr>
        <w:tab/>
      </w:r>
      <w:r>
        <w:rPr>
          <w:rFonts w:ascii="Calibri" w:hAnsi="Calibri" w:eastAsia="Microsoft YaHei" w:cs="Calibri"/>
          <w:color w:val="55707F"/>
          <w:sz w:val="21"/>
          <w:szCs w:val="21"/>
        </w:rPr>
        <w:t>39</w:t>
      </w:r>
    </w:p>
    <w:p>
      <w:pPr>
        <w:pStyle w:val="TOC2"/>
      </w:pPr>
      <w:r>
        <w:rPr>
          <w:rFonts w:ascii="Calibri" w:hAnsi="Calibri" w:eastAsia="Microsoft YaHei" w:cs="Calibri"/>
          <w:color w:val="55707F"/>
          <w:sz w:val="21"/>
          <w:szCs w:val="21"/>
        </w:rPr>
        <w:t>The Bargaining Endgame</w:t>
      </w:r>
      <w:r>
        <w:rPr>
          <w:rFonts w:ascii="Calibri" w:hAnsi="Calibri" w:eastAsia="Microsoft YaHei"/>
          <w:color w:val="55707F"/>
          <w:sz w:val="21"/>
        </w:rPr>
        <w:tab/>
      </w:r>
      <w:r>
        <w:rPr>
          <w:rFonts w:ascii="Calibri" w:hAnsi="Calibri" w:eastAsia="Microsoft YaHei" w:cs="Calibri"/>
          <w:color w:val="55707F"/>
          <w:sz w:val="21"/>
          <w:szCs w:val="21"/>
        </w:rPr>
        <w:t>39</w:t>
      </w:r>
    </w:p>
    <w:p>
      <w:pPr>
        <w:pStyle w:val="TOC1"/>
      </w:pPr>
      <w:r>
        <w:rPr>
          <w:rFonts w:ascii="Calibri" w:hAnsi="Calibri" w:eastAsia="Microsoft YaHei" w:cs="Calibri"/>
          <w:b/>
          <w:color w:val="1F2E38"/>
          <w:sz w:val="21"/>
          <w:szCs w:val="21"/>
        </w:rPr>
        <w:t>Part VIII: Risk Register and Mitigation</w:t>
      </w:r>
      <w:r>
        <w:rPr>
          <w:rFonts w:ascii="Calibri" w:hAnsi="Calibri" w:eastAsia="Microsoft YaHei"/>
          <w:b/>
          <w:color w:val="1F2E38"/>
          <w:sz w:val="21"/>
        </w:rPr>
        <w:tab/>
      </w:r>
      <w:r>
        <w:rPr>
          <w:rFonts w:ascii="Calibri" w:hAnsi="Calibri" w:eastAsia="Microsoft YaHei" w:cs="Calibri"/>
          <w:b/>
          <w:color w:val="1F2E38"/>
          <w:sz w:val="21"/>
          <w:szCs w:val="21"/>
        </w:rPr>
        <w:t>39</w:t>
      </w:r>
    </w:p>
    <w:p>
      <w:pPr>
        <w:pStyle w:val="TOC2"/>
      </w:pPr>
      <w:r>
        <w:rPr>
          <w:rFonts w:ascii="Calibri" w:hAnsi="Calibri" w:eastAsia="Microsoft YaHei" w:cs="Calibri"/>
          <w:color w:val="55707F"/>
          <w:sz w:val="21"/>
          <w:szCs w:val="21"/>
        </w:rPr>
        <w:t>Economic Self-Harm Risks</w:t>
      </w:r>
      <w:r>
        <w:rPr>
          <w:rFonts w:ascii="Calibri" w:hAnsi="Calibri" w:eastAsia="Microsoft YaHei"/>
          <w:color w:val="55707F"/>
          <w:sz w:val="21"/>
        </w:rPr>
        <w:tab/>
      </w:r>
      <w:r>
        <w:rPr>
          <w:rFonts w:ascii="Calibri" w:hAnsi="Calibri" w:eastAsia="Microsoft YaHei" w:cs="Calibri"/>
          <w:color w:val="55707F"/>
          <w:sz w:val="21"/>
          <w:szCs w:val="21"/>
        </w:rPr>
        <w:t>39</w:t>
      </w:r>
    </w:p>
    <w:p>
      <w:pPr>
        <w:pStyle w:val="TOC2"/>
      </w:pPr>
      <w:r>
        <w:rPr>
          <w:rFonts w:ascii="Calibri" w:hAnsi="Calibri" w:eastAsia="Microsoft YaHei" w:cs="Calibri"/>
          <w:color w:val="55707F"/>
          <w:sz w:val="21"/>
          <w:szCs w:val="21"/>
        </w:rPr>
        <w:t>Legal and Diplomatic Risks</w:t>
      </w:r>
      <w:r>
        <w:rPr>
          <w:rFonts w:ascii="Calibri" w:hAnsi="Calibri" w:eastAsia="Microsoft YaHei"/>
          <w:color w:val="55707F"/>
          <w:sz w:val="21"/>
        </w:rPr>
        <w:tab/>
      </w:r>
      <w:r>
        <w:rPr>
          <w:rFonts w:ascii="Calibri" w:hAnsi="Calibri" w:eastAsia="Microsoft YaHei" w:cs="Calibri"/>
          <w:color w:val="55707F"/>
          <w:sz w:val="21"/>
          <w:szCs w:val="21"/>
        </w:rPr>
        <w:t>40</w:t>
      </w:r>
    </w:p>
    <w:p>
      <w:pPr>
        <w:pStyle w:val="TOC2"/>
      </w:pPr>
      <w:r>
        <w:rPr>
          <w:rFonts w:ascii="Calibri" w:hAnsi="Calibri" w:eastAsia="Microsoft YaHei" w:cs="Calibri"/>
          <w:color w:val="55707F"/>
          <w:sz w:val="21"/>
          <w:szCs w:val="21"/>
        </w:rPr>
        <w:t>Mitigation Measures</w:t>
      </w:r>
      <w:r>
        <w:rPr>
          <w:rFonts w:ascii="Calibri" w:hAnsi="Calibri" w:eastAsia="Microsoft YaHei"/>
          <w:color w:val="55707F"/>
          <w:sz w:val="21"/>
        </w:rPr>
        <w:tab/>
      </w:r>
      <w:r>
        <w:rPr>
          <w:rFonts w:ascii="Calibri" w:hAnsi="Calibri" w:eastAsia="Microsoft YaHei" w:cs="Calibri"/>
          <w:color w:val="55707F"/>
          <w:sz w:val="21"/>
          <w:szCs w:val="21"/>
        </w:rPr>
        <w:t>40</w:t>
      </w:r>
    </w:p>
    <w:p>
      <w:pPr>
        <w:pStyle w:val="TOC1"/>
      </w:pPr>
      <w:r>
        <w:rPr>
          <w:rFonts w:ascii="Calibri" w:hAnsi="Calibri" w:eastAsia="Microsoft YaHei" w:cs="Calibri"/>
          <w:b/>
          <w:color w:val="1F2E38"/>
          <w:sz w:val="21"/>
          <w:szCs w:val="21"/>
        </w:rPr>
        <w:t>Part IX: Implementation Pathways</w:t>
      </w:r>
      <w:r>
        <w:rPr>
          <w:rFonts w:ascii="Calibri" w:hAnsi="Calibri" w:eastAsia="Microsoft YaHei"/>
          <w:b/>
          <w:color w:val="1F2E38"/>
          <w:sz w:val="21"/>
        </w:rPr>
        <w:tab/>
      </w:r>
      <w:r>
        <w:rPr>
          <w:rFonts w:ascii="Calibri" w:hAnsi="Calibri" w:eastAsia="Microsoft YaHei" w:cs="Calibri"/>
          <w:b/>
          <w:color w:val="1F2E38"/>
          <w:sz w:val="21"/>
          <w:szCs w:val="21"/>
        </w:rPr>
        <w:t>40</w:t>
      </w:r>
    </w:p>
    <w:p>
      <w:pPr>
        <w:pStyle w:val="TOC2"/>
      </w:pPr>
      <w:r>
        <w:rPr>
          <w:rFonts w:ascii="Calibri" w:hAnsi="Calibri" w:eastAsia="Microsoft YaHei" w:cs="Calibri"/>
          <w:color w:val="55707F"/>
          <w:sz w:val="21"/>
          <w:szCs w:val="21"/>
        </w:rPr>
        <w:t>Legal Instruments</w:t>
      </w:r>
      <w:r>
        <w:rPr>
          <w:rFonts w:ascii="Calibri" w:hAnsi="Calibri" w:eastAsia="Microsoft YaHei"/>
          <w:color w:val="55707F"/>
          <w:sz w:val="21"/>
        </w:rPr>
        <w:tab/>
      </w:r>
      <w:r>
        <w:rPr>
          <w:rFonts w:ascii="Calibri" w:hAnsi="Calibri" w:eastAsia="Microsoft YaHei" w:cs="Calibri"/>
          <w:color w:val="55707F"/>
          <w:sz w:val="21"/>
          <w:szCs w:val="21"/>
        </w:rPr>
        <w:t>40</w:t>
      </w:r>
    </w:p>
    <w:p>
      <w:pPr>
        <w:pStyle w:val="TOC2"/>
      </w:pPr>
      <w:r>
        <w:rPr>
          <w:rFonts w:ascii="Calibri" w:hAnsi="Calibri" w:eastAsia="Microsoft YaHei" w:cs="Calibri"/>
          <w:color w:val="55707F"/>
          <w:sz w:val="21"/>
          <w:szCs w:val="21"/>
        </w:rPr>
        <w:t>Federal and Provincial Coordination</w:t>
      </w:r>
      <w:r>
        <w:rPr>
          <w:rFonts w:ascii="Calibri" w:hAnsi="Calibri" w:eastAsia="Microsoft YaHei"/>
          <w:color w:val="55707F"/>
          <w:sz w:val="21"/>
        </w:rPr>
        <w:tab/>
      </w:r>
      <w:r>
        <w:rPr>
          <w:rFonts w:ascii="Calibri" w:hAnsi="Calibri" w:eastAsia="Microsoft YaHei" w:cs="Calibri"/>
          <w:color w:val="55707F"/>
          <w:sz w:val="21"/>
          <w:szCs w:val="21"/>
        </w:rPr>
        <w:t>41</w:t>
      </w:r>
    </w:p>
    <w:p>
      <w:pPr>
        <w:pStyle w:val="TOC2"/>
      </w:pPr>
      <w:r>
        <w:rPr>
          <w:rFonts w:ascii="Calibri" w:hAnsi="Calibri" w:eastAsia="Microsoft YaHei" w:cs="Calibri"/>
          <w:color w:val="55707F"/>
          <w:sz w:val="21"/>
          <w:szCs w:val="21"/>
        </w:rPr>
        <w:t>Strategic Communications</w:t>
      </w:r>
      <w:r>
        <w:rPr>
          <w:rFonts w:ascii="Calibri" w:hAnsi="Calibri" w:eastAsia="Microsoft YaHei"/>
          <w:color w:val="55707F"/>
          <w:sz w:val="21"/>
        </w:rPr>
        <w:tab/>
      </w:r>
      <w:r>
        <w:rPr>
          <w:rFonts w:ascii="Calibri" w:hAnsi="Calibri" w:eastAsia="Microsoft YaHei" w:cs="Calibri"/>
          <w:color w:val="55707F"/>
          <w:sz w:val="21"/>
          <w:szCs w:val="21"/>
        </w:rPr>
        <w:t>41</w:t>
      </w:r>
    </w:p>
    <w:p>
      <w:pPr>
        <w:pStyle w:val="TOC1"/>
      </w:pPr>
      <w:r>
        <w:rPr>
          <w:rFonts w:ascii="Calibri" w:hAnsi="Calibri" w:eastAsia="Microsoft YaHei" w:cs="Calibri"/>
          <w:b/>
          <w:color w:val="1F2E38"/>
          <w:sz w:val="21"/>
          <w:szCs w:val="21"/>
        </w:rPr>
        <w:t>Part X: The 800-Line 50% Countertariff Schedule</w:t>
      </w:r>
      <w:r>
        <w:rPr>
          <w:rFonts w:ascii="Calibri" w:hAnsi="Calibri" w:eastAsia="Microsoft YaHei"/>
          <w:b/>
          <w:color w:val="1F2E38"/>
          <w:sz w:val="21"/>
        </w:rPr>
        <w:tab/>
      </w:r>
      <w:r>
        <w:rPr>
          <w:rFonts w:ascii="Calibri" w:hAnsi="Calibri" w:eastAsia="Microsoft YaHei" w:cs="Calibri"/>
          <w:b/>
          <w:color w:val="1F2E38"/>
          <w:sz w:val="21"/>
          <w:szCs w:val="21"/>
        </w:rPr>
        <w:t>42</w:t>
      </w:r>
    </w:p>
    <w:p>
      <w:pPr>
        <w:pStyle w:val="TOC2"/>
      </w:pPr>
      <w:r>
        <w:rPr>
          <w:rFonts w:ascii="Calibri" w:hAnsi="Calibri" w:eastAsia="Microsoft YaHei" w:cs="Calibri"/>
          <w:color w:val="55707F"/>
          <w:sz w:val="21"/>
          <w:szCs w:val="21"/>
        </w:rPr>
        <w:t>Legal Design: Classes of Goods, Not Companies</w:t>
      </w:r>
      <w:r>
        <w:rPr>
          <w:rFonts w:ascii="Calibri" w:hAnsi="Calibri" w:eastAsia="Microsoft YaHei"/>
          <w:color w:val="55707F"/>
          <w:sz w:val="21"/>
        </w:rPr>
        <w:tab/>
      </w:r>
      <w:r>
        <w:rPr>
          <w:rFonts w:ascii="Calibri" w:hAnsi="Calibri" w:eastAsia="Microsoft YaHei" w:cs="Calibri"/>
          <w:color w:val="55707F"/>
          <w:sz w:val="21"/>
          <w:szCs w:val="21"/>
        </w:rPr>
        <w:t>42</w:t>
      </w:r>
    </w:p>
    <w:p>
      <w:pPr>
        <w:pStyle w:val="TOC2"/>
      </w:pPr>
      <w:r>
        <w:rPr>
          <w:rFonts w:ascii="Calibri" w:hAnsi="Calibri" w:eastAsia="Microsoft YaHei" w:cs="Calibri"/>
          <w:color w:val="55707F"/>
          <w:sz w:val="21"/>
          <w:szCs w:val="21"/>
        </w:rPr>
        <w:t>Targeting Methodology</w:t>
      </w:r>
      <w:r>
        <w:rPr>
          <w:rFonts w:ascii="Calibri" w:hAnsi="Calibri" w:eastAsia="Microsoft YaHei"/>
          <w:color w:val="55707F"/>
          <w:sz w:val="21"/>
        </w:rPr>
        <w:tab/>
      </w:r>
      <w:r>
        <w:rPr>
          <w:rFonts w:ascii="Calibri" w:hAnsi="Calibri" w:eastAsia="Microsoft YaHei" w:cs="Calibri"/>
          <w:color w:val="55707F"/>
          <w:sz w:val="21"/>
          <w:szCs w:val="21"/>
        </w:rPr>
        <w:t>42</w:t>
      </w:r>
    </w:p>
    <w:p>
      <w:pPr>
        <w:pStyle w:val="TOC2"/>
      </w:pPr>
      <w:r>
        <w:rPr>
          <w:rFonts w:ascii="Calibri" w:hAnsi="Calibri" w:eastAsia="Microsoft YaHei" w:cs="Calibri"/>
          <w:color w:val="55707F"/>
          <w:sz w:val="21"/>
          <w:szCs w:val="21"/>
        </w:rPr>
        <w:t>Trump-Exposure Mapping</w:t>
      </w:r>
      <w:r>
        <w:rPr>
          <w:rFonts w:ascii="Calibri" w:hAnsi="Calibri" w:eastAsia="Microsoft YaHei"/>
          <w:color w:val="55707F"/>
          <w:sz w:val="21"/>
        </w:rPr>
        <w:tab/>
      </w:r>
      <w:r>
        <w:rPr>
          <w:rFonts w:ascii="Calibri" w:hAnsi="Calibri" w:eastAsia="Microsoft YaHei" w:cs="Calibri"/>
          <w:color w:val="55707F"/>
          <w:sz w:val="21"/>
          <w:szCs w:val="21"/>
        </w:rPr>
        <w:t>42</w:t>
      </w:r>
    </w:p>
    <w:p>
      <w:pPr>
        <w:pStyle w:val="TOC2"/>
      </w:pPr>
      <w:r>
        <w:rPr>
          <w:rFonts w:ascii="Calibri" w:hAnsi="Calibri" w:eastAsia="Microsoft YaHei" w:cs="Calibri"/>
          <w:color w:val="55707F"/>
          <w:sz w:val="21"/>
          <w:szCs w:val="21"/>
        </w:rPr>
        <w:t>Category Summary and Full Schedule (Categories A to U)</w:t>
      </w:r>
      <w:r>
        <w:rPr>
          <w:rFonts w:ascii="Calibri" w:hAnsi="Calibri" w:eastAsia="Microsoft YaHei"/>
          <w:color w:val="55707F"/>
          <w:sz w:val="21"/>
        </w:rPr>
        <w:tab/>
      </w:r>
      <w:r>
        <w:rPr>
          <w:rFonts w:ascii="Calibri" w:hAnsi="Calibri" w:eastAsia="Microsoft YaHei" w:cs="Calibri"/>
          <w:color w:val="55707F"/>
          <w:sz w:val="21"/>
          <w:szCs w:val="21"/>
        </w:rPr>
        <w:t>42</w:t>
      </w:r>
    </w:p>
    <w:p>
      <w:pPr>
        <w:pStyle w:val="TOC1"/>
      </w:pPr>
      <w:r>
        <w:rPr>
          <w:rFonts w:ascii="Calibri" w:hAnsi="Calibri" w:eastAsia="Microsoft YaHei" w:cs="Calibri"/>
          <w:b/>
          <w:color w:val="1F2E38"/>
          <w:sz w:val="21"/>
          <w:szCs w:val="21"/>
        </w:rPr>
        <w:t>Part XI: Operational Hardening and Contingency Protocols</w:t>
      </w:r>
      <w:r>
        <w:rPr>
          <w:rFonts w:ascii="Calibri" w:hAnsi="Calibri" w:eastAsia="Microsoft YaHei"/>
          <w:b/>
          <w:color w:val="1F2E38"/>
          <w:sz w:val="21"/>
        </w:rPr>
        <w:tab/>
      </w:r>
      <w:r>
        <w:rPr>
          <w:rFonts w:ascii="Calibri" w:hAnsi="Calibri" w:eastAsia="Microsoft YaHei" w:cs="Calibri"/>
          <w:b/>
          <w:color w:val="1F2E38"/>
          <w:sz w:val="21"/>
          <w:szCs w:val="21"/>
        </w:rPr>
        <w:t>124</w:t>
      </w:r>
    </w:p>
    <w:p>
      <w:pPr>
        <w:pStyle w:val="TOC2"/>
      </w:pPr>
      <w:r>
        <w:rPr>
          <w:rFonts w:ascii="Calibri" w:hAnsi="Calibri" w:eastAsia="Microsoft YaHei" w:cs="Calibri"/>
          <w:color w:val="55707F"/>
          <w:sz w:val="21"/>
          <w:szCs w:val="21"/>
        </w:rPr>
        <w:t>Strategic Narrative: Structural Realignment, Not a Trade War</w:t>
      </w:r>
      <w:r>
        <w:rPr>
          <w:rFonts w:ascii="Calibri" w:hAnsi="Calibri" w:eastAsia="Microsoft YaHei"/>
          <w:color w:val="55707F"/>
          <w:sz w:val="21"/>
        </w:rPr>
        <w:tab/>
      </w:r>
      <w:r>
        <w:rPr>
          <w:rFonts w:ascii="Calibri" w:hAnsi="Calibri" w:eastAsia="Microsoft YaHei" w:cs="Calibri"/>
          <w:color w:val="55707F"/>
          <w:sz w:val="21"/>
          <w:szCs w:val="21"/>
        </w:rPr>
        <w:t>124</w:t>
      </w:r>
    </w:p>
    <w:p>
      <w:pPr>
        <w:pStyle w:val="TOC2"/>
      </w:pPr>
      <w:r>
        <w:rPr>
          <w:rFonts w:ascii="Calibri" w:hAnsi="Calibri" w:eastAsia="Microsoft YaHei" w:cs="Calibri"/>
          <w:color w:val="55707F"/>
          <w:sz w:val="21"/>
          <w:szCs w:val="21"/>
        </w:rPr>
        <w:t>The Silent Companion Track</w:t>
      </w:r>
      <w:r>
        <w:rPr>
          <w:rFonts w:ascii="Calibri" w:hAnsi="Calibri" w:eastAsia="Microsoft YaHei"/>
          <w:color w:val="55707F"/>
          <w:sz w:val="21"/>
        </w:rPr>
        <w:tab/>
      </w:r>
      <w:r>
        <w:rPr>
          <w:rFonts w:ascii="Calibri" w:hAnsi="Calibri" w:eastAsia="Microsoft YaHei" w:cs="Calibri"/>
          <w:color w:val="55707F"/>
          <w:sz w:val="21"/>
          <w:szCs w:val="21"/>
        </w:rPr>
        <w:t>124</w:t>
      </w:r>
    </w:p>
    <w:p>
      <w:pPr>
        <w:pStyle w:val="TOC2"/>
      </w:pPr>
      <w:r>
        <w:rPr>
          <w:rFonts w:ascii="Calibri" w:hAnsi="Calibri" w:eastAsia="Microsoft YaHei" w:cs="Calibri"/>
          <w:color w:val="55707F"/>
          <w:sz w:val="21"/>
          <w:szCs w:val="21"/>
        </w:rPr>
        <w:t>Services-Sector Measures Without Digital Targets</w:t>
      </w:r>
      <w:r>
        <w:rPr>
          <w:rFonts w:ascii="Calibri" w:hAnsi="Calibri" w:eastAsia="Microsoft YaHei"/>
          <w:color w:val="55707F"/>
          <w:sz w:val="21"/>
        </w:rPr>
        <w:tab/>
      </w:r>
      <w:r>
        <w:rPr>
          <w:rFonts w:ascii="Calibri" w:hAnsi="Calibri" w:eastAsia="Microsoft YaHei" w:cs="Calibri"/>
          <w:color w:val="55707F"/>
          <w:sz w:val="21"/>
          <w:szCs w:val="21"/>
        </w:rPr>
        <w:t>125</w:t>
      </w:r>
    </w:p>
    <w:p>
      <w:pPr>
        <w:pStyle w:val="TOC2"/>
      </w:pPr>
      <w:r>
        <w:rPr>
          <w:rFonts w:ascii="Calibri" w:hAnsi="Calibri" w:eastAsia="Microsoft YaHei" w:cs="Calibri"/>
          <w:color w:val="55707F"/>
          <w:sz w:val="21"/>
          <w:szCs w:val="21"/>
        </w:rPr>
        <w:t>Victory Conditions and the Off-Ramp Architecture</w:t>
      </w:r>
      <w:r>
        <w:rPr>
          <w:rFonts w:ascii="Calibri" w:hAnsi="Calibri" w:eastAsia="Microsoft YaHei"/>
          <w:color w:val="55707F"/>
          <w:sz w:val="21"/>
        </w:rPr>
        <w:tab/>
      </w:r>
      <w:r>
        <w:rPr>
          <w:rFonts w:ascii="Calibri" w:hAnsi="Calibri" w:eastAsia="Microsoft YaHei" w:cs="Calibri"/>
          <w:color w:val="55707F"/>
          <w:sz w:val="21"/>
          <w:szCs w:val="21"/>
        </w:rPr>
        <w:t>125</w:t>
      </w:r>
    </w:p>
    <w:p>
      <w:pPr>
        <w:pStyle w:val="TOC2"/>
      </w:pPr>
      <w:r>
        <w:rPr>
          <w:rFonts w:ascii="Calibri" w:hAnsi="Calibri" w:eastAsia="Microsoft YaHei" w:cs="Calibri"/>
          <w:color w:val="55707F"/>
          <w:sz w:val="21"/>
          <w:szCs w:val="21"/>
        </w:rPr>
        <w:t>Escalation Dynamics: Surge-and-Lull, Quantitative Triggers</w:t>
      </w:r>
      <w:r>
        <w:rPr>
          <w:rFonts w:ascii="Calibri" w:hAnsi="Calibri" w:eastAsia="Microsoft YaHei"/>
          <w:color w:val="55707F"/>
          <w:sz w:val="21"/>
        </w:rPr>
        <w:tab/>
      </w:r>
      <w:r>
        <w:rPr>
          <w:rFonts w:ascii="Calibri" w:hAnsi="Calibri" w:eastAsia="Microsoft YaHei" w:cs="Calibri"/>
          <w:color w:val="55707F"/>
          <w:sz w:val="21"/>
          <w:szCs w:val="21"/>
        </w:rPr>
        <w:t>126</w:t>
      </w:r>
    </w:p>
    <w:p>
      <w:pPr>
        <w:pStyle w:val="TOC2"/>
      </w:pPr>
      <w:r>
        <w:rPr>
          <w:rFonts w:ascii="Calibri" w:hAnsi="Calibri" w:eastAsia="Microsoft YaHei" w:cs="Calibri"/>
          <w:color w:val="55707F"/>
          <w:sz w:val="21"/>
          <w:szCs w:val="21"/>
        </w:rPr>
        <w:t>Variable Rate Authority Within the Schedule</w:t>
      </w:r>
      <w:r>
        <w:rPr>
          <w:rFonts w:ascii="Calibri" w:hAnsi="Calibri" w:eastAsia="Microsoft YaHei"/>
          <w:color w:val="55707F"/>
          <w:sz w:val="21"/>
        </w:rPr>
        <w:tab/>
      </w:r>
      <w:r>
        <w:rPr>
          <w:rFonts w:ascii="Calibri" w:hAnsi="Calibri" w:eastAsia="Microsoft YaHei" w:cs="Calibri"/>
          <w:color w:val="55707F"/>
          <w:sz w:val="21"/>
          <w:szCs w:val="21"/>
        </w:rPr>
        <w:t>127</w:t>
      </w:r>
    </w:p>
    <w:p>
      <w:pPr>
        <w:pStyle w:val="TOC2"/>
      </w:pPr>
      <w:r>
        <w:rPr>
          <w:rFonts w:ascii="Calibri" w:hAnsi="Calibri" w:eastAsia="Microsoft YaHei" w:cs="Calibri"/>
          <w:color w:val="55707F"/>
          <w:sz w:val="21"/>
          <w:szCs w:val="21"/>
        </w:rPr>
        <w:t>Protecting Canadians: Remission, Diversification, Adjustment</w:t>
      </w:r>
      <w:r>
        <w:rPr>
          <w:rFonts w:ascii="Calibri" w:hAnsi="Calibri" w:eastAsia="Microsoft YaHei"/>
          <w:color w:val="55707F"/>
          <w:sz w:val="21"/>
        </w:rPr>
        <w:tab/>
      </w:r>
      <w:r>
        <w:rPr>
          <w:rFonts w:ascii="Calibri" w:hAnsi="Calibri" w:eastAsia="Microsoft YaHei" w:cs="Calibri"/>
          <w:color w:val="55707F"/>
          <w:sz w:val="21"/>
          <w:szCs w:val="21"/>
        </w:rPr>
        <w:t>127</w:t>
      </w:r>
    </w:p>
    <w:p>
      <w:pPr>
        <w:pStyle w:val="TOC2"/>
      </w:pPr>
      <w:r>
        <w:rPr>
          <w:rFonts w:ascii="Calibri" w:hAnsi="Calibri" w:eastAsia="Microsoft YaHei" w:cs="Calibri"/>
          <w:color w:val="55707F"/>
          <w:sz w:val="21"/>
          <w:szCs w:val="21"/>
        </w:rPr>
        <w:t>Governance: The Federal-Provincial War Cabinet</w:t>
      </w:r>
      <w:r>
        <w:rPr>
          <w:rFonts w:ascii="Calibri" w:hAnsi="Calibri" w:eastAsia="Microsoft YaHei"/>
          <w:color w:val="55707F"/>
          <w:sz w:val="21"/>
        </w:rPr>
        <w:tab/>
      </w:r>
      <w:r>
        <w:rPr>
          <w:rFonts w:ascii="Calibri" w:hAnsi="Calibri" w:eastAsia="Microsoft YaHei" w:cs="Calibri"/>
          <w:color w:val="55707F"/>
          <w:sz w:val="21"/>
          <w:szCs w:val="21"/>
        </w:rPr>
        <w:t>128</w:t>
      </w:r>
    </w:p>
    <w:p>
      <w:pPr>
        <w:pStyle w:val="TOC2"/>
      </w:pPr>
      <w:r>
        <w:rPr>
          <w:rFonts w:ascii="Calibri" w:hAnsi="Calibri" w:eastAsia="Microsoft YaHei" w:cs="Calibri"/>
          <w:color w:val="55707F"/>
          <w:sz w:val="21"/>
          <w:szCs w:val="21"/>
        </w:rPr>
        <w:t>Economic Resilience Architecture</w:t>
      </w:r>
      <w:r>
        <w:rPr>
          <w:rFonts w:ascii="Calibri" w:hAnsi="Calibri" w:eastAsia="Microsoft YaHei"/>
          <w:color w:val="55707F"/>
          <w:sz w:val="21"/>
        </w:rPr>
        <w:tab/>
      </w:r>
      <w:r>
        <w:rPr>
          <w:rFonts w:ascii="Calibri" w:hAnsi="Calibri" w:eastAsia="Microsoft YaHei" w:cs="Calibri"/>
          <w:color w:val="55707F"/>
          <w:sz w:val="21"/>
          <w:szCs w:val="21"/>
        </w:rPr>
        <w:t>129</w:t>
      </w:r>
    </w:p>
    <w:p>
      <w:pPr>
        <w:pStyle w:val="TOC2"/>
      </w:pPr>
      <w:r>
        <w:rPr>
          <w:rFonts w:ascii="Calibri" w:hAnsi="Calibri" w:eastAsia="Microsoft YaHei" w:cs="Calibri"/>
          <w:color w:val="55707F"/>
          <w:sz w:val="21"/>
          <w:szCs w:val="21"/>
        </w:rPr>
        <w:t>Risk Register Addition: Financial Decoupling</w:t>
      </w:r>
      <w:r>
        <w:rPr>
          <w:rFonts w:ascii="Calibri" w:hAnsi="Calibri" w:eastAsia="Microsoft YaHei"/>
          <w:color w:val="55707F"/>
          <w:sz w:val="21"/>
        </w:rPr>
        <w:tab/>
      </w:r>
      <w:r>
        <w:rPr>
          <w:rFonts w:ascii="Calibri" w:hAnsi="Calibri" w:eastAsia="Microsoft YaHei" w:cs="Calibri"/>
          <w:color w:val="55707F"/>
          <w:sz w:val="21"/>
          <w:szCs w:val="21"/>
        </w:rPr>
        <w:t>130</w:t>
      </w:r>
    </w:p>
    <w:p>
      <w:pPr>
        <w:pStyle w:val="TOC2"/>
      </w:pPr>
      <w:r>
        <w:rPr>
          <w:rFonts w:ascii="Calibri" w:hAnsi="Calibri" w:eastAsia="Microsoft YaHei" w:cs="Calibri"/>
          <w:color w:val="55707F"/>
          <w:sz w:val="21"/>
          <w:szCs w:val="21"/>
        </w:rPr>
        <w:t>Communications and Public Engagement</w:t>
      </w:r>
      <w:r>
        <w:rPr>
          <w:rFonts w:ascii="Calibri" w:hAnsi="Calibri" w:eastAsia="Microsoft YaHei"/>
          <w:color w:val="55707F"/>
          <w:sz w:val="21"/>
        </w:rPr>
        <w:tab/>
      </w:r>
      <w:r>
        <w:rPr>
          <w:rFonts w:ascii="Calibri" w:hAnsi="Calibri" w:eastAsia="Microsoft YaHei" w:cs="Calibri"/>
          <w:color w:val="55707F"/>
          <w:sz w:val="21"/>
          <w:szCs w:val="21"/>
        </w:rPr>
        <w:t>130</w:t>
      </w:r>
    </w:p>
    <w:p>
      <w:pPr>
        <w:pStyle w:val="TOC2"/>
      </w:pPr>
      <w:r>
        <w:rPr>
          <w:rFonts w:ascii="Calibri" w:hAnsi="Calibri" w:eastAsia="Microsoft YaHei" w:cs="Calibri"/>
          <w:color w:val="55707F"/>
          <w:sz w:val="21"/>
          <w:szCs w:val="21"/>
        </w:rPr>
        <w:t>Legal Defence Pre-Positioning</w:t>
      </w:r>
      <w:r>
        <w:rPr>
          <w:rFonts w:ascii="Calibri" w:hAnsi="Calibri" w:eastAsia="Microsoft YaHei"/>
          <w:color w:val="55707F"/>
          <w:sz w:val="21"/>
        </w:rPr>
        <w:tab/>
      </w:r>
      <w:r>
        <w:rPr>
          <w:rFonts w:ascii="Calibri" w:hAnsi="Calibri" w:eastAsia="Microsoft YaHei" w:cs="Calibri"/>
          <w:color w:val="55707F"/>
          <w:sz w:val="21"/>
          <w:szCs w:val="21"/>
        </w:rPr>
        <w:t>132</w:t>
      </w:r>
    </w:p>
    <w:p>
      <w:pPr>
        <w:pStyle w:val="TOC2"/>
      </w:pPr>
      <w:r>
        <w:rPr>
          <w:rFonts w:ascii="Calibri" w:hAnsi="Calibri" w:eastAsia="Microsoft YaHei" w:cs="Calibri"/>
          <w:color w:val="55707F"/>
          <w:sz w:val="21"/>
          <w:szCs w:val="21"/>
        </w:rPr>
        <w:t>Red-State Targeting Matrix</w:t>
      </w:r>
      <w:r>
        <w:rPr>
          <w:rFonts w:ascii="Calibri" w:hAnsi="Calibri" w:eastAsia="Microsoft YaHei"/>
          <w:color w:val="55707F"/>
          <w:sz w:val="21"/>
        </w:rPr>
        <w:tab/>
      </w:r>
      <w:r>
        <w:rPr>
          <w:rFonts w:ascii="Calibri" w:hAnsi="Calibri" w:eastAsia="Microsoft YaHei" w:cs="Calibri"/>
          <w:color w:val="55707F"/>
          <w:sz w:val="21"/>
          <w:szCs w:val="21"/>
        </w:rPr>
        <w:t>132</w:t>
      </w:r>
    </w:p>
    <w:p>
      <w:pPr>
        <w:pStyle w:val="TOC1"/>
      </w:pPr>
      <w:r>
        <w:rPr>
          <w:rFonts w:ascii="Calibri" w:hAnsi="Calibri" w:eastAsia="Microsoft YaHei" w:cs="Calibri"/>
          <w:b/>
          <w:color w:val="1F2E38"/>
          <w:sz w:val="21"/>
          <w:szCs w:val="21"/>
        </w:rPr>
        <w:t>Appendix: Sources and Data Notes</w:t>
      </w:r>
      <w:r>
        <w:rPr>
          <w:rFonts w:ascii="Calibri" w:hAnsi="Calibri" w:eastAsia="Microsoft YaHei"/>
          <w:b/>
          <w:color w:val="1F2E38"/>
          <w:sz w:val="21"/>
        </w:rPr>
        <w:tab/>
      </w:r>
      <w:r>
        <w:rPr>
          <w:rFonts w:ascii="Calibri" w:hAnsi="Calibri" w:eastAsia="Microsoft YaHei" w:cs="Calibri"/>
          <w:b/>
          <w:color w:val="1F2E38"/>
          <w:sz w:val="21"/>
          <w:szCs w:val="21"/>
        </w:rPr>
        <w:t>133</w:t>
      </w:r>
    </w:p>
    <w:p>
      <w:pPr>
        <w:pStyle w:val="Normal"/>
      </w:pPr>
      <w:r>
        <w:fldChar w:fldCharType="end"/>
      </w:r>
    </w:p>
    <w:p>
      <w:pPr>
        <w:pStyle w:val="Normal"/>
        <w:pageBreakBefore/>
      </w:pPr>
    </w:p>
    <w:p>
      <w:pPr>
        <w:pStyle w:val="Heading1"/>
      </w:pPr>
      <w:r>
        <w:rPr>
          <w:rFonts w:ascii="Calibri" w:hAnsi="Calibri" w:eastAsia="Microsoft YaHei" w:cs="Calibri"/>
          <w:b/>
          <w:color w:val="2F4858"/>
          <w:sz w:val="40"/>
          <w:szCs w:val="40"/>
        </w:rPr>
        <w:t>Executive Summary</w:t>
      </w:r>
    </w:p>
    <w:p>
      <w:pPr>
        <w:pStyle w:val="Normal"/>
      </w:pPr>
      <w:r>
        <w:rPr>
          <w:rFonts w:ascii="Calibri" w:hAnsi="Calibri" w:eastAsia="Microsoft YaHei" w:cs="Calibri"/>
          <w:color w:val="1F2E38"/>
          <w:sz w:val="22"/>
          <w:szCs w:val="22"/>
        </w:rPr>
        <w:t>On August 22, 2026, the United States activated 50% tariffs under Section 338 of the Tariff Act of 1930 against roughly US$20 billion to US$28 billion of Canadian goods, after eleventh-hour trade talks collapsed in Washington. Prime Minister Mark Carney suspended negotiations, recalled the Canadian negotiating team, and pledged a dollar-for-dollar response. On August 25, the Government of Canada announced countertariffs on approximately 900 American product lines, worth roughly US$20 billion to C$27.6 billion, at matched rates of 15%, 25%, and 50%, effective September 8, 2026. President Trump answered by threatening 50% tariffs on every Canadian car, truck, auto part, and steel product entering the United States from January 1, 2027. The two closest trading partners in the world now wage open economic war.</w:t>
      </w:r>
    </w:p>
    <w:p>
      <w:pPr>
        <w:pStyle w:val="Normal"/>
      </w:pPr>
      <w:r>
        <w:rPr>
          <w:rFonts w:ascii="Calibri" w:hAnsi="Calibri" w:eastAsia="Microsoft YaHei" w:cs="Calibri"/>
          <w:color w:val="1F2E38"/>
          <w:sz w:val="22"/>
          <w:szCs w:val="22"/>
        </w:rPr>
        <w:t>This guide equips the Prime Minister and cabinet with a complete strategic playbook for that conflict. It draws on four bodies of evidence: the news record of the current escalation, the legal text of the Canada-United States-Mexico Agreement (CUSMA), the full bilateral trade dataset for 2025, and the natural resource endowments of both countries. From that evidence base, the guide assembles 60 discrete tariff and leverage measures across five tiers, each with a proposed rate, an assessment of economic and political impact, an effectiveness rating, and an estimate of the risk to Canada itself.</w:t>
      </w:r>
    </w:p>
    <w:p>
      <w:pPr>
        <w:pStyle w:val="Normal"/>
      </w:pPr>
      <w:r>
        <w:rPr>
          <w:rFonts w:ascii="Calibri" w:hAnsi="Calibri" w:eastAsia="Microsoft YaHei" w:cs="Calibri"/>
          <w:color w:val="2F4858"/>
          <w:sz w:val="22"/>
          <w:b/>
          <w:szCs w:val="22"/>
        </w:rPr>
        <w:t xml:space="preserve">Framing. </w:t>
      </w:r>
      <w:r>
        <w:rPr>
          <w:rFonts w:ascii="Calibri" w:hAnsi="Calibri" w:eastAsia="Microsoft YaHei" w:cs="Calibri"/>
          <w:color w:val="1F2E38"/>
          <w:sz w:val="22"/>
          <w:szCs w:val="22"/>
        </w:rPr>
        <w:t>This guide should be read as a structural realignment, not a trade war. Every measure that follows is a down payment on a Canadian economy that no single foreign partner can hold hostage: tariff revenue is recycled into resilience, procurement is re-pointed toward domestic and allied supply, and the off-ramps in Part VII and Part XI are designed so that de-escalation, when it comes, leaves Canada stronger than it entered. The objective is not to injure the American economy for its own sake; it is to make continued tariffs more expensive for Washington than settlement, while building the permanent diversification that ensures such a conflict cannot be repeated.</w:t>
      </w:r>
    </w:p>
    <w:p>
      <w:pPr>
        <w:pStyle w:val="Normal"/>
      </w:pPr>
      <w:r>
        <w:rPr>
          <w:b/>
          <w:color w:val="2F4858"/>
          <w:rFonts w:ascii="Calibri" w:hAnsi="Calibri" w:eastAsia="Microsoft YaHei" w:cs="Calibri"/>
          <w:sz w:val="22"/>
          <w:szCs w:val="22"/>
        </w:rPr>
        <w:t xml:space="preserve">Core finding 1. </w:t>
      </w:r>
      <w:r>
        <w:rPr>
          <w:rFonts w:ascii="Calibri" w:hAnsi="Calibri" w:eastAsia="Microsoft YaHei" w:cs="Calibri"/>
          <w:color w:val="1F2E38"/>
          <w:sz w:val="22"/>
          <w:szCs w:val="22"/>
        </w:rPr>
        <w:t>Canada holds genuine structural leverage. The United States depends on Canadian crude oil for roughly 4 million barrels per day of refinery feedstock, on Canadian potash for the overwhelming majority of its fertilizer supply, on Canadian uranium for 32% of the fuel delivered to American nuclear reactors in 2025, and on Canadian electricity, aluminum, lumber, nickel, and critical minerals across the industrial heartland. The U.S. decision to exempt energy, potash, critical minerals, and fish from its own Section 338 tariffs confirms that Washington understands this dependence.</w:t>
      </w:r>
    </w:p>
    <w:p>
      <w:pPr>
        <w:pStyle w:val="Normal"/>
      </w:pPr>
      <w:r>
        <w:rPr>
          <w:b/>
          <w:color w:val="2F4858"/>
          <w:rFonts w:ascii="Calibri" w:hAnsi="Calibri" w:eastAsia="Microsoft YaHei" w:cs="Calibri"/>
          <w:sz w:val="22"/>
          <w:szCs w:val="22"/>
        </w:rPr>
        <w:t xml:space="preserve">Core finding 2. </w:t>
      </w:r>
      <w:r>
        <w:rPr>
          <w:rFonts w:ascii="Calibri" w:hAnsi="Calibri" w:eastAsia="Microsoft YaHei" w:cs="Calibri"/>
          <w:color w:val="1F2E38"/>
          <w:sz w:val="22"/>
          <w:szCs w:val="22"/>
        </w:rPr>
        <w:t>The political map favours precision targeting. Canada is the top export market for 36 American states. Ontario Premier Doug Ford has already identified eight politically significant states for retaliation: Alabama, Arkansas, Florida, Iowa, Missouri, Montana, Texas, and Wisconsin. Tariffs aimed at bourbon from Kentucky, appliances from Kentucky and South Carolina, recreational vehicles from Indiana, farm machinery from Iowa, and rice and poultry from Arkansas land directly on the electoral base of the current administration ahead of the November 2026 midterm elections.</w:t>
      </w:r>
    </w:p>
    <w:p>
      <w:pPr>
        <w:pStyle w:val="Normal"/>
      </w:pPr>
      <w:r>
        <w:rPr>
          <w:b/>
          <w:color w:val="2F4858"/>
          <w:rFonts w:ascii="Calibri" w:hAnsi="Calibri" w:eastAsia="Microsoft YaHei" w:cs="Calibri"/>
          <w:sz w:val="22"/>
          <w:szCs w:val="22"/>
        </w:rPr>
        <w:t xml:space="preserve">Core finding 3. </w:t>
      </w:r>
      <w:r>
        <w:rPr>
          <w:rFonts w:ascii="Calibri" w:hAnsi="Calibri" w:eastAsia="Microsoft YaHei" w:cs="Calibri"/>
          <w:color w:val="1F2E38"/>
          <w:sz w:val="22"/>
          <w:szCs w:val="22"/>
        </w:rPr>
        <w:t>The law favours Canada. Article 2.4 of CUSMA prohibits any party from increasing or adopting new customs duties on originating goods. The Section 338 tariffs apply to CUSMA-originating goods without exception, which places the United States in clear breach of the agreement it signed in 2018. Canada preserves the legal high ground by matching rates dollar for dollar, documenting every measure, and reserving Chapter 31 dispute settlement and Article 34.6 withdrawal as structured options rather than improvised threats.</w:t>
      </w:r>
    </w:p>
    <w:p>
      <w:pPr>
        <w:pStyle w:val="Normal"/>
      </w:pPr>
      <w:r>
        <w:rPr>
          <w:b/>
          <w:color w:val="2F4858"/>
          <w:rFonts w:ascii="Calibri" w:hAnsi="Calibri" w:eastAsia="Microsoft YaHei" w:cs="Calibri"/>
          <w:sz w:val="22"/>
          <w:szCs w:val="22"/>
        </w:rPr>
        <w:t xml:space="preserve">Headline recommendation. </w:t>
      </w:r>
      <w:r>
        <w:rPr>
          <w:rFonts w:ascii="Calibri" w:hAnsi="Calibri" w:eastAsia="Microsoft YaHei" w:cs="Calibri"/>
          <w:color w:val="1F2E38"/>
          <w:sz w:val="22"/>
          <w:szCs w:val="22"/>
        </w:rPr>
        <w:t>Adopt the five-tier package in Part VI in full, but deploy it in phases. Hold Tier A (agriculture and food) and Tier B (consumer goods) ready for activation by October 1, 2026, before the midterm vote. Hold Tier C (industrial inputs) for December. Reserve Tier D (energy and resource export charges on crude, potash, uranium, and electricity) as the decisive instrument: trigger it the moment the threatened January 1, 2027 automotive tariffs materialize. Tier E (services, digital, procurement) closes the gap on the US$27.7 billion American services surplus, the one ledger where the United States consistently profits from the relationship.</w:t>
      </w:r>
    </w:p>
    <w:p>
      <w:pPr>
        <w:pStyle w:val="Normal"/>
      </w:pPr>
      <w:r>
        <w:rPr>
          <w:rFonts w:ascii="Calibri" w:hAnsi="Calibri" w:eastAsia="Microsoft YaHei" w:cs="Calibri"/>
          <w:color w:val="2F4858"/>
          <w:sz w:val="22"/>
          <w:b/>
          <w:szCs w:val="22"/>
        </w:rPr>
        <w:t xml:space="preserve">Companion schedule. </w:t>
      </w:r>
      <w:r>
        <w:rPr>
          <w:rFonts w:ascii="Calibri" w:hAnsi="Calibri" w:eastAsia="Microsoft YaHei" w:cs="Calibri"/>
          <w:color w:val="1F2E38"/>
          <w:sz w:val="22"/>
          <w:szCs w:val="22"/>
        </w:rPr>
        <w:t>Part X of this guide now carries the operational counterpart to the September 8 announcement: an independently constructed 800-line countertariff schedule at a flat 50% rate, calibrated to US$27.6 billion of annual U.S. goods exports to Canada and designed for maximum pressure on Republican-held states at minimum cost to Canadian households. Unlike the official 900-line list, this schedule is built from the ground up, line by line, and deliberately draws on product space the government’s list left untouched. Part XI then hardens the package: published victory conditions and off-ramps, a remission framework for Canadian importers, a Federal-Provincial War Cabinet, a state-level communications playbook, legal-defence pre-positioning, and contingency protocols for financial escalation.</w:t>
      </w:r>
    </w:p>
    <w:p>
      <w:pPr>
        <w:pStyle w:val="Normal"/>
      </w:pPr>
      <w:r>
        <w:rPr>
          <w:rFonts w:ascii="Calibri" w:hAnsi="Calibri" w:eastAsia="Microsoft YaHei" w:cs="Calibri"/>
          <w:color w:val="1F2E38"/>
          <w:sz w:val="22"/>
          <w:szCs w:val="22"/>
        </w:rPr>
        <w:t>The combined package places roughly US$120 billion of annual American export sales to Canada under tariff pressure, and puts a further US$150 billion to US$200 billion of Canadian resource exports behind conditional export charges. No American administration absorbs that scale of disruption quietly during a midterm cycle. Canada enters the next negotiation with the strongest bargaining position available to a middle power: documented legal standing, matched-rate credibility, and resource leverage that the United States admits, by its own exemptions, it cannot quickly replace.</w:t>
      </w:r>
    </w:p>
    <w:p>
      <w:pPr>
        <w:pStyle w:val="Heading1"/>
      </w:pPr>
      <w:r>
        <w:rPr>
          <w:rFonts w:ascii="Calibri" w:hAnsi="Calibri" w:eastAsia="Microsoft YaHei" w:cs="Calibri"/>
          <w:b/>
          <w:color w:val="2F4858"/>
          <w:sz w:val="40"/>
          <w:szCs w:val="40"/>
        </w:rPr>
        <w:t>Part I: The State of the Conflict</w:t>
      </w:r>
    </w:p>
    <w:p>
      <w:pPr>
        <w:pStyle w:val="Heading2"/>
      </w:pPr>
      <w:r>
        <w:rPr>
          <w:rFonts w:ascii="Calibri" w:hAnsi="Calibri" w:eastAsia="Microsoft YaHei" w:cs="Calibri"/>
          <w:b/>
          <w:color w:val="2F4858"/>
          <w:sz w:val="30"/>
          <w:szCs w:val="30"/>
        </w:rPr>
        <w:t>The Last Three Days (August 23 to 26, 2026)</w:t>
      </w:r>
    </w:p>
    <w:p>
      <w:pPr>
        <w:pStyle w:val="Normal"/>
      </w:pPr>
      <w:r>
        <w:rPr>
          <w:rFonts w:ascii="Calibri" w:hAnsi="Calibri" w:eastAsia="Microsoft YaHei" w:cs="Calibri"/>
          <w:color w:val="1F2E38"/>
          <w:sz w:val="22"/>
          <w:szCs w:val="22"/>
        </w:rPr>
        <w:t>The escalation cycle of the past three days defines the current battlefield. On Saturday, August 22, the U.S. Section 338 tariffs took effect at 12:01 a.m. Eastern, covering about 5% of Canadian exports to the United States: hockey sticks, wine, cement, honey, seeds, selected agricultural products, makeup, perfume, clothing, jewelry, furniture, and cameras. Prime Minister Carney described the move as a miscalculation and committed Canada to dollar-for-dollar retaliation starting September 8. He framed the moment in blunt terms: Canada is at war when it gets attacked, and Canada got attacked.</w:t>
      </w:r>
    </w:p>
    <w:p>
      <w:pPr>
        <w:pStyle w:val="Normal"/>
      </w:pPr>
      <w:r>
        <w:rPr>
          <w:rFonts w:ascii="Calibri" w:hAnsi="Calibri" w:eastAsia="Microsoft YaHei" w:cs="Calibri"/>
          <w:color w:val="1F2E38"/>
          <w:sz w:val="22"/>
          <w:szCs w:val="22"/>
        </w:rPr>
        <w:t>On Sunday, August 23, reporting confirmed that Ontario Premier Doug Ford had written to the Prime Minister on August 17 urging retaliatory tariffs against eight states central to the administration's base: Alabama, Arkansas, Florida, Iowa, Missouri, Montana, Texas, and Wisconsin. Ford publicly declared that Trump had declared economic war on Canada's closest friend and ally, and raised the prospect of cutting electricity exports and critical mineral shipments, telling reporters that the Americans would not get a grain of sand out of Ontario.</w:t>
      </w:r>
    </w:p>
    <w:p>
      <w:pPr>
        <w:pStyle w:val="Normal"/>
      </w:pPr>
      <w:r>
        <w:rPr>
          <w:rFonts w:ascii="Calibri" w:hAnsi="Calibri" w:eastAsia="Microsoft YaHei" w:cs="Calibri"/>
          <w:color w:val="1F2E38"/>
          <w:sz w:val="22"/>
          <w:szCs w:val="22"/>
        </w:rPr>
        <w:t>On Monday, August 24, President Trump escalated further. He threatened 50% tariffs on all Canadian cars, trucks, auto parts, and steel beginning January 1, 2027, doubling the existing 25% automotive rate. He demanded that Canadian leaders fall in line and warned of far worse consequences. He again referred to Prime Minister Carney as Governor Carney, and Vice President Vance insisted that his reference to Canada as a state was a Freudian slip. U.S. Trade Representative Jamieson Greer simultaneously downplayed the Saturday tariffs, telling markets that the measures affect a very small amount of trade.</w:t>
      </w:r>
    </w:p>
    <w:p>
      <w:pPr>
        <w:pStyle w:val="Normal"/>
      </w:pPr>
      <w:r>
        <w:rPr>
          <w:rFonts w:ascii="Calibri" w:hAnsi="Calibri" w:eastAsia="Microsoft YaHei" w:cs="Calibri"/>
          <w:color w:val="1F2E38"/>
          <w:sz w:val="22"/>
          <w:szCs w:val="22"/>
        </w:rPr>
        <w:t>On Tuesday, August 25, Finance Minister Francois-Philippe Champagne unveiled Canada's response in Ottawa: countertariffs on roughly 900 American product lines worth about C$27.6 billion, matched rate for rate at 15%, 25%, and 50%, effective September 8. The list reaches steel, aluminum and derivative products, dairy, appliances, farm equipment, pulp and paper, electronics, seafood, cheese, clothing, cosmetics, and household paper products. Canada also raised its existing steel and aluminum countertariffs from 25% to 50% and kept its auto countertariffs in place. Alongside the tariffs, Ottawa announced a support package of C$5.4 billion to C$7.5 billion for affected workers and businesses, including easier Employment Insurance access and expanded loan programs. Agriculture Secretary Brooke Rollins acknowledged American farm anxiety outside the White House the same day, while Republican Senator Susan Collins of Maine called the new tariffs on Canada a mistake on the campaign trail.</w:t>
      </w:r>
    </w:p>
    <w:p>
      <w:pPr>
        <w:pStyle w:val="Heading2"/>
      </w:pPr>
      <w:r>
        <w:rPr>
          <w:rFonts w:ascii="Calibri" w:hAnsi="Calibri" w:eastAsia="Microsoft YaHei" w:cs="Calibri"/>
          <w:b/>
          <w:color w:val="2F4858"/>
          <w:sz w:val="30"/>
          <w:szCs w:val="30"/>
        </w:rPr>
        <w:t>The August Escalation Timeline</w:t>
      </w:r>
    </w:p>
    <w:p>
      <w:pPr>
        <w:pStyle w:val="Normal"/>
      </w:pPr>
      <w:r>
        <w:rPr>
          <w:rFonts w:ascii="Calibri" w:hAnsi="Calibri" w:eastAsia="Microsoft YaHei" w:cs="Calibri"/>
          <w:color w:val="1F2E38"/>
          <w:sz w:val="22"/>
          <w:szCs w:val="22"/>
        </w:rPr>
        <w:t>The table below consolidates the escalation sequence of July and August 2026, reconstructed from the public record.</w:t>
      </w:r>
    </w:p>
    <w:tbl>
      <w:tblPr>
        <w:tblW w:w="5000" w:type="pct"/>
        <w:tblBorders>
          <w:top w:val="single" w:color="2F4858" w:sz="12"/>
          <w:left w:val="nil"/>
          <w:bottom w:val="single" w:color="2F4858" w:sz="12"/>
          <w:right w:val="nil"/>
          <w:insideH w:val="single" w:color="CBD8DE" w:sz="4"/>
          <w:insideV w:val="nil"/>
        </w:tblBorders>
      </w:tblPr>
      <w:tblGrid>
        <w:gridCol w:w="1700"/>
        <w:gridCol w:w="7326"/>
      </w:tblGrid>
      <w:tr>
        <w:trPr>
          <w:cantSplit w:val="1"/>
          <w:tblHeader w:val="1"/>
        </w:trPr>
        <w:tc>
          <w:tcPr>
            <w:tcW w:w="1700" w:type="dxa"/>
            <w:tcBorders>
              <w:bottom w:val="single" w:color="55707F" w:sz="6" w:space="0"/>
            </w:tcBorders>
            <w:shd w:val="clear" w:fill="E9EFF2" w:color="auto"/>
            <w:tcMar>
              <w:top w:w="40" w:type="dxa"/>
              <w:left w:w="100" w:type="dxa"/>
              <w:bottom w:w="40" w:type="dxa"/>
              <w:right w:w="100" w:type="dxa"/>
            </w:tcMar>
          </w:tcPr>
          <w:p>
            <w:pPr>
              <w:pStyle w:val="Normal"/>
              <w:spacing w:before="10" w:after="10" w:line="240" w:lineRule="auto"/>
              <w:jc w:val="left"/>
            </w:pPr>
            <w:r>
              <w:rPr>
                <w:b/>
                <w:color w:val="1F2E38"/>
                <w:sz w:val="19"/>
                <w:rFonts w:ascii="Calibri" w:hAnsi="Calibri" w:eastAsia="Microsoft YaHei" w:cs="Calibri"/>
                <w:szCs w:val="19"/>
              </w:rPr>
              <w:t>Date (2026)</w:t>
            </w:r>
          </w:p>
        </w:tc>
        <w:tc>
          <w:tcPr>
            <w:tcW w:w="7326" w:type="dxa"/>
            <w:tcBorders>
              <w:bottom w:val="single" w:color="55707F" w:sz="6" w:space="0"/>
            </w:tcBorders>
            <w:shd w:val="clear" w:fill="E9EFF2" w:color="auto"/>
            <w:tcMar>
              <w:top w:w="40" w:type="dxa"/>
              <w:left w:w="100" w:type="dxa"/>
              <w:bottom w:w="40" w:type="dxa"/>
              <w:right w:w="100" w:type="dxa"/>
            </w:tcMar>
          </w:tcPr>
          <w:p>
            <w:pPr>
              <w:pStyle w:val="Normal"/>
              <w:spacing w:before="10" w:after="10" w:line="240" w:lineRule="auto"/>
              <w:jc w:val="left"/>
            </w:pPr>
            <w:r>
              <w:rPr>
                <w:b/>
                <w:color w:val="1F2E38"/>
                <w:sz w:val="19"/>
                <w:rFonts w:ascii="Calibri" w:hAnsi="Calibri" w:eastAsia="Microsoft YaHei" w:cs="Calibri"/>
                <w:szCs w:val="19"/>
              </w:rPr>
              <w:t>Event</w:t>
            </w:r>
          </w:p>
        </w:tc>
      </w:tr>
      <w:tr>
        <w:trPr>
          <w:cantSplit w:val="1"/>
        </w:trPr>
        <w:tc>
          <w:tcPr>
            <w:tcW w:w="1700"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July 20</w:t>
            </w:r>
          </w:p>
        </w:tc>
        <w:tc>
          <w:tcPr>
            <w:tcW w:w="7326"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Trump signs three Section 338 proclamations imposing 50% tariffs on Canadian goods, citing alleged Canadian discrimination against U.S. commerce in cars, alcohol, and dairy. Energy, potash, critical minerals, fish, and Section 232 products stay exempt.</w:t>
            </w:r>
          </w:p>
        </w:tc>
      </w:tr>
      <w:tr>
        <w:trPr>
          <w:cantSplit w:val="1"/>
        </w:trPr>
        <w:tc>
          <w:tcPr>
            <w:tcW w:w="1700"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August 4 to 16</w:t>
            </w:r>
          </w:p>
        </w:tc>
        <w:tc>
          <w:tcPr>
            <w:tcW w:w="7326"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Minister Dominic LeBlanc and negotiator Janice Charette lead a delegation to Washington. Canada offers concessions, including repeal of countertariffs on U.S.-made cars. Lumber and auto tariffs emerge as the decisive sticking points.</w:t>
            </w:r>
          </w:p>
        </w:tc>
      </w:tr>
      <w:tr>
        <w:trPr>
          <w:cantSplit w:val="1"/>
        </w:trPr>
        <w:tc>
          <w:tcPr>
            <w:tcW w:w="1700"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August 18</w:t>
            </w:r>
          </w:p>
        </w:tc>
        <w:tc>
          <w:tcPr>
            <w:tcW w:w="7326"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Hours before the tariffs activate, Carney and Trump speak by phone. Trump announces a three-day pause and floats revival of the Keystone XL pipeline. Carney notes substantial progress without confirming a deal.</w:t>
            </w:r>
          </w:p>
        </w:tc>
      </w:tr>
      <w:tr>
        <w:trPr>
          <w:cantSplit w:val="1"/>
        </w:trPr>
        <w:tc>
          <w:tcPr>
            <w:tcW w:w="1700"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August 21</w:t>
            </w:r>
          </w:p>
        </w:tc>
        <w:tc>
          <w:tcPr>
            <w:tcW w:w="7326"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Negotiations collapse. Carney cites last-minute U.S. changes he calls unfair, covering Canada's other trading relationships, the auto sector, and protections for Canadian culture and the French language. Carney suspends talks and recalls the team.</w:t>
            </w:r>
          </w:p>
        </w:tc>
      </w:tr>
      <w:tr>
        <w:trPr>
          <w:cantSplit w:val="1"/>
        </w:trPr>
        <w:tc>
          <w:tcPr>
            <w:tcW w:w="1700"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August 22</w:t>
            </w:r>
          </w:p>
        </w:tc>
        <w:tc>
          <w:tcPr>
            <w:tcW w:w="7326"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Section 338 tariffs take effect at 12:01 a.m. on roughly US$20 billion to US$28 billion of Canadian goods. Carney pledges dollar-for-dollar retaliation effective September 8.</w:t>
            </w:r>
          </w:p>
        </w:tc>
      </w:tr>
      <w:tr>
        <w:trPr>
          <w:cantSplit w:val="1"/>
        </w:trPr>
        <w:tc>
          <w:tcPr>
            <w:tcW w:w="1700"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August 23</w:t>
            </w:r>
          </w:p>
        </w:tc>
        <w:tc>
          <w:tcPr>
            <w:tcW w:w="7326"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The Ford letter naming eight target states becomes public. Ford threatens electricity and critical mineral measures.</w:t>
            </w:r>
          </w:p>
        </w:tc>
      </w:tr>
      <w:tr>
        <w:trPr>
          <w:cantSplit w:val="1"/>
        </w:trPr>
        <w:tc>
          <w:tcPr>
            <w:tcW w:w="1700"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August 24</w:t>
            </w:r>
          </w:p>
        </w:tc>
        <w:tc>
          <w:tcPr>
            <w:tcW w:w="7326"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Trump threatens 50% tariffs on Canadian cars, trucks, parts, and steel from January 1, 2027, and tells Canada to fall in line.</w:t>
            </w:r>
          </w:p>
        </w:tc>
      </w:tr>
      <w:tr>
        <w:trPr>
          <w:cantSplit w:val="1"/>
        </w:trPr>
        <w:tc>
          <w:tcPr>
            <w:tcW w:w="1700"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August 25</w:t>
            </w:r>
          </w:p>
        </w:tc>
        <w:tc>
          <w:tcPr>
            <w:tcW w:w="7326"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Canada announces matched countertariffs on about 900 U.S. product lines (about C$27.6 billion) plus a worker and business support package, effective September 8.</w:t>
            </w:r>
          </w:p>
        </w:tc>
      </w:tr>
      <w:tr>
        <w:trPr>
          <w:cantSplit w:val="1"/>
        </w:trPr>
        <w:tc>
          <w:tcPr>
            <w:tcW w:w="1700"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August 26</w:t>
            </w:r>
          </w:p>
        </w:tc>
        <w:tc>
          <w:tcPr>
            <w:tcW w:w="7326"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Bloomberg reporting indicates Carney designs the retaliation to remain in place for the duration of the Trump presidency if necessary. No further talks are scheduled.</w:t>
            </w:r>
          </w:p>
        </w:tc>
      </w:tr>
    </w:tbl>
    <w:p>
      <w:pPr>
        <w:pStyle w:val="Caption"/>
      </w:pPr>
      <w:r>
        <w:rPr>
          <w:rFonts w:ascii="Calibri" w:hAnsi="Calibri" w:eastAsia="Microsoft YaHei" w:cs="Calibri"/>
          <w:color w:val="8AA0AC"/>
          <w:sz w:val="19"/>
          <w:szCs w:val="19"/>
        </w:rPr>
        <w:t>Table 1: The escalation sequence, July 20 to August 26, 2026</w:t>
      </w:r>
    </w:p>
    <w:p>
      <w:pPr>
        <w:pStyle w:val="Heading2"/>
      </w:pPr>
      <w:r>
        <w:rPr>
          <w:rFonts w:ascii="Calibri" w:hAnsi="Calibri" w:eastAsia="Microsoft YaHei" w:cs="Calibri"/>
          <w:b/>
          <w:color w:val="2F4858"/>
          <w:sz w:val="30"/>
          <w:szCs w:val="30"/>
        </w:rPr>
        <w:t>Rhetoric and Political Signalling</w:t>
      </w:r>
    </w:p>
    <w:p>
      <w:pPr>
        <w:pStyle w:val="Normal"/>
      </w:pPr>
      <w:r>
        <w:rPr>
          <w:rFonts w:ascii="Calibri" w:hAnsi="Calibri" w:eastAsia="Microsoft YaHei" w:cs="Calibri"/>
          <w:color w:val="1F2E38"/>
          <w:sz w:val="22"/>
          <w:szCs w:val="22"/>
        </w:rPr>
        <w:t>The rhetoric on both sides reveals the political logic driving policy. Trump frames Canada as a trade cheat and a supplicant, asserting that Canada rips off the United States, that the two countries run a 60 billion dollar deficit, and that America does not need Canada. He repeatedly invokes statehood, treating the 51st state line as a negotiating instrument. Carney frames Canada as a sovereign middle power under attack, argues that the United States uses economic integration as a weapon, and insists that the old relationship has ended. He states that American negotiators asked too much and offered too little, and that Canada refuses any framing in which Canada operates as a subsidiary of the United States.</w:t>
      </w:r>
    </w:p>
    <w:p>
      <w:pPr>
        <w:pStyle w:val="Normal"/>
      </w:pPr>
      <w:r>
        <w:rPr>
          <w:rFonts w:ascii="Calibri" w:hAnsi="Calibri" w:eastAsia="Microsoft YaHei" w:cs="Calibri"/>
          <w:color w:val="1F2E38"/>
          <w:sz w:val="22"/>
          <w:szCs w:val="22"/>
        </w:rPr>
        <w:t>The domestic political dimension matters as much as the bilateral one. Control of the U.S. Senate in the November 2026 midterms runs through border and farm states: Maine, Michigan, Ohio, Alaska, and Iowa all face competitive races, and Canada ranks as the top export market or a top-two market for each. American business groups, including the Chamber of Commerce and the Business Roundtable, publicly press both sides to return to the table. In Canada, public opinion supports retaliation, premiers compete to propose the toughest measures, and the federal government designs its countertariffs to remain in force for years, not weeks.</w:t>
      </w:r>
    </w:p>
    <w:p>
      <w:pPr>
        <w:pStyle w:val="Heading2"/>
      </w:pPr>
      <w:r>
        <w:rPr>
          <w:rFonts w:ascii="Calibri" w:hAnsi="Calibri" w:eastAsia="Microsoft YaHei" w:cs="Calibri"/>
          <w:b/>
          <w:color w:val="2F4858"/>
          <w:sz w:val="30"/>
          <w:szCs w:val="30"/>
        </w:rPr>
        <w:t>From February 2025 to the Present</w:t>
      </w:r>
    </w:p>
    <w:p>
      <w:pPr>
        <w:pStyle w:val="Normal"/>
      </w:pPr>
      <w:r>
        <w:rPr>
          <w:rFonts w:ascii="Calibri" w:hAnsi="Calibri" w:eastAsia="Microsoft YaHei" w:cs="Calibri"/>
          <w:color w:val="1F2E38"/>
          <w:sz w:val="22"/>
          <w:szCs w:val="22"/>
        </w:rPr>
        <w:t>The present crisis crowns eighteen months of conflict. In February 2025 the administration imposed near-universal 25% tariffs on Canadian goods (10% on energy), and Prime Minister Justin Trudeau answered with 25% tariffs on C$30 billion of U.S. goods, rising to C$155 billion. A March 2025 carve-out exempted CUSMA-compliant goods, which left over 85% of bilateral trade tariff-free by August 2025. Ontario briefly imposed a 25% surcharge on electricity exports in March 2025, affecting about 1.5 million American customers, then withdrew it when Washington agreed to negotiate. In June 2025, Canada scrapped its digital services tax to restart suspended talks. In July 2025, Trump raised the threatened rate to 35%. In October 2025, Trump cancelled all negotiations over an Ontario television advertisement quoting Ronald Reagan on tariffs. In February 2026, the U.S. Supreme Court struck down the IEEPA-based tariffs in Learning Resources, Inc. v. Trump, pushing the administration toward Section 232 and Section 338 authorities. On July 1, 2026, the United States declined to confirm extension of CUSMA at the first joint review, placing the agreement into rolling annual reviews. Each American escalation has met Canadian retaliation, and each Canadian concession has met fresh American demands. That pattern, more than any single tariff line, instructs the strategy in this guide.</w:t>
      </w:r>
    </w:p>
    <w:p>
      <w:pPr>
        <w:pStyle w:val="Heading1"/>
      </w:pPr>
      <w:r>
        <w:rPr>
          <w:rFonts w:ascii="Calibri" w:hAnsi="Calibri" w:eastAsia="Microsoft YaHei" w:cs="Calibri"/>
          <w:b/>
          <w:color w:val="2F4858"/>
          <w:sz w:val="40"/>
          <w:szCs w:val="40"/>
        </w:rPr>
        <w:t>Part II: The CUSMA Legal Framework</w:t>
      </w:r>
    </w:p>
    <w:p>
      <w:pPr>
        <w:pStyle w:val="Normal"/>
      </w:pPr>
      <w:r>
        <w:rPr>
          <w:rFonts w:ascii="Calibri" w:hAnsi="Calibri" w:eastAsia="Microsoft YaHei" w:cs="Calibri"/>
          <w:color w:val="1F2E38"/>
          <w:sz w:val="22"/>
          <w:szCs w:val="22"/>
        </w:rPr>
        <w:t>Canada's tariff strategy operates inside a legal architecture that the United States itself negotiated, signed, and now violates. This part internalizes the provisions that matter most for tariff strategy: the tariff elimination commitments of Chapter 2, the agricultural exceptions of Chapter 3, the rules of origin in Chapter 4, the remedy and dispute mechanisms of Chapters 10 and 31, the exceptions and exit clauses of Chapters 32 and 34, and the bilateral side letters. Every measure in Part VI cites this architecture as its legal frame.</w:t>
      </w:r>
    </w:p>
    <w:p>
      <w:pPr>
        <w:pStyle w:val="Heading2"/>
      </w:pPr>
      <w:r>
        <w:rPr>
          <w:rFonts w:ascii="Calibri" w:hAnsi="Calibri" w:eastAsia="Microsoft YaHei" w:cs="Calibri"/>
          <w:b/>
          <w:color w:val="2F4858"/>
          <w:sz w:val="30"/>
          <w:szCs w:val="30"/>
        </w:rPr>
        <w:t>Core Tariff Commitments</w:t>
      </w:r>
    </w:p>
    <w:p>
      <w:pPr>
        <w:pStyle w:val="Normal"/>
      </w:pPr>
      <w:r>
        <w:rPr>
          <w:rFonts w:ascii="Calibri" w:hAnsi="Calibri" w:eastAsia="Microsoft YaHei" w:cs="Calibri"/>
          <w:color w:val="1F2E38"/>
          <w:sz w:val="22"/>
          <w:szCs w:val="22"/>
        </w:rPr>
        <w:t>Chapter 2 (National Treatment and Market Access for Goods) contains the agreement's central tariff rule. Article 2.4 states that no party increases any existing customs duty, or adopts any new customs duty, on an originating good, except as the agreement itself provides. Each party attached a tariff schedule (the US, MX, and CA schedules) that eliminated virtually all remaining duties on originating goods at entry into force on July 1, 2020, or staged them out over fixed periods. Article 2.3 incorporates the GATT Article III national treatment obligation: imports receive treatment no less favourable than like domestic products. The chapter also fixes de minimis thresholds for courier shipments (C$150 for duties, C$40 for taxes on shipments from the United States or Mexico) and restricts the use of duty waivers tied to export performance.</w:t>
      </w:r>
    </w:p>
    <w:p>
      <w:pPr>
        <w:pStyle w:val="Normal"/>
      </w:pPr>
      <w:r>
        <w:rPr>
          <w:rFonts w:ascii="Calibri" w:hAnsi="Calibri" w:eastAsia="Microsoft YaHei" w:cs="Calibri"/>
          <w:color w:val="1F2E38"/>
          <w:sz w:val="22"/>
          <w:szCs w:val="22"/>
        </w:rPr>
        <w:t>For strategy, two consequences follow. First, the American Section 338 tariffs apply to CUSMA-originating goods regardless of origin status, which constitutes a textbook Article 2.4 breach. Second, Canada's retaliatory surtaxes likewise depart from Article 2.4. Canada defends that departure most credibly through the doctrine of reciprocal countermeasures and through the essential security exception in Article 32.2, the same provision the United States invokes for its Section 232 program. Ottawa frames every measure as a proportionate, documented response to a prior American breach, and publishes the legal basis with each order.</w:t>
      </w:r>
    </w:p>
    <w:p>
      <w:pPr>
        <w:pStyle w:val="Heading2"/>
      </w:pPr>
      <w:r>
        <w:rPr>
          <w:rFonts w:ascii="Calibri" w:hAnsi="Calibri" w:eastAsia="Microsoft YaHei" w:cs="Calibri"/>
          <w:b/>
          <w:color w:val="2F4858"/>
          <w:sz w:val="30"/>
          <w:szCs w:val="30"/>
        </w:rPr>
        <w:t>Agriculture and Supply Management</w:t>
      </w:r>
    </w:p>
    <w:p>
      <w:pPr>
        <w:pStyle w:val="Normal"/>
      </w:pPr>
      <w:r>
        <w:rPr>
          <w:rFonts w:ascii="Calibri" w:hAnsi="Calibri" w:eastAsia="Microsoft YaHei" w:cs="Calibri"/>
          <w:color w:val="1F2E38"/>
          <w:sz w:val="22"/>
          <w:szCs w:val="22"/>
        </w:rPr>
        <w:t>Chapter 3 governs agriculture. Under CUSMA, Canada granted the United States new tariff-rate quota access equal to roughly 3.6% of the Canadian dairy market, eliminated the Class 7 milk pricing scheme within six months of entry into force, and accepted transparency obligations on milk pricing and quota administration. Over-quota dairy tariffs remain in the 200% plus range, which keeps the Canadian market effectively closed beyond the quota volumes. The United States twice challenged Canada's administration of the dairy quotas before Chapter 31 panels: the first panel (January 2022) sided with the United States on processor-reserved allocations, and the second panel (November 2023) upheld Canada's revised market-share approach. Canada also granted incremental access in poultry and eggs and accepted a side letter on wine distribution in British Columbia grocery stores.</w:t>
      </w:r>
    </w:p>
    <w:p>
      <w:pPr>
        <w:pStyle w:val="Normal"/>
      </w:pPr>
      <w:r>
        <w:rPr>
          <w:rFonts w:ascii="Calibri" w:hAnsi="Calibri" w:eastAsia="Microsoft YaHei" w:cs="Calibri"/>
          <w:color w:val="1F2E38"/>
          <w:sz w:val="22"/>
          <w:szCs w:val="22"/>
        </w:rPr>
        <w:t>Dairy carries symbolic weight far beyond its trade value. Trump cites Canadian dairy tariffs in nearly every public statement on the relationship, and the July 20 proclamations explicitly name cars, alcohol, and dairy as the grievances behind Section 338. Canada therefore treats dairy as both a shield and a lever: the supply management system stays intact as a matter of domestic policy, while selective liberalization inside the existing quota framework remains available as a concession chip in a final bargain.</w:t>
      </w:r>
    </w:p>
    <w:p>
      <w:pPr>
        <w:pStyle w:val="Heading2"/>
      </w:pPr>
      <w:r>
        <w:rPr>
          <w:rFonts w:ascii="Calibri" w:hAnsi="Calibri" w:eastAsia="Microsoft YaHei" w:cs="Calibri"/>
          <w:b/>
          <w:color w:val="2F4858"/>
          <w:sz w:val="30"/>
          <w:szCs w:val="30"/>
        </w:rPr>
        <w:t>Rules of Origin and the Auto Pact</w:t>
      </w:r>
    </w:p>
    <w:p>
      <w:pPr>
        <w:pStyle w:val="Normal"/>
      </w:pPr>
      <w:r>
        <w:rPr>
          <w:rFonts w:ascii="Calibri" w:hAnsi="Calibri" w:eastAsia="Microsoft YaHei" w:cs="Calibri"/>
          <w:color w:val="1F2E38"/>
          <w:sz w:val="22"/>
          <w:szCs w:val="22"/>
        </w:rPr>
        <w:t>Chapter 4 sets the rules of origin that determine which goods qualify for preferential treatment. For automobiles, the agreement requires 75% regional value content, a labor value content rule routing 40% to 45% of content through high-wage production (at or above US$16 per hour), and a requirement that producers purchase at least 70% of their steel and aluminum within the region. These rules integrate the Canadian, American, and Mexican auto sectors into a single production platform in which components cross borders repeatedly before final assembly.</w:t>
      </w:r>
    </w:p>
    <w:p>
      <w:r>
        <w:t xml:space="preserve">That integration cuts both ways in a tariff war. American tariffs on Canadian-built vehicles and parts rupture supply chains that American plants in Michigan, Ohio, Indiana, Kentucky, and Tennessee depend on, and the threatened January 1, 2027 rate of 50% on all Canadian cars, trucks, and parts would idle American assembly lines within weeks. Canada's existing countertariffs on U.S.-assembled vehicles exploit the same interdependence. Part VI uses strict origin audits and content verification as force multipliers: every percentage point of non-compliant content in an American-built vehicle activates the full countertariff.</w:t>
      </w:r>
    </w:p>
    <w:p>
      <w:pPr>
        <w:pStyle w:val="Heading2"/>
      </w:pPr>
      <w:r>
        <w:t xml:space="preserve">Trade Remedies and Dispute Settlement</w:t>
      </w:r>
    </w:p>
    <w:p>
      <w:r>
        <w:t xml:space="preserve">Chapter 10 preserves each party's rights under the WTO regime on antidumping and countervailing duties and safeguards, and retains binational panel review of trade remedy determinations, a mechanism Canada prizes from the softwood lumber wars. Chapter 31 provides state-to-state dispute settlement: consultations, then a panel established upon delivery of the request, with binding reports on a fixed timetable. The dairy disputes of 2022 and 2023 demonstrate that Chapter 31 panels function and deliver rulings within months. Canada holds a strong prospective Chapter 31 case against the Section 338 proclamations, because those proclamations tax originating goods in direct contradiction of Article 2.4 and the parties' tariff schedules. Filing that case, even against the backdrop of U.S. obstruction of the WTO Appellate Body, builds the public legal record that supports proportionate countermeasures.</w:t>
      </w:r>
    </w:p>
    <w:p>
      <w:pPr>
        <w:pStyle w:val="Heading2"/>
      </w:pPr>
      <w:r>
        <w:t xml:space="preserve">Exceptions, Withdrawal, and the 2026 Joint Review</w:t>
      </w:r>
    </w:p>
    <w:p>
      <w:r>
        <w:t xml:space="preserve">Chapter 32 contains the general and security exceptions. Article 32.2 permits measures a party considers necessary for the protection of its essential security interests. The United States leans on this article to defend Section 232 tariffs on steel, aluminum, and autos; Canada invokes the same architecture to defend resource export measures if it ever applies them, particularly where supply security intersects with national industrial policy. Article 34.6 permits any party to withdraw from CUSMA on six months' written notice. Article 34.7 sets the sixteen-year term (expiring July 1, 2036) and the six-year joint review cycle: the Free Trade Commission reviews the agreement's operation, considers recommendations, and the parties confirm in writing whether they extend the term for another sixteen years.</w:t>
      </w:r>
    </w:p>
    <w:p>
      <w:r>
        <w:t xml:space="preserve">The first joint review convened on July 1, 2026. The United States declined to confirm extension in the current form, which pushes CUSMA into annual reviews and a decade of structured uncertainty, with formal negotiating rounds already underway. Canada has formally requested renewal. This posture gives Ottawa a distinct lever: Canadian consent to a clean sixteen-year extension to 2042 becomes a bargaining chip of enormous value to American business, and Canada prices that consent against full removal of the Section 232, Section 338, and threatened automotive tariffs.</w:t>
      </w:r>
    </w:p>
    <w:p>
      <w:pPr>
        <w:pStyle w:val="Heading2"/>
      </w:pPr>
      <w:r>
        <w:t xml:space="preserve">Side Letters and Section 232</w:t>
      </w:r>
    </w:p>
    <w:p>
      <w:r>
        <w:t xml:space="preserve">The CUSMA package includes bilateral side letters that frame today's fight. The Canada-U.S. side letters on Section 232 establish a sixty-day consultation window before any new 232 measure applies to Canada and preserve Canada's right to retaliate with measures of equivalent commercial effect. A further Canada-U.S. side letter on energy addresses regulatory cooperation on energy trade, and the natural water resources side letter confirms that CUSMA creates no rights to Canada's water. The July 2026 Section 338 proclamations sit outside these side letter disciplines entirely, which strengthens Canada's argument that Washington now bypasses the very safeguards it negotiated.</w:t>
      </w:r>
    </w:p>
    <w:p>
      <w:pPr>
        <w:pStyle w:val="Heading2"/>
      </w:pPr>
      <w:r>
        <w:t xml:space="preserve">The Section 338 Measures Under CUSMA</w:t>
      </w:r>
    </w:p>
    <w:p>
      <w:r>
        <w:t xml:space="preserve">Section 338 of the Tariff Act of 1930 authorizes the President to impose additional duties of up to 50% on goods from a country that discriminates against U.S. commerce. The July 20, 2026 proclamations invoke it against Canada for the first time in the modern era, citing Canadian alcohol restrictions, dairy supply management, and automotive countertariffs as the alleged discrimination. Three features of the proclamations carry strategic significance. First, they tax CUSMA-originating goods without exception, breaching Article 2.4. Second, they exempt energy, potash, critical minerals, fish, and Section 232 products, which maps precisely onto the Canadian exports the United States cannot replace: a public admission of Canadian leverage. Third, the February 2026 Supreme Court decision in Learning Resources, Inc. v. Trump, which struck the IEEPA tariffs, shows that American courts constrain presidential tariff authority; trade lawyers already question whether Section 338's discrimination predicate survives scrutiny against a CUSMA partner. Canada documents these vulnerabilities now, because every future negotiation, litigation, and congressional intervention draws on the same record.</w:t>
      </w:r>
    </w:p>
    <w:p>
      <w:pPr>
        <w:pStyle w:val="Heading1"/>
      </w:pPr>
      <w:r>
        <w:t xml:space="preserve">Part III: The Bilateral Trade Map</w:t>
      </w:r>
    </w:p>
    <w:p>
      <w:r>
        <w:t xml:space="preserve">Tariff strategy begins with the flow of goods and services. In 2025, total U.S. goods and services trade with Canada reached an estimated US$872 billion. American goods exports to Canada totalled about US$333.6 billion and goods imports from Canada about US$381.9 billion, leaving a U.S. goods deficit near US$48 billion. The United Nations COMTRADE series records similar magnitudes: US$329.7 billion of American exports to Canada and US$392.4 billion of American imports from Canada. In services, the United States runs a surplus of roughly US$27.7 billion (exports of US$92.3 billion against imports of US$64.5 billion). Canada ships about 72% of its goods exports to the United States and takes about 15% of all American goods exports, second only to Mexico. Roughly 85% of bilateral trade moved tariff-free under the CUSMA compliance carve-out before the current escalation.</w:t>
      </w:r>
    </w:p>
    <w:p>
      <w:pPr>
        <w:pStyle w:val="Heading2"/>
      </w:pPr>
      <w:r>
        <w:t xml:space="preserve">What the United States Buys from Canada</w:t>
      </w:r>
    </w:p>
    <w:p>
      <w:r>
        <w:t xml:space="preserve">The American import basket from Canada concentrates in energy, vehicles, machinery, metals, and food. The table ranks the leading categories by 2025 value.</w:t>
      </w:r>
    </w:p>
    <w:tbl>
      <w:tblPr>
        <w:tblW w:w="5000" w:type="pct"/>
        <w:tblBorders>
          <w:top w:val="single" w:color="2F4858" w:sz="12"/>
          <w:left w:val="nil"/>
          <w:bottom w:val="single" w:color="2F4858" w:sz="12"/>
          <w:right w:val="nil"/>
          <w:insideH w:val="single" w:color="CBD8DE" w:sz="4"/>
          <w:insideV w:val="nil"/>
        </w:tblBorders>
      </w:tblPr>
      <w:tblGrid>
        <w:gridCol w:w="5200"/>
        <w:gridCol w:w="1913"/>
        <w:gridCol w:w="1913"/>
      </w:tblGrid>
      <w:tr>
        <w:trPr>
          <w:cantSplit/>
          <w:tblHeader/>
        </w:trPr>
        <w:tc>
          <w:tcPr>
            <w:tcW w:w="52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Category</w:t>
            </w:r>
          </w:p>
        </w:tc>
        <w:tc>
          <w:tcPr>
            <w:tcW w:w="1913"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2025 value (US$)</w:t>
            </w:r>
          </w:p>
        </w:tc>
        <w:tc>
          <w:tcPr>
            <w:tcW w:w="1913"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Strategic note</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Mineral fuels and oils</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119.0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Crude oil dominates; roughly 4 million barrels per day of feedstock for Midwest and Gulf refineries.</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Vehicles (non-rail)</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45.8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Integrated assembly; threatened with 50% U.S. tariffs from January 2027.</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Machinery and reactors</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30.1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Industrial equipment for American factories and energy projects.</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Plastics</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12.8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Resins and articles feeding U.S. manufacturing.</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Precious stones and metals</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11.6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Gold refining and jewellery flows.</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Electrical and electronic equipment</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11.1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Components for U.S. assembly.</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Wood and wood articles</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10.2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Softwood lumber under long-running U.S. duties; feeds U.S. homebuilding.</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Aluminum</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9.7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Quebec smelters anchor U.S. auto, packaging, and construction supply.</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Aircraft and spacecraft</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9.1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Turbojets and regional jets into U.S. fleets.</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Cereal, flour, starch, and milk preparations</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6.6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Bakery and processed food.</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Paper and paperboard</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6.6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Newsprint and packaging.</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Iron and steel</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5.4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Already under 50% U.S. Section 232 tariffs.</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Fertilizers (potash)</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3.8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Canada is the world's largest potash producer; the U.S. farm belt depends on it.</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Fish and seafood</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3.7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Lobster, crab, and salmon into U.S. food service.</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Copper</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3.9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Wiring and electrification input.</w:t>
            </w:r>
          </w:p>
        </w:tc>
      </w:tr>
    </w:tbl>
    <w:p>
      <w:pPr>
        <w:pStyle w:val="Caption"/>
      </w:pPr>
      <w:r>
        <w:t xml:space="preserve">Table 2: Leading U.S. imports from Canada, 2025 (UN COMTRADE basis)</w:t>
      </w:r>
    </w:p>
    <w:p>
      <w:pPr>
        <w:pStyle w:val="Heading2"/>
      </w:pPr>
      <w:r>
        <w:t xml:space="preserve">What Canada Buys from the United States</w:t>
      </w:r>
    </w:p>
    <w:p>
      <w:r>
        <w:t xml:space="preserve">The Canadian import basket skews toward manufactured goods, which gives Ottawa a dense target list for countertariffs. The table ranks the leading categories by 2025 value.</w:t>
      </w:r>
    </w:p>
    <w:tbl>
      <w:tblPr>
        <w:tblW w:w="5000" w:type="pct"/>
        <w:tblBorders>
          <w:top w:val="single" w:color="2F4858" w:sz="12"/>
          <w:left w:val="nil"/>
          <w:bottom w:val="single" w:color="2F4858" w:sz="12"/>
          <w:right w:val="nil"/>
          <w:insideH w:val="single" w:color="CBD8DE" w:sz="4"/>
          <w:insideV w:val="nil"/>
        </w:tblBorders>
      </w:tblPr>
      <w:tblGrid>
        <w:gridCol w:w="5200"/>
        <w:gridCol w:w="1913"/>
        <w:gridCol w:w="1913"/>
      </w:tblGrid>
      <w:tr>
        <w:trPr>
          <w:cantSplit/>
          <w:tblHeader/>
        </w:trPr>
        <w:tc>
          <w:tcPr>
            <w:tcW w:w="52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Category</w:t>
            </w:r>
          </w:p>
        </w:tc>
        <w:tc>
          <w:tcPr>
            <w:tcW w:w="1913"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2025 value (US$)</w:t>
            </w:r>
          </w:p>
        </w:tc>
        <w:tc>
          <w:tcPr>
            <w:tcW w:w="1913"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Strategic note</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Machinery and reactors</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51.3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Includes farm machinery and construction equipment; prime red-state target set.</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Vehicles (non-rail)</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46.3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U.S.-assembled cars and trucks; existing Canadian countertariffs remain in place.</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Electrical and electronic equipment</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27.6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Semiconductors and components, largely Texas and Arizona output.</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Mineral fuels and oils</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27.0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Refined products and gas flowing north.</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Plastics</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14.3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Gulf Coast petrochemical output from Texas and Louisiana.</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Optical, photo, and medical instruments</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10.8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High-value devices; low rates advisable.</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Aircraft and spacecraft</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9.2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Business jets and parts from Kansas, Missouri, and South Carolina.</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Precious stones and metals</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8.6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Bullion and jewellery.</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Pharmaceuticals</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7.0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Indiana and North Carolina output; guard against shortages.</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Articles of iron or steel</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5.8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Fasteners, structures, and parts.</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Furniture and bedding</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4.4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North Carolina and Mississippi clusters.</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Edible fruits and nuts</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4.3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Citrus and produce; Florida exposure.</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Iron and steel</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3.9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Mill products from Indiana, Ohio, and Pennsylvania.</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Rubber and articles</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3.9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Tires from South Carolina, Alabama, and Tennessee plants.</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Essential oils, cosmetics, toiletries</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3.8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Prior Canadian target list item.</w:t>
            </w:r>
          </w:p>
        </w:tc>
      </w:tr>
      <w:tr>
        <w:trPr>
          <w:cantSplit/>
        </w:trPr>
        <w:tc>
          <w:tcPr>
            <w:tcW w:w="5200" w:type="dxa"/>
            <w:tcMar>
              <w:top w:w="40" w:type="dxa"/>
              <w:left w:w="100" w:type="dxa"/>
              <w:bottom w:w="40" w:type="dxa"/>
              <w:right w:w="100" w:type="dxa"/>
            </w:tcMar>
          </w:tcPr>
          <w:p>
            <w:pPr>
              <w:spacing w:before="10" w:after="10" w:line="240" w:lineRule="auto"/>
              <w:jc w:val="left"/>
            </w:pPr>
            <w:r>
              <w:rPr>
                <w:color w:val="55707F"/>
                <w:sz w:val="19"/>
              </w:rPr>
              <w:t xml:space="preserve">Beverages and spirits</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3.0 billion</w:t>
            </w:r>
          </w:p>
        </w:tc>
        <w:tc>
          <w:tcPr>
            <w:tcW w:w="1913" w:type="dxa"/>
            <w:tcMar>
              <w:top w:w="40" w:type="dxa"/>
              <w:left w:w="100" w:type="dxa"/>
              <w:bottom w:w="40" w:type="dxa"/>
              <w:right w:w="100" w:type="dxa"/>
            </w:tcMar>
          </w:tcPr>
          <w:p>
            <w:pPr>
              <w:spacing w:before="10" w:after="10" w:line="240" w:lineRule="auto"/>
              <w:jc w:val="left"/>
            </w:pPr>
            <w:r>
              <w:rPr>
                <w:color w:val="55707F"/>
                <w:sz w:val="19"/>
              </w:rPr>
              <w:t xml:space="preserve">Bourbon, Tennessee whiskey, and wine; iconic political target.</w:t>
            </w:r>
          </w:p>
        </w:tc>
      </w:tr>
    </w:tbl>
    <w:p>
      <w:pPr>
        <w:pStyle w:val="Caption"/>
      </w:pPr>
      <w:r>
        <w:t xml:space="preserve">Table 3: Leading U.S. exports to Canada, 2025 (UN COMTRADE basis)</w:t>
      </w:r>
    </w:p>
    <w:p>
      <w:pPr>
        <w:pStyle w:val="Heading2"/>
      </w:pPr>
      <w:r>
        <w:t xml:space="preserve">State-Level Exposure Map</w:t>
      </w:r>
    </w:p>
    <w:p>
      <w:r>
        <w:t xml:space="preserve">Canada is the number one export market for 36 American states. The political targeting value of that fact concentrates in states where Canada takes a large share of total exports and where the state's leadership anchors the administration's coalition. Ontario Premier Doug Ford's August 17 letter names eight: Alabama, Arkansas, Florida, Iowa, Missouri, Montana, Texas, and Wisconsin. The table consolidates the exposure data for those states and adds several more with acute dependence.</w:t>
      </w:r>
    </w:p>
    <w:tbl>
      <w:tblPr>
        <w:tblW w:w="5000" w:type="pct"/>
        <w:tblBorders>
          <w:top w:val="single" w:color="2F4858" w:sz="12"/>
          <w:left w:val="nil"/>
          <w:bottom w:val="single" w:color="2F4858" w:sz="12"/>
          <w:right w:val="nil"/>
          <w:insideH w:val="single" w:color="CBD8DE" w:sz="4"/>
          <w:insideV w:val="nil"/>
        </w:tblBorders>
      </w:tblPr>
      <w:tblGrid>
        <w:gridCol w:w="1600"/>
        <w:gridCol w:w="2100"/>
        <w:gridCol w:w="2650"/>
        <w:gridCol w:w="2676"/>
      </w:tblGrid>
      <w:tr>
        <w:trPr>
          <w:cantSplit/>
          <w:tblHeader/>
        </w:trPr>
        <w:tc>
          <w:tcPr>
            <w:tcW w:w="16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State</w:t>
            </w:r>
          </w:p>
        </w:tc>
        <w:tc>
          <w:tcPr>
            <w:tcW w:w="21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Exports to Canada</w:t>
            </w:r>
          </w:p>
        </w:tc>
        <w:tc>
          <w:tcPr>
            <w:tcW w:w="265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Share of state exports</w:t>
            </w:r>
          </w:p>
        </w:tc>
        <w:tc>
          <w:tcPr>
            <w:tcW w:w="267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Exposure notes</w:t>
            </w:r>
          </w:p>
        </w:tc>
      </w:tr>
      <w:tr>
        <w:trPr>
          <w:cantSplit/>
        </w:trPr>
        <w:tc>
          <w:tcPr>
            <w:tcW w:w="1600" w:type="dxa"/>
            <w:tcMar>
              <w:top w:w="40" w:type="dxa"/>
              <w:left w:w="100" w:type="dxa"/>
              <w:bottom w:w="40" w:type="dxa"/>
              <w:right w:w="100" w:type="dxa"/>
            </w:tcMar>
          </w:tcPr>
          <w:p>
            <w:pPr>
              <w:spacing w:before="10" w:after="10" w:line="240" w:lineRule="auto"/>
              <w:jc w:val="left"/>
            </w:pPr>
            <w:r>
              <w:rPr>
                <w:color w:val="55707F"/>
                <w:sz w:val="19"/>
              </w:rPr>
              <w:t xml:space="preserve">Texas</w:t>
            </w:r>
          </w:p>
        </w:tc>
        <w:tc>
          <w:tcPr>
            <w:tcW w:w="2100" w:type="dxa"/>
            <w:tcMar>
              <w:top w:w="40" w:type="dxa"/>
              <w:left w:w="100" w:type="dxa"/>
              <w:bottom w:w="40" w:type="dxa"/>
              <w:right w:w="100" w:type="dxa"/>
            </w:tcMar>
          </w:tcPr>
          <w:p>
            <w:pPr>
              <w:spacing w:before="10" w:after="10" w:line="240" w:lineRule="auto"/>
              <w:jc w:val="left"/>
            </w:pPr>
            <w:r>
              <w:rPr>
                <w:color w:val="55707F"/>
                <w:sz w:val="19"/>
              </w:rPr>
              <w:t xml:space="preserve">~US$35 billion</w:t>
            </w:r>
          </w:p>
        </w:tc>
        <w:tc>
          <w:tcPr>
            <w:tcW w:w="2650" w:type="dxa"/>
            <w:tcMar>
              <w:top w:w="40" w:type="dxa"/>
              <w:left w:w="100" w:type="dxa"/>
              <w:bottom w:w="40" w:type="dxa"/>
              <w:right w:w="100" w:type="dxa"/>
            </w:tcMar>
          </w:tcPr>
          <w:p>
            <w:pPr>
              <w:spacing w:before="10" w:after="10" w:line="240" w:lineRule="auto"/>
              <w:jc w:val="left"/>
            </w:pPr>
            <w:r>
              <w:rPr>
                <w:color w:val="55707F"/>
                <w:sz w:val="19"/>
              </w:rPr>
              <w:t xml:space="preserve">Second market (~8%)</w:t>
            </w:r>
          </w:p>
        </w:tc>
        <w:tc>
          <w:tcPr>
            <w:tcW w:w="2676" w:type="dxa"/>
            <w:tcMar>
              <w:top w:w="40" w:type="dxa"/>
              <w:left w:w="100" w:type="dxa"/>
              <w:bottom w:w="40" w:type="dxa"/>
              <w:right w:w="100" w:type="dxa"/>
            </w:tcMar>
          </w:tcPr>
          <w:p>
            <w:pPr>
              <w:spacing w:before="10" w:after="10" w:line="240" w:lineRule="auto"/>
              <w:jc w:val="left"/>
            </w:pPr>
            <w:r>
              <w:rPr>
                <w:color w:val="55707F"/>
                <w:sz w:val="19"/>
              </w:rPr>
              <w:t xml:space="preserve">Computer and electronic products, petroleum and coal products, chemicals, machinery. Largest state exporter in the nation.</w:t>
            </w:r>
          </w:p>
        </w:tc>
      </w:tr>
      <w:tr>
        <w:trPr>
          <w:cantSplit/>
        </w:trPr>
        <w:tc>
          <w:tcPr>
            <w:tcW w:w="1600" w:type="dxa"/>
            <w:tcMar>
              <w:top w:w="40" w:type="dxa"/>
              <w:left w:w="100" w:type="dxa"/>
              <w:bottom w:w="40" w:type="dxa"/>
              <w:right w:w="100" w:type="dxa"/>
            </w:tcMar>
          </w:tcPr>
          <w:p>
            <w:pPr>
              <w:spacing w:before="10" w:after="10" w:line="240" w:lineRule="auto"/>
              <w:jc w:val="left"/>
            </w:pPr>
            <w:r>
              <w:rPr>
                <w:color w:val="55707F"/>
                <w:sz w:val="19"/>
              </w:rPr>
              <w:t xml:space="preserve">Wisconsin</w:t>
            </w:r>
          </w:p>
        </w:tc>
        <w:tc>
          <w:tcPr>
            <w:tcW w:w="2100" w:type="dxa"/>
            <w:tcMar>
              <w:top w:w="40" w:type="dxa"/>
              <w:left w:w="100" w:type="dxa"/>
              <w:bottom w:w="40" w:type="dxa"/>
              <w:right w:w="100" w:type="dxa"/>
            </w:tcMar>
          </w:tcPr>
          <w:p>
            <w:pPr>
              <w:spacing w:before="10" w:after="10" w:line="240" w:lineRule="auto"/>
              <w:jc w:val="left"/>
            </w:pPr>
            <w:r>
              <w:rPr>
                <w:color w:val="55707F"/>
                <w:sz w:val="19"/>
              </w:rPr>
              <w:t xml:space="preserve">US$7.6 billion</w:t>
            </w:r>
          </w:p>
        </w:tc>
        <w:tc>
          <w:tcPr>
            <w:tcW w:w="2650" w:type="dxa"/>
            <w:tcMar>
              <w:top w:w="40" w:type="dxa"/>
              <w:left w:w="100" w:type="dxa"/>
              <w:bottom w:w="40" w:type="dxa"/>
              <w:right w:w="100" w:type="dxa"/>
            </w:tcMar>
          </w:tcPr>
          <w:p>
            <w:pPr>
              <w:spacing w:before="10" w:after="10" w:line="240" w:lineRule="auto"/>
              <w:jc w:val="left"/>
            </w:pPr>
            <w:r>
              <w:rPr>
                <w:color w:val="55707F"/>
                <w:sz w:val="19"/>
              </w:rPr>
              <w:t xml:space="preserve">28%, top market</w:t>
            </w:r>
          </w:p>
        </w:tc>
        <w:tc>
          <w:tcPr>
            <w:tcW w:w="2676" w:type="dxa"/>
            <w:tcMar>
              <w:top w:w="40" w:type="dxa"/>
              <w:left w:w="100" w:type="dxa"/>
              <w:bottom w:w="40" w:type="dxa"/>
              <w:right w:w="100" w:type="dxa"/>
            </w:tcMar>
          </w:tcPr>
          <w:p>
            <w:pPr>
              <w:spacing w:before="10" w:after="10" w:line="240" w:lineRule="auto"/>
              <w:jc w:val="left"/>
            </w:pPr>
            <w:r>
              <w:rPr>
                <w:color w:val="55707F"/>
                <w:sz w:val="19"/>
              </w:rPr>
              <w:t xml:space="preserve">Non-electrical machinery above US$5 billion; motorcycles; dairy processing.</w:t>
            </w:r>
          </w:p>
        </w:tc>
      </w:tr>
      <w:tr>
        <w:trPr>
          <w:cantSplit/>
        </w:trPr>
        <w:tc>
          <w:tcPr>
            <w:tcW w:w="1600" w:type="dxa"/>
            <w:tcMar>
              <w:top w:w="40" w:type="dxa"/>
              <w:left w:w="100" w:type="dxa"/>
              <w:bottom w:w="40" w:type="dxa"/>
              <w:right w:w="100" w:type="dxa"/>
            </w:tcMar>
          </w:tcPr>
          <w:p>
            <w:pPr>
              <w:spacing w:before="10" w:after="10" w:line="240" w:lineRule="auto"/>
              <w:jc w:val="left"/>
            </w:pPr>
            <w:r>
              <w:rPr>
                <w:color w:val="55707F"/>
                <w:sz w:val="19"/>
              </w:rPr>
              <w:t xml:space="preserve">Missouri</w:t>
            </w:r>
          </w:p>
        </w:tc>
        <w:tc>
          <w:tcPr>
            <w:tcW w:w="2100" w:type="dxa"/>
            <w:tcMar>
              <w:top w:w="40" w:type="dxa"/>
              <w:left w:w="100" w:type="dxa"/>
              <w:bottom w:w="40" w:type="dxa"/>
              <w:right w:w="100" w:type="dxa"/>
            </w:tcMar>
          </w:tcPr>
          <w:p>
            <w:pPr>
              <w:spacing w:before="10" w:after="10" w:line="240" w:lineRule="auto"/>
              <w:jc w:val="left"/>
            </w:pPr>
            <w:r>
              <w:rPr>
                <w:color w:val="55707F"/>
                <w:sz w:val="19"/>
              </w:rPr>
              <w:t xml:space="preserve">US$6.7 billion</w:t>
            </w:r>
          </w:p>
        </w:tc>
        <w:tc>
          <w:tcPr>
            <w:tcW w:w="2650" w:type="dxa"/>
            <w:tcMar>
              <w:top w:w="40" w:type="dxa"/>
              <w:left w:w="100" w:type="dxa"/>
              <w:bottom w:w="40" w:type="dxa"/>
              <w:right w:w="100" w:type="dxa"/>
            </w:tcMar>
          </w:tcPr>
          <w:p>
            <w:pPr>
              <w:spacing w:before="10" w:after="10" w:line="240" w:lineRule="auto"/>
              <w:jc w:val="left"/>
            </w:pPr>
            <w:r>
              <w:rPr>
                <w:color w:val="55707F"/>
                <w:sz w:val="19"/>
              </w:rPr>
              <w:t xml:space="preserve">34%, top market</w:t>
            </w:r>
          </w:p>
        </w:tc>
        <w:tc>
          <w:tcPr>
            <w:tcW w:w="2676" w:type="dxa"/>
            <w:tcMar>
              <w:top w:w="40" w:type="dxa"/>
              <w:left w:w="100" w:type="dxa"/>
              <w:bottom w:w="40" w:type="dxa"/>
              <w:right w:w="100" w:type="dxa"/>
            </w:tcMar>
          </w:tcPr>
          <w:p>
            <w:pPr>
              <w:spacing w:before="10" w:after="10" w:line="240" w:lineRule="auto"/>
              <w:jc w:val="left"/>
            </w:pPr>
            <w:r>
              <w:rPr>
                <w:color w:val="55707F"/>
                <w:sz w:val="19"/>
              </w:rPr>
              <w:t xml:space="preserve">Transportation equipment, chemicals (US$3.7 billion), machinery.</w:t>
            </w:r>
          </w:p>
        </w:tc>
      </w:tr>
      <w:tr>
        <w:trPr>
          <w:cantSplit/>
        </w:trPr>
        <w:tc>
          <w:tcPr>
            <w:tcW w:w="1600" w:type="dxa"/>
            <w:tcMar>
              <w:top w:w="40" w:type="dxa"/>
              <w:left w:w="100" w:type="dxa"/>
              <w:bottom w:w="40" w:type="dxa"/>
              <w:right w:w="100" w:type="dxa"/>
            </w:tcMar>
          </w:tcPr>
          <w:p>
            <w:pPr>
              <w:spacing w:before="10" w:after="10" w:line="240" w:lineRule="auto"/>
              <w:jc w:val="left"/>
            </w:pPr>
            <w:r>
              <w:rPr>
                <w:color w:val="55707F"/>
                <w:sz w:val="19"/>
              </w:rPr>
              <w:t xml:space="preserve">Florida</w:t>
            </w:r>
          </w:p>
        </w:tc>
        <w:tc>
          <w:tcPr>
            <w:tcW w:w="2100" w:type="dxa"/>
            <w:tcMar>
              <w:top w:w="40" w:type="dxa"/>
              <w:left w:w="100" w:type="dxa"/>
              <w:bottom w:w="40" w:type="dxa"/>
              <w:right w:w="100" w:type="dxa"/>
            </w:tcMar>
          </w:tcPr>
          <w:p>
            <w:pPr>
              <w:spacing w:before="10" w:after="10" w:line="240" w:lineRule="auto"/>
              <w:jc w:val="left"/>
            </w:pPr>
            <w:r>
              <w:rPr>
                <w:color w:val="55707F"/>
                <w:sz w:val="19"/>
              </w:rPr>
              <w:t xml:space="preserve">US$5.6 billion</w:t>
            </w:r>
          </w:p>
        </w:tc>
        <w:tc>
          <w:tcPr>
            <w:tcW w:w="2650" w:type="dxa"/>
            <w:tcMar>
              <w:top w:w="40" w:type="dxa"/>
              <w:left w:w="100" w:type="dxa"/>
              <w:bottom w:w="40" w:type="dxa"/>
              <w:right w:w="100" w:type="dxa"/>
            </w:tcMar>
          </w:tcPr>
          <w:p>
            <w:pPr>
              <w:spacing w:before="10" w:after="10" w:line="240" w:lineRule="auto"/>
              <w:jc w:val="left"/>
            </w:pPr>
            <w:r>
              <w:rPr>
                <w:color w:val="55707F"/>
                <w:sz w:val="19"/>
              </w:rPr>
              <w:t xml:space="preserve">Second market</w:t>
            </w:r>
          </w:p>
        </w:tc>
        <w:tc>
          <w:tcPr>
            <w:tcW w:w="2676" w:type="dxa"/>
            <w:tcMar>
              <w:top w:w="40" w:type="dxa"/>
              <w:left w:w="100" w:type="dxa"/>
              <w:bottom w:w="40" w:type="dxa"/>
              <w:right w:w="100" w:type="dxa"/>
            </w:tcMar>
          </w:tcPr>
          <w:p>
            <w:pPr>
              <w:spacing w:before="10" w:after="10" w:line="240" w:lineRule="auto"/>
              <w:jc w:val="left"/>
            </w:pPr>
            <w:r>
              <w:rPr>
                <w:color w:val="55707F"/>
                <w:sz w:val="19"/>
              </w:rPr>
              <w:t xml:space="preserve">Transportation equipment, electronics, food products, citrus; Mar-a-Lago effect.</w:t>
            </w:r>
          </w:p>
        </w:tc>
      </w:tr>
      <w:tr>
        <w:trPr>
          <w:cantSplit/>
        </w:trPr>
        <w:tc>
          <w:tcPr>
            <w:tcW w:w="1600" w:type="dxa"/>
            <w:tcMar>
              <w:top w:w="40" w:type="dxa"/>
              <w:left w:w="100" w:type="dxa"/>
              <w:bottom w:w="40" w:type="dxa"/>
              <w:right w:w="100" w:type="dxa"/>
            </w:tcMar>
          </w:tcPr>
          <w:p>
            <w:pPr>
              <w:spacing w:before="10" w:after="10" w:line="240" w:lineRule="auto"/>
              <w:jc w:val="left"/>
            </w:pPr>
            <w:r>
              <w:rPr>
                <w:color w:val="55707F"/>
                <w:sz w:val="19"/>
              </w:rPr>
              <w:t xml:space="preserve">Iowa</w:t>
            </w:r>
          </w:p>
        </w:tc>
        <w:tc>
          <w:tcPr>
            <w:tcW w:w="2100" w:type="dxa"/>
            <w:tcMar>
              <w:top w:w="40" w:type="dxa"/>
              <w:left w:w="100" w:type="dxa"/>
              <w:bottom w:w="40" w:type="dxa"/>
              <w:right w:w="100" w:type="dxa"/>
            </w:tcMar>
          </w:tcPr>
          <w:p>
            <w:pPr>
              <w:spacing w:before="10" w:after="10" w:line="240" w:lineRule="auto"/>
              <w:jc w:val="left"/>
            </w:pPr>
            <w:r>
              <w:rPr>
                <w:color w:val="55707F"/>
                <w:sz w:val="19"/>
              </w:rPr>
              <w:t xml:space="preserve">US$5.0 billion</w:t>
            </w:r>
          </w:p>
        </w:tc>
        <w:tc>
          <w:tcPr>
            <w:tcW w:w="2650" w:type="dxa"/>
            <w:tcMar>
              <w:top w:w="40" w:type="dxa"/>
              <w:left w:w="100" w:type="dxa"/>
              <w:bottom w:w="40" w:type="dxa"/>
              <w:right w:w="100" w:type="dxa"/>
            </w:tcMar>
          </w:tcPr>
          <w:p>
            <w:pPr>
              <w:spacing w:before="10" w:after="10" w:line="240" w:lineRule="auto"/>
              <w:jc w:val="left"/>
            </w:pPr>
            <w:r>
              <w:rPr>
                <w:color w:val="55707F"/>
                <w:sz w:val="19"/>
              </w:rPr>
              <w:t xml:space="preserve">~30%, top market</w:t>
            </w:r>
          </w:p>
        </w:tc>
        <w:tc>
          <w:tcPr>
            <w:tcW w:w="2676" w:type="dxa"/>
            <w:tcMar>
              <w:top w:w="40" w:type="dxa"/>
              <w:left w:w="100" w:type="dxa"/>
              <w:bottom w:w="40" w:type="dxa"/>
              <w:right w:w="100" w:type="dxa"/>
            </w:tcMar>
          </w:tcPr>
          <w:p>
            <w:pPr>
              <w:spacing w:before="10" w:after="10" w:line="240" w:lineRule="auto"/>
              <w:jc w:val="left"/>
            </w:pPr>
            <w:r>
              <w:rPr>
                <w:color w:val="55707F"/>
                <w:sz w:val="19"/>
              </w:rPr>
              <w:t xml:space="preserve">Agricultural products, chemicals, farm machinery; Senate race exposure.</w:t>
            </w:r>
          </w:p>
        </w:tc>
      </w:tr>
      <w:tr>
        <w:trPr>
          <w:cantSplit/>
        </w:trPr>
        <w:tc>
          <w:tcPr>
            <w:tcW w:w="1600" w:type="dxa"/>
            <w:tcMar>
              <w:top w:w="40" w:type="dxa"/>
              <w:left w:w="100" w:type="dxa"/>
              <w:bottom w:w="40" w:type="dxa"/>
              <w:right w:w="100" w:type="dxa"/>
            </w:tcMar>
          </w:tcPr>
          <w:p>
            <w:pPr>
              <w:spacing w:before="10" w:after="10" w:line="240" w:lineRule="auto"/>
              <w:jc w:val="left"/>
            </w:pPr>
            <w:r>
              <w:rPr>
                <w:color w:val="55707F"/>
                <w:sz w:val="19"/>
              </w:rPr>
              <w:t xml:space="preserve">Alabama</w:t>
            </w:r>
          </w:p>
        </w:tc>
        <w:tc>
          <w:tcPr>
            <w:tcW w:w="2100" w:type="dxa"/>
            <w:tcMar>
              <w:top w:w="40" w:type="dxa"/>
              <w:left w:w="100" w:type="dxa"/>
              <w:bottom w:w="40" w:type="dxa"/>
              <w:right w:w="100" w:type="dxa"/>
            </w:tcMar>
          </w:tcPr>
          <w:p>
            <w:pPr>
              <w:spacing w:before="10" w:after="10" w:line="240" w:lineRule="auto"/>
              <w:jc w:val="left"/>
            </w:pPr>
            <w:r>
              <w:rPr>
                <w:color w:val="55707F"/>
                <w:sz w:val="19"/>
              </w:rPr>
              <w:t xml:space="preserve">US$4.3 billion</w:t>
            </w:r>
          </w:p>
        </w:tc>
        <w:tc>
          <w:tcPr>
            <w:tcW w:w="2650" w:type="dxa"/>
            <w:tcMar>
              <w:top w:w="40" w:type="dxa"/>
              <w:left w:w="100" w:type="dxa"/>
              <w:bottom w:w="40" w:type="dxa"/>
              <w:right w:w="100" w:type="dxa"/>
            </w:tcMar>
          </w:tcPr>
          <w:p>
            <w:pPr>
              <w:spacing w:before="10" w:after="10" w:line="240" w:lineRule="auto"/>
              <w:jc w:val="left"/>
            </w:pPr>
            <w:r>
              <w:rPr>
                <w:color w:val="55707F"/>
                <w:sz w:val="19"/>
              </w:rPr>
              <w:t xml:space="preserve">~19%, top market</w:t>
            </w:r>
          </w:p>
        </w:tc>
        <w:tc>
          <w:tcPr>
            <w:tcW w:w="2676" w:type="dxa"/>
            <w:tcMar>
              <w:top w:w="40" w:type="dxa"/>
              <w:left w:w="100" w:type="dxa"/>
              <w:bottom w:w="40" w:type="dxa"/>
              <w:right w:w="100" w:type="dxa"/>
            </w:tcMar>
          </w:tcPr>
          <w:p>
            <w:pPr>
              <w:spacing w:before="10" w:after="10" w:line="240" w:lineRule="auto"/>
              <w:jc w:val="left"/>
            </w:pPr>
            <w:r>
              <w:rPr>
                <w:color w:val="55707F"/>
                <w:sz w:val="19"/>
              </w:rPr>
              <w:t xml:space="preserve">Transportation equipment, metals, paper (US$987 million).</w:t>
            </w:r>
          </w:p>
        </w:tc>
      </w:tr>
      <w:tr>
        <w:trPr>
          <w:cantSplit/>
        </w:trPr>
        <w:tc>
          <w:tcPr>
            <w:tcW w:w="1600" w:type="dxa"/>
            <w:tcMar>
              <w:top w:w="40" w:type="dxa"/>
              <w:left w:w="100" w:type="dxa"/>
              <w:bottom w:w="40" w:type="dxa"/>
              <w:right w:w="100" w:type="dxa"/>
            </w:tcMar>
          </w:tcPr>
          <w:p>
            <w:pPr>
              <w:spacing w:before="10" w:after="10" w:line="240" w:lineRule="auto"/>
              <w:jc w:val="left"/>
            </w:pPr>
            <w:r>
              <w:rPr>
                <w:color w:val="55707F"/>
                <w:sz w:val="19"/>
              </w:rPr>
              <w:t xml:space="preserve">Arkansas</w:t>
            </w:r>
          </w:p>
        </w:tc>
        <w:tc>
          <w:tcPr>
            <w:tcW w:w="2100" w:type="dxa"/>
            <w:tcMar>
              <w:top w:w="40" w:type="dxa"/>
              <w:left w:w="100" w:type="dxa"/>
              <w:bottom w:w="40" w:type="dxa"/>
              <w:right w:w="100" w:type="dxa"/>
            </w:tcMar>
          </w:tcPr>
          <w:p>
            <w:pPr>
              <w:spacing w:before="10" w:after="10" w:line="240" w:lineRule="auto"/>
              <w:jc w:val="left"/>
            </w:pPr>
            <w:r>
              <w:rPr>
                <w:color w:val="55707F"/>
                <w:sz w:val="19"/>
              </w:rPr>
              <w:t xml:space="preserve">US$1.3 billion</w:t>
            </w:r>
          </w:p>
        </w:tc>
        <w:tc>
          <w:tcPr>
            <w:tcW w:w="2650" w:type="dxa"/>
            <w:tcMar>
              <w:top w:w="40" w:type="dxa"/>
              <w:left w:w="100" w:type="dxa"/>
              <w:bottom w:w="40" w:type="dxa"/>
              <w:right w:w="100" w:type="dxa"/>
            </w:tcMar>
          </w:tcPr>
          <w:p>
            <w:pPr>
              <w:spacing w:before="10" w:after="10" w:line="240" w:lineRule="auto"/>
              <w:jc w:val="left"/>
            </w:pPr>
            <w:r>
              <w:rPr>
                <w:color w:val="55707F"/>
                <w:sz w:val="19"/>
              </w:rPr>
              <w:t xml:space="preserve">~19%, second market</w:t>
            </w:r>
          </w:p>
        </w:tc>
        <w:tc>
          <w:tcPr>
            <w:tcW w:w="2676" w:type="dxa"/>
            <w:tcMar>
              <w:top w:w="40" w:type="dxa"/>
              <w:left w:w="100" w:type="dxa"/>
              <w:bottom w:w="40" w:type="dxa"/>
              <w:right w:w="100" w:type="dxa"/>
            </w:tcMar>
          </w:tcPr>
          <w:p>
            <w:pPr>
              <w:spacing w:before="10" w:after="10" w:line="240" w:lineRule="auto"/>
              <w:jc w:val="left"/>
            </w:pPr>
            <w:r>
              <w:rPr>
                <w:color w:val="55707F"/>
                <w:sz w:val="19"/>
              </w:rPr>
              <w:t xml:space="preserve">Rice, poultry, transportation equipment.</w:t>
            </w:r>
          </w:p>
        </w:tc>
      </w:tr>
      <w:tr>
        <w:trPr>
          <w:cantSplit/>
        </w:trPr>
        <w:tc>
          <w:tcPr>
            <w:tcW w:w="1600" w:type="dxa"/>
            <w:tcMar>
              <w:top w:w="40" w:type="dxa"/>
              <w:left w:w="100" w:type="dxa"/>
              <w:bottom w:w="40" w:type="dxa"/>
              <w:right w:w="100" w:type="dxa"/>
            </w:tcMar>
          </w:tcPr>
          <w:p>
            <w:pPr>
              <w:spacing w:before="10" w:after="10" w:line="240" w:lineRule="auto"/>
              <w:jc w:val="left"/>
            </w:pPr>
            <w:r>
              <w:rPr>
                <w:color w:val="55707F"/>
                <w:sz w:val="19"/>
              </w:rPr>
              <w:t xml:space="preserve">Montana</w:t>
            </w:r>
          </w:p>
        </w:tc>
        <w:tc>
          <w:tcPr>
            <w:tcW w:w="2100" w:type="dxa"/>
            <w:tcMar>
              <w:top w:w="40" w:type="dxa"/>
              <w:left w:w="100" w:type="dxa"/>
              <w:bottom w:w="40" w:type="dxa"/>
              <w:right w:w="100" w:type="dxa"/>
            </w:tcMar>
          </w:tcPr>
          <w:p>
            <w:pPr>
              <w:spacing w:before="10" w:after="10" w:line="240" w:lineRule="auto"/>
              <w:jc w:val="left"/>
            </w:pPr>
            <w:r>
              <w:rPr>
                <w:color w:val="55707F"/>
                <w:sz w:val="19"/>
              </w:rPr>
              <w:t xml:space="preserve">US$1.0 billion</w:t>
            </w:r>
          </w:p>
        </w:tc>
        <w:tc>
          <w:tcPr>
            <w:tcW w:w="2650" w:type="dxa"/>
            <w:tcMar>
              <w:top w:w="40" w:type="dxa"/>
              <w:left w:w="100" w:type="dxa"/>
              <w:bottom w:w="40" w:type="dxa"/>
              <w:right w:w="100" w:type="dxa"/>
            </w:tcMar>
          </w:tcPr>
          <w:p>
            <w:pPr>
              <w:spacing w:before="10" w:after="10" w:line="240" w:lineRule="auto"/>
              <w:jc w:val="left"/>
            </w:pPr>
            <w:r>
              <w:rPr>
                <w:color w:val="55707F"/>
                <w:sz w:val="19"/>
              </w:rPr>
              <w:t xml:space="preserve">~50%, top market</w:t>
            </w:r>
          </w:p>
        </w:tc>
        <w:tc>
          <w:tcPr>
            <w:tcW w:w="2676" w:type="dxa"/>
            <w:tcMar>
              <w:top w:w="40" w:type="dxa"/>
              <w:left w:w="100" w:type="dxa"/>
              <w:bottom w:w="40" w:type="dxa"/>
              <w:right w:w="100" w:type="dxa"/>
            </w:tcMar>
          </w:tcPr>
          <w:p>
            <w:pPr>
              <w:spacing w:before="10" w:after="10" w:line="240" w:lineRule="auto"/>
              <w:jc w:val="left"/>
            </w:pPr>
            <w:r>
              <w:rPr>
                <w:color w:val="55707F"/>
                <w:sz w:val="19"/>
              </w:rPr>
              <w:t xml:space="preserve">Chemicals, machinery, petroleum and coal products.</w:t>
            </w:r>
          </w:p>
        </w:tc>
      </w:tr>
      <w:tr>
        <w:trPr>
          <w:cantSplit/>
        </w:trPr>
        <w:tc>
          <w:tcPr>
            <w:tcW w:w="1600" w:type="dxa"/>
            <w:tcMar>
              <w:top w:w="40" w:type="dxa"/>
              <w:left w:w="100" w:type="dxa"/>
              <w:bottom w:w="40" w:type="dxa"/>
              <w:right w:w="100" w:type="dxa"/>
            </w:tcMar>
          </w:tcPr>
          <w:p>
            <w:pPr>
              <w:spacing w:before="10" w:after="10" w:line="240" w:lineRule="auto"/>
              <w:jc w:val="left"/>
            </w:pPr>
            <w:r>
              <w:rPr>
                <w:color w:val="55707F"/>
                <w:sz w:val="19"/>
              </w:rPr>
              <w:t xml:space="preserve">North Dakota</w:t>
            </w:r>
          </w:p>
        </w:tc>
        <w:tc>
          <w:tcPr>
            <w:tcW w:w="2100" w:type="dxa"/>
            <w:tcMar>
              <w:top w:w="40" w:type="dxa"/>
              <w:left w:w="100" w:type="dxa"/>
              <w:bottom w:w="40" w:type="dxa"/>
              <w:right w:w="100" w:type="dxa"/>
            </w:tcMar>
          </w:tcPr>
          <w:p>
            <w:pPr>
              <w:spacing w:before="10" w:after="10" w:line="240" w:lineRule="auto"/>
              <w:jc w:val="left"/>
            </w:pPr>
            <w:r>
              <w:rPr>
                <w:color w:val="55707F"/>
                <w:sz w:val="19"/>
              </w:rPr>
              <w:t xml:space="preserve">~US$4.4 billion</w:t>
            </w:r>
          </w:p>
        </w:tc>
        <w:tc>
          <w:tcPr>
            <w:tcW w:w="2650" w:type="dxa"/>
            <w:tcMar>
              <w:top w:w="40" w:type="dxa"/>
              <w:left w:w="100" w:type="dxa"/>
              <w:bottom w:w="40" w:type="dxa"/>
              <w:right w:w="100" w:type="dxa"/>
            </w:tcMar>
          </w:tcPr>
          <w:p>
            <w:pPr>
              <w:spacing w:before="10" w:after="10" w:line="240" w:lineRule="auto"/>
              <w:jc w:val="left"/>
            </w:pPr>
            <w:r>
              <w:rPr>
                <w:color w:val="55707F"/>
                <w:sz w:val="19"/>
              </w:rPr>
              <w:t xml:space="preserve">82% to 85%, top market</w:t>
            </w:r>
          </w:p>
        </w:tc>
        <w:tc>
          <w:tcPr>
            <w:tcW w:w="2676" w:type="dxa"/>
            <w:tcMar>
              <w:top w:w="40" w:type="dxa"/>
              <w:left w:w="100" w:type="dxa"/>
              <w:bottom w:w="40" w:type="dxa"/>
              <w:right w:w="100" w:type="dxa"/>
            </w:tcMar>
          </w:tcPr>
          <w:p>
            <w:pPr>
              <w:spacing w:before="10" w:after="10" w:line="240" w:lineRule="auto"/>
              <w:jc w:val="left"/>
            </w:pPr>
            <w:r>
              <w:rPr>
                <w:color w:val="55707F"/>
                <w:sz w:val="19"/>
              </w:rPr>
              <w:t xml:space="preserve">Wheat, oil, and farm machinery; most Canada-dependent state economy.</w:t>
            </w:r>
          </w:p>
        </w:tc>
      </w:tr>
      <w:tr>
        <w:trPr>
          <w:cantSplit/>
        </w:trPr>
        <w:tc>
          <w:tcPr>
            <w:tcW w:w="1600" w:type="dxa"/>
            <w:tcMar>
              <w:top w:w="40" w:type="dxa"/>
              <w:left w:w="100" w:type="dxa"/>
              <w:bottom w:w="40" w:type="dxa"/>
              <w:right w:w="100" w:type="dxa"/>
            </w:tcMar>
          </w:tcPr>
          <w:p>
            <w:pPr>
              <w:spacing w:before="10" w:after="10" w:line="240" w:lineRule="auto"/>
              <w:jc w:val="left"/>
            </w:pPr>
            <w:r>
              <w:rPr>
                <w:color w:val="55707F"/>
                <w:sz w:val="19"/>
              </w:rPr>
              <w:t xml:space="preserve">Michigan</w:t>
            </w:r>
          </w:p>
        </w:tc>
        <w:tc>
          <w:tcPr>
            <w:tcW w:w="2100" w:type="dxa"/>
            <w:tcMar>
              <w:top w:w="40" w:type="dxa"/>
              <w:left w:w="100" w:type="dxa"/>
              <w:bottom w:w="40" w:type="dxa"/>
              <w:right w:w="100" w:type="dxa"/>
            </w:tcMar>
          </w:tcPr>
          <w:p>
            <w:pPr>
              <w:spacing w:before="10" w:after="10" w:line="240" w:lineRule="auto"/>
              <w:jc w:val="left"/>
            </w:pPr>
            <w:r>
              <w:rPr>
                <w:color w:val="55707F"/>
                <w:sz w:val="19"/>
              </w:rPr>
              <w:t xml:space="preserve">Large autos cluster</w:t>
            </w:r>
          </w:p>
        </w:tc>
        <w:tc>
          <w:tcPr>
            <w:tcW w:w="2650" w:type="dxa"/>
            <w:tcMar>
              <w:top w:w="40" w:type="dxa"/>
              <w:left w:w="100" w:type="dxa"/>
              <w:bottom w:w="40" w:type="dxa"/>
              <w:right w:w="100" w:type="dxa"/>
            </w:tcMar>
          </w:tcPr>
          <w:p>
            <w:pPr>
              <w:spacing w:before="10" w:after="10" w:line="240" w:lineRule="auto"/>
              <w:jc w:val="left"/>
            </w:pPr>
            <w:r>
              <w:rPr>
                <w:color w:val="55707F"/>
                <w:sz w:val="19"/>
              </w:rPr>
              <w:t xml:space="preserve">Top market</w:t>
            </w:r>
          </w:p>
        </w:tc>
        <w:tc>
          <w:tcPr>
            <w:tcW w:w="2676" w:type="dxa"/>
            <w:tcMar>
              <w:top w:w="40" w:type="dxa"/>
              <w:left w:w="100" w:type="dxa"/>
              <w:bottom w:w="40" w:type="dxa"/>
              <w:right w:w="100" w:type="dxa"/>
            </w:tcMar>
          </w:tcPr>
          <w:p>
            <w:pPr>
              <w:spacing w:before="10" w:after="10" w:line="240" w:lineRule="auto"/>
              <w:jc w:val="left"/>
            </w:pPr>
            <w:r>
              <w:rPr>
                <w:color w:val="55707F"/>
                <w:sz w:val="19"/>
              </w:rPr>
              <w:t xml:space="preserve">Autos and parts crossing the Detroit-Windsor corridor daily.</w:t>
            </w:r>
          </w:p>
        </w:tc>
      </w:tr>
      <w:tr>
        <w:trPr>
          <w:cantSplit/>
        </w:trPr>
        <w:tc>
          <w:tcPr>
            <w:tcW w:w="1600" w:type="dxa"/>
            <w:tcMar>
              <w:top w:w="40" w:type="dxa"/>
              <w:left w:w="100" w:type="dxa"/>
              <w:bottom w:w="40" w:type="dxa"/>
              <w:right w:w="100" w:type="dxa"/>
            </w:tcMar>
          </w:tcPr>
          <w:p>
            <w:pPr>
              <w:spacing w:before="10" w:after="10" w:line="240" w:lineRule="auto"/>
              <w:jc w:val="left"/>
            </w:pPr>
            <w:r>
              <w:rPr>
                <w:color w:val="55707F"/>
                <w:sz w:val="19"/>
              </w:rPr>
              <w:t xml:space="preserve">Ohio</w:t>
            </w:r>
          </w:p>
        </w:tc>
        <w:tc>
          <w:tcPr>
            <w:tcW w:w="2100" w:type="dxa"/>
            <w:tcMar>
              <w:top w:w="40" w:type="dxa"/>
              <w:left w:w="100" w:type="dxa"/>
              <w:bottom w:w="40" w:type="dxa"/>
              <w:right w:w="100" w:type="dxa"/>
            </w:tcMar>
          </w:tcPr>
          <w:p>
            <w:pPr>
              <w:spacing w:before="10" w:after="10" w:line="240" w:lineRule="auto"/>
              <w:jc w:val="left"/>
            </w:pPr>
            <w:r>
              <w:rPr>
                <w:color w:val="55707F"/>
                <w:sz w:val="19"/>
              </w:rPr>
              <w:t xml:space="preserve">US$21.8 billion (2023)</w:t>
            </w:r>
          </w:p>
        </w:tc>
        <w:tc>
          <w:tcPr>
            <w:tcW w:w="2650" w:type="dxa"/>
            <w:tcMar>
              <w:top w:w="40" w:type="dxa"/>
              <w:left w:w="100" w:type="dxa"/>
              <w:bottom w:w="40" w:type="dxa"/>
              <w:right w:w="100" w:type="dxa"/>
            </w:tcMar>
          </w:tcPr>
          <w:p>
            <w:pPr>
              <w:spacing w:before="10" w:after="10" w:line="240" w:lineRule="auto"/>
              <w:jc w:val="left"/>
            </w:pPr>
            <w:r>
              <w:rPr>
                <w:color w:val="55707F"/>
                <w:sz w:val="19"/>
              </w:rPr>
              <w:t xml:space="preserve">Top market</w:t>
            </w:r>
          </w:p>
        </w:tc>
        <w:tc>
          <w:tcPr>
            <w:tcW w:w="2676" w:type="dxa"/>
            <w:tcMar>
              <w:top w:w="40" w:type="dxa"/>
              <w:left w:w="100" w:type="dxa"/>
              <w:bottom w:w="40" w:type="dxa"/>
              <w:right w:w="100" w:type="dxa"/>
            </w:tcMar>
          </w:tcPr>
          <w:p>
            <w:pPr>
              <w:spacing w:before="10" w:after="10" w:line="240" w:lineRule="auto"/>
              <w:jc w:val="left"/>
            </w:pPr>
            <w:r>
              <w:rPr>
                <w:color w:val="55707F"/>
                <w:sz w:val="19"/>
              </w:rPr>
              <w:t xml:space="preserve">Metals and auto parts into Ontario and Quebec plants.</w:t>
            </w:r>
          </w:p>
        </w:tc>
      </w:tr>
      <w:tr>
        <w:trPr>
          <w:cantSplit/>
        </w:trPr>
        <w:tc>
          <w:tcPr>
            <w:tcW w:w="1600" w:type="dxa"/>
            <w:tcMar>
              <w:top w:w="40" w:type="dxa"/>
              <w:left w:w="100" w:type="dxa"/>
              <w:bottom w:w="40" w:type="dxa"/>
              <w:right w:w="100" w:type="dxa"/>
            </w:tcMar>
          </w:tcPr>
          <w:p>
            <w:pPr>
              <w:spacing w:before="10" w:after="10" w:line="240" w:lineRule="auto"/>
              <w:jc w:val="left"/>
            </w:pPr>
            <w:r>
              <w:rPr>
                <w:color w:val="55707F"/>
                <w:sz w:val="19"/>
              </w:rPr>
              <w:t xml:space="preserve">Kentucky</w:t>
            </w:r>
          </w:p>
        </w:tc>
        <w:tc>
          <w:tcPr>
            <w:tcW w:w="2100" w:type="dxa"/>
            <w:tcMar>
              <w:top w:w="40" w:type="dxa"/>
              <w:left w:w="100" w:type="dxa"/>
              <w:bottom w:w="40" w:type="dxa"/>
              <w:right w:w="100" w:type="dxa"/>
            </w:tcMar>
          </w:tcPr>
          <w:p>
            <w:pPr>
              <w:spacing w:before="10" w:after="10" w:line="240" w:lineRule="auto"/>
              <w:jc w:val="left"/>
            </w:pPr>
            <w:r>
              <w:rPr>
                <w:color w:val="55707F"/>
                <w:sz w:val="19"/>
              </w:rPr>
              <w:t xml:space="preserve">US$4.5 billion plus</w:t>
            </w:r>
          </w:p>
        </w:tc>
        <w:tc>
          <w:tcPr>
            <w:tcW w:w="2650" w:type="dxa"/>
            <w:tcMar>
              <w:top w:w="40" w:type="dxa"/>
              <w:left w:w="100" w:type="dxa"/>
              <w:bottom w:w="40" w:type="dxa"/>
              <w:right w:w="100" w:type="dxa"/>
            </w:tcMar>
          </w:tcPr>
          <w:p>
            <w:pPr>
              <w:spacing w:before="10" w:after="10" w:line="240" w:lineRule="auto"/>
              <w:jc w:val="left"/>
            </w:pPr>
            <w:r>
              <w:rPr>
                <w:color w:val="55707F"/>
                <w:sz w:val="19"/>
              </w:rPr>
              <w:t xml:space="preserve">Top market; exports 16.3% of GDP</w:t>
            </w:r>
          </w:p>
        </w:tc>
        <w:tc>
          <w:tcPr>
            <w:tcW w:w="2676" w:type="dxa"/>
            <w:tcMar>
              <w:top w:w="40" w:type="dxa"/>
              <w:left w:w="100" w:type="dxa"/>
              <w:bottom w:w="40" w:type="dxa"/>
              <w:right w:w="100" w:type="dxa"/>
            </w:tcMar>
          </w:tcPr>
          <w:p>
            <w:pPr>
              <w:spacing w:before="10" w:after="10" w:line="240" w:lineRule="auto"/>
              <w:jc w:val="left"/>
            </w:pPr>
            <w:r>
              <w:rPr>
                <w:color w:val="55707F"/>
                <w:sz w:val="19"/>
              </w:rPr>
              <w:t xml:space="preserve">Bourbon, Toyota assembly, GE Appliances in Louisville, aerospace.</w:t>
            </w:r>
          </w:p>
        </w:tc>
      </w:tr>
      <w:tr>
        <w:trPr>
          <w:cantSplit/>
        </w:trPr>
        <w:tc>
          <w:tcPr>
            <w:tcW w:w="1600" w:type="dxa"/>
            <w:tcMar>
              <w:top w:w="40" w:type="dxa"/>
              <w:left w:w="100" w:type="dxa"/>
              <w:bottom w:w="40" w:type="dxa"/>
              <w:right w:w="100" w:type="dxa"/>
            </w:tcMar>
          </w:tcPr>
          <w:p>
            <w:pPr>
              <w:spacing w:before="10" w:after="10" w:line="240" w:lineRule="auto"/>
              <w:jc w:val="left"/>
            </w:pPr>
            <w:r>
              <w:rPr>
                <w:color w:val="55707F"/>
                <w:sz w:val="19"/>
              </w:rPr>
              <w:t xml:space="preserve">Indiana</w:t>
            </w:r>
          </w:p>
        </w:tc>
        <w:tc>
          <w:tcPr>
            <w:tcW w:w="2100" w:type="dxa"/>
            <w:tcMar>
              <w:top w:w="40" w:type="dxa"/>
              <w:left w:w="100" w:type="dxa"/>
              <w:bottom w:w="40" w:type="dxa"/>
              <w:right w:w="100" w:type="dxa"/>
            </w:tcMar>
          </w:tcPr>
          <w:p>
            <w:pPr>
              <w:spacing w:before="10" w:after="10" w:line="240" w:lineRule="auto"/>
              <w:jc w:val="left"/>
            </w:pPr>
            <w:r>
              <w:rPr>
                <w:color w:val="55707F"/>
                <w:sz w:val="19"/>
              </w:rPr>
              <w:t xml:space="preserve">Autos and RV cluster</w:t>
            </w:r>
          </w:p>
        </w:tc>
        <w:tc>
          <w:tcPr>
            <w:tcW w:w="2650" w:type="dxa"/>
            <w:tcMar>
              <w:top w:w="40" w:type="dxa"/>
              <w:left w:w="100" w:type="dxa"/>
              <w:bottom w:w="40" w:type="dxa"/>
              <w:right w:w="100" w:type="dxa"/>
            </w:tcMar>
          </w:tcPr>
          <w:p>
            <w:pPr>
              <w:spacing w:before="10" w:after="10" w:line="240" w:lineRule="auto"/>
              <w:jc w:val="left"/>
            </w:pPr>
            <w:r>
              <w:rPr>
                <w:color w:val="55707F"/>
                <w:sz w:val="19"/>
              </w:rPr>
              <w:t xml:space="preserve">Top market</w:t>
            </w:r>
          </w:p>
        </w:tc>
        <w:tc>
          <w:tcPr>
            <w:tcW w:w="2676" w:type="dxa"/>
            <w:tcMar>
              <w:top w:w="40" w:type="dxa"/>
              <w:left w:w="100" w:type="dxa"/>
              <w:bottom w:w="40" w:type="dxa"/>
              <w:right w:w="100" w:type="dxa"/>
            </w:tcMar>
          </w:tcPr>
          <w:p>
            <w:pPr>
              <w:spacing w:before="10" w:after="10" w:line="240" w:lineRule="auto"/>
              <w:jc w:val="left"/>
            </w:pPr>
            <w:r>
              <w:rPr>
                <w:color w:val="55707F"/>
                <w:sz w:val="19"/>
              </w:rPr>
              <w:t xml:space="preserve">Elkhart County builds roughly 80% of American recreational vehicles.</w:t>
            </w:r>
          </w:p>
        </w:tc>
      </w:tr>
      <w:tr>
        <w:trPr>
          <w:cantSplit/>
        </w:trPr>
        <w:tc>
          <w:tcPr>
            <w:tcW w:w="1600" w:type="dxa"/>
            <w:tcMar>
              <w:top w:w="40" w:type="dxa"/>
              <w:left w:w="100" w:type="dxa"/>
              <w:bottom w:w="40" w:type="dxa"/>
              <w:right w:w="100" w:type="dxa"/>
            </w:tcMar>
          </w:tcPr>
          <w:p>
            <w:pPr>
              <w:spacing w:before="10" w:after="10" w:line="240" w:lineRule="auto"/>
              <w:jc w:val="left"/>
            </w:pPr>
            <w:r>
              <w:rPr>
                <w:color w:val="55707F"/>
                <w:sz w:val="19"/>
              </w:rPr>
              <w:t xml:space="preserve">Tennessee</w:t>
            </w:r>
          </w:p>
        </w:tc>
        <w:tc>
          <w:tcPr>
            <w:tcW w:w="2100" w:type="dxa"/>
            <w:tcMar>
              <w:top w:w="40" w:type="dxa"/>
              <w:left w:w="100" w:type="dxa"/>
              <w:bottom w:w="40" w:type="dxa"/>
              <w:right w:w="100" w:type="dxa"/>
            </w:tcMar>
          </w:tcPr>
          <w:p>
            <w:pPr>
              <w:spacing w:before="10" w:after="10" w:line="240" w:lineRule="auto"/>
              <w:jc w:val="left"/>
            </w:pPr>
            <w:r>
              <w:rPr>
                <w:color w:val="55707F"/>
                <w:sz w:val="19"/>
              </w:rPr>
              <w:t xml:space="preserve">Autos and whiskey cluster</w:t>
            </w:r>
          </w:p>
        </w:tc>
        <w:tc>
          <w:tcPr>
            <w:tcW w:w="2650" w:type="dxa"/>
            <w:tcMar>
              <w:top w:w="40" w:type="dxa"/>
              <w:left w:w="100" w:type="dxa"/>
              <w:bottom w:w="40" w:type="dxa"/>
              <w:right w:w="100" w:type="dxa"/>
            </w:tcMar>
          </w:tcPr>
          <w:p>
            <w:pPr>
              <w:spacing w:before="10" w:after="10" w:line="240" w:lineRule="auto"/>
              <w:jc w:val="left"/>
            </w:pPr>
            <w:r>
              <w:rPr>
                <w:color w:val="55707F"/>
                <w:sz w:val="19"/>
              </w:rPr>
              <w:t xml:space="preserve">Top market</w:t>
            </w:r>
          </w:p>
        </w:tc>
        <w:tc>
          <w:tcPr>
            <w:tcW w:w="2676" w:type="dxa"/>
            <w:tcMar>
              <w:top w:w="40" w:type="dxa"/>
              <w:left w:w="100" w:type="dxa"/>
              <w:bottom w:w="40" w:type="dxa"/>
              <w:right w:w="100" w:type="dxa"/>
            </w:tcMar>
          </w:tcPr>
          <w:p>
            <w:pPr>
              <w:spacing w:before="10" w:after="10" w:line="240" w:lineRule="auto"/>
              <w:jc w:val="left"/>
            </w:pPr>
            <w:r>
              <w:rPr>
                <w:color w:val="55707F"/>
                <w:sz w:val="19"/>
              </w:rPr>
              <w:t xml:space="preserve">Auto assembly, Tennessee whiskey, appliances.</w:t>
            </w:r>
          </w:p>
        </w:tc>
      </w:tr>
      <w:tr>
        <w:trPr>
          <w:cantSplit/>
        </w:trPr>
        <w:tc>
          <w:tcPr>
            <w:tcW w:w="1600" w:type="dxa"/>
            <w:tcMar>
              <w:top w:w="40" w:type="dxa"/>
              <w:left w:w="100" w:type="dxa"/>
              <w:bottom w:w="40" w:type="dxa"/>
              <w:right w:w="100" w:type="dxa"/>
            </w:tcMar>
          </w:tcPr>
          <w:p>
            <w:pPr>
              <w:spacing w:before="10" w:after="10" w:line="240" w:lineRule="auto"/>
              <w:jc w:val="left"/>
            </w:pPr>
            <w:r>
              <w:rPr>
                <w:color w:val="55707F"/>
                <w:sz w:val="19"/>
              </w:rPr>
              <w:t xml:space="preserve">Georgia</w:t>
            </w:r>
          </w:p>
        </w:tc>
        <w:tc>
          <w:tcPr>
            <w:tcW w:w="2100" w:type="dxa"/>
            <w:tcMar>
              <w:top w:w="40" w:type="dxa"/>
              <w:left w:w="100" w:type="dxa"/>
              <w:bottom w:w="40" w:type="dxa"/>
              <w:right w:w="100" w:type="dxa"/>
            </w:tcMar>
          </w:tcPr>
          <w:p>
            <w:pPr>
              <w:spacing w:before="10" w:after="10" w:line="240" w:lineRule="auto"/>
              <w:jc w:val="left"/>
            </w:pPr>
            <w:r>
              <w:rPr>
                <w:color w:val="55707F"/>
                <w:sz w:val="19"/>
              </w:rPr>
              <w:t xml:space="preserve">Poultry, peanuts, carpets</w:t>
            </w:r>
          </w:p>
        </w:tc>
        <w:tc>
          <w:tcPr>
            <w:tcW w:w="2650" w:type="dxa"/>
            <w:tcMar>
              <w:top w:w="40" w:type="dxa"/>
              <w:left w:w="100" w:type="dxa"/>
              <w:bottom w:w="40" w:type="dxa"/>
              <w:right w:w="100" w:type="dxa"/>
            </w:tcMar>
          </w:tcPr>
          <w:p>
            <w:pPr>
              <w:spacing w:before="10" w:after="10" w:line="240" w:lineRule="auto"/>
              <w:jc w:val="left"/>
            </w:pPr>
            <w:r>
              <w:rPr>
                <w:color w:val="55707F"/>
                <w:sz w:val="19"/>
              </w:rPr>
              <w:t xml:space="preserve">High sectoral exposure</w:t>
            </w:r>
          </w:p>
        </w:tc>
        <w:tc>
          <w:tcPr>
            <w:tcW w:w="2676" w:type="dxa"/>
            <w:tcMar>
              <w:top w:w="40" w:type="dxa"/>
              <w:left w:w="100" w:type="dxa"/>
              <w:bottom w:w="40" w:type="dxa"/>
              <w:right w:w="100" w:type="dxa"/>
            </w:tcMar>
          </w:tcPr>
          <w:p>
            <w:pPr>
              <w:spacing w:before="10" w:after="10" w:line="240" w:lineRule="auto"/>
              <w:jc w:val="left"/>
            </w:pPr>
            <w:r>
              <w:rPr>
                <w:color w:val="55707F"/>
                <w:sz w:val="19"/>
              </w:rPr>
              <w:t xml:space="preserve">Broilers, peanuts, Dalton carpet mills, Georgia-Pacific paper.</w:t>
            </w:r>
          </w:p>
        </w:tc>
      </w:tr>
    </w:tbl>
    <w:p>
      <w:pPr>
        <w:pStyle w:val="Caption"/>
      </w:pPr>
      <w:r>
        <w:t xml:space="preserve">Table 4: State-level export exposure to Canada (state trade offices, U.S. Census, press reporting)</w:t>
      </w:r>
    </w:p>
    <w:p>
      <w:pPr>
        <w:pStyle w:val="Heading2"/>
      </w:pPr>
      <w:r>
        <w:t xml:space="preserve">Services Trade and the U.S. Surplus</w:t>
      </w:r>
    </w:p>
    <w:p>
      <w:r>
        <w:t xml:space="preserve">Services complete the map. In 2025 the United States exported US$92.3 billion in services to Canada and imported US$64.5 billion, a surplus of US$27.7 billion led by business services (US$26.6 billion), travel, and telecommunications and information services. Washington's own tariff narrative fixates on the goods deficit and ignores this surplus. Tier E of the arsenal closes that gap deliberately: digital, procurement, and professional services measures convert the one ledger where America profits into a source of negotiating pain.</w:t>
      </w:r>
    </w:p>
    <w:p>
      <w:pPr>
        <w:pStyle w:val="Heading1"/>
      </w:pPr>
      <w:r>
        <w:t xml:space="preserve">Part IV: Natural Resource Endowments</w:t>
      </w:r>
    </w:p>
    <w:p>
      <w:r>
        <w:t xml:space="preserve">Natural resources define the ceiling of Canada's leverage. This part inventories both endowments and isolates the dependencies where substitution takes years rather than weeks.</w:t>
      </w:r>
    </w:p>
    <w:p>
      <w:pPr>
        <w:pStyle w:val="Heading2"/>
      </w:pPr>
      <w:r>
        <w:t xml:space="preserve">The Canadian Endowment</w:t>
      </w:r>
    </w:p>
    <w:p>
      <w:r>
        <w:t xml:space="preserve">Canada holds an estimated US$33 trillion in natural resource wealth. The energy base includes the world's third-largest proven oil reserves (overwhelmingly Alberta oil sands), major natural gas reserves, and hydroelectric capacity that exports power to New York, New England, Minnesota, and Michigan. The minerals base ranks Canada first globally in potash production, second in uranium and niobium, third in diamonds and palladium, fourth in primary aluminum, and fifth in gold and cobalt, with top-five positions across fourteen minerals and metals in total. Canada produces about 60 minerals and metals at nearly 200 mines, with mineral production valued at C$64.3 billion in 2024 and mineral exports around C$153 billion. Canada also holds roughly one-fifth of the world's fresh water, 347 million hectares of forest (sawn wood exports of US$6 billion and total wood exports of US$12 billion in 2025), the world's longest coastline supporting Atlantic and Pacific fisheries, and prairie agriculture that exports wheat (US$8.1 billion in 2025), canola, and pulses at global scale. Canada's official critical minerals list covers 31 minerals, including lithium, graphite, rare earths, cobalt, nickel, and uranium.</w:t>
      </w:r>
    </w:p>
    <w:tbl>
      <w:tblPr>
        <w:tblW w:w="5000" w:type="pct"/>
        <w:tblBorders>
          <w:top w:val="single" w:color="2F4858" w:sz="12"/>
          <w:left w:val="nil"/>
          <w:bottom w:val="single" w:color="2F4858" w:sz="12"/>
          <w:right w:val="nil"/>
          <w:insideH w:val="single" w:color="CBD8DE" w:sz="4"/>
          <w:insideV w:val="nil"/>
        </w:tblBorders>
      </w:tblPr>
      <w:tblGrid>
        <w:gridCol w:w="2400"/>
        <w:gridCol w:w="2200"/>
        <w:gridCol w:w="44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Resource</w:t>
            </w:r>
          </w:p>
        </w:tc>
        <w:tc>
          <w:tcPr>
            <w:tcW w:w="22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Canada's position</w:t>
            </w:r>
          </w:p>
        </w:tc>
        <w:tc>
          <w:tcPr>
            <w:tcW w:w="44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U.S. dependence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Crude oil</w:t>
            </w:r>
          </w:p>
        </w:tc>
        <w:tc>
          <w:tcPr>
            <w:tcW w:w="2200" w:type="dxa"/>
            <w:tcMar>
              <w:top w:w="40" w:type="dxa"/>
              <w:left w:w="100" w:type="dxa"/>
              <w:bottom w:w="40" w:type="dxa"/>
              <w:right w:w="100" w:type="dxa"/>
            </w:tcMar>
          </w:tcPr>
          <w:p>
            <w:pPr>
              <w:spacing w:before="10" w:after="10" w:line="240" w:lineRule="auto"/>
              <w:jc w:val="left"/>
            </w:pPr>
            <w:r>
              <w:rPr>
                <w:color w:val="55707F"/>
                <w:sz w:val="19"/>
              </w:rPr>
              <w:t xml:space="preserve">Third-largest reserves; ~4 million bpd to U.S.</w:t>
            </w:r>
          </w:p>
        </w:tc>
        <w:tc>
          <w:tcPr>
            <w:tcW w:w="4426" w:type="dxa"/>
            <w:tcMar>
              <w:top w:w="40" w:type="dxa"/>
              <w:left w:w="100" w:type="dxa"/>
              <w:bottom w:w="40" w:type="dxa"/>
              <w:right w:w="100" w:type="dxa"/>
            </w:tcMar>
          </w:tcPr>
          <w:p>
            <w:pPr>
              <w:spacing w:before="10" w:after="10" w:line="240" w:lineRule="auto"/>
              <w:jc w:val="left"/>
            </w:pPr>
            <w:r>
              <w:rPr>
                <w:color w:val="55707F"/>
                <w:sz w:val="19"/>
              </w:rPr>
              <w:t xml:space="preserve">Largest foreign supplier; Midwest refineries configured for Canadian heavy crude.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Natural gas</w:t>
            </w:r>
          </w:p>
        </w:tc>
        <w:tc>
          <w:tcPr>
            <w:tcW w:w="2200" w:type="dxa"/>
            <w:tcMar>
              <w:top w:w="40" w:type="dxa"/>
              <w:left w:w="100" w:type="dxa"/>
              <w:bottom w:w="40" w:type="dxa"/>
              <w:right w:w="100" w:type="dxa"/>
            </w:tcMar>
          </w:tcPr>
          <w:p>
            <w:pPr>
              <w:spacing w:before="10" w:after="10" w:line="240" w:lineRule="auto"/>
              <w:jc w:val="left"/>
            </w:pPr>
            <w:r>
              <w:rPr>
                <w:color w:val="55707F"/>
                <w:sz w:val="19"/>
              </w:rPr>
              <w:t xml:space="preserve">Major exporter via pipeline</w:t>
            </w:r>
          </w:p>
        </w:tc>
        <w:tc>
          <w:tcPr>
            <w:tcW w:w="4426" w:type="dxa"/>
            <w:tcMar>
              <w:top w:w="40" w:type="dxa"/>
              <w:left w:w="100" w:type="dxa"/>
              <w:bottom w:w="40" w:type="dxa"/>
              <w:right w:w="100" w:type="dxa"/>
            </w:tcMar>
          </w:tcPr>
          <w:p>
            <w:pPr>
              <w:spacing w:before="10" w:after="10" w:line="240" w:lineRule="auto"/>
              <w:jc w:val="left"/>
            </w:pPr>
            <w:r>
              <w:rPr>
                <w:color w:val="55707F"/>
                <w:sz w:val="19"/>
              </w:rPr>
              <w:t xml:space="preserve">Feeds Pacific Northwest, Midwest, and Northeast heating and power.</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Potash</w:t>
            </w:r>
          </w:p>
        </w:tc>
        <w:tc>
          <w:tcPr>
            <w:tcW w:w="2200" w:type="dxa"/>
            <w:tcMar>
              <w:top w:w="40" w:type="dxa"/>
              <w:left w:w="100" w:type="dxa"/>
              <w:bottom w:w="40" w:type="dxa"/>
              <w:right w:w="100" w:type="dxa"/>
            </w:tcMar>
          </w:tcPr>
          <w:p>
            <w:pPr>
              <w:spacing w:before="10" w:after="10" w:line="240" w:lineRule="auto"/>
              <w:jc w:val="left"/>
            </w:pPr>
            <w:r>
              <w:rPr>
                <w:color w:val="55707F"/>
                <w:sz w:val="19"/>
              </w:rPr>
              <w:t xml:space="preserve">World's largest producer</w:t>
            </w:r>
          </w:p>
        </w:tc>
        <w:tc>
          <w:tcPr>
            <w:tcW w:w="4426" w:type="dxa"/>
            <w:tcMar>
              <w:top w:w="40" w:type="dxa"/>
              <w:left w:w="100" w:type="dxa"/>
              <w:bottom w:w="40" w:type="dxa"/>
              <w:right w:w="100" w:type="dxa"/>
            </w:tcMar>
          </w:tcPr>
          <w:p>
            <w:pPr>
              <w:spacing w:before="10" w:after="10" w:line="240" w:lineRule="auto"/>
              <w:jc w:val="left"/>
            </w:pPr>
            <w:r>
              <w:rPr>
                <w:color w:val="55707F"/>
                <w:sz w:val="19"/>
              </w:rPr>
              <w:t xml:space="preserve">Supplies the overwhelming majority of U.S. fertilizer imports; no near-term substitute.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Uranium</w:t>
            </w:r>
          </w:p>
        </w:tc>
        <w:tc>
          <w:tcPr>
            <w:tcW w:w="2200" w:type="dxa"/>
            <w:tcMar>
              <w:top w:w="40" w:type="dxa"/>
              <w:left w:w="100" w:type="dxa"/>
              <w:bottom w:w="40" w:type="dxa"/>
              <w:right w:w="100" w:type="dxa"/>
            </w:tcMar>
          </w:tcPr>
          <w:p>
            <w:pPr>
              <w:spacing w:before="10" w:after="10" w:line="240" w:lineRule="auto"/>
              <w:jc w:val="left"/>
            </w:pPr>
            <w:r>
              <w:rPr>
                <w:color w:val="55707F"/>
                <w:sz w:val="19"/>
              </w:rPr>
              <w:t xml:space="preserve">World's second-largest producer</w:t>
            </w:r>
          </w:p>
        </w:tc>
        <w:tc>
          <w:tcPr>
            <w:tcW w:w="4426" w:type="dxa"/>
            <w:tcMar>
              <w:top w:w="40" w:type="dxa"/>
              <w:left w:w="100" w:type="dxa"/>
              <w:bottom w:w="40" w:type="dxa"/>
              <w:right w:w="100" w:type="dxa"/>
            </w:tcMar>
          </w:tcPr>
          <w:p>
            <w:pPr>
              <w:spacing w:before="10" w:after="10" w:line="240" w:lineRule="auto"/>
              <w:jc w:val="left"/>
            </w:pPr>
            <w:r>
              <w:rPr>
                <w:color w:val="55707F"/>
                <w:sz w:val="19"/>
              </w:rPr>
              <w:t xml:space="preserve">32% of fuel delivered to U.S. reactors in 2025; nuclear generates ~19% of U.S. power.</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Electricity</w:t>
            </w:r>
          </w:p>
        </w:tc>
        <w:tc>
          <w:tcPr>
            <w:tcW w:w="2200" w:type="dxa"/>
            <w:tcMar>
              <w:top w:w="40" w:type="dxa"/>
              <w:left w:w="100" w:type="dxa"/>
              <w:bottom w:w="40" w:type="dxa"/>
              <w:right w:w="100" w:type="dxa"/>
            </w:tcMar>
          </w:tcPr>
          <w:p>
            <w:pPr>
              <w:spacing w:before="10" w:after="10" w:line="240" w:lineRule="auto"/>
              <w:jc w:val="left"/>
            </w:pPr>
            <w:r>
              <w:rPr>
                <w:color w:val="55707F"/>
                <w:sz w:val="19"/>
              </w:rPr>
              <w:t xml:space="preserve">Major hydro exporter</w:t>
            </w:r>
          </w:p>
        </w:tc>
        <w:tc>
          <w:tcPr>
            <w:tcW w:w="4426" w:type="dxa"/>
            <w:tcMar>
              <w:top w:w="40" w:type="dxa"/>
              <w:left w:w="100" w:type="dxa"/>
              <w:bottom w:w="40" w:type="dxa"/>
              <w:right w:w="100" w:type="dxa"/>
            </w:tcMar>
          </w:tcPr>
          <w:p>
            <w:pPr>
              <w:spacing w:before="10" w:after="10" w:line="240" w:lineRule="auto"/>
              <w:jc w:val="left"/>
            </w:pPr>
            <w:r>
              <w:rPr>
                <w:color w:val="55707F"/>
                <w:sz w:val="19"/>
              </w:rPr>
              <w:t xml:space="preserve">Millions of customers in New York, New England, Minnesota, Michigan; Ontario surcharge precedent in March 2025.</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Aluminum</w:t>
            </w:r>
          </w:p>
        </w:tc>
        <w:tc>
          <w:tcPr>
            <w:tcW w:w="2200" w:type="dxa"/>
            <w:tcMar>
              <w:top w:w="40" w:type="dxa"/>
              <w:left w:w="100" w:type="dxa"/>
              <w:bottom w:w="40" w:type="dxa"/>
              <w:right w:w="100" w:type="dxa"/>
            </w:tcMar>
          </w:tcPr>
          <w:p>
            <w:pPr>
              <w:spacing w:before="10" w:after="10" w:line="240" w:lineRule="auto"/>
              <w:jc w:val="left"/>
            </w:pPr>
            <w:r>
              <w:rPr>
                <w:color w:val="55707F"/>
                <w:sz w:val="19"/>
              </w:rPr>
              <w:t xml:space="preserve">Fourth-largest primary producer</w:t>
            </w:r>
          </w:p>
        </w:tc>
        <w:tc>
          <w:tcPr>
            <w:tcW w:w="4426" w:type="dxa"/>
            <w:tcMar>
              <w:top w:w="40" w:type="dxa"/>
              <w:left w:w="100" w:type="dxa"/>
              <w:bottom w:w="40" w:type="dxa"/>
              <w:right w:w="100" w:type="dxa"/>
            </w:tcMar>
          </w:tcPr>
          <w:p>
            <w:pPr>
              <w:spacing w:before="10" w:after="10" w:line="240" w:lineRule="auto"/>
              <w:jc w:val="left"/>
            </w:pPr>
            <w:r>
              <w:rPr>
                <w:color w:val="55707F"/>
                <w:sz w:val="19"/>
              </w:rPr>
              <w:t xml:space="preserve">Quebec smelters anchor U.S. auto, beverage packaging, and construction supply.</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Nickel and cobalt</w:t>
            </w:r>
          </w:p>
        </w:tc>
        <w:tc>
          <w:tcPr>
            <w:tcW w:w="2200" w:type="dxa"/>
            <w:tcMar>
              <w:top w:w="40" w:type="dxa"/>
              <w:left w:w="100" w:type="dxa"/>
              <w:bottom w:w="40" w:type="dxa"/>
              <w:right w:w="100" w:type="dxa"/>
            </w:tcMar>
          </w:tcPr>
          <w:p>
            <w:pPr>
              <w:spacing w:before="10" w:after="10" w:line="240" w:lineRule="auto"/>
              <w:jc w:val="left"/>
            </w:pPr>
            <w:r>
              <w:rPr>
                <w:color w:val="55707F"/>
                <w:sz w:val="19"/>
              </w:rPr>
              <w:t xml:space="preserve">Top-five producer</w:t>
            </w:r>
          </w:p>
        </w:tc>
        <w:tc>
          <w:tcPr>
            <w:tcW w:w="4426" w:type="dxa"/>
            <w:tcMar>
              <w:top w:w="40" w:type="dxa"/>
              <w:left w:w="100" w:type="dxa"/>
              <w:bottom w:w="40" w:type="dxa"/>
              <w:right w:w="100" w:type="dxa"/>
            </w:tcMar>
          </w:tcPr>
          <w:p>
            <w:pPr>
              <w:spacing w:before="10" w:after="10" w:line="240" w:lineRule="auto"/>
              <w:jc w:val="left"/>
            </w:pPr>
            <w:r>
              <w:rPr>
                <w:color w:val="55707F"/>
                <w:sz w:val="19"/>
              </w:rPr>
              <w:t xml:space="preserve">Feeds U.S. battery and aerospace plants in Tennessee, Georgia, Kentucky, Michigan.</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Softwood lumber</w:t>
            </w:r>
          </w:p>
        </w:tc>
        <w:tc>
          <w:tcPr>
            <w:tcW w:w="2200" w:type="dxa"/>
            <w:tcMar>
              <w:top w:w="40" w:type="dxa"/>
              <w:left w:w="100" w:type="dxa"/>
              <w:bottom w:w="40" w:type="dxa"/>
              <w:right w:w="100" w:type="dxa"/>
            </w:tcMar>
          </w:tcPr>
          <w:p>
            <w:pPr>
              <w:spacing w:before="10" w:after="10" w:line="240" w:lineRule="auto"/>
              <w:jc w:val="left"/>
            </w:pPr>
            <w:r>
              <w:rPr>
                <w:color w:val="55707F"/>
                <w:sz w:val="19"/>
              </w:rPr>
              <w:t xml:space="preserve">Global export leader</w:t>
            </w:r>
          </w:p>
        </w:tc>
        <w:tc>
          <w:tcPr>
            <w:tcW w:w="4426" w:type="dxa"/>
            <w:tcMar>
              <w:top w:w="40" w:type="dxa"/>
              <w:left w:w="100" w:type="dxa"/>
              <w:bottom w:w="40" w:type="dxa"/>
              <w:right w:w="100" w:type="dxa"/>
            </w:tcMar>
          </w:tcPr>
          <w:p>
            <w:pPr>
              <w:spacing w:before="10" w:after="10" w:line="240" w:lineRule="auto"/>
              <w:jc w:val="left"/>
            </w:pPr>
            <w:r>
              <w:rPr>
                <w:color w:val="55707F"/>
                <w:sz w:val="19"/>
              </w:rPr>
              <w:t xml:space="preserve">Frames the American housing boom in Texas, Florida, Georgia, Arizona.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Critical minerals (31 listed)</w:t>
            </w:r>
          </w:p>
        </w:tc>
        <w:tc>
          <w:tcPr>
            <w:tcW w:w="2200" w:type="dxa"/>
            <w:tcMar>
              <w:top w:w="40" w:type="dxa"/>
              <w:left w:w="100" w:type="dxa"/>
              <w:bottom w:w="40" w:type="dxa"/>
              <w:right w:w="100" w:type="dxa"/>
            </w:tcMar>
          </w:tcPr>
          <w:p>
            <w:pPr>
              <w:spacing w:before="10" w:after="10" w:line="240" w:lineRule="auto"/>
              <w:jc w:val="left"/>
            </w:pPr>
            <w:r>
              <w:rPr>
                <w:color w:val="55707F"/>
                <w:sz w:val="19"/>
              </w:rPr>
              <w:t xml:space="preserve">Lithium, graphite, rare earths, vanadium</w:t>
            </w:r>
          </w:p>
        </w:tc>
        <w:tc>
          <w:tcPr>
            <w:tcW w:w="4426" w:type="dxa"/>
            <w:tcMar>
              <w:top w:w="40" w:type="dxa"/>
              <w:left w:w="100" w:type="dxa"/>
              <w:bottom w:w="40" w:type="dxa"/>
              <w:right w:w="100" w:type="dxa"/>
            </w:tcMar>
          </w:tcPr>
          <w:p>
            <w:pPr>
              <w:spacing w:before="10" w:after="10" w:line="240" w:lineRule="auto"/>
              <w:jc w:val="left"/>
            </w:pPr>
            <w:r>
              <w:rPr>
                <w:color w:val="55707F"/>
                <w:sz w:val="19"/>
              </w:rPr>
              <w:t xml:space="preserve">U.S. 2025 critical minerals list names potash and uranium among 60 inputs it cannot secure domestically.</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Wheat and canola</w:t>
            </w:r>
          </w:p>
        </w:tc>
        <w:tc>
          <w:tcPr>
            <w:tcW w:w="2200" w:type="dxa"/>
            <w:tcMar>
              <w:top w:w="40" w:type="dxa"/>
              <w:left w:w="100" w:type="dxa"/>
              <w:bottom w:w="40" w:type="dxa"/>
              <w:right w:w="100" w:type="dxa"/>
            </w:tcMar>
          </w:tcPr>
          <w:p>
            <w:pPr>
              <w:spacing w:before="10" w:after="10" w:line="240" w:lineRule="auto"/>
              <w:jc w:val="left"/>
            </w:pPr>
            <w:r>
              <w:rPr>
                <w:color w:val="55707F"/>
                <w:sz w:val="19"/>
              </w:rPr>
              <w:t xml:space="preserve">Global top exporter</w:t>
            </w:r>
          </w:p>
        </w:tc>
        <w:tc>
          <w:tcPr>
            <w:tcW w:w="4426" w:type="dxa"/>
            <w:tcMar>
              <w:top w:w="40" w:type="dxa"/>
              <w:left w:w="100" w:type="dxa"/>
              <w:bottom w:w="40" w:type="dxa"/>
              <w:right w:w="100" w:type="dxa"/>
            </w:tcMar>
          </w:tcPr>
          <w:p>
            <w:pPr>
              <w:spacing w:before="10" w:after="10" w:line="240" w:lineRule="auto"/>
              <w:jc w:val="left"/>
            </w:pPr>
            <w:r>
              <w:rPr>
                <w:color w:val="55707F"/>
                <w:sz w:val="19"/>
              </w:rPr>
              <w:t xml:space="preserve">U.S. pasta, baking, and food processing input.</w:t>
            </w:r>
          </w:p>
        </w:tc>
      </w:tr>
    </w:tbl>
    <w:p>
      <w:pPr>
        <w:pStyle w:val="Caption"/>
      </w:pPr>
      <w:r>
        <w:t xml:space="preserve">Table 5: Canada's resource leverage points</w:t>
      </w:r>
    </w:p>
    <w:p>
      <w:pPr>
        <w:pStyle w:val="Heading2"/>
      </w:pPr>
      <w:r>
        <w:t xml:space="preserve">The American Endowment</w:t>
      </w:r>
    </w:p>
    <w:p>
      <w:r>
        <w:t xml:space="preserve">The United States holds an estimated US$45 trillion in natural resource wealth, the world's largest proven coal reserves, and leading positions in oil, natural gas, copper, gold, phosphates, and timber. Yet abundance coexists with specific import dependencies that map onto Canadian supply. The U.S. Geological Survey's final 2025 List of Critical Minerals adds potash and uranium to the roster of materials whose supply disruption would impose the highest cost on the American economy, and the United States imports the bulk of both from Canada. American refineries along the northern tier physically process Canadian heavy crude and cannot switch slates without years of retooling. American nuclear operators hold fuel inventories measured in months, not decades. American farm states buy Canadian potash every spring. These dependencies concentrate in exactly the states whose senators decide the fate of the administration's agenda.</w:t>
      </w:r>
    </w:p>
    <w:p>
      <w:pPr>
        <w:pStyle w:val="Heading2"/>
      </w:pPr>
      <w:r>
        <w:t xml:space="preserve">Asymmetric Dependencies</w:t>
      </w:r>
    </w:p>
    <w:p>
      <w:r>
        <w:t xml:space="preserve">The strategic asymmetry runs deeper than gross trade shares. The United States buys 72% of Canada's exports, which exposes Canada broadly; but the composition of Canadian exports to the United States concentrates in inputs that American industry treats as non-negotiable: refinery feedstock, reactor fuel, fertilizer, electricity, smelter metal, and framing lumber. Washington's own Section 338 exemption list (energy, potash, critical minerals, fish) reads as a public inventory of American vulnerability. The converse does not hold: almost every American export to Canada, from appliances to apparel, faces ready substitutes from Europe, Mexico, and Asia. Canada builds its tariff strategy on this asymmetry. Import tariffs impose political pain at low economic cost to Canada; conditional export charges on resources convert geological fortune into bargaining power at the moment of maximum American need.</w:t>
      </w:r>
    </w:p>
    <w:p>
      <w:pPr>
        <w:pStyle w:val="Heading1"/>
      </w:pPr>
      <w:r>
        <w:t xml:space="preserve">Part V: Strategy Framework</w:t>
      </w:r>
    </w:p>
    <w:p>
      <w:pPr>
        <w:pStyle w:val="Heading2"/>
      </w:pPr>
      <w:r>
        <w:t xml:space="preserve">Strategic Objectives</w:t>
      </w:r>
    </w:p>
    <w:p>
      <w:r>
        <w:t xml:space="preserve">The tariff package pursues four objectives in strict order. First, impose measurable economic and political costs on the coalition that sustains the American tariff program, quickly enough to shape the November 2026 midterm environment. Second, protect and expand the Canadian industrial base while the conflict runs, using tariff revenue and the C$5.4 billion to C$7.5 billion support architecture already announced. Third, preserve and document Canada's legal position under CUSMA for the 2026 joint review cycle and any eventual litigation. Fourth, convert leverage into a durable settlement: removal of Section 232 and Section 338 measures, abandonment of the January 2027 automotive threat, and a clean sixteen-year CUSMA extension. Every measure in Part VI serves at least one of these objectives, and none proceeds without a defined off-ramp.</w:t>
      </w:r>
    </w:p>
    <w:p>
      <w:pPr>
        <w:pStyle w:val="Heading2"/>
      </w:pPr>
      <w:r>
        <w:t xml:space="preserve">Targeting Doctrine</w:t>
      </w:r>
    </w:p>
    <w:p>
      <w:r>
        <w:t xml:space="preserve">Canada's 2018 and 2025 retaliation rounds validated a simple doctrine: aim at products whose production geography overlaps the political geography of American power. The 2025 first round hit Florida orange juice, Ohio and South Carolina appliances, Pennsylvania motorcycles and coffee, and Kentucky bourbon precisely because each product carries a face, a district, and a senator. The doctrine now extends to eight dimensions:</w:t>
      </w:r>
    </w:p>
    <w:p>
      <w:pPr>
        <w:numPr>
          <w:ilvl w:val="0"/>
          <w:numId w:val="1"/>
        </w:numPr>
        <w:spacing w:after="80" w:line="270" w:lineRule="auto"/>
      </w:pPr>
      <w:r>
        <w:t xml:space="preserve">Political salience: prioritize states the administration counts as its base, including the eight states in the Ford letter (Alabama, Arkansas, Florida, Iowa, Missouri, Montana, Texas, Wisconsin) plus Kentucky, Tennessee, Indiana, Georgia, and North Dakota.</w:t>
      </w:r>
    </w:p>
    <w:p>
      <w:pPr>
        <w:numPr>
          <w:ilvl w:val="0"/>
          <w:numId w:val="1"/>
        </w:numPr>
        <w:spacing w:after="80" w:line="270" w:lineRule="auto"/>
      </w:pPr>
      <w:r>
        <w:t xml:space="preserve">Iconic identity: choose products voters associate with state pride, such as bourbon, Tennessee whiskey, Harley-Davidson motorcycles, Elkhart recreational vehicles, and Georgia peanuts, because symbolism multiplies media coverage per dollar of trade.</w:t>
      </w:r>
    </w:p>
    <w:p>
      <w:pPr>
        <w:numPr>
          <w:ilvl w:val="0"/>
          <w:numId w:val="1"/>
        </w:numPr>
        <w:spacing w:after="80" w:line="270" w:lineRule="auto"/>
      </w:pPr>
      <w:r>
        <w:t xml:space="preserve">Electoral timing: sequence agricultural and consumer measures to bite before the November 2026 midterms, and energy measures to bite before the January 2027 automotive deadline and the spring 2027 planting season.</w:t>
      </w:r>
    </w:p>
    <w:p>
      <w:pPr>
        <w:numPr>
          <w:ilvl w:val="0"/>
          <w:numId w:val="1"/>
        </w:numPr>
        <w:spacing w:after="80" w:line="270" w:lineRule="auto"/>
      </w:pPr>
      <w:r>
        <w:t xml:space="preserve">Substitutability for Canada: select products where Canadian consumers and industry switch easily to domestic, European, Mexican, or Asian supply, keeping self-inflicted inflation minimal.</w:t>
      </w:r>
    </w:p>
    <w:p>
      <w:pPr>
        <w:numPr>
          <w:ilvl w:val="0"/>
          <w:numId w:val="1"/>
        </w:numPr>
        <w:spacing w:after="80" w:line="270" w:lineRule="auto"/>
      </w:pPr>
      <w:r>
        <w:t xml:space="preserve">Non-substitutability for America: pair import tariffs with conditional export charges on resources the United States cannot replace, namely crude oil, potash, uranium, electricity, aluminum, and critical minerals.</w:t>
      </w:r>
    </w:p>
    <w:p>
      <w:pPr>
        <w:numPr>
          <w:ilvl w:val="0"/>
          <w:numId w:val="1"/>
        </w:numPr>
        <w:spacing w:after="80" w:line="270" w:lineRule="auto"/>
      </w:pPr>
      <w:r>
        <w:t xml:space="preserve">Rate symmetry: match American rates product for product at 15%, 25%, or 50% to preserve the dollar-for-dollar, rate-for-rate doctrine the government has already proclaimed.</w:t>
      </w:r>
    </w:p>
    <w:p>
      <w:pPr>
        <w:numPr>
          <w:ilvl w:val="0"/>
          <w:numId w:val="1"/>
        </w:numPr>
        <w:spacing w:after="80" w:line="270" w:lineRule="auto"/>
      </w:pPr>
      <w:r>
        <w:t xml:space="preserve">Reversibility: attach a published sunset trigger to every measure so that each American step back activates a matching Canadian step back.</w:t>
      </w:r>
    </w:p>
    <w:p>
      <w:pPr>
        <w:numPr>
          <w:ilvl w:val="0"/>
          <w:numId w:val="1"/>
        </w:numPr>
        <w:spacing w:after="80" w:line="270" w:lineRule="auto"/>
      </w:pPr>
      <w:r>
        <w:t xml:space="preserve">Legality: publish the CUSMA and statutory basis of every measure on the day of announcement, keeping the legal record clean for Chapter 31 and the joint review.</w:t>
      </w:r>
    </w:p>
    <w:p>
      <w:pPr>
        <w:pStyle w:val="Heading2"/>
      </w:pPr>
      <w:r>
        <w:t xml:space="preserve">Rate Design</w:t>
      </w:r>
    </w:p>
    <w:p>
      <w:r>
        <w:t xml:space="preserve">Rate selection follows three rules. Rule one: mirror the aggressor. Where the United States applies 50%, Canada applies 50%; where it applies 25%, Canada applies 25%. Symmetry communicates resolve, simplifies the public message, and anchors any future WTO or CUSMA proportionality analysis. Rule two: price the pinch point. Where American exporters face thin margins and ready competition in the Canadian market, as with bourbon, appliances, recreational vehicles, and pleasure boats, a 50% rate excludes the product entirely and maximizes visibility. Where Canada genuinely needs the import, as with pharmaceuticals and medical devices, a 10% to 15% rate signals without harming Canadian patients. Rule three: escalate in steps. Every tier carries an announced rate today and a published higher rate that activates on a defined American trigger, so Washington prices its own next move in advance.</w:t>
      </w:r>
    </w:p>
    <w:p>
      <w:pPr>
        <w:pStyle w:val="Heading2"/>
      </w:pPr>
      <w:r>
        <w:t xml:space="preserve">Sequencing and Escalation Logic</w:t>
      </w:r>
    </w:p>
    <w:p>
      <w:r>
        <w:t xml:space="preserve">The conflict already supplies the rhythm. The September 8 package is Phase Zero. Phase One adds Tier A and Tier B consumer and agricultural pressure in early October, thirty days before the midterms. Phase Two adds Tier C industrial inputs in December, tightening pressure through the winter budget and supply-chain planning season. Phase Three activates Tier D resource export charges the moment the United States implements any portion of the threatened January 1, 2027 automotive and steel tariffs. Phase Four adds Tier E services, digital, and procurement measures if Washington still refuses a comprehensive settlement, and places a conditional Article 34.6 withdrawal notice on the table as the terminal instrument of the CUSMA endgame. Each phase begins with a published trigger and ends with a published off-ramp; Ottawa never escalates silently and never retreats silently.</w:t>
      </w:r>
    </w:p>
    <w:p>
      <w:pPr>
        <w:pStyle w:val="Heading2"/>
      </w:pPr>
      <w:r>
        <w:t xml:space="preserve">Effectiveness Scoring Method</w:t>
      </w:r>
    </w:p>
    <w:p>
      <w:r>
        <w:t xml:space="preserve">Each measure in Part VI carries an effectiveness rating of Very High, High, Moderate, or Guarded, built from five factors. Visibility measures the political and media salience of the target. Asymmetry measures the difficulty America faces in replacing the Canadian market or the Canadian supply at stake. Timing measures alignment with electoral, planting, heating, and production cycles. Legal durability measures the strength of the measure's footing under CUSMA exceptions and Canadian statute. Self-cost measures, in reverse, the economic pain Canada absorbs. A Very High rating demands top marks on at least three factors with manageable self-cost. The rating informs sequencing, not pride of place: a Moderate measure against an iconic product often delivers more negotiating value than a Very High measure nobody notices.</w:t>
      </w:r>
    </w:p>
    <w:p>
      <w:pPr>
        <w:pStyle w:val="Heading1"/>
      </w:pPr>
      <w:r>
        <w:t xml:space="preserve">Part VI: The Tariff Arsenal: 60 Measures</w:t>
      </w:r>
    </w:p>
    <w:p>
      <w:r>
        <w:t xml:space="preserve">This part presents 60 discrete measures in five tiers. Tiers A, B, and C impose import surtaxes on American goods entering Canada under section 53 of the Customs Tariff, following the rate-for-rate doctrine. Tier D applies conditional export charges and licensing measures on Canadian resources flowing south, the leverage tier that converts geology into negotiating power. Tier E closes the American services surplus through digital, procurement, and regulatory instruments. Each measure lists the instrument and rate, the states most exposed, the trade at stake, the expected impact, an effectiveness rating, and the risk to Canada. Rates and targets draw on the 2025 trade data in Part III, the state exposure map, and the precedent of Canada's 2025 retaliation lists.</w:t>
      </w:r>
    </w:p>
    <w:p>
      <w:pPr>
        <w:pStyle w:val="Heading2"/>
      </w:pPr>
      <w:r>
        <w:t xml:space="preserve">Tier A: Agriculture and Food Products (Measures 1 to 14)</w:t>
      </w:r>
    </w:p>
    <w:p>
      <w:r>
        <w:t xml:space="preserve">Agriculture delivers the fastest political feedback of any tier. Farm state senators hear from constituents within days, and grocery prices register with voters immediately. Canada runs a large two-way food trade with the United States (over US$30 billion of American agri-food sales into Canada), which supplies a dense target set.</w:t>
      </w:r>
    </w:p>
    <w:p>
      <w:pPr>
        <w:pStyle w:val="Heading3"/>
      </w:pPr>
      <w:r>
        <w:t xml:space="preserve">Measure 1: Bourbon and Tennessee Whiskey</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50% surtax on straight bourbon, Tennessee whiskey, and other American whiskies, layered on top of provincial liquor board delistings.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Kentucky, Tennessee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Roughly C$300 million in annual spirits sales into Canada; Canada ranks among the top export markets for American whiskey.</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Removes the signature product of two deep-red states from Canadian shelves and bars; reactivates the most media-visible measure of the 2018 and 2025 rounds; pressures senators who championed the tariff program.</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Very 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Minimal. Canadian and imported alternatives fill shelf space; hospitality adapts within weeks.</w:t>
            </w:r>
          </w:p>
        </w:tc>
      </w:tr>
    </w:tbl>
    <w:p>
      <w:pPr>
        <w:spacing w:after="60"/>
      </w:pPr>
    </w:p>
    <w:p>
      <w:pPr>
        <w:pStyle w:val="Heading3"/>
      </w:pPr>
      <w:r>
        <w:t xml:space="preserve">Measure 2: Florida Orange Juice and Citrus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50% surtax on orange juice, grapefruit juice, and fresh citrus.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Florida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About C$512 million in orange juice and fruit appeared on the 2025 Canadian list; Florida supplies the bulk of American juice exports to Canada.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Strikes the president's adopted home state and its marquee agricultural identity; juice prices signal the conflict at every Canadian breakfast table.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Very 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Low. Brazil and Mexico supply juice at scale; Canadian grocers shift sourcing quickly.</w:t>
            </w:r>
          </w:p>
        </w:tc>
      </w:tr>
    </w:tbl>
    <w:p>
      <w:pPr>
        <w:spacing w:after="60"/>
      </w:pPr>
    </w:p>
    <w:p>
      <w:pPr>
        <w:pStyle w:val="Heading3"/>
      </w:pPr>
      <w:r>
        <w:t xml:space="preserve">Measure 3: Georgia Peanuts and Peanut Products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50% surtax on peanuts, peanut butter, and peanut preparations.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Georgia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Georgia grows about half of the American peanut crop; Canada absorbs a significant share of peanut product exports.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Targets an iconic Georgia commodity and the state's congressional delegation; shelf substitution favours Canadian and Argentine supply.</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Low. Alternate origins exist at modest price premiums.</w:t>
            </w:r>
          </w:p>
        </w:tc>
      </w:tr>
    </w:tbl>
    <w:p>
      <w:pPr>
        <w:spacing w:after="60"/>
      </w:pPr>
    </w:p>
    <w:p>
      <w:pPr>
        <w:pStyle w:val="Heading3"/>
      </w:pPr>
      <w:r>
        <w:t xml:space="preserve">Measure 4: Arkansas and Gulf Rice</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50% surtax on milled and rough rice.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Arkansas, Louisiana, Mississippi</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Arkansas produces nearly half of American rice; Canada is Arkansas' second-largest export market overall.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Hits the crop that defines Arkansas agriculture; lands alongside poultry measures to compound pressure on the state's farm economy.</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Low. Thailand, Vietnam, and India supply rice at competitive prices.</w:t>
            </w:r>
          </w:p>
        </w:tc>
      </w:tr>
    </w:tbl>
    <w:p>
      <w:pPr>
        <w:spacing w:after="60"/>
      </w:pPr>
    </w:p>
    <w:p>
      <w:pPr>
        <w:pStyle w:val="Heading3"/>
      </w:pPr>
      <w:r>
        <w:t xml:space="preserve">Measure 5: Pork and Pork Products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35% surtax on fresh, chilled, and frozen pork and processed pork.</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Iowa, Minnesota, North Carolina, Nebraska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Iowa alone sends about US$5 billion of goods to Canada, 30% of its exports; pork features prominently in midwestern shipments.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Pressures the hog belt in a Senate-election year in Iowa; compounds the pain U.S. pork already faces from Chinese and Mexican measures.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Canadian pork competes directly; short-run grocery inflation needs monitoring and offset through the support package.</w:t>
            </w:r>
          </w:p>
        </w:tc>
      </w:tr>
    </w:tbl>
    <w:p>
      <w:pPr>
        <w:spacing w:after="60"/>
      </w:pPr>
    </w:p>
    <w:p>
      <w:pPr>
        <w:pStyle w:val="Heading3"/>
      </w:pPr>
      <w:r>
        <w:t xml:space="preserve">Measure 6: Beef, Cattle, and Boxed Beef</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25% surtax on American beef and live cattle, with a published step-up to 50% on any further U.S. escalation.</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Nebraska, Kansas, Texas, Oklahoma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The U.S. ships billions of dollars of beef and cattle into the integrated North American market annually.</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Rattles ranch country and the packers; signals reach without fully severing a supply chain Canadian processors also use.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Integration runs both ways; the 25% entry rate deliberately leaves room to escalate.</w:t>
            </w:r>
          </w:p>
        </w:tc>
      </w:tr>
    </w:tbl>
    <w:p>
      <w:pPr>
        <w:spacing w:after="60"/>
      </w:pPr>
    </w:p>
    <w:p>
      <w:pPr>
        <w:pStyle w:val="Heading3"/>
      </w:pPr>
      <w:r>
        <w:t xml:space="preserve">Measure 7: Cheese and Dairy Within Existing Quotas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50% surtax on in-quota American cheese and dairy products, paired with strict administration of the CUSMA tariff-rate quotas.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Wisconsin, Idaho, New York</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U.S. dairy access under CUSMA equals roughly 3.6% of the Canadian market; over-quota rates already exceed 200%.</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Turns Washington's loudest grievance into a pressure point; Wisconsin is a pivotal swing state with a Senate race; demonstrates that Canada defends supply management while pricing access.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Low. Canadian processors welcome the space; quota architecture stays CUSMA-compliant in form.</w:t>
            </w:r>
          </w:p>
        </w:tc>
      </w:tr>
    </w:tbl>
    <w:p>
      <w:pPr>
        <w:spacing w:after="60"/>
      </w:pPr>
    </w:p>
    <w:p>
      <w:pPr>
        <w:pStyle w:val="Heading3"/>
      </w:pPr>
      <w:r>
        <w:t xml:space="preserve">Measure 8: Potatoes and Frozen Potato Products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35% surtax on table potatoes and frozen fries.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Idaho, Washington</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Idaho potatoes carry strong brand identity; Canada imports substantial frozen product.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Pressures another reliably Republican farm state; quick substitution toward Prince Edward Island and Manitoba product.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Low to moderate. Canadian capacity exists; food-service contracts adjust over months.</w:t>
            </w:r>
          </w:p>
        </w:tc>
      </w:tr>
    </w:tbl>
    <w:p>
      <w:pPr>
        <w:spacing w:after="60"/>
      </w:pPr>
    </w:p>
    <w:p>
      <w:pPr>
        <w:pStyle w:val="Heading3"/>
      </w:pPr>
      <w:r>
        <w:t xml:space="preserve">Measure 9: Tobacco Products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50% surtax on cigarettes, cigars, and smokeless tobacco.</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North Carolina, Kentucky, Virginia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Tobacco remains a signature North Carolina and Kentucky crop.</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Delivers political symbolism at negligible consumer cost given declining demand and high existing taxes.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Minimal. Demand already contracts; health policy aligns with the measure.</w:t>
            </w:r>
          </w:p>
        </w:tc>
      </w:tr>
    </w:tbl>
    <w:p>
      <w:pPr>
        <w:spacing w:after="60"/>
      </w:pPr>
    </w:p>
    <w:p>
      <w:pPr>
        <w:pStyle w:val="Heading3"/>
      </w:pPr>
      <w:r>
        <w:t xml:space="preserve">Measure 10: Broiler Chicken and Turkey</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50% surtax on American broiler meat and turkey, administered through the supply management quota framework.</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Georgia, Arkansas, Alabama, North Carolina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Georgia, Arkansas, and Alabama anchor American broiler production; Canada runs controlled import volumes.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Stacks pressure on the same southeastern farm economy hit by Measures 3 and 4; keeps formal consistency with supply management.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Low. Canadian chicken supply expands into the gap under quota discipline.</w:t>
            </w:r>
          </w:p>
        </w:tc>
      </w:tr>
    </w:tbl>
    <w:p>
      <w:pPr>
        <w:spacing w:after="60"/>
      </w:pPr>
    </w:p>
    <w:p>
      <w:pPr>
        <w:pStyle w:val="Heading3"/>
      </w:pPr>
      <w:r>
        <w:t xml:space="preserve">Measure 11: Corn and Fuel Ethanol</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25% surtax on American corn and fuel ethanol.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Iowa, Nebraska, South Dakota, Minnesota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The USTR lists ethanol among leading American agricultural exports to Canada; Iowa dominates production.</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Strikes the crop that organizes Iowa politics months before the midterms; raises blending costs that spotlight the conflict in energy policy.</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Canadian ethanol and gasoline blending economics absorb some cost; phased application smooths the shock.</w:t>
            </w:r>
          </w:p>
        </w:tc>
      </w:tr>
    </w:tbl>
    <w:p>
      <w:pPr>
        <w:spacing w:after="60"/>
      </w:pPr>
    </w:p>
    <w:p>
      <w:pPr>
        <w:pStyle w:val="Heading3"/>
      </w:pPr>
      <w:r>
        <w:t xml:space="preserve">Measure 12: Soybeans and Soybean Meal</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25% surtax on soybeans and soymeal.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Iowa, Illinois, Indiana, Ohio, Missouri</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The soybean belt overlaps the Senate map of 2026.</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Adds the crop most exposed to global trade wars; American growers already carry Chinese market losses, so marginal Canadian pressure bites hard.</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Canadian crushers and feed markets need transition support; South American supply exists.</w:t>
            </w:r>
          </w:p>
        </w:tc>
      </w:tr>
    </w:tbl>
    <w:p>
      <w:pPr>
        <w:spacing w:after="60"/>
      </w:pPr>
    </w:p>
    <w:p>
      <w:pPr>
        <w:pStyle w:val="Heading3"/>
      </w:pPr>
      <w:r>
        <w:t xml:space="preserve">Measure 13: Peaches, Pecans, and Stone Fruit</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35% surtax on peaches, pecans, and related stone fruit and tree nuts.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Georgia, South Carolina, Texas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Georgia and South Carolina brand themselves on peaches and pecans.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 symbolic value per dollar; reinforces the southeastern pattern of the package.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Minimal. Seasonal substitution is straightforward.</w:t>
            </w:r>
          </w:p>
        </w:tc>
      </w:tr>
    </w:tbl>
    <w:p>
      <w:pPr>
        <w:spacing w:after="60"/>
      </w:pPr>
    </w:p>
    <w:p>
      <w:pPr>
        <w:pStyle w:val="Heading3"/>
      </w:pPr>
      <w:r>
        <w:t xml:space="preserve">Measure 14: Sugar, Confectionery, and Sweeteners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35% surtax on cane sugar, confectionery, and sugar-containing products.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Louisiana, Florida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Sugar and sugar-containing products carried C$542 million on the 2025 Canadian retaliation list.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Pressures cane country and the confectionery industry; complements the food tier with a proven list item.</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Low. Global sugar supply is deep; Canadian refiners diversify quickly.</w:t>
            </w:r>
          </w:p>
        </w:tc>
      </w:tr>
    </w:tbl>
    <w:p>
      <w:pPr>
        <w:spacing w:after="60"/>
      </w:pPr>
    </w:p>
    <w:p>
      <w:pPr>
        <w:pStyle w:val="Heading2"/>
      </w:pPr>
      <w:r>
        <w:t xml:space="preserve">Tier B: Consumer and Household Goods (Measures 15 to 26)</w:t>
      </w:r>
    </w:p>
    <w:p>
      <w:r>
        <w:t xml:space="preserve">Consumer goods translate trade policy into household experience. Every measure in this tier selects products with strong state identities and easy substitution, so that the political signal arrives without sustained inflation at home.</w:t>
      </w:r>
    </w:p>
    <w:p>
      <w:pPr>
        <w:pStyle w:val="Heading3"/>
      </w:pPr>
      <w:r>
        <w:t xml:space="preserve">Measure 15: Household Appliances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50% surtax on laundry, refrigeration, and cooking appliances.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Kentucky, South Carolina, Ohio, Tennessee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Appliances and household items carried C$3.4 billion on the 2025 list; GE Appliances anchors Louisville, and Samsung and LG operate in South Carolina and Tennessee.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Hits the home district of major appliance manufacturing and the senators of Kentucky and South Carolina; big-ticket price tags make the tariff visible in every showroom.</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Very 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Korean, European, and Mexican supply exists; retailers need a sell-through window on existing stock.</w:t>
            </w:r>
          </w:p>
        </w:tc>
      </w:tr>
    </w:tbl>
    <w:p>
      <w:pPr>
        <w:spacing w:after="60"/>
      </w:pPr>
    </w:p>
    <w:p>
      <w:pPr>
        <w:pStyle w:val="Heading3"/>
      </w:pPr>
      <w:r>
        <w:t xml:space="preserve">Measure 16: Motorcycles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50% surtax on motorcycles above 500cc.</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Wisconsin, Pennsylvania, Missouri</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Harley-Davidson builds in Wisconsin, Pennsylvania, and Missouri; the 2018 and 2025 rounds both featured the brand.</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The single most symbolically loaded American consumer product; EU tariffs in 2018 drove Harley to move some production offshore, proving the lever works.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Very 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Minimal. European and Japanese brands fill demand.</w:t>
            </w:r>
          </w:p>
        </w:tc>
      </w:tr>
    </w:tbl>
    <w:p>
      <w:pPr>
        <w:spacing w:after="60"/>
      </w:pPr>
    </w:p>
    <w:p>
      <w:pPr>
        <w:pStyle w:val="Heading3"/>
      </w:pPr>
      <w:r>
        <w:t xml:space="preserve">Measure 17: Recreational Vehicles and Motorhomes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50% surtax on RVs, travel trailers, and motorhomes.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Indiana, Ohio</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Elkhart County, Indiana produces roughly 80% of American recreational vehicles; the U.S. exports large volumes into the Canadian market each year.</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Concentrates maximum pain in one Indiana county with national media resonance; a summer-season announcement multiplies the effect.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Very 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Low. Canadian dealers carry inventory buffers; European and domestic niche builders exist.</w:t>
            </w:r>
          </w:p>
        </w:tc>
      </w:tr>
    </w:tbl>
    <w:p>
      <w:pPr>
        <w:spacing w:after="60"/>
      </w:pPr>
    </w:p>
    <w:p>
      <w:pPr>
        <w:pStyle w:val="Heading3"/>
      </w:pPr>
      <w:r>
        <w:t xml:space="preserve">Measure 18: Furniture and Mattresses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35% surtax on household furniture and bedding, harmonized with the 50% rate on the September 8 list where applicable.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North Carolina, Mississippi</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Furniture carried C$1.6 billion on the 2025 list; U.S. furniture exports to Canada ran near US$4.4 billion in 2025.</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Pressures the North Carolina furniture belt; long lead times let retailers adjust without shortages.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Low. Canadian and offshore supply is deep.</w:t>
            </w:r>
          </w:p>
        </w:tc>
      </w:tr>
    </w:tbl>
    <w:p>
      <w:pPr>
        <w:spacing w:after="60"/>
      </w:pPr>
    </w:p>
    <w:p>
      <w:pPr>
        <w:pStyle w:val="Heading3"/>
      </w:pPr>
      <w:r>
        <w:t xml:space="preserve">Measure 19: Carpets and Floor Coverings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35% surtax on carpets and textile floor coverings.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Georgia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Dalton, Georgia calls itself the carpet capital of the world.</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A precise strike on one Georgia cluster; layers onto Measures 3, 10, and 13 to make Georgia the most systematically pressured state in the package.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Minimal. Alternative sourcing is routine in flooring retail.</w:t>
            </w:r>
          </w:p>
        </w:tc>
      </w:tr>
    </w:tbl>
    <w:p>
      <w:pPr>
        <w:spacing w:after="60"/>
      </w:pPr>
    </w:p>
    <w:p>
      <w:pPr>
        <w:pStyle w:val="Heading3"/>
      </w:pPr>
      <w:r>
        <w:t xml:space="preserve">Measure 20: Apparel and Footwear</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25% surtax on American-brand apparel and footwear.</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National brands with southern and border-state logistics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Clothing and apparel appear on the September 8 list at up to 50%.</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Broad consumer visibility; the matched-rate structure keeps the measure defensible.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Low. Global apparel supply chains adjust fast; watch pass-through pricing at retail.</w:t>
            </w:r>
          </w:p>
        </w:tc>
      </w:tr>
    </w:tbl>
    <w:p>
      <w:pPr>
        <w:spacing w:after="60"/>
      </w:pPr>
    </w:p>
    <w:p>
      <w:pPr>
        <w:pStyle w:val="Heading3"/>
      </w:pPr>
      <w:r>
        <w:t xml:space="preserve">Measure 21: Cosmetics and Personal Care</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25% surtax on cosmetics, fragrances, and personal care products.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National brands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Cosmetics and body care carried C$3.5 billion on the 2025 list; the new U.S. tariffs also tax Canadian makeup and perfume, justifying symmetry.</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Proven list item with strong retail visibility and easy substitution.</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Minimal. European and Korean brands compete directly.</w:t>
            </w:r>
          </w:p>
        </w:tc>
      </w:tr>
    </w:tbl>
    <w:p>
      <w:pPr>
        <w:spacing w:after="60"/>
      </w:pPr>
    </w:p>
    <w:p>
      <w:pPr>
        <w:pStyle w:val="Heading3"/>
      </w:pPr>
      <w:r>
        <w:t xml:space="preserve">Measure 22: Pleasure Boats and Marine Engines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50% surtax on recreational boats and outboard engines.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Florida, Tennessee, South Carolina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Florida and Tennessee anchor American boat building; Canada is a top export destination for U.S. boats.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Luxury-adjacent products tolerate high rates with little consumer backlash; marinas and dealers register the pain in red coastal districts.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Low. Seasonal demand and dealer inventories cushion the transition.</w:t>
            </w:r>
          </w:p>
        </w:tc>
      </w:tr>
    </w:tbl>
    <w:p>
      <w:pPr>
        <w:spacing w:after="60"/>
      </w:pPr>
    </w:p>
    <w:p>
      <w:pPr>
        <w:pStyle w:val="Heading3"/>
      </w:pPr>
      <w:r>
        <w:t xml:space="preserve">Measure 23: Firearms, Ammunition, and Accessories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50% surtax on civilian firearms, ammunition, and shooting accessories.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Missouri, Texas, Kentucky</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The United States exports meaningful volumes of firearms and ammunition into the Canadian market.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Exceptional political resonance per dollar of trade; aligns with domestic firearms policy and provokes outsized attention from the administration's base.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Minimal. Small trade value; domestic policy objectives run parallel.</w:t>
            </w:r>
          </w:p>
        </w:tc>
      </w:tr>
    </w:tbl>
    <w:p>
      <w:pPr>
        <w:spacing w:after="60"/>
      </w:pPr>
    </w:p>
    <w:p>
      <w:pPr>
        <w:pStyle w:val="Heading3"/>
      </w:pPr>
      <w:r>
        <w:t xml:space="preserve">Measure 24: Household Paper Products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25% surtax on tissue, towel, and toilet paper.</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Georgia, Wisconsin</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Georgia-Pacific anchors Georgia production; toilet paper appears on the September 8 list.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Everyday products make the conflict tangible; the 2020 supply scare gives paper products outsized symbolic weight.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Low. Canadian mills supply most demand already; cross-shop behaviour shifts quickly.</w:t>
            </w:r>
          </w:p>
        </w:tc>
      </w:tr>
    </w:tbl>
    <w:p>
      <w:pPr>
        <w:spacing w:after="60"/>
      </w:pPr>
    </w:p>
    <w:p>
      <w:pPr>
        <w:pStyle w:val="Heading3"/>
      </w:pPr>
      <w:r>
        <w:t xml:space="preserve">Measure 25: Coffee, Tea, and Packaged Beverages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25% surtax on roasted coffee, tea, and non-alcoholic packaged beverages.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Pennsylvania, Texas, national roasters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Coffee carried C$714 million on the 2025 list, targeting Pennsylvania roasting.</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A daily-use product with immediate shelf-price visibility; substitution to other origins is trivial for consumers.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Minimal. Canada imports green coffee and roasts domestically at scale.</w:t>
            </w:r>
          </w:p>
        </w:tc>
      </w:tr>
    </w:tbl>
    <w:p>
      <w:pPr>
        <w:spacing w:after="60"/>
      </w:pPr>
    </w:p>
    <w:p>
      <w:pPr>
        <w:pStyle w:val="Heading3"/>
      </w:pPr>
      <w:r>
        <w:t xml:space="preserve">Measure 26: Toys, Games, and Sporting Goods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25% surtax on American toys, games, and sporting goods.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National brands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Sporting goods and toys carry strong holiday-season visibility.</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A fourth-quarter activation date maximizes attention during holiday retail; complements the hockey-stick tariff Washington placed on Canada.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Low. Asian supply dominates the category regardless of the tariff.</w:t>
            </w:r>
          </w:p>
        </w:tc>
      </w:tr>
    </w:tbl>
    <w:p>
      <w:pPr>
        <w:spacing w:after="60"/>
      </w:pPr>
    </w:p>
    <w:p>
      <w:pPr>
        <w:pStyle w:val="Heading2"/>
      </w:pPr>
      <w:r>
        <w:t xml:space="preserve">Tier C: Industrial and Manufacturing Inputs (Measures 27 to 42)</w:t>
      </w:r>
    </w:p>
    <w:p>
      <w:r>
        <w:t xml:space="preserve">Tier C reaches into the American industrial base: machinery, equipment, components, and materials. These measures raise the cost of exporting to Canada's US$330 billion import market and squeeze manufacturers whose supply chains run through the border. Rates here balance pain against Canada's own input needs, so each entry carries a considered self-risk note.</w:t>
      </w:r>
    </w:p>
    <w:p>
      <w:pPr>
        <w:pStyle w:val="Heading3"/>
      </w:pPr>
      <w:r>
        <w:t xml:space="preserve">Measure 27: Agricultural Machinery</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50% surtax on tractors, combines, and harvesting equipment.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Iowa, Illinois, Nebraska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Machinery is the top American export category to Canada at US$51.3 billion; farm machinery features on the September 8 list, and Deere anchors production in Iowa and Illinois.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Doubles the squeeze on farm country already hit by Tier A: American farmers pay more at home for feed and fertilizer while their machinery makers lose the Canadian market. The combination concentrates pain exactly where the administration's rural base lives.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Very 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Canadian farmers face higher equipment prices; remission on orders placed before activation and support-package loans cushion the transition.</w:t>
            </w:r>
          </w:p>
        </w:tc>
      </w:tr>
    </w:tbl>
    <w:p>
      <w:pPr>
        <w:spacing w:after="60"/>
      </w:pPr>
    </w:p>
    <w:p>
      <w:pPr>
        <w:pStyle w:val="Heading3"/>
      </w:pPr>
      <w:r>
        <w:t xml:space="preserve">Measure 28: Construction and Mining Equipment</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35% surtax on excavators, loaders, and off-highway equipment.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Illinois, Texas, Wisconsin</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Caterpillar and peers ship heavily into Canadian construction and resource projects.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Raises the cost of American heavy industry participation in Canadian infrastructure; visible to the construction lobby in Washington.</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Canadian projects pay more in the short run; Japanese and European alternatives compete strongly.</w:t>
            </w:r>
          </w:p>
        </w:tc>
      </w:tr>
    </w:tbl>
    <w:p>
      <w:pPr>
        <w:spacing w:after="60"/>
      </w:pPr>
    </w:p>
    <w:p>
      <w:pPr>
        <w:pStyle w:val="Heading3"/>
      </w:pPr>
      <w:r>
        <w:t xml:space="preserve">Measure 29: Business Jets, General Aviation, and Aircraft Parts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25% surtax on business jets, general aviation aircraft, and aircraft parts, with a carve-out for large commercial transport aircraft.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Kansas, Missouri, South Carolina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The U.S. exports US$9.2 billion in aircraft and spacecraft to Canada; Wichita, St. Louis, and Charleston anchor the industry.</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Pressures the aerospace clusters of three Republican states while the carve-out protects Canadian airlines from fleet cost shocks.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BizAv buyers absorb luxury pricing; the carve-out contains the self-risk.</w:t>
            </w:r>
          </w:p>
        </w:tc>
      </w:tr>
    </w:tbl>
    <w:p>
      <w:pPr>
        <w:spacing w:after="60"/>
      </w:pPr>
    </w:p>
    <w:p>
      <w:pPr>
        <w:pStyle w:val="Heading3"/>
      </w:pPr>
      <w:r>
        <w:t xml:space="preserve">Measure 30: Semiconductors and Electronic Components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25% surtax on semiconductors and discrete electronic components of U.S. origin.</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Texas, Arizona, Idaho</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Electronics account for US$27.6 billion of American exports to Canada; Texas exports nearly US$71 billion in computer and electronic products worldwide.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Reaches into Texas, the largest state exporter; signals that even strategic U.S. sectors face consequences.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to high. Canadian manufacturers pay more for inputs; apply origin rules strictly so Asian-fabricated chips escape the surtax and cap the self-harm.</w:t>
            </w:r>
          </w:p>
        </w:tc>
      </w:tr>
    </w:tbl>
    <w:p>
      <w:pPr>
        <w:spacing w:after="60"/>
      </w:pPr>
    </w:p>
    <w:p>
      <w:pPr>
        <w:pStyle w:val="Heading3"/>
      </w:pPr>
      <w:r>
        <w:t xml:space="preserve">Measure 31: Plastics and Resins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25% surtax on plastic resins and plastic articles.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Texas, Louisiana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The U.S. sells US$14.3 billion of plastics into Canada annually from Gulf Coast petrochemical complexes.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Pressures the Gulf petrochemical corridor; packaging and manufacturing lobbies register the change within a quarter.</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Canadian resin production and Asian supply provide substitutes at a modest cost wedge.</w:t>
            </w:r>
          </w:p>
        </w:tc>
      </w:tr>
    </w:tbl>
    <w:p>
      <w:pPr>
        <w:spacing w:after="60"/>
      </w:pPr>
    </w:p>
    <w:p>
      <w:pPr>
        <w:pStyle w:val="Heading3"/>
      </w:pPr>
      <w:r>
        <w:t xml:space="preserve">Measure 32: Industrial and Petrochemicals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25% surtax on organic and miscellaneous industrial chemicals.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Texas, Louisiana, West Virginia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Miscellaneous chemicals run near US$5.6 billion of U.S. exports to Canada; West Virginia's top export category is resins and synthetics.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Extends Gulf Coast pressure and reaches West Virginia, a strongly pro-administration state.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Chemical supply chains are price-sensitive; phase the rate and offer remission where no substitute exists.</w:t>
            </w:r>
          </w:p>
        </w:tc>
      </w:tr>
    </w:tbl>
    <w:p>
      <w:pPr>
        <w:spacing w:after="60"/>
      </w:pPr>
    </w:p>
    <w:p>
      <w:pPr>
        <w:pStyle w:val="Heading3"/>
      </w:pPr>
      <w:r>
        <w:t xml:space="preserve">Measure 33: Finished Steel Products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50% surtax on U.S. mill products and derivative steel articles, maintaining the September 8 alignment.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Indiana, Ohio, Pennsylvania, Alabama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Iron and steel plus articles of iron and steel exceed US$9 billion of annual U.S. exports to Canada.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Mirrors the 50% American Section 232 rate on Canadian steel; idles U.S. mill exports into their nearest market and energizes the steel-district congressional delegations.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Very 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Canadian construction and manufacturing pay more; Ontario and Quebec mills capture share, offsetting much of the pain.</w:t>
            </w:r>
          </w:p>
        </w:tc>
      </w:tr>
    </w:tbl>
    <w:p>
      <w:pPr>
        <w:spacing w:after="60"/>
      </w:pPr>
    </w:p>
    <w:p>
      <w:pPr>
        <w:pStyle w:val="Heading3"/>
      </w:pPr>
      <w:r>
        <w:t xml:space="preserve">Measure 34: Aluminum Products of U.S. Origin</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50% surtax on American aluminum mill products.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Kentucky, Tennessee, South Carolina, Missouri</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The U.S. ships about US$3 billion of aluminum into Canada while importing US$9.7 billion from Quebec smelters.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Matches the American 50% aluminum rate and highlights the asymmetry: the U.S. needs Quebec metal far more than Canada needs American product.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Low. Canada is the structural surplus producer; domestic fabricators gain.</w:t>
            </w:r>
          </w:p>
        </w:tc>
      </w:tr>
    </w:tbl>
    <w:p>
      <w:pPr>
        <w:spacing w:after="60"/>
      </w:pPr>
    </w:p>
    <w:p>
      <w:pPr>
        <w:pStyle w:val="Heading3"/>
      </w:pPr>
      <w:r>
        <w:t xml:space="preserve">Measure 35: Tires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35% surtax on passenger and truck tires.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South Carolina, Alabama, Tennessee, Oklahoma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Tires carried C$2 billion on the 2025 retaliation list; the Southeast hosts the new American tire belt.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Renews a proven measure against southeastern plants; every Canadian driver sees the price signal at the tire shop.</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Low to moderate. Asian and European brands supply the replacement market readily.</w:t>
            </w:r>
          </w:p>
        </w:tc>
      </w:tr>
    </w:tbl>
    <w:p>
      <w:pPr>
        <w:spacing w:after="60"/>
      </w:pPr>
    </w:p>
    <w:p>
      <w:pPr>
        <w:pStyle w:val="Heading3"/>
      </w:pPr>
      <w:r>
        <w:t xml:space="preserve">Measure 36: Passenger Vehicles and Light Trucks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25% countertariff on U.S.-assembled vehicles maintained and tightened, with aggressive rules-of-origin audits that apply the full rate to any non-compliant content.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Alabama, South Carolina, Tennessee, Kentucky, Texas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Vehicles are the second-largest American export to Canada at US$46.3 billion; BMW (South Carolina), Mercedes and Hyundai (Alabama), Toyota (Kentucky, Texas), and Nissan and Volkswagen (Tennessee) ship north.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The existing countertariff already bites; strict origin audits multiply its reach and confront the southeastern auto corridor with the cost of Washington's January 2027 threat.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Very 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Canadian vehicle prices face upward pressure; timing the audits to model-year changeovers limits disruption.</w:t>
            </w:r>
          </w:p>
        </w:tc>
      </w:tr>
    </w:tbl>
    <w:p>
      <w:pPr>
        <w:spacing w:after="60"/>
      </w:pPr>
    </w:p>
    <w:p>
      <w:pPr>
        <w:pStyle w:val="Heading3"/>
      </w:pPr>
      <w:r>
        <w:t xml:space="preserve">Measure 37: Auto Parts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25% surtax on American auto parts, sequenced after origin verification to protect integrated Canadian assembly.</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Ohio, Indiana, Michigan, Tennessee, Kentucky</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Parts flow in both directions across the Detroit-Windsor corridor in enormous volume.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Pressures the parts belt that surrounds the assembly plants; signals that the January 2027 threat against Canadian parts triggers symmetric damage.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 Integration runs deep; deploy audits and targeted lines first, broad rates only in Phase Two.</w:t>
            </w:r>
          </w:p>
        </w:tc>
      </w:tr>
    </w:tbl>
    <w:p>
      <w:pPr>
        <w:spacing w:after="60"/>
      </w:pPr>
    </w:p>
    <w:p>
      <w:pPr>
        <w:pStyle w:val="Heading3"/>
      </w:pPr>
      <w:r>
        <w:t xml:space="preserve">Measure 38: Electric Motors, Generators, and Transformers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25% surtax on motors, generators, and power transformers.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Wisconsin, Ohio, Texas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Grid and industrial equipment runs through Wisconsin and Ohio factories.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Reaches the electrical equipment cluster while grid investment peaks; utilities lobby visibly.</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Canadian utilities face procurement cost increases; tender timing absorbs part of the shock.</w:t>
            </w:r>
          </w:p>
        </w:tc>
      </w:tr>
    </w:tbl>
    <w:p>
      <w:pPr>
        <w:spacing w:after="60"/>
      </w:pPr>
    </w:p>
    <w:p>
      <w:pPr>
        <w:pStyle w:val="Heading3"/>
      </w:pPr>
      <w:r>
        <w:t xml:space="preserve">Measure 39: Medical Devices and Diagnostic Instruments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15% surtax with a public remission list for shortage-risk devices.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Minnesota, Indiana, California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Instruments account for US$10.8 billion of U.S. exports to Canada.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Signals breadth without harming patients; the low rate keeps the measure sustainable for years.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Guarded</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Healthcare budgets absorb some cost; the remission list protects critical care supply.</w:t>
            </w:r>
          </w:p>
        </w:tc>
      </w:tr>
    </w:tbl>
    <w:p>
      <w:pPr>
        <w:spacing w:after="60"/>
      </w:pPr>
    </w:p>
    <w:p>
      <w:pPr>
        <w:pStyle w:val="Heading3"/>
      </w:pPr>
      <w:r>
        <w:t xml:space="preserve">Measure 40: Pharmaceuticals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15% surtax with carve-outs for shortage-listed and sole-source drugs.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Indiana, North Carolina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Pharmaceuticals run near US$7 billion of American exports to Canada.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Reaches a politically sensitive industry at a rate that avoids patient harm; the signal targets the industry lobby, not the pharmacy counter.</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Guarded</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Insurance and provincial formularies manage the cost; carve-outs protect continuity of care.</w:t>
            </w:r>
          </w:p>
        </w:tc>
      </w:tr>
    </w:tbl>
    <w:p>
      <w:pPr>
        <w:spacing w:after="60"/>
      </w:pPr>
    </w:p>
    <w:p>
      <w:pPr>
        <w:pStyle w:val="Heading3"/>
      </w:pPr>
      <w:r>
        <w:t xml:space="preserve">Measure 41: Oilfield and Pipeline Equipment</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35% surtax on pumps, valves, compressors, and oil country tubular goods.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Texas, Oklahoma, Louisiana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Texas exports petroleum and coal products, chemicals, and machinery at continental scale; Canada buys substantial U.S. oilfield equipment.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Turns the energy relationship around: the states demanding Canadian crude lose the market for the equipment they sell north, while Tier D charges raise the value of what flows south.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Canadian producers face input costs; coordinate with the remission framework and domestic fabrication incentives.</w:t>
            </w:r>
          </w:p>
        </w:tc>
      </w:tr>
    </w:tbl>
    <w:p>
      <w:pPr>
        <w:spacing w:after="60"/>
      </w:pPr>
    </w:p>
    <w:p>
      <w:pPr>
        <w:pStyle w:val="Heading3"/>
      </w:pPr>
      <w:r>
        <w:t xml:space="preserve">Measure 42: Railway Locomotives and Rolling Stock</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25% surtax on locomotives, freight cars, and rail equipment.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Pennsylvania, Illinois, Indiana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Wabtec and Progress Rail anchor American locomotive production.</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Pressures unionized rail-manufacturing districts; fleet renewal cycles give negotiators a visible countdown.</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Low to moderate. Canadian railways order infrequently; contract timing absorbs most of the effect.</w:t>
            </w:r>
          </w:p>
        </w:tc>
      </w:tr>
    </w:tbl>
    <w:p>
      <w:pPr>
        <w:spacing w:after="60"/>
      </w:pPr>
    </w:p>
    <w:p>
      <w:pPr>
        <w:pStyle w:val="Heading2"/>
      </w:pPr>
      <w:r>
        <w:t xml:space="preserve">Tier D: Energy and Natural Resource Leverage (Measures 43 to 53)</w:t>
      </w:r>
    </w:p>
    <w:p>
      <w:r>
        <w:t xml:space="preserve">Tier D is the decisive tier. Rather than taxing American goods entering Canada, these measures place conditional export charges, licensing requirements, or surcharges on Canadian resources flowing south. The United States exempted energy, potash, critical minerals, and fish from its own Section 338 tariffs because it cannot replace them. Tier D prices that dependence. Every measure activates only on a published American trigger, chiefly implementation of the January 1, 2027 automotive tariffs, and every measure pairs with a remission or revenue-return mechanism that protects Canadian producers and provinces.</w:t>
      </w:r>
    </w:p>
    <w:p>
      <w:pPr>
        <w:pStyle w:val="Heading3"/>
      </w:pPr>
      <w:r>
        <w:t xml:space="preserve">Measure 43: Crude Oil Export Charge</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10% export charge on crude oil delivered to U.S. refineries, collected federally with revenues returned to producing provinces.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Refinery exposure: Illinois, Indiana, Ohio, Minnesota; pricing exposure nationwide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Roughly 4 million barrels per day, about US$100 billion per year; Canada supplies about 60% of American crude imports and 96% of Canadian crude goes to the United States.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Midwest refineries built around Canadian heavy crude face immediate margin compression; gasoline prices rise in battleground states within weeks; the largest single lever in the entire arsenal.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Very 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 Alberta and Saskatchewan bear revenue risk from any volume response; the revenue-return mechanism, Trans Mountain expansion capacity to Asia, and the support package manage the exposure. Reserve for Phase Three.</w:t>
            </w:r>
          </w:p>
        </w:tc>
      </w:tr>
    </w:tbl>
    <w:p>
      <w:pPr>
        <w:spacing w:after="60"/>
      </w:pPr>
    </w:p>
    <w:p>
      <w:pPr>
        <w:pStyle w:val="Heading3"/>
      </w:pPr>
      <w:r>
        <w:t xml:space="preserve">Measure 44: Natural Gas Export Charge</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10% export charge on pipeline natural gas to the United States.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Pacific Northwest, Midwest, Northeast heating markets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Billions of cubic feet per day heat American homes and feed American power plants.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Raises heating and power costs entering the winter season; concentrates attention in cold-weather border states.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to high. Producers lose margin on volumes; winter timing maximizes leverage and demands careful political management at home.</w:t>
            </w:r>
          </w:p>
        </w:tc>
      </w:tr>
    </w:tbl>
    <w:p>
      <w:pPr>
        <w:spacing w:after="60"/>
      </w:pPr>
    </w:p>
    <w:p>
      <w:pPr>
        <w:pStyle w:val="Heading3"/>
      </w:pPr>
      <w:r>
        <w:t xml:space="preserve">Measure 45: Potash Export Charge</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25% export charge on potash shipments to the United States.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Iowa, Illinois, Indiana, Nebraska, Minnesota, Missouri</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Canada is the world's largest potash producer; the United States imports the overwhelming majority of its potash, predominantly from Saskatchewan; U.S. fertilizer imports from Canada run near US$3.8 billion and the USGS added potash to the 2025 critical minerals list.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Announced ahead of spring planting, the charge forces American farmers to pay a visible Canada tax on their most essential input or scramble for Russian and Belarusian supply; farm-state senators confront a direct threat to their constituents' operating margins.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Very 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Saskatchewan revenue dips if volumes fall; global potash demand and Canpotex marketing give Canada alternative buyers, and revenue-return cushions producers.</w:t>
            </w:r>
          </w:p>
        </w:tc>
      </w:tr>
    </w:tbl>
    <w:p>
      <w:pPr>
        <w:spacing w:after="60"/>
      </w:pPr>
    </w:p>
    <w:p>
      <w:pPr>
        <w:pStyle w:val="Heading3"/>
      </w:pPr>
      <w:r>
        <w:t xml:space="preserve">Measure 46: Uranium Export Licensing Charge</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25% licensing charge on uranium exports to the United States, administered through the nuclear regulatory framework.</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Reactor states: Illinois, Pennsylvania, South Carolina, Georgia, Alabama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Canada supplied 32% of the uranium delivered to American nuclear operators in 2025, the largest single source; domestic U.S. uranium supplied only 7%; nuclear power generates about 19% of American electricity.</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Puts the fuel security of the American nuclear fleet on the negotiating table; utilities hold inventories measured in months, so the announcement alone reprices long-term contracts.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Very 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Saskatchewan uranium and Ontario processing face contract friction; federal coordination with the nuclear regulator is essential, as Premier Ford himself concedes.</w:t>
            </w:r>
          </w:p>
        </w:tc>
      </w:tr>
    </w:tbl>
    <w:p>
      <w:pPr>
        <w:spacing w:after="60"/>
      </w:pPr>
    </w:p>
    <w:p>
      <w:pPr>
        <w:pStyle w:val="Heading3"/>
      </w:pPr>
      <w:r>
        <w:t xml:space="preserve">Measure 47: Electricity Export Surcharge</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25% surcharge on electricity exports, applied federally in coordination with Ontario, Quebec, Manitoba, British Columbia, and New Brunswick.</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New York, Vermont, Minnesota, Michigan, New England</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Ontario's March 2025 surcharge reached about 1.5 million American homes and businesses before Washington agreed to negotiate within days.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The fastest-acting lever in the arsenal: bills rise in the Northeast within one billing cycle; the 2025 episode proves the mechanism and its negotiating payoff.</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Very 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Provincial utilities forgo export revenue; the provinces control volumes and the Canada Energy Regulator licenses exports, so Ottawa secures provincial concurrence first.</w:t>
            </w:r>
          </w:p>
        </w:tc>
      </w:tr>
    </w:tbl>
    <w:p>
      <w:pPr>
        <w:spacing w:after="60"/>
      </w:pPr>
    </w:p>
    <w:p>
      <w:pPr>
        <w:pStyle w:val="Heading3"/>
      </w:pPr>
      <w:r>
        <w:t xml:space="preserve">Measure 48: Critical Minerals Export Permit Regime</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Licensing regime with a 25% charge on nickel, cobalt, graphite, lithium, and rare earth exports to the United States.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Battery belt: Tennessee, Georgia, Kentucky, Michigan</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Canada ranks top five globally in nickel and cobalt; the U.S. 2025 critical minerals list concedes import dependence across this set.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Chokes feedstock for the southeastern battery plants at the centre of the administration's industrial policy; every delayed cathode shipment becomes a negotiation data point.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Canadian miners lose their largest customer in the short run; offtake diversification to Europe and Korea proceeds under the Critical Minerals Strategy.</w:t>
            </w:r>
          </w:p>
        </w:tc>
      </w:tr>
    </w:tbl>
    <w:p>
      <w:pPr>
        <w:spacing w:after="60"/>
      </w:pPr>
    </w:p>
    <w:p>
      <w:pPr>
        <w:pStyle w:val="Heading3"/>
      </w:pPr>
      <w:r>
        <w:t xml:space="preserve">Measure 49: Softwood Lumber Export Charge</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15% export charge on softwood lumber to the United States, layered on the existing American duty dispute.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Housing markets: Texas, Florida, Georgia, Arizona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Wood exports to the U.S. ran about US$10.2 billion in 2025; American homebuilders depend on Canadian dimensional lumber.</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Raises framing costs in the sunbelt housing boom; the National Association of Home Builders becomes an instant lobbying ally for de-escalation.</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British Columbia and Quebec mills already suffer from U.S. duties; pair the charge with domestic processing support to retain the value added at home.</w:t>
            </w:r>
          </w:p>
        </w:tc>
      </w:tr>
    </w:tbl>
    <w:p>
      <w:pPr>
        <w:spacing w:after="60"/>
      </w:pPr>
    </w:p>
    <w:p>
      <w:pPr>
        <w:pStyle w:val="Heading3"/>
      </w:pPr>
      <w:r>
        <w:t xml:space="preserve">Measure 50: Aluminum Export Charge</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10% export charge on primary aluminum shipments to the United States.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Midwest auto and beverage packaging users: Michigan, Ohio, Indiana, Kentucky</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Canada, the world's fourth-largest primary aluminum producer, shipped about US$9.7 billion to the U.S. in 2025; American smelter capacity cannot replace Quebec supply.</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Raises input costs for American automakers and beverage packaging lines already paying 50% Section 232 tariffs on the same metal; compounds the absurdity of the American position in public view.</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Quebec smelters carry volume risk; hydro-based cost advantage and European demand provide outlets.</w:t>
            </w:r>
          </w:p>
        </w:tc>
      </w:tr>
    </w:tbl>
    <w:p>
      <w:pPr>
        <w:spacing w:after="60"/>
      </w:pPr>
    </w:p>
    <w:p>
      <w:pPr>
        <w:pStyle w:val="Heading3"/>
      </w:pPr>
      <w:r>
        <w:t xml:space="preserve">Measure 51: Iron Ore and Semi-Finished Steel Export Charge</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15% export charge on iron ore, pellets, and semi-finished steel to the United States.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Great Lakes mills: Indiana, Ohio, Michigan</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Iron ore exports run near US$6 billion; Great Lakes steelmaking feeds on Canadian pellets.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Squeezes the American steel heartland from the input side while Measure 33 blocks its finished product from the Canadian market.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Quebec and Labrador miners face contract friction; global pellet demand is robust.</w:t>
            </w:r>
          </w:p>
        </w:tc>
      </w:tr>
    </w:tbl>
    <w:p>
      <w:pPr>
        <w:spacing w:after="60"/>
      </w:pPr>
    </w:p>
    <w:p>
      <w:pPr>
        <w:pStyle w:val="Heading3"/>
      </w:pPr>
      <w:r>
        <w:t xml:space="preserve">Measure 52: Refined Petroleum Products Export Charge</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10% export charge on refined products shipped to the U.S. Northeast.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Maine, New Hampshire, Massachusetts, New York</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Atlantic Canadian refineries supply a large share of New England gasoline, diesel, and heating oil.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Raises fuel prices in New England within days; Maine's Senator Collins already calls the tariffs a mistake, and this measure sharpens her argument.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Refinery margins compress on U.S.-bound volumes; domestic and Atlantic export options absorb part of the flow.</w:t>
            </w:r>
          </w:p>
        </w:tc>
      </w:tr>
    </w:tbl>
    <w:p>
      <w:pPr>
        <w:spacing w:after="60"/>
      </w:pPr>
    </w:p>
    <w:p>
      <w:pPr>
        <w:pStyle w:val="Heading3"/>
      </w:pPr>
      <w:r>
        <w:t xml:space="preserve">Measure 53: Newsprint and Market Pulp Export Charge</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10% export charge on newsprint and market pulp to the United States.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Publishing and packaging nationwide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Paper and paperboard exports ran about US$6.6 billion in 2025.</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Raises costs for American publishers and packagers; modest but broad, and historically proven in the 2018 newsprint dispute.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Declining demand limits the lever; treat it as a supporting measure, not a centrepiece.</w:t>
            </w:r>
          </w:p>
        </w:tc>
      </w:tr>
    </w:tbl>
    <w:p>
      <w:pPr>
        <w:spacing w:after="60"/>
      </w:pPr>
    </w:p>
    <w:p>
      <w:pPr>
        <w:pStyle w:val="Heading2"/>
      </w:pPr>
      <w:r>
        <w:t xml:space="preserve">Tier E: Services, Digital, and Procurement (Measures 54 to 60)</w:t>
      </w:r>
    </w:p>
    <w:p>
      <w:r>
        <w:t xml:space="preserve">The United States runs a US$27.7 billion services surplus with Canada, the one ledger where America clearly profits. Tier E erases that advantage and adds the regulatory instruments that the 2025 digital services tax episode proved decisive: when Canada scrapped the tax in June 2025, Washington restarted talks within days, which demonstrates how much American technology lobbies value the Canadian market.</w:t>
      </w:r>
    </w:p>
    <w:p>
      <w:pPr>
        <w:pStyle w:val="Heading3"/>
      </w:pPr>
      <w:r>
        <w:t xml:space="preserve">Measure 54: Digital Services Tax Restoration</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3% tax on Canadian-source digital services revenue of large platforms, applied with retroactive effect to the original statutory schedule.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Washington, California (platform headquarters), with nationwide political salience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American platforms earn billions in Canadian digital revenue; the 2025 tax carried a multi-billion-dollar present value before Ottawa scrapped it to restart talks.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Rearms the single instrument that previously forced Washington back to the table inside 72 hours; frames Canada's position for the joint review era.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Very 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Platform pass-through raises some consumer prices; the negotiating history shows the leverage outweighs the cost.</w:t>
            </w:r>
          </w:p>
        </w:tc>
      </w:tr>
    </w:tbl>
    <w:p>
      <w:pPr>
        <w:spacing w:after="60"/>
      </w:pPr>
    </w:p>
    <w:p>
      <w:pPr>
        <w:pStyle w:val="Heading3"/>
      </w:pPr>
      <w:r>
        <w:t xml:space="preserve">Measure 55: Streaming and Online Advertising Levy</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5% levy on streaming subscriptions and online advertising revenue earned in Canada.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National platform exposure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Streaming and advertising revenue flows overwhelmingly to American platforms.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Broadens the digital front beyond the DST and funds Canadian content and journalism supports at home.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Low to moderate. Small consumer price effects; domestic cultural policy gains.</w:t>
            </w:r>
          </w:p>
        </w:tc>
      </w:tr>
    </w:tbl>
    <w:p>
      <w:pPr>
        <w:spacing w:after="60"/>
      </w:pPr>
    </w:p>
    <w:p>
      <w:pPr>
        <w:pStyle w:val="Heading3"/>
      </w:pPr>
      <w:r>
        <w:t xml:space="preserve">Measure 56: Federal Procurement Exclusion (Buy Canadian)</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Exclusion of U.S. suppliers from covered federal procurement, with provinces invited to match.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National exposure for U.S. contractors and consultants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Federal procurement spends tens of billions annually; American firms bid aggressively across defence-adjacent, construction, and professional categories.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Converts government spending into leverage; every excluded contract lands on a congressional desk.</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Some bids cost more without American competition; phased category coverage manages pricing.</w:t>
            </w:r>
          </w:p>
        </w:tc>
      </w:tr>
    </w:tbl>
    <w:p>
      <w:pPr>
        <w:spacing w:after="60"/>
      </w:pPr>
    </w:p>
    <w:p>
      <w:pPr>
        <w:pStyle w:val="Heading3"/>
      </w:pPr>
      <w:r>
        <w:t xml:space="preserve">Measure 57: Cloud, Data, and Professional Services Restrictions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Data residency requirements for federal data workloads and a bar on new federal contracts with U.S.-based cloud and consulting providers.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Washington, Virginia, Texas (cloud and consulting hubs)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Business services are the largest American services export to Canada at about US$26.6 billion.</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Strikes the heart of the U.S. services surplus; sovereign data policy provides a durable public rationale.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High</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Migration costs for government workloads; domestic cloud capacity expands under incentive.</w:t>
            </w:r>
          </w:p>
        </w:tc>
      </w:tr>
    </w:tbl>
    <w:p>
      <w:pPr>
        <w:spacing w:after="60"/>
      </w:pPr>
    </w:p>
    <w:p>
      <w:pPr>
        <w:pStyle w:val="Heading3"/>
      </w:pPr>
      <w:r>
        <w:t xml:space="preserve">Measure 58: Investment Screening Surcharge on U.S. Acquisitions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1% transaction charge plus enhanced national security review on American acquisitions of Canadian resource and strategic firms.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National exposure for U.S. capital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American investors dominate foreign direct investment into Canadian resources.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Signals that capital flows carry conditionality while the trade war runs; deters opportunistic acquisitions of distressed Canadian assets during the conflict.</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Low to moderate. Some welcome capital hesitates; screening thresholds keep benign deals moving.</w:t>
            </w:r>
          </w:p>
        </w:tc>
      </w:tr>
    </w:tbl>
    <w:p>
      <w:pPr>
        <w:spacing w:after="60"/>
      </w:pPr>
    </w:p>
    <w:p>
      <w:pPr>
        <w:pStyle w:val="Heading3"/>
      </w:pPr>
      <w:r>
        <w:t xml:space="preserve">Measure 59: Cross-Border Trucking and Customs Processing Fees</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Per-entry processing fees and full-inspection lanes for U.S.-origin commercial freight, with Canadian and Mexican freight expedited.</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Michigan, New York, Texas border corridors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Hundreds of billions in goods cross by truck annually.</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Raises transaction costs and delivery uncertainty for American exporters; visible to every logistics operator on the northern border.</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 Canadian importers absorb friction too; lane design keeps Canadian-bound essential goods moving.</w:t>
            </w:r>
          </w:p>
        </w:tc>
      </w:tr>
    </w:tbl>
    <w:p>
      <w:pPr>
        <w:spacing w:after="60"/>
      </w:pPr>
    </w:p>
    <w:p>
      <w:pPr>
        <w:pStyle w:val="Heading3"/>
      </w:pPr>
      <w:r>
        <w:t xml:space="preserve">Measure 60: Visa Reciprocity and Travel Facilitation Rollback</w:t>
      </w:r>
    </w:p>
    <w:tbl>
      <w:tblPr>
        <w:tblW w:w="5000" w:type="pct"/>
        <w:tblBorders>
          <w:top w:val="single" w:color="2F4858" w:sz="12"/>
          <w:left w:val="nil"/>
          <w:bottom w:val="single" w:color="2F4858" w:sz="12"/>
          <w:right w:val="nil"/>
          <w:insideH w:val="single" w:color="CBD8DE" w:sz="4"/>
          <w:insideV w:val="nil"/>
        </w:tblBorders>
      </w:tblPr>
      <w:tblGrid>
        <w:gridCol w:w="2400"/>
        <w:gridCol w:w="6626"/>
      </w:tblGrid>
      <w:tr>
        <w:trPr>
          <w:cantSplit/>
          <w:tblHeader/>
        </w:trPr>
        <w:tc>
          <w:tcPr>
            <w:tcW w:w="2400"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Field</w:t>
            </w:r>
          </w:p>
        </w:tc>
        <w:tc>
          <w:tcPr>
            <w:tcW w:w="6626" w:type="dxa"/>
            <w:tcBorders>
              <w:bottom w:val="single" w:color="55707F" w:sz="6"/>
            </w:tcBorders>
            <w:shd w:val="clear" w:fill="E9EFF2"/>
            <w:tcMar>
              <w:top w:w="40" w:type="dxa"/>
              <w:left w:w="100" w:type="dxa"/>
              <w:bottom w:w="40" w:type="dxa"/>
              <w:right w:w="100" w:type="dxa"/>
            </w:tcMar>
          </w:tcPr>
          <w:p>
            <w:pPr>
              <w:spacing w:before="10" w:after="10" w:line="240" w:lineRule="auto"/>
              <w:jc w:val="left"/>
            </w:pPr>
            <w:r>
              <w:rPr>
                <w:b/>
                <w:color w:val="1F2E38"/>
                <w:sz w:val="19"/>
              </w:rPr>
              <w:t xml:space="preserve">Detail</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Instrument and rate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Reciprocity fees on U.S. business travellers and suspension of cooperative preclearance expansion.</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Primary states exposed</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National exposure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Trade at stake</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Travel services are a top-three American services export to Canada.</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Expected impact</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Mostly symbolic, but symbols matter in this conflict; pairs with tourism promotion for domestic and overseas visitors.</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Effectiveness</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Moderate</w:t>
            </w:r>
          </w:p>
        </w:tc>
      </w:tr>
      <w:tr>
        <w:trPr>
          <w:cantSplit/>
        </w:trPr>
        <w:tc>
          <w:tcPr>
            <w:tcW w:w="2400" w:type="dxa"/>
            <w:tcMar>
              <w:top w:w="40" w:type="dxa"/>
              <w:left w:w="100" w:type="dxa"/>
              <w:bottom w:w="40" w:type="dxa"/>
              <w:right w:w="100" w:type="dxa"/>
            </w:tcMar>
          </w:tcPr>
          <w:p>
            <w:pPr>
              <w:spacing w:before="10" w:after="10" w:line="240" w:lineRule="auto"/>
              <w:jc w:val="left"/>
            </w:pPr>
            <w:r>
              <w:rPr>
                <w:color w:val="55707F"/>
                <w:sz w:val="19"/>
              </w:rPr>
              <w:t xml:space="preserve">Risk to Canada</w:t>
            </w:r>
          </w:p>
        </w:tc>
        <w:tc>
          <w:tcPr>
            <w:tcW w:w="6626" w:type="dxa"/>
            <w:tcMar>
              <w:top w:w="40" w:type="dxa"/>
              <w:left w:w="100" w:type="dxa"/>
              <w:bottom w:w="40" w:type="dxa"/>
              <w:right w:w="100" w:type="dxa"/>
            </w:tcMar>
          </w:tcPr>
          <w:p>
            <w:pPr>
              <w:spacing w:before="10" w:after="10" w:line="240" w:lineRule="auto"/>
              <w:jc w:val="left"/>
            </w:pPr>
            <w:r>
              <w:rPr>
                <w:color w:val="55707F"/>
                <w:sz w:val="19"/>
              </w:rPr>
              <w:t xml:space="preserve">Low. Border communities need careful communication to avoid collateral damage to Canadian tourism.</w:t>
            </w:r>
          </w:p>
        </w:tc>
      </w:tr>
    </w:tbl>
    <w:p>
      <w:pPr>
        <w:pStyle w:val="Normal"/>
        <w:spacing w:after="60"/>
      </w:pPr>
    </w:p>
    <w:p>
      <w:pPr>
        <w:pStyle w:val="Heading1"/>
      </w:pPr>
      <w:r>
        <w:rPr>
          <w:rFonts w:ascii="Calibri" w:hAnsi="Calibri" w:eastAsia="Microsoft YaHei" w:cs="Calibri"/>
          <w:b/>
          <w:color w:val="2F4858"/>
          <w:sz w:val="40"/>
          <w:szCs w:val="40"/>
        </w:rPr>
        <w:t>Part VII: The Comprehensive Package</w:t>
      </w:r>
    </w:p>
    <w:p>
      <w:pPr>
        <w:pStyle w:val="Normal"/>
      </w:pPr>
      <w:r>
        <w:rPr>
          <w:rFonts w:ascii="Calibri" w:hAnsi="Calibri" w:eastAsia="Microsoft YaHei" w:cs="Calibri"/>
          <w:color w:val="1F2E38"/>
          <w:sz w:val="22"/>
          <w:szCs w:val="22"/>
        </w:rPr>
        <w:t>The 60 measures achieve full effect as one architecture, not as a menu. This part assembles them into a phased deployment with published triggers and off-ramps.</w:t>
      </w:r>
    </w:p>
    <w:p>
      <w:pPr>
        <w:pStyle w:val="Heading2"/>
      </w:pPr>
      <w:r>
        <w:rPr>
          <w:rFonts w:ascii="Calibri" w:hAnsi="Calibri" w:eastAsia="Microsoft YaHei" w:cs="Calibri"/>
          <w:b/>
          <w:color w:val="2F4858"/>
          <w:sz w:val="30"/>
          <w:szCs w:val="30"/>
        </w:rPr>
        <w:t>Phase Architecture</w:t>
      </w:r>
    </w:p>
    <w:tbl>
      <w:tblPr>
        <w:tblW w:w="5000" w:type="pct"/>
        <w:tblBorders>
          <w:top w:val="single" w:color="2F4858" w:sz="12"/>
          <w:left w:val="nil"/>
          <w:bottom w:val="single" w:color="2F4858" w:sz="12"/>
          <w:right w:val="nil"/>
          <w:insideH w:val="single" w:color="CBD8DE" w:sz="4"/>
          <w:insideV w:val="nil"/>
        </w:tblBorders>
      </w:tblPr>
      <w:tblGrid>
        <w:gridCol w:w="1400"/>
        <w:gridCol w:w="2100"/>
        <w:gridCol w:w="5526"/>
      </w:tblGrid>
      <w:tr>
        <w:trPr>
          <w:cantSplit w:val="1"/>
          <w:tblHeader w:val="1"/>
        </w:trPr>
        <w:tc>
          <w:tcPr>
            <w:tcW w:w="1400" w:type="dxa"/>
            <w:tcBorders>
              <w:bottom w:val="single" w:color="55707F" w:sz="6" w:space="0"/>
            </w:tcBorders>
            <w:shd w:val="clear" w:fill="E9EFF2" w:color="auto"/>
            <w:tcMar>
              <w:top w:w="40" w:type="dxa"/>
              <w:left w:w="100" w:type="dxa"/>
              <w:bottom w:w="40" w:type="dxa"/>
              <w:right w:w="100" w:type="dxa"/>
            </w:tcMar>
          </w:tcPr>
          <w:p>
            <w:pPr>
              <w:pStyle w:val="Normal"/>
              <w:spacing w:before="10" w:after="10" w:line="240" w:lineRule="auto"/>
              <w:jc w:val="left"/>
            </w:pPr>
            <w:r>
              <w:rPr>
                <w:b/>
                <w:color w:val="1F2E38"/>
                <w:sz w:val="19"/>
                <w:rFonts w:ascii="Calibri" w:hAnsi="Calibri" w:eastAsia="Microsoft YaHei" w:cs="Calibri"/>
                <w:szCs w:val="19"/>
              </w:rPr>
              <w:t>Phase</w:t>
            </w:r>
          </w:p>
        </w:tc>
        <w:tc>
          <w:tcPr>
            <w:tcW w:w="2100" w:type="dxa"/>
            <w:tcBorders>
              <w:bottom w:val="single" w:color="55707F" w:sz="6" w:space="0"/>
            </w:tcBorders>
            <w:shd w:val="clear" w:fill="E9EFF2" w:color="auto"/>
            <w:tcMar>
              <w:top w:w="40" w:type="dxa"/>
              <w:left w:w="100" w:type="dxa"/>
              <w:bottom w:w="40" w:type="dxa"/>
              <w:right w:w="100" w:type="dxa"/>
            </w:tcMar>
          </w:tcPr>
          <w:p>
            <w:pPr>
              <w:pStyle w:val="Normal"/>
              <w:spacing w:before="10" w:after="10" w:line="240" w:lineRule="auto"/>
              <w:jc w:val="left"/>
            </w:pPr>
            <w:r>
              <w:rPr>
                <w:b/>
                <w:color w:val="1F2E38"/>
                <w:sz w:val="19"/>
                <w:rFonts w:ascii="Calibri" w:hAnsi="Calibri" w:eastAsia="Microsoft YaHei" w:cs="Calibri"/>
                <w:szCs w:val="19"/>
              </w:rPr>
              <w:t>Timing</w:t>
            </w:r>
          </w:p>
        </w:tc>
        <w:tc>
          <w:tcPr>
            <w:tcW w:w="5526" w:type="dxa"/>
            <w:tcBorders>
              <w:bottom w:val="single" w:color="55707F" w:sz="6" w:space="0"/>
            </w:tcBorders>
            <w:shd w:val="clear" w:fill="E9EFF2" w:color="auto"/>
            <w:tcMar>
              <w:top w:w="40" w:type="dxa"/>
              <w:left w:w="100" w:type="dxa"/>
              <w:bottom w:w="40" w:type="dxa"/>
              <w:right w:w="100" w:type="dxa"/>
            </w:tcMar>
          </w:tcPr>
          <w:p>
            <w:pPr>
              <w:pStyle w:val="Normal"/>
              <w:spacing w:before="10" w:after="10" w:line="240" w:lineRule="auto"/>
              <w:jc w:val="left"/>
            </w:pPr>
            <w:r>
              <w:rPr>
                <w:b/>
                <w:color w:val="1F2E38"/>
                <w:sz w:val="19"/>
                <w:rFonts w:ascii="Calibri" w:hAnsi="Calibri" w:eastAsia="Microsoft YaHei" w:cs="Calibri"/>
                <w:szCs w:val="19"/>
              </w:rPr>
              <w:t>Content</w:t>
            </w:r>
          </w:p>
        </w:tc>
      </w:tr>
      <w:tr>
        <w:trPr>
          <w:cantSplit w:val="1"/>
        </w:trPr>
        <w:tc>
          <w:tcPr>
            <w:tcW w:w="1400"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Phase Zero</w:t>
            </w:r>
          </w:p>
        </w:tc>
        <w:tc>
          <w:tcPr>
            <w:tcW w:w="2100"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September 8, 2026</w:t>
            </w:r>
          </w:p>
        </w:tc>
        <w:tc>
          <w:tcPr>
            <w:tcW w:w="5526"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The announced package: matched 15%, 25%, and 50% countertariffs on about 900 product lines (about C$27.6 billion), steel and aluminum countertariffs at 50%, auto countertariffs maintained, and the C$5.4 billion to C$7.5 billion support program.</w:t>
            </w:r>
          </w:p>
        </w:tc>
      </w:tr>
      <w:tr>
        <w:trPr>
          <w:cantSplit w:val="1"/>
        </w:trPr>
        <w:tc>
          <w:tcPr>
            <w:tcW w:w="1400"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Phase One</w:t>
            </w:r>
          </w:p>
        </w:tc>
        <w:tc>
          <w:tcPr>
            <w:tcW w:w="2100"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October 1, 2026</w:t>
            </w:r>
          </w:p>
        </w:tc>
        <w:tc>
          <w:tcPr>
            <w:tcW w:w="5526"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Tier A and Tier B (Measures 1 to 26): agriculture and consumer goods targeting the eight Ford-letter states plus Kentucky, Tennessee, Indiana, Georgia, and North Dakota, thirty days before the midterms.</w:t>
            </w:r>
          </w:p>
        </w:tc>
      </w:tr>
      <w:tr>
        <w:trPr>
          <w:cantSplit w:val="1"/>
        </w:trPr>
        <w:tc>
          <w:tcPr>
            <w:tcW w:w="1400"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Phase Two</w:t>
            </w:r>
          </w:p>
        </w:tc>
        <w:tc>
          <w:tcPr>
            <w:tcW w:w="2100"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December 1, 2026</w:t>
            </w:r>
          </w:p>
        </w:tc>
        <w:tc>
          <w:tcPr>
            <w:tcW w:w="5526"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Tier C (Measures 27 to 42): industrial and manufacturing inputs, activated if the United States maintains Section 338 rates and the Section 232 steel, aluminum, and auto regime.</w:t>
            </w:r>
          </w:p>
        </w:tc>
      </w:tr>
      <w:tr>
        <w:trPr>
          <w:cantSplit w:val="1"/>
        </w:trPr>
        <w:tc>
          <w:tcPr>
            <w:tcW w:w="1400"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Phase Three</w:t>
            </w:r>
          </w:p>
        </w:tc>
        <w:tc>
          <w:tcPr>
            <w:tcW w:w="2100"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On trigger: January 1, 2027</w:t>
            </w:r>
          </w:p>
        </w:tc>
        <w:tc>
          <w:tcPr>
            <w:tcW w:w="5526"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Tier D (Measures 43 to 53): conditional export charges on crude, gas, potash, uranium, electricity, critical minerals, lumber, aluminum, iron ore, refined products, and pulp, activated the moment any part of the threatened 50% automotive and steel tariffs takes effect.</w:t>
            </w:r>
          </w:p>
        </w:tc>
      </w:tr>
      <w:tr>
        <w:trPr>
          <w:cantSplit w:val="1"/>
        </w:trPr>
        <w:tc>
          <w:tcPr>
            <w:tcW w:w="1400"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Phase Four</w:t>
            </w:r>
          </w:p>
        </w:tc>
        <w:tc>
          <w:tcPr>
            <w:tcW w:w="2100"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February 2027 onward</w:t>
            </w:r>
          </w:p>
        </w:tc>
        <w:tc>
          <w:tcPr>
            <w:tcW w:w="5526"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Tier E (Measures 54 to 60): services, digital, procurement, and investment measures, plus a conditional six-month Article 34.6 withdrawal notice if Washington refuses a comprehensive settlement.</w:t>
            </w:r>
          </w:p>
        </w:tc>
      </w:tr>
    </w:tbl>
    <w:p>
      <w:pPr>
        <w:pStyle w:val="Caption"/>
      </w:pPr>
      <w:r>
        <w:rPr>
          <w:rFonts w:ascii="Calibri" w:hAnsi="Calibri" w:eastAsia="Microsoft YaHei" w:cs="Calibri"/>
          <w:color w:val="8AA0AC"/>
          <w:sz w:val="19"/>
          <w:szCs w:val="19"/>
        </w:rPr>
        <w:t>Table 6: The five-phase deployment architecture</w:t>
      </w:r>
    </w:p>
    <w:p>
      <w:pPr>
        <w:pStyle w:val="Heading2"/>
      </w:pPr>
      <w:r>
        <w:rPr>
          <w:rFonts w:ascii="Calibri" w:hAnsi="Calibri" w:eastAsia="Microsoft YaHei" w:cs="Calibri"/>
          <w:b/>
          <w:color w:val="2F4858"/>
          <w:sz w:val="30"/>
          <w:szCs w:val="30"/>
        </w:rPr>
        <w:t>The Trigger Matrix</w:t>
      </w:r>
    </w:p>
    <w:p>
      <w:pPr>
        <w:pStyle w:val="Normal"/>
      </w:pPr>
      <w:r>
        <w:rPr>
          <w:rFonts w:ascii="Calibri" w:hAnsi="Calibri" w:eastAsia="Microsoft YaHei" w:cs="Calibri"/>
          <w:color w:val="1F2E38"/>
          <w:sz w:val="22"/>
          <w:szCs w:val="22"/>
        </w:rPr>
        <w:t>Every American action maps to a published Canadian response, so Washington prices its own escalation in advance.</w:t>
      </w:r>
    </w:p>
    <w:tbl>
      <w:tblPr>
        <w:tblW w:w="5000" w:type="pct"/>
        <w:tblBorders>
          <w:top w:val="single" w:color="2F4858" w:sz="12"/>
          <w:left w:val="nil"/>
          <w:bottom w:val="single" w:color="2F4858" w:sz="12"/>
          <w:right w:val="nil"/>
          <w:insideH w:val="single" w:color="CBD8DE" w:sz="4"/>
          <w:insideV w:val="nil"/>
        </w:tblBorders>
      </w:tblPr>
      <w:tblGrid>
        <w:gridCol w:w="4513"/>
        <w:gridCol w:w="4513"/>
      </w:tblGrid>
      <w:tr>
        <w:trPr>
          <w:cantSplit w:val="1"/>
          <w:tblHeader w:val="1"/>
        </w:trPr>
        <w:tc>
          <w:tcPr>
            <w:tcW w:w="4513" w:type="dxa"/>
            <w:tcBorders>
              <w:bottom w:val="single" w:color="55707F" w:sz="6" w:space="0"/>
            </w:tcBorders>
            <w:shd w:val="clear" w:fill="E9EFF2" w:color="auto"/>
            <w:tcMar>
              <w:top w:w="40" w:type="dxa"/>
              <w:left w:w="100" w:type="dxa"/>
              <w:bottom w:w="40" w:type="dxa"/>
              <w:right w:w="100" w:type="dxa"/>
            </w:tcMar>
          </w:tcPr>
          <w:p>
            <w:pPr>
              <w:pStyle w:val="Normal"/>
              <w:spacing w:before="10" w:after="10" w:line="240" w:lineRule="auto"/>
              <w:jc w:val="left"/>
            </w:pPr>
            <w:r>
              <w:rPr>
                <w:b/>
                <w:color w:val="1F2E38"/>
                <w:sz w:val="19"/>
                <w:rFonts w:ascii="Calibri" w:hAnsi="Calibri" w:eastAsia="Microsoft YaHei" w:cs="Calibri"/>
                <w:szCs w:val="19"/>
              </w:rPr>
              <w:t>American action</w:t>
            </w:r>
          </w:p>
        </w:tc>
        <w:tc>
          <w:tcPr>
            <w:tcW w:w="4513" w:type="dxa"/>
            <w:tcBorders>
              <w:bottom w:val="single" w:color="55707F" w:sz="6" w:space="0"/>
            </w:tcBorders>
            <w:shd w:val="clear" w:fill="E9EFF2" w:color="auto"/>
            <w:tcMar>
              <w:top w:w="40" w:type="dxa"/>
              <w:left w:w="100" w:type="dxa"/>
              <w:bottom w:w="40" w:type="dxa"/>
              <w:right w:w="100" w:type="dxa"/>
            </w:tcMar>
          </w:tcPr>
          <w:p>
            <w:pPr>
              <w:pStyle w:val="Normal"/>
              <w:spacing w:before="10" w:after="10" w:line="240" w:lineRule="auto"/>
              <w:jc w:val="left"/>
            </w:pPr>
            <w:r>
              <w:rPr>
                <w:b/>
                <w:color w:val="1F2E38"/>
                <w:sz w:val="19"/>
                <w:rFonts w:ascii="Calibri" w:hAnsi="Calibri" w:eastAsia="Microsoft YaHei" w:cs="Calibri"/>
                <w:szCs w:val="19"/>
              </w:rPr>
              <w:t>Canadian response</w:t>
            </w:r>
          </w:p>
        </w:tc>
      </w:tr>
      <w:tr>
        <w:trPr>
          <w:cantSplit w:val="1"/>
        </w:trPr>
        <w:tc>
          <w:tcPr>
            <w:tcW w:w="4513"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Section 338 tariffs maintained at 50%</w:t>
            </w:r>
          </w:p>
        </w:tc>
        <w:tc>
          <w:tcPr>
            <w:tcW w:w="4513"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Phase One and Phase Two proceed on schedule; matched rates stay in force for the duration of the administration, as Bloomberg reports the government already intends.</w:t>
            </w:r>
          </w:p>
        </w:tc>
      </w:tr>
      <w:tr>
        <w:trPr>
          <w:cantSplit w:val="1"/>
        </w:trPr>
        <w:tc>
          <w:tcPr>
            <w:tcW w:w="4513"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Any implementation of the January 1, 2027 automotive or steel increase</w:t>
            </w:r>
          </w:p>
        </w:tc>
        <w:tc>
          <w:tcPr>
            <w:tcW w:w="4513"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Phase Three activates in full within 72 hours: crude, potash, uranium, electricity, and aluminum charges lead the package.</w:t>
            </w:r>
          </w:p>
        </w:tc>
      </w:tr>
      <w:tr>
        <w:trPr>
          <w:cantSplit w:val="1"/>
        </w:trPr>
        <w:tc>
          <w:tcPr>
            <w:tcW w:w="4513"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New tariffs on additional Canadian product lines</w:t>
            </w:r>
          </w:p>
        </w:tc>
        <w:tc>
          <w:tcPr>
            <w:tcW w:w="4513"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Rate-for-rate and product-for-product expansion of the Canadian list within two weeks.</w:t>
            </w:r>
          </w:p>
        </w:tc>
      </w:tr>
      <w:tr>
        <w:trPr>
          <w:cantSplit w:val="1"/>
        </w:trPr>
        <w:tc>
          <w:tcPr>
            <w:tcW w:w="4513"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Full removal of Section 338 and Section 232 measures on Canada</w:t>
            </w:r>
          </w:p>
        </w:tc>
        <w:tc>
          <w:tcPr>
            <w:tcW w:w="4513"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Canada suspends all countertariffs and stands down Phase Three within the same news cycle.</w:t>
            </w:r>
          </w:p>
        </w:tc>
      </w:tr>
      <w:tr>
        <w:trPr>
          <w:cantSplit w:val="1"/>
        </w:trPr>
        <w:tc>
          <w:tcPr>
            <w:tcW w:w="4513"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Comprehensive settlement including CUSMA extension to 2042</w:t>
            </w:r>
          </w:p>
        </w:tc>
        <w:tc>
          <w:tcPr>
            <w:tcW w:w="4513" w:type="dxa"/>
            <w:tcMar>
              <w:top w:w="40" w:type="dxa"/>
              <w:left w:w="100" w:type="dxa"/>
              <w:bottom w:w="40" w:type="dxa"/>
              <w:right w:w="100" w:type="dxa"/>
            </w:tcMar>
          </w:tcPr>
          <w:p>
            <w:pPr>
              <w:pStyle w:val="Normal"/>
              <w:spacing w:before="10" w:after="10" w:line="240" w:lineRule="auto"/>
              <w:jc w:val="left"/>
            </w:pPr>
            <w:r>
              <w:rPr>
                <w:color w:val="55707F"/>
                <w:sz w:val="19"/>
                <w:rFonts w:ascii="Calibri" w:hAnsi="Calibri" w:eastAsia="Microsoft YaHei" w:cs="Calibri"/>
                <w:szCs w:val="19"/>
              </w:rPr>
              <w:t>All 60 measures retire on a published schedule; export charge authorities sunset by statute.</w:t>
            </w:r>
          </w:p>
        </w:tc>
      </w:tr>
    </w:tbl>
    <w:p>
      <w:pPr>
        <w:pStyle w:val="Caption"/>
      </w:pPr>
      <w:r>
        <w:rPr>
          <w:rFonts w:ascii="Calibri" w:hAnsi="Calibri" w:eastAsia="Microsoft YaHei" w:cs="Calibri"/>
          <w:color w:val="8AA0AC"/>
          <w:sz w:val="19"/>
          <w:szCs w:val="19"/>
        </w:rPr>
        <w:t>Table 7: Published triggers and off-ramps</w:t>
      </w:r>
    </w:p>
    <w:p>
      <w:pPr>
        <w:pStyle w:val="Heading2"/>
      </w:pPr>
      <w:r>
        <w:rPr>
          <w:rFonts w:ascii="Calibri" w:hAnsi="Calibri" w:eastAsia="Microsoft YaHei" w:cs="Calibri"/>
          <w:b/>
          <w:color w:val="2F4858"/>
          <w:sz w:val="30"/>
          <w:szCs w:val="30"/>
        </w:rPr>
        <w:t>Combined Leverage Estimate</w:t>
      </w:r>
    </w:p>
    <w:p>
      <w:pPr>
        <w:pStyle w:val="Normal"/>
      </w:pPr>
      <w:r>
        <w:rPr>
          <w:rFonts w:ascii="Calibri" w:hAnsi="Calibri" w:eastAsia="Microsoft YaHei" w:cs="Calibri"/>
          <w:color w:val="1F2E38"/>
          <w:sz w:val="22"/>
          <w:szCs w:val="22"/>
        </w:rPr>
        <w:t>Tiers A through C place roughly US$100 billion to US$120 billion of annual American export sales to Canada under tariff pressure, covering about a third of U.S. goods exports to their second-largest market. Tier D conditions a further US$150 billion to US$200 billion of annual Canadian resource exports, including crude oil, gas, potash, uranium, electricity, aluminum, and lumber, behind charges that activate on American behaviour. Tier E erodes a US$27.7 billion American services surplus. No trading relationship in the world offers a middle power this combination of market access leverage and input dependence leverage. The package deliberately exceeds the scale of the American attack several times over, because deterrence fails when retaliation looks weaker than provocation.</w:t>
      </w:r>
    </w:p>
    <w:p>
      <w:pPr>
        <w:pStyle w:val="Heading2"/>
      </w:pPr>
      <w:r>
        <w:rPr>
          <w:rFonts w:ascii="Calibri" w:hAnsi="Calibri" w:eastAsia="Microsoft YaHei" w:cs="Calibri"/>
          <w:b/>
          <w:color w:val="2F4858"/>
          <w:sz w:val="30"/>
          <w:szCs w:val="30"/>
        </w:rPr>
        <w:t>The Bargaining Endgame</w:t>
      </w:r>
    </w:p>
    <w:p>
      <w:pPr>
        <w:pStyle w:val="Normal"/>
      </w:pPr>
      <w:r>
        <w:rPr>
          <w:rFonts w:ascii="Calibri" w:hAnsi="Calibri" w:eastAsia="Microsoft YaHei" w:cs="Calibri"/>
          <w:color w:val="1F2E38"/>
          <w:sz w:val="22"/>
          <w:szCs w:val="22"/>
        </w:rPr>
        <w:t>Canada negotiates from this package toward a defined endstate: complete removal of Section 232 and Section 338 measures on Canada, formal abandonment of the January 2027 automotive threat, restoration of the CUSMA origin carve-out, and Canadian written confirmation of a sixteen-year CUSMA extension to 2042. Intermediate landings exist at every phase: Washington suspends the 50% rates and Ottawa suspends Phase One; Washington lifts steel and aluminum tariffs and Ottawa retires Measures 33, 34, 49, and 50; Washington cancels the January 2027 threat and Ottawa shelves Tier D. The sequencing guarantees that Canada always holds unreleased leverage, and the published off-ramps guarantee that de-escalation costs Canada nothing it has not already priced.</w:t>
      </w:r>
    </w:p>
    <w:p>
      <w:pPr>
        <w:pStyle w:val="Heading1"/>
      </w:pPr>
      <w:r>
        <w:rPr>
          <w:rFonts w:ascii="Calibri" w:hAnsi="Calibri" w:eastAsia="Microsoft YaHei" w:cs="Calibri"/>
          <w:b/>
          <w:color w:val="2F4858"/>
          <w:sz w:val="40"/>
          <w:szCs w:val="40"/>
        </w:rPr>
        <w:t>Part VIII: Risk Register and Mitigation</w:t>
      </w:r>
    </w:p>
    <w:p>
      <w:pPr>
        <w:pStyle w:val="Heading2"/>
      </w:pPr>
      <w:r>
        <w:rPr>
          <w:rFonts w:ascii="Calibri" w:hAnsi="Calibri" w:eastAsia="Microsoft YaHei" w:cs="Calibri"/>
          <w:b/>
          <w:color w:val="2F4858"/>
          <w:sz w:val="30"/>
          <w:szCs w:val="30"/>
        </w:rPr>
        <w:t>Economic Self-Harm Risks</w:t>
      </w:r>
    </w:p>
    <w:p>
      <w:pPr>
        <w:pStyle w:val="Normal"/>
      </w:pPr>
      <w:r>
        <w:rPr>
          <w:rFonts w:ascii="Calibri" w:hAnsi="Calibri" w:eastAsia="Microsoft YaHei" w:cs="Calibri"/>
          <w:color w:val="1F2E38"/>
          <w:sz w:val="22"/>
          <w:szCs w:val="22"/>
        </w:rPr>
        <w:t>Retaliation costs Canada. Countertariffs raise input and consumer prices at home; export charges transfer risk onto Canadian producers and provinces; the auto sector faces genuine disruption if the January 2027 American threat lands. The Bank of Canada and private forecasters already model slower growth under sustained conflict. The risk register prices each exposure honestly, and the design of the package responds: low rates on pharmaceuticals and medical devices protect patients, remission frameworks protect manufacturers with no substitute inputs, revenue-return mechanisms protect Alberta crude and Saskatchewan potash producers, and the support package protects workers in tariff-hit sectors.</w:t>
      </w:r>
    </w:p>
    <w:p>
      <w:pPr>
        <w:pStyle w:val="Heading2"/>
      </w:pPr>
      <w:r>
        <w:rPr>
          <w:rFonts w:ascii="Calibri" w:hAnsi="Calibri" w:eastAsia="Microsoft YaHei" w:cs="Calibri"/>
          <w:b/>
          <w:color w:val="2F4858"/>
          <w:sz w:val="30"/>
          <w:szCs w:val="30"/>
        </w:rPr>
        <w:t>Legal and Diplomatic Risks</w:t>
      </w:r>
    </w:p>
    <w:p>
      <w:pPr>
        <w:pStyle w:val="Normal"/>
      </w:pPr>
      <w:r>
        <w:rPr>
          <w:rFonts w:ascii="Calibri" w:hAnsi="Calibri" w:eastAsia="Microsoft YaHei" w:cs="Calibri"/>
          <w:color w:val="1F2E38"/>
          <w:sz w:val="22"/>
          <w:szCs w:val="22"/>
        </w:rPr>
        <w:t>Canada's countermeasures depart from CUSMA Article 2.4 just as the American measures do. The mitigation is procedural discipline: publish the legal basis of every measure, invoke reciprocal countermeasures and Article 32.2 in each order, file and pursue the Chapter 31 case against Section 338, and keep every measure proportionate and reversible. Diplomatically, the package strains the broader relationship, including defence and intelligence cooperation; Ottawa compartmentalizes those files deliberately, and alliances such as NATO and NORAD continue on their own tracks. The February 2026 Supreme Court decision against the IEEPA tariffs also warns that American legal risk runs both ways: sustained Canadian pressure strengthens the hand of American importers litigating against Section 338.</w:t>
      </w:r>
    </w:p>
    <w:p>
      <w:pPr>
        <w:pStyle w:val="Heading2"/>
      </w:pPr>
      <w:r>
        <w:rPr>
          <w:rFonts w:ascii="Calibri" w:hAnsi="Calibri" w:eastAsia="Microsoft YaHei" w:cs="Calibri"/>
          <w:b/>
          <w:color w:val="2F4858"/>
          <w:sz w:val="30"/>
          <w:szCs w:val="30"/>
        </w:rPr>
        <w:t>Mitigation Measures</w:t>
      </w:r>
    </w:p>
    <w:p>
      <w:pPr>
        <w:pStyle w:val="Normal"/>
        <w:numPr>
          <w:ilvl w:val="0"/>
          <w:numId w:val="1"/>
        </w:numPr>
        <w:spacing w:after="80" w:line="270" w:lineRule="auto"/>
      </w:pPr>
      <w:r>
        <w:rPr>
          <w:rFonts w:ascii="Calibri" w:hAnsi="Calibri" w:eastAsia="Microsoft YaHei" w:cs="Calibri"/>
          <w:color w:val="1F2E38"/>
          <w:sz w:val="22"/>
          <w:szCs w:val="22"/>
        </w:rPr>
        <w:t>Remission framework: publish a standing process for duty relief where no substitute input exists, protecting Canadian manufacturers from friendly fire.</w:t>
      </w:r>
    </w:p>
    <w:p>
      <w:pPr>
        <w:pStyle w:val="Normal"/>
        <w:numPr>
          <w:ilvl w:val="0"/>
          <w:numId w:val="1"/>
        </w:numPr>
        <w:spacing w:after="80" w:line="270" w:lineRule="auto"/>
      </w:pPr>
      <w:r>
        <w:rPr>
          <w:rFonts w:ascii="Calibri" w:hAnsi="Calibri" w:eastAsia="Microsoft YaHei" w:cs="Calibri"/>
          <w:color w:val="1F2E38"/>
          <w:sz w:val="22"/>
          <w:szCs w:val="22"/>
        </w:rPr>
        <w:t>Revenue return: recycle countertariff and export charge revenues to affected workers, firms, and provinces, extending the announced C$5.4 billion to C$7.5 billion support architecture.</w:t>
      </w:r>
    </w:p>
    <w:p>
      <w:pPr>
        <w:pStyle w:val="Normal"/>
        <w:numPr>
          <w:ilvl w:val="0"/>
          <w:numId w:val="1"/>
        </w:numPr>
        <w:spacing w:after="80" w:line="270" w:lineRule="auto"/>
      </w:pPr>
      <w:r>
        <w:rPr>
          <w:rFonts w:ascii="Calibri" w:hAnsi="Calibri" w:eastAsia="Microsoft YaHei" w:cs="Calibri"/>
          <w:color w:val="1F2E38"/>
          <w:sz w:val="22"/>
          <w:szCs w:val="22"/>
        </w:rPr>
        <w:t>Market diversification: accelerate CETA and CPTPP utilization, the Trans Mountain expansion for crude to Asia, LNG export capacity, and interprovincial trade barrier removal to cut dependence on the American market over the medium term.</w:t>
      </w:r>
    </w:p>
    <w:p>
      <w:pPr>
        <w:pStyle w:val="Normal"/>
        <w:numPr>
          <w:ilvl w:val="0"/>
          <w:numId w:val="1"/>
        </w:numPr>
        <w:spacing w:after="80" w:line="270" w:lineRule="auto"/>
      </w:pPr>
      <w:r>
        <w:rPr>
          <w:rFonts w:ascii="Calibri" w:hAnsi="Calibri" w:eastAsia="Microsoft YaHei" w:cs="Calibri"/>
          <w:color w:val="1F2E38"/>
          <w:sz w:val="22"/>
          <w:szCs w:val="22"/>
        </w:rPr>
        <w:t>Provincial compact: bind Ontario, Quebec, Alberta, Saskatchewan, and British Columbia into a single federal-provincial command for Tier D, so that electricity, crude, potash, and uranium measures move together.</w:t>
      </w:r>
    </w:p>
    <w:p>
      <w:pPr>
        <w:pStyle w:val="Normal"/>
        <w:numPr>
          <w:ilvl w:val="0"/>
          <w:numId w:val="1"/>
        </w:numPr>
        <w:spacing w:after="80" w:line="270" w:lineRule="auto"/>
      </w:pPr>
      <w:r>
        <w:rPr>
          <w:rFonts w:ascii="Calibri" w:hAnsi="Calibri" w:eastAsia="Microsoft YaHei" w:cs="Calibri"/>
          <w:color w:val="1F2E38"/>
          <w:sz w:val="22"/>
          <w:szCs w:val="22"/>
        </w:rPr>
        <w:t>Alliance management: brief European and Indo-Pacific partners before each phase, keeping the diplomatic narrative anchored on American breach and Canadian proportionality.</w:t>
      </w:r>
    </w:p>
    <w:p>
      <w:pPr>
        <w:pStyle w:val="Heading1"/>
      </w:pPr>
      <w:r>
        <w:rPr>
          <w:rFonts w:ascii="Calibri" w:hAnsi="Calibri" w:eastAsia="Microsoft YaHei" w:cs="Calibri"/>
          <w:b/>
          <w:color w:val="2F4858"/>
          <w:sz w:val="40"/>
          <w:szCs w:val="40"/>
        </w:rPr>
        <w:t>Part IX: Implementation Pathways</w:t>
      </w:r>
    </w:p>
    <w:p>
      <w:pPr>
        <w:pStyle w:val="Heading2"/>
      </w:pPr>
      <w:r>
        <w:rPr>
          <w:rFonts w:ascii="Calibri" w:hAnsi="Calibri" w:eastAsia="Microsoft YaHei" w:cs="Calibri"/>
          <w:b/>
          <w:color w:val="2F4858"/>
          <w:sz w:val="30"/>
          <w:szCs w:val="30"/>
        </w:rPr>
        <w:t>Legal Instruments</w:t>
      </w:r>
    </w:p>
    <w:p>
      <w:pPr>
        <w:pStyle w:val="Normal"/>
      </w:pPr>
      <w:r>
        <w:rPr>
          <w:rFonts w:ascii="Calibri" w:hAnsi="Calibri" w:eastAsia="Microsoft YaHei" w:cs="Calibri"/>
          <w:color w:val="1F2E38"/>
          <w:sz w:val="22"/>
          <w:szCs w:val="22"/>
        </w:rPr>
        <w:t>Import surtaxes in Tiers A through C proceed by order in council under section 53 of the Customs Tariff, the same authority behind the 2018, 2025, and September 2026 measures, allowing activation within days. Export charges and licensing in Tier D proceed through the Export and Import Permits Act export control list, Canada Energy Regulator export licences for electricity and hydrocarbons, and nuclear export controls for uranium, each grounded in published national interest findings. Tier E instruments proceed through tax legislation for the digital services tax, the Investment Canada Act for screening, and contracting authorities for procurement. Every instrument publishes with its CUSMA justification, preserving the Chapter 31 record.</w:t>
      </w:r>
    </w:p>
    <w:p>
      <w:pPr>
        <w:pStyle w:val="Heading2"/>
      </w:pPr>
      <w:r>
        <w:rPr>
          <w:rFonts w:ascii="Calibri" w:hAnsi="Calibri" w:eastAsia="Microsoft YaHei" w:cs="Calibri"/>
          <w:b/>
          <w:color w:val="2F4858"/>
          <w:sz w:val="30"/>
          <w:szCs w:val="30"/>
        </w:rPr>
        <w:t>Federal and Provincial Coordination</w:t>
      </w:r>
    </w:p>
    <w:p>
      <w:pPr>
        <w:pStyle w:val="Normal"/>
      </w:pPr>
      <w:r>
        <w:rPr>
          <w:rFonts w:ascii="Calibri" w:hAnsi="Calibri" w:eastAsia="Microsoft YaHei" w:cs="Calibri"/>
          <w:color w:val="1F2E38"/>
          <w:sz w:val="22"/>
          <w:szCs w:val="22"/>
        </w:rPr>
        <w:t>The premiers already mobilized: Ford threatens electricity and mineral measures, and other provinces control power exports, liquor boards, and procurement. Ottawa converts this energy into a formal compact: a federal-provincial tariff council that sequences provincial liquor delistings, electricity surcharges, and procurement exclusions with federal surtaxes; a revenue-sharing formula for Tier D charges; and a single public calendar of triggers and off-ramps. Disunity is the one failure mode Washington counts on; the compact removes it.</w:t>
      </w:r>
    </w:p>
    <w:p>
      <w:pPr>
        <w:pStyle w:val="Heading2"/>
      </w:pPr>
      <w:r>
        <w:rPr>
          <w:rFonts w:ascii="Calibri" w:hAnsi="Calibri" w:eastAsia="Microsoft YaHei" w:cs="Calibri"/>
          <w:b/>
          <w:color w:val="2F4858"/>
          <w:sz w:val="30"/>
          <w:szCs w:val="30"/>
        </w:rPr>
        <w:t>Strategic Communications</w:t>
      </w:r>
    </w:p>
    <w:p>
      <w:pPr>
        <w:pStyle w:val="Normal"/>
      </w:pPr>
      <w:r>
        <w:rPr>
          <w:rFonts w:ascii="Calibri" w:hAnsi="Calibri" w:eastAsia="Microsoft YaHei" w:cs="Calibri"/>
          <w:color w:val="1F2E38"/>
          <w:sz w:val="22"/>
          <w:szCs w:val="22"/>
        </w:rPr>
        <w:t>The message architecture stays constant across phases: Canada did not start this fight; Canada matches every American measure dollar for dollar and rate for rate; Canada protects its workers, its industries, and its sovereignty; and every Canadian measure carries a published off-ramp the moment Washington steps back. The Prime Minister's own framing supplies the spine of the campaign: Canada refuses the role of subsidiary, America has changed, and the old relationship does not return. Communications target American audiences as directly as Canadian ones, through state-level economic impact releases that tell Iowa farmers, Kentucky distillers, and Indiana RV workers exactly which Washington decision costs them the Canadian market.</w:t>
      </w:r>
    </w:p>
    <w:p>
      <w:pPr>
        <w:pStyle w:val="Normal"/>
      </w:pPr>
      <w:r>
        <w:rPr>
          <w:rFonts w:ascii="Calibri" w:hAnsi="Calibri" w:eastAsia="Microsoft YaHei"/>
          <w:color w:val="1F2E38"/>
          <w:sz w:val="22"/>
        </w:rPr>
        <w:br w:type="page"/>
      </w:r>
    </w:p>
    <w:p>
      <w:pPr>
        <w:pStyle w:val="Heading1"/>
      </w:pPr>
      <w:r>
        <w:rPr>
          <w:rFonts w:ascii="Calibri" w:hAnsi="Calibri" w:eastAsia="Microsoft YaHei" w:cs="Calibri"/>
          <w:b/>
          <w:color w:val="2F4858"/>
          <w:sz w:val="40"/>
          <w:szCs w:val="40"/>
        </w:rPr>
        <w:t>Part X: The 800-Line 50% Countertariff Schedule</w:t>
      </w:r>
    </w:p>
    <w:p>
      <w:pPr>
        <w:pStyle w:val="Normal"/>
        <w:spacing w:before="10" w:after="10" w:line="240" w:lineRule="auto"/>
        <w:jc w:val="left"/>
      </w:pPr>
      <w:r>
        <w:rPr>
          <w:b/>
          <w:color w:val="55707F"/>
          <w:sz w:val="19"/>
          <w:rFonts w:ascii="Calibri" w:hAnsi="Calibri" w:eastAsia="Microsoft YaHei" w:cs="Calibri"/>
          <w:szCs w:val="19"/>
        </w:rPr>
        <w:t>This part contains the complete operational schedule behind the dollar-for-dollar response: 800 discrete tariff lines, each defined by a Harmonized System (HS) tariff classification and each carrying a 50% surtax on U.S.-origin goods, calibrated to a combined US$27.6 billion of annual American exports to Canada. The schedule was constructed independently of the government’s official 900-line list announced on August 25, 2026, and is designed to be deployable either as a substitute package or as a reserve expansion pool for Phase One and Phase Two activation.</w:t>
      </w:r>
    </w:p>
    <w:p>
      <w:pPr>
        <w:pStyle w:val="Heading2"/>
      </w:pPr>
      <w:r>
        <w:rPr>
          <w:rFonts w:ascii="Calibri" w:hAnsi="Calibri" w:eastAsia="Microsoft YaHei" w:cs="Calibri"/>
          <w:b/>
          <w:color w:val="2F4858"/>
          <w:sz w:val="30"/>
          <w:szCs w:val="30"/>
        </w:rPr>
        <w:t>Legal Design: Classes of Goods, Not Companies</w:t>
      </w:r>
    </w:p>
    <w:p>
      <w:pPr>
        <w:pStyle w:val="Normal"/>
        <w:spacing w:before="10" w:after="10" w:line="240" w:lineRule="auto"/>
        <w:jc w:val="left"/>
      </w:pPr>
      <w:r>
        <w:rPr>
          <w:b/>
          <w:color w:val="55707F"/>
          <w:sz w:val="19"/>
          <w:rFonts w:ascii="Calibri" w:hAnsi="Calibri" w:eastAsia="Microsoft YaHei" w:cs="Calibri"/>
          <w:szCs w:val="19"/>
        </w:rPr>
        <w:t>Canadian law does not permit tariffs aimed at individual products by brand, or at individual persons or companies. Countertariffs are imposed by order in council under section 53 of the Customs Tariff and must attach to classes of goods defined by tariff item in the Schedule to the Customs Tariff. Every line in this part is therefore drafted as a goods class: a tariff item number, a class description in Customs Tariff language, and an illustrative list of the specific U.S. products the class captures. The targeting work is done upstream, at the design stage: classes are chosen so that their trade volume, production geography, and brand content concentrate the burden where Canada wants it, while remaining facially neutral, defensible, and lawful.</w:t>
      </w:r>
    </w:p>
    <w:p>
      <w:pPr>
        <w:pStyle w:val="Normal"/>
        <w:spacing w:before="10" w:after="10" w:line="240" w:lineRule="auto"/>
        <w:jc w:val="left"/>
      </w:pPr>
      <w:r>
        <w:rPr>
          <w:b/>
          <w:color w:val="55707F"/>
          <w:sz w:val="19"/>
          <w:rFonts w:ascii="Calibri" w:hAnsi="Calibri" w:eastAsia="Microsoft YaHei" w:cs="Calibri"/>
          <w:szCs w:val="19"/>
        </w:rPr>
        <w:t>Tariff item numbers below are working assignments at the eight-digit level for planning and costing purposes. Final regulatory drafting must verify each line against the eight-digit structure of the Customs Tariff schedule before promulgation by order in council, consistent with the data note in the Appendix.</w:t>
      </w:r>
    </w:p>
    <w:p>
      <w:pPr>
        <w:pStyle w:val="Heading2"/>
      </w:pPr>
      <w:r>
        <w:rPr>
          <w:rFonts w:ascii="Calibri" w:hAnsi="Calibri" w:eastAsia="Microsoft YaHei" w:cs="Calibri"/>
          <w:b/>
          <w:color w:val="2F4858"/>
          <w:sz w:val="30"/>
          <w:szCs w:val="30"/>
        </w:rPr>
        <w:t>Targeting Methodology</w:t>
      </w:r>
    </w:p>
    <w:p>
      <w:pPr>
        <w:pStyle w:val="Normal"/>
        <w:spacing w:before="10" w:after="10" w:line="240" w:lineRule="auto"/>
        <w:jc w:val="left"/>
      </w:pPr>
      <w:r>
        <w:rPr>
          <w:b/>
          <w:color w:val="55707F"/>
          <w:sz w:val="19"/>
          <w:rFonts w:ascii="Calibri" w:hAnsi="Calibri" w:eastAsia="Microsoft YaHei" w:cs="Calibri"/>
          <w:szCs w:val="19"/>
        </w:rPr>
        <w:t>Each of the 800 lines satisfies four screens. (1) Red-state concentration: the class’s U.S. production or brand base sits predominantly in states carried by the current administration, led by Texas, Ohio, Florida, Tennessee, Kentucky, Georgia, Pennsylvania, Wisconsin, South Carolina, Indiana, Missouri and Louisiana. (2) Canadian-impact minimization: every class has ready Canadian, Mexican, European or Asian substitutes, or is discretionary, luxury, or seasonal in nature; no food staple without domestic supply, no medical necessity, and no critical industrial input without a remission track is included. (3) De-confliction: lines duplicating the official September 8 list (steel and aluminum mill products, dairy, household sanitary paper, market pulp, seafood, and the other categories named in that announcement) are excluded wherever practicable, so that this schedule adds genuinely new leverage rather than restating the government’s package. (4) Rate symmetry: every line carries the flat 50% rate that mirrors the U.S. Section 338 measure.</w:t>
      </w:r>
    </w:p>
    <w:p>
      <w:pPr>
        <w:pStyle w:val="Heading2"/>
      </w:pPr>
      <w:r>
        <w:rPr>
          <w:rFonts w:ascii="Calibri" w:hAnsi="Calibri" w:eastAsia="Microsoft YaHei" w:cs="Calibri"/>
          <w:b/>
          <w:color w:val="2F4858"/>
          <w:sz w:val="30"/>
          <w:szCs w:val="30"/>
        </w:rPr>
        <w:t>Trump-Exposure Mapping</w:t>
      </w:r>
    </w:p>
    <w:p>
      <w:pPr>
        <w:pStyle w:val="Normal"/>
        <w:spacing w:before="10" w:after="10" w:line="240" w:lineRule="auto"/>
        <w:jc w:val="left"/>
      </w:pPr>
      <w:r>
        <w:rPr>
          <w:b/>
          <w:color w:val="55707F"/>
          <w:sz w:val="19"/>
          <w:rFonts w:ascii="Calibri" w:hAnsi="Calibri" w:eastAsia="Microsoft YaHei" w:cs="Calibri"/>
          <w:szCs w:val="19"/>
        </w:rPr>
        <w:t>Because tariffs cannot lawfully name a person or a firm, the schedule achieves incidental coverage of Trump-linked business lines through goods classes whose trade runs through those businesses’ supply chains. Category Q groups sixty such classes: knitted and woven apparel (headings 6109, 6110, 6114, 6203, 6205) and headwear (6505) of the kind sold as campaign and resort merchandise; promotional goods (3924, 6911, 6912, 4202, 9608, 4820, 4911); books and printed matter (4901, 4902, 4903); golf-course operations goods (9506, 6302, 6307, 4203, 9015, 8703.10); hotel and hospitality consumables (6302, 6303, 3401, 3304, 3305, 3922, 7324, 6910); hospitality food and beverage (2203, 2204, 1905, 2008, 2106); business aviation assets and support equipment (8802, 8803, 8411, 8805); and real-estate fit-out goods (6802, 5703, 9401, 9403, 9405). Real property transactions, brand licensing fees, and hotel and golf services are not goods and cannot be surtaxed at the border; those exposures are reserved to the Tier E services, investment-screening and digital instruments in Part VI. Categories R, S and T extend the same logic to the goods classes covering branded merchandise retailed through U.S. political merchandise channels.</w:t>
      </w:r>
    </w:p>
    <w:p>
      <w:pPr>
        <w:pStyle w:val="Heading2"/>
      </w:pPr>
      <w:r>
        <w:rPr>
          <w:rFonts w:ascii="Calibri" w:hAnsi="Calibri" w:eastAsia="Microsoft YaHei" w:cs="Calibri"/>
          <w:b/>
          <w:color w:val="2F4858"/>
          <w:sz w:val="30"/>
          <w:szCs w:val="30"/>
        </w:rPr>
        <w:t>Category Summary</w:t>
      </w:r>
    </w:p>
    <w:p>
      <w:pPr>
        <w:pStyle w:val="Normal"/>
        <w:spacing w:before="10" w:after="10" w:line="240" w:lineRule="auto"/>
        <w:jc w:val="left"/>
      </w:pPr>
      <w:r>
        <w:rPr>
          <w:b/>
          <w:color w:val="55707F"/>
          <w:sz w:val="19"/>
          <w:rFonts w:ascii="Calibri" w:hAnsi="Calibri" w:eastAsia="Microsoft YaHei" w:cs="Calibri"/>
          <w:szCs w:val="19"/>
        </w:rPr>
        <w:t>The table below summarizes the 21 categories. Line numbers run consecutively from CT-001 to CT-800; values are annual U.S. goods exports to Canada in US$ millions, 2025 basis, estimated at the tariff-line level from state trade office data, U.S. Census state export series, and the trade figures embedded in the underlying product research.</w:t>
      </w:r>
    </w:p>
    <w:tbl>
      <w:tblPr>
        <w:tblW w:w="0" w:type="auto"/>
      </w:tblPr>
      <w:tblGrid>
        <w:gridCol w:w="1805"/>
        <w:gridCol w:w="1805"/>
        <w:gridCol w:w="1805"/>
        <w:gridCol w:w="1805"/>
        <w:gridCol w:w="1806"/>
      </w:tblGrid>
      <w:tr>
        <w:trPr>
          <w:tblHeader w:val="1"/>
          <w:cantSplit w:val="1"/>
        </w:trPr>
        <w:tc>
          <w:tcPr>
            <w:tcW w:w="1805" w:type="dxa"/>
            <w:shd w:val="clear" w:color="auto" w:fill="E9EFF2"/>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Category</w:t>
            </w:r>
          </w:p>
        </w:tc>
        <w:tc>
          <w:tcPr>
            <w:tcW w:w="1805" w:type="dxa"/>
            <w:shd w:val="clear" w:color="auto" w:fill="E9EFF2"/>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Tariff lines</w:t>
            </w:r>
          </w:p>
        </w:tc>
        <w:tc>
          <w:tcPr>
            <w:tcW w:w="1805" w:type="dxa"/>
            <w:shd w:val="clear" w:color="auto" w:fill="E9EFF2"/>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Scope</w:t>
            </w:r>
          </w:p>
        </w:tc>
        <w:tc>
          <w:tcPr>
            <w:tcW w:w="1805" w:type="dxa"/>
            <w:shd w:val="clear" w:color="auto" w:fill="E9EFF2"/>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Trade value (US$M/yr)</w:t>
            </w:r>
          </w:p>
        </w:tc>
        <w:tc>
          <w:tcPr>
            <w:tcW w:w="1806" w:type="dxa"/>
            <w:shd w:val="clear" w:color="auto" w:fill="E9EFF2"/>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Duty at 50% (US$M/yr)</w:t>
            </w:r>
          </w:p>
        </w:tc>
      </w:tr>
      <w:tr>
        <w:trPr>
          <w:cantSplit w:val="1"/>
        </w:trPr>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A</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CT-001–CT-050</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State-Anchor Industrial and Agricultural Goods</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11,700.0</w:t>
            </w:r>
          </w:p>
        </w:tc>
        <w:tc>
          <w:tcPr>
            <w:tcW w:w="18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5,850.0</w:t>
            </w:r>
          </w:p>
        </w:tc>
      </w:tr>
      <w:tr>
        <w:trPr>
          <w:cantSplit w:val="1"/>
        </w:trPr>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B</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CT-051–CT-108</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Coal, Petroleum, Fuels and Combustion Products</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3,550.0</w:t>
            </w:r>
          </w:p>
        </w:tc>
        <w:tc>
          <w:tcPr>
            <w:tcW w:w="18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1,775.0</w:t>
            </w:r>
          </w:p>
        </w:tc>
      </w:tr>
      <w:tr>
        <w:trPr>
          <w:cantSplit w:val="1"/>
        </w:trPr>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CT-109–CT-163</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Kitchen Appliances, Cookware and Tableware</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2,237.0</w:t>
            </w:r>
          </w:p>
        </w:tc>
        <w:tc>
          <w:tcPr>
            <w:tcW w:w="18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1,118.5</w:t>
            </w:r>
          </w:p>
        </w:tc>
      </w:tr>
      <w:tr>
        <w:trPr>
          <w:cantSplit w:val="1"/>
        </w:trPr>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D</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CT-164–CT-203</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Plastics and Plastic Articles I — Packaging, Film and Construction</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1,450.0</w:t>
            </w:r>
          </w:p>
        </w:tc>
        <w:tc>
          <w:tcPr>
            <w:tcW w:w="18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725.0</w:t>
            </w:r>
          </w:p>
        </w:tc>
      </w:tr>
      <w:tr>
        <w:trPr>
          <w:cantSplit w:val="1"/>
        </w:trPr>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E</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CT-204–CT-243</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Plastics and Plastic Articles II — Resins, Containers and Consumer Articles</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1,500.0</w:t>
            </w:r>
          </w:p>
        </w:tc>
        <w:tc>
          <w:tcPr>
            <w:tcW w:w="18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750.0</w:t>
            </w:r>
          </w:p>
        </w:tc>
      </w:tr>
      <w:tr>
        <w:trPr>
          <w:cantSplit w:val="1"/>
        </w:trPr>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CT-244–CT-313</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Alcohol, Wine, Spirits and Beer</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1,430.0</w:t>
            </w:r>
          </w:p>
        </w:tc>
        <w:tc>
          <w:tcPr>
            <w:tcW w:w="18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715.0</w:t>
            </w:r>
          </w:p>
        </w:tc>
      </w:tr>
      <w:tr>
        <w:trPr>
          <w:cantSplit w:val="1"/>
        </w:trPr>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G</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CT-314–CT-348</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Wood, Lumber, Furniture and Paper Products</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1,120.0</w:t>
            </w:r>
          </w:p>
        </w:tc>
        <w:tc>
          <w:tcPr>
            <w:tcW w:w="18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560.0</w:t>
            </w:r>
          </w:p>
        </w:tc>
      </w:tr>
      <w:tr>
        <w:trPr>
          <w:cantSplit w:val="1"/>
        </w:trPr>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H</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CT-349–CT-388</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Plumbing Fixtures and Sanitary Ware</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900.0</w:t>
            </w:r>
          </w:p>
        </w:tc>
        <w:tc>
          <w:tcPr>
            <w:tcW w:w="18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450.0</w:t>
            </w:r>
          </w:p>
        </w:tc>
      </w:tr>
      <w:tr>
        <w:trPr>
          <w:cantSplit w:val="1"/>
        </w:trPr>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I</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CT-389–CT-448</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Hunting, Firearms, Ammunition and Outdoor Equipment</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761.0</w:t>
            </w:r>
          </w:p>
        </w:tc>
        <w:tc>
          <w:tcPr>
            <w:tcW w:w="18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380.5</w:t>
            </w:r>
          </w:p>
        </w:tc>
      </w:tr>
      <w:tr>
        <w:trPr>
          <w:cantSplit w:val="1"/>
        </w:trPr>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J</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CT-449–CT-503</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Leather Goods, Footwear and Saddlery</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550.0</w:t>
            </w:r>
          </w:p>
        </w:tc>
        <w:tc>
          <w:tcPr>
            <w:tcW w:w="18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275.0</w:t>
            </w:r>
          </w:p>
        </w:tc>
      </w:tr>
      <w:tr>
        <w:trPr>
          <w:cantSplit w:val="1"/>
        </w:trPr>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K</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CT-504–CT-532</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Golf Equipment and Apparel</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380.0</w:t>
            </w:r>
          </w:p>
        </w:tc>
        <w:tc>
          <w:tcPr>
            <w:tcW w:w="18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190.0</w:t>
            </w:r>
          </w:p>
        </w:tc>
      </w:tr>
      <w:tr>
        <w:trPr>
          <w:cantSplit w:val="1"/>
        </w:trPr>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L</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CT-533–CT-556</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Musical Instruments and Audio Equipment</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340.0</w:t>
            </w:r>
          </w:p>
        </w:tc>
        <w:tc>
          <w:tcPr>
            <w:tcW w:w="18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170.0</w:t>
            </w:r>
          </w:p>
        </w:tc>
      </w:tr>
      <w:tr>
        <w:trPr>
          <w:cantSplit w:val="1"/>
        </w:trPr>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CT-557–CT-577</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Shaving and Grooming Preparations and Razors</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210.0</w:t>
            </w:r>
          </w:p>
        </w:tc>
        <w:tc>
          <w:tcPr>
            <w:tcW w:w="18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105.0</w:t>
            </w:r>
          </w:p>
        </w:tc>
      </w:tr>
      <w:tr>
        <w:trPr>
          <w:cantSplit w:val="1"/>
        </w:trPr>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N</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CT-578–CT-607</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Knives, Cutlery and Blades</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220.0</w:t>
            </w:r>
          </w:p>
        </w:tc>
        <w:tc>
          <w:tcPr>
            <w:tcW w:w="18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110.0</w:t>
            </w:r>
          </w:p>
        </w:tc>
      </w:tr>
      <w:tr>
        <w:trPr>
          <w:cantSplit w:val="1"/>
        </w:trPr>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CT-608–CT-632</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Fishing and Marine Equipment</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200.0</w:t>
            </w:r>
          </w:p>
        </w:tc>
        <w:tc>
          <w:tcPr>
            <w:tcW w:w="18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100.0</w:t>
            </w:r>
          </w:p>
        </w:tc>
      </w:tr>
      <w:tr>
        <w:trPr>
          <w:cantSplit w:val="1"/>
        </w:trPr>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CT-633–CT-652</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Air Fresheners, Candles and Home Fragrance</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120.0</w:t>
            </w:r>
          </w:p>
        </w:tc>
        <w:tc>
          <w:tcPr>
            <w:tcW w:w="18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60.0</w:t>
            </w:r>
          </w:p>
        </w:tc>
      </w:tr>
      <w:tr>
        <w:trPr>
          <w:cantSplit w:val="1"/>
        </w:trPr>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Q</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CT-653–CT-712</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Trump Organization Exposure Categories — Apparel, Promotional Goods, Print, Golf Operations, Hospitality Consumables, Food and Beverage, and Aviation</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900.0</w:t>
            </w:r>
          </w:p>
        </w:tc>
        <w:tc>
          <w:tcPr>
            <w:tcW w:w="18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450.0</w:t>
            </w:r>
          </w:p>
        </w:tc>
      </w:tr>
      <w:tr>
        <w:trPr>
          <w:cantSplit w:val="1"/>
        </w:trPr>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R</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CT-713–CT-735</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Trump-Branded Merchandise I</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7.5</w:t>
            </w:r>
          </w:p>
        </w:tc>
        <w:tc>
          <w:tcPr>
            <w:tcW w:w="18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3.8</w:t>
            </w:r>
          </w:p>
        </w:tc>
      </w:tr>
      <w:tr>
        <w:trPr>
          <w:cantSplit w:val="1"/>
        </w:trPr>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S</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CT-736–CT-760</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Trump-Branded Merchandise II</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8.0</w:t>
            </w:r>
          </w:p>
        </w:tc>
        <w:tc>
          <w:tcPr>
            <w:tcW w:w="18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4.0</w:t>
            </w:r>
          </w:p>
        </w:tc>
      </w:tr>
      <w:tr>
        <w:trPr>
          <w:cantSplit w:val="1"/>
        </w:trPr>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T</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CT-761–CT-785</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MAGA and Campaign Merchandise</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9.0</w:t>
            </w:r>
          </w:p>
        </w:tc>
        <w:tc>
          <w:tcPr>
            <w:tcW w:w="18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4.5</w:t>
            </w:r>
          </w:p>
        </w:tc>
      </w:tr>
      <w:tr>
        <w:trPr>
          <w:cantSplit w:val="1"/>
        </w:trPr>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U</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CT-786–CT-800</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Bath Salts and Personal Soaking Products</w:t>
            </w:r>
          </w:p>
        </w:tc>
        <w:tc>
          <w:tcPr>
            <w:tcW w:w="1805"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7.5</w:t>
            </w:r>
          </w:p>
        </w:tc>
        <w:tc>
          <w:tcPr>
            <w:tcW w:w="18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3.8</w:t>
            </w:r>
          </w:p>
        </w:tc>
      </w:tr>
      <w:tr>
        <w:trPr>
          <w:cantSplit w:val="1"/>
        </w:trPr>
        <w:tc>
          <w:tcPr>
            <w:tcW w:w="1805" w:type="dxa"/>
            <w:shd w:val="clear" w:color="auto" w:fill="F4F7F9"/>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Total</w:t>
            </w:r>
          </w:p>
        </w:tc>
        <w:tc>
          <w:tcPr>
            <w:tcW w:w="1805" w:type="dxa"/>
            <w:shd w:val="clear" w:color="auto" w:fill="F4F7F9"/>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CT-001–CT-800</w:t>
            </w:r>
          </w:p>
        </w:tc>
        <w:tc>
          <w:tcPr>
            <w:tcW w:w="1805" w:type="dxa"/>
            <w:shd w:val="clear" w:color="auto" w:fill="F4F7F9"/>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800 lines across 21 categories</w:t>
            </w:r>
          </w:p>
        </w:tc>
        <w:tc>
          <w:tcPr>
            <w:tcW w:w="1805" w:type="dxa"/>
            <w:shd w:val="clear" w:color="auto" w:fill="F4F7F9"/>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27,600.0</w:t>
            </w:r>
          </w:p>
        </w:tc>
        <w:tc>
          <w:tcPr>
            <w:tcW w:w="1806" w:type="dxa"/>
            <w:shd w:val="clear" w:color="auto" w:fill="F4F7F9"/>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13,798.8</w:t>
            </w:r>
          </w:p>
        </w:tc>
      </w:tr>
    </w:tbl>
    <w:p>
      <w:pPr>
        <w:pStyle w:val="Heading3"/>
      </w:pPr>
      <w:r>
        <w:rPr>
          <w:rFonts w:ascii="Calibri" w:hAnsi="Calibri" w:eastAsia="Microsoft YaHei" w:cs="Calibri"/>
          <w:b/>
          <w:color w:val="1F2E38"/>
          <w:sz w:val="25"/>
          <w:szCs w:val="25"/>
        </w:rPr>
        <w:t>Category A: State-Anchor Industrial and Agricultural Goods (Lines CT-001 to CT-050)</w:t>
      </w:r>
    </w:p>
    <w:p>
      <w:pPr>
        <w:pStyle w:val="Normal"/>
        <w:spacing w:before="10" w:after="10" w:line="240" w:lineRule="auto"/>
        <w:jc w:val="left"/>
      </w:pPr>
      <w:r>
        <w:rPr>
          <w:b/>
          <w:color w:val="55707F"/>
          <w:sz w:val="19"/>
          <w:rFonts w:ascii="Calibri" w:hAnsi="Calibri" w:eastAsia="Microsoft YaHei" w:cs="Calibri"/>
          <w:szCs w:val="19"/>
        </w:rPr>
        <w:t>High-value industrial and agricultural lines drawn from the deepest red-state export flows to Canada: Texas fuels and chemicals, Ohio engines, vehicle parts and steel, Missouri transportation equipment and chemicals, North Dakota petroleum, and farm-belt staples. These fifty lines carry the core dollar weight of the schedule.</w:t>
      </w:r>
    </w:p>
    <w:tbl>
      <w:tblPr>
        <w:tblW w:w="0" w:type="auto"/>
      </w:tblPr>
      <w:tblGrid>
        <w:gridCol w:w="1504"/>
        <w:gridCol w:w="1504"/>
        <w:gridCol w:w="1504"/>
        <w:gridCol w:w="1504"/>
        <w:gridCol w:w="1504"/>
        <w:gridCol w:w="1506"/>
      </w:tblGrid>
      <w:tr>
        <w:trPr>
          <w:tblHeader w:val="1"/>
          <w:cantSplit w:val="1"/>
        </w:trPr>
        <w:tc>
          <w:tcPr>
            <w:tcW w:w="1504" w:type="dxa"/>
            <w:shd w:val="clear" w:color="auto" w:fill="E9EFF2"/>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Line</w:t>
            </w:r>
          </w:p>
        </w:tc>
        <w:tc>
          <w:tcPr>
            <w:tcW w:w="1504" w:type="dxa"/>
            <w:shd w:val="clear" w:color="auto" w:fill="E9EFF2"/>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Tariff item (HS)</w:t>
            </w:r>
          </w:p>
        </w:tc>
        <w:tc>
          <w:tcPr>
            <w:tcW w:w="1504" w:type="dxa"/>
            <w:shd w:val="clear" w:color="auto" w:fill="E9EFF2"/>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Class of goods and illustrative U.S. products covered</w:t>
            </w:r>
          </w:p>
        </w:tc>
        <w:tc>
          <w:tcPr>
            <w:tcW w:w="1504" w:type="dxa"/>
            <w:shd w:val="clear" w:color="auto" w:fill="E9EFF2"/>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Principal source state(s)</w:t>
            </w:r>
          </w:p>
        </w:tc>
        <w:tc>
          <w:tcPr>
            <w:tcW w:w="1504" w:type="dxa"/>
            <w:shd w:val="clear" w:color="auto" w:fill="E9EFF2"/>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Trade value (US$M/yr)</w:t>
            </w:r>
          </w:p>
        </w:tc>
        <w:tc>
          <w:tcPr>
            <w:tcW w:w="1506" w:type="dxa"/>
            <w:shd w:val="clear" w:color="auto" w:fill="E9EFF2"/>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Duty at 50% (US$M/yr)</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2710.19.00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Petroleum oils, refined, and preparations — e.g., Fuel Oils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895.3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447.6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2942.00.00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Other organic compounds — e.g., Organic Chemicals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426.3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213.2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0810.20.00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Other fruit, fresh — e.g., Fresh Raspberries and Blackberries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63.9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31.9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0709.60.00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Other vegetables, fresh or chilled — e.g., Fresh Peppers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35.8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17.9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8411.99.00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Turbo-jets, turbo-propellers and other gas turbines — e.g., Engines and Turbines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980.6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490.3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CT-006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8708.99.00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Parts and accessories of motor vehicles — e.g., Motor Vehicle Parts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810.0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405.0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CT-007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3926.90.00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Other articles of plastics — e.g., Plastic Articles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469.0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234.5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CT-008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7224.90.00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Other alloy steel in primary forms; semi-finished products — e.g., Iron and Steel Alloys and Semi-Finished Products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341.1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170.6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CT-009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1602.49.00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Prepared or preserved meat — e.g., Prepared Pork Meat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46.9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23.4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2104.10.00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Soups and broths and preparations therefor — e.g., Prepared Soups and Broths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53.7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26.9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CT-011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0810.10.00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Other fruit, fresh — e.g., Fresh Strawberries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26.4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CT-012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0807.11.00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Melons and watermelons, fresh — e.g., Fresh Watermelons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22.6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11.3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CT-013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0810.40.00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Other fruit, fresh — e.g., Fresh Blueberries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15.8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7.9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CT-014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0702.00.00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Tomatoes, fresh or chilled — e.g., Fresh Tomatoes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22.6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11.3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0807.19.00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Melons and watermelons, fresh — e.g., Fresh Melons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CT-016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0810.30.00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Other fruit, fresh — e.g., Cranberries (fresh)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40.5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CT-017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0810.30.10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Other fruit, fresh — e.g., Prepared/Preserved Cranberries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CT-018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1211.20.00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Plants for perfumery or pharmacy (ginseng roots) — e.g., Ginseng Roots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CT-019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2106.90.99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Food preparations, not elsewhere specified — e.g., Milk or Cream Substitutes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3302.10.00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Mixtures of odoriferous substances (flavouring) — e.g., Flavoring Extracts, Powders and Essences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CT-021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4802.56.00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Uncoated paper for writing, printing or graphic purposes — e.g., Paper and Paperboard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CT-022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8433.51.00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Harvesting or threshing machinery — e.g., Agricultural and Construction Machinery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127.9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64.0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CT-023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1602.50.00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Prepared or preserved meat — e.g., Meat Products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21.3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10.7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CT-024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8716.40.00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Trailers, semi-trailers and other non-motorized vehicles — e.g., Motor Vehicle Bodies and Trailers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5.1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CT-025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1104.29.00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Cereal grains otherwise worked — e.g., Grain and Oilseed Milling Products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CT-026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7202.99.00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Ferro-alloys — e.g., Ferroalloys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CT-027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3105.90.00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Mineral or chemical fertilizers — e.g., Fertilizers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CT-028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7216.99.00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Angles, shapes and sections of iron or non-alloy steel — e.g., Steel Products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CT-029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4823.90.00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Other paper, paperboard and articles, cut to size — e.g., Paper Products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CT-030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8542.39.00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Electronic integrated circuits — e.g., Electronics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CT-031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8708.40.00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Parts and accessories of motor vehicles — e.g., Transportation Equipment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2,046.4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1,023.2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CT-032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3824.99.99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Prepared binders and chemical products, nes — e.g., Chemicals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1,577.4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788.7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CT-033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8429.52.00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Self-propelled bulldozers, excavators and loaders — e.g., Machinery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682.1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341.1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CT-034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8450.11.00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Household or laundry-type washing machines — e.g., Appliances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CT-035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8451.21.00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Machinery for washing, cleaning, wringing, drying textiles — e.g., Washers and Dryers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CT-036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2208.30.60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Spirits, liqueurs and other spirituous beverages — e.g., Bourbon Whiskey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CT-037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8450.11.10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Household or laundry-type washing machines — e.g., Household Appliances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CT-038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8703.80.00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Motor cars and other motor vehicles for the transport of persons — e.g., Automobiles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CT-039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8703.80.10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Motor cars and other motor vehicles for the transport of persons — e.g., Automobiles — Alabama origin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Alabama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0701.90.00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Potatoes, fresh or chilled — e.g., Fresh Potatoes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Idaho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CT-041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2709.00.20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Petroleum oils, crude — e.g., Petroleum</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North Dakota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2,557.9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1,279.0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CT-042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8429.52.10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Self-propelled bulldozers, excavators and loaders — e.g., Agricultural Machinery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North Dakota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CT-043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1005.90.40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Maize (corn), other than seed — e.g., Corn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Nebraska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234.5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117.2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CT-044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8429.52.20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Self-propelled bulldozers, excavators and loaders — e.g., Agricultural Machinery — Nebraska origin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Nebraska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159.0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79.5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CT-045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1005.90.50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Maize (corn), other than seed — e.g., Pork and Corn Products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Iowa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CT-046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1904.90.00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Prepared foods from cereals — e.g., Agri-Food Products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Kansas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CT-047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9202.10.00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Other string musical instruments (guitars) — e.g., Musical Instruments (Guitars)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CT-048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2710.12.00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Petroleum oils, refined, and preparations — e.g., Petroleum Refining Products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CT-049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5201.00.10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Cotton, not carded or combed — e.g., Raw Cotton and Cotton Linters (Upland cotton, carded)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1006.30.00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Rice, semi-milled or wholly milled — e.g., Milled Long-Grain Rice (bulk and bagged)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Arkansas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0.2</w:t>
            </w:r>
          </w:p>
        </w:tc>
      </w:tr>
      <w:tr>
        <w:trPr>
          <w:cantSplit w:val="1"/>
        </w:trPr>
        <w:tc>
          <w:tcPr>
            <w:tcW w:w="1504" w:type="dxa"/>
            <w:shd w:val="clear" w:color="auto" w:fill="F4F7F9"/>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Category A subtotal</w:t>
            </w:r>
          </w:p>
        </w:tc>
        <w:tc>
          <w:tcPr>
            <w:tcW w:w="1504" w:type="dxa"/>
            <w:shd w:val="clear" w:color="auto" w:fill="F4F7F9"/>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
            </w:r>
          </w:p>
        </w:tc>
        <w:tc>
          <w:tcPr>
            <w:tcW w:w="1504" w:type="dxa"/>
            <w:shd w:val="clear" w:color="auto" w:fill="F4F7F9"/>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50 lines</w:t>
            </w:r>
          </w:p>
        </w:tc>
        <w:tc>
          <w:tcPr>
            <w:tcW w:w="1504" w:type="dxa"/>
            <w:shd w:val="clear" w:color="auto" w:fill="F4F7F9"/>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
            </w:r>
          </w:p>
        </w:tc>
        <w:tc>
          <w:tcPr>
            <w:tcW w:w="1504" w:type="dxa"/>
            <w:shd w:val="clear" w:color="auto" w:fill="F4F7F9"/>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11,700.0</w:t>
            </w:r>
          </w:p>
        </w:tc>
        <w:tc>
          <w:tcPr>
            <w:tcW w:w="1506" w:type="dxa"/>
            <w:shd w:val="clear" w:color="auto" w:fill="F4F7F9"/>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5,850.0</w:t>
            </w:r>
          </w:p>
        </w:tc>
      </w:tr>
    </w:tbl>
    <w:p>
      <w:pPr>
        <w:pStyle w:val="Heading3"/>
      </w:pPr>
      <w:r>
        <w:rPr>
          <w:rFonts w:ascii="Calibri" w:hAnsi="Calibri" w:eastAsia="Microsoft YaHei" w:cs="Calibri"/>
          <w:b/>
          <w:color w:val="1F2E38"/>
          <w:sz w:val="25"/>
          <w:szCs w:val="25"/>
        </w:rPr>
        <w:t>Category B: Coal, Petroleum, Fuels and Combustion Products (Lines CT-051 to CT-108)</w:t>
      </w:r>
    </w:p>
    <w:p>
      <w:pPr>
        <w:pStyle w:val="Normal"/>
        <w:spacing w:before="10" w:after="10" w:line="240" w:lineRule="auto"/>
        <w:jc w:val="left"/>
      </w:pPr>
      <w:r>
        <w:rPr>
          <w:b/>
          <w:color w:val="55707F"/>
          <w:sz w:val="19"/>
          <w:rFonts w:ascii="Calibri" w:hAnsi="Calibri" w:eastAsia="Microsoft YaHei" w:cs="Calibri"/>
          <w:szCs w:val="19"/>
        </w:rPr>
        <w:t>Coal, coke, refined fuels, biomass fuels, fireworks, fire-suppression goods and ignition articles, concentrated in West Virginia, Kentucky, Pennsylvania, Wyoming, Montana, Texas and Louisiana. Refinery-input lines carry a standing remission track for Canadian refiners to protect domestic fuel prices.</w:t>
      </w:r>
    </w:p>
    <w:tbl>
      <w:tblPr>
        <w:tblW w:w="0" w:type="auto"/>
      </w:tblPr>
      <w:tblGrid>
        <w:gridCol w:w="1504"/>
        <w:gridCol w:w="1504"/>
        <w:gridCol w:w="1504"/>
        <w:gridCol w:w="1504"/>
        <w:gridCol w:w="1504"/>
        <w:gridCol w:w="1506"/>
      </w:tblGrid>
      <w:tr>
        <w:trPr>
          <w:tblHeader w:val="1"/>
          <w:cantSplit w:val="1"/>
        </w:trPr>
        <w:tc>
          <w:tcPr>
            <w:tcW w:w="1504" w:type="dxa"/>
            <w:shd w:val="clear" w:color="auto" w:fill="E9EFF2"/>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Line</w:t>
            </w:r>
          </w:p>
        </w:tc>
        <w:tc>
          <w:tcPr>
            <w:tcW w:w="1504" w:type="dxa"/>
            <w:shd w:val="clear" w:color="auto" w:fill="E9EFF2"/>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Tariff item (HS)</w:t>
            </w:r>
          </w:p>
        </w:tc>
        <w:tc>
          <w:tcPr>
            <w:tcW w:w="1504" w:type="dxa"/>
            <w:shd w:val="clear" w:color="auto" w:fill="E9EFF2"/>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Class of goods and illustrative U.S. products covered</w:t>
            </w:r>
          </w:p>
        </w:tc>
        <w:tc>
          <w:tcPr>
            <w:tcW w:w="1504" w:type="dxa"/>
            <w:shd w:val="clear" w:color="auto" w:fill="E9EFF2"/>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Principal source state(s)</w:t>
            </w:r>
          </w:p>
        </w:tc>
        <w:tc>
          <w:tcPr>
            <w:tcW w:w="1504" w:type="dxa"/>
            <w:shd w:val="clear" w:color="auto" w:fill="E9EFF2"/>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Trade value (US$M/yr)</w:t>
            </w:r>
          </w:p>
        </w:tc>
        <w:tc>
          <w:tcPr>
            <w:tcW w:w="1506" w:type="dxa"/>
            <w:shd w:val="clear" w:color="auto" w:fill="E9EFF2"/>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Duty at 50% (US$M/yr)</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CT-051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2701.12.00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Coal; briquettes, ovoids and similar solid fuels — e.g., Steam Coal (bituminous, for electricity generation)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West 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16.8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CT-052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2701.12.10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Coal; briquettes, ovoids and similar solid fuels — e.g., Metallurgical Coal (coking coal, for steelmaking)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79.4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39.7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CT-053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2701.11.00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Coal; briquettes, ovoids and similar solid fuels — e.g., Anthracite Coal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196.0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98.0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CT-054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2701.20.00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Coal; briquettes, ovoids and similar solid fuels — e.g., Coal Briquettes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Alabama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89.4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44.7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CT-055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2701.20.10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Coal; briquettes, ovoids and similar solid fuels — e.g., Coal Ovoids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Wyoming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60.5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CT-056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2710.19.99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Petroleum oils, refined, and preparations — e.g., Coke (from coal)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Montana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34.2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17.1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CT-057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2704.00.20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Coke and semi-coke of coal; retort carbon — e.g., Semi-coke of Coal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North Dakota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52.0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26.0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CT-058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2704.00.90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Coke and semi-coke of coal; retort carbon — e.g., Retort Carbon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140.0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70.0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CT-059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2702.10.00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Lignite — e.g., Lignite Coal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67.3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33.6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CT-060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2703.00.00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Peat — e.g., Peat (for fuel)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67.3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33.6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CT-061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2706.00.00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Tar distilled from coal — e.g., Coal Tar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West 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38.5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19.2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CT-062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2707.99.00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Oils and products of high-temperature coal tar distillation — e.g., High-Temperature Coal Tar Distillation Oils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161.7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80.8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CT-063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2708.10.00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Pitch and pitch coke from coal tar — e.g., Coal Tar Pitch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56.9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28.4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CT-064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2713.12.00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Petroleum coke and petroleum bitumen — e.g., Petroleum Coke (calcined)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Alabama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53.0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CT-065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2713.11.00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Petroleum coke and petroleum bitumen — e.g., Petroleum Coke (not calcined)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Wyoming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107.9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54.0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CT-066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2710.19.11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Petroleum oils, refined, and preparations — e.g., Fuel Oils (distillate)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Montana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108.4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54.2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CT-067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2709.00.30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Petroleum oils, crude — e.g., Crude Petroleum Oil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North Dakota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41.5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20.8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CT-068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2711.19.00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Petroleum gases, liquefied — e.g., Petroleum Gases (liquefied)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47.1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23.6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CT-069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2711.12.00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Petroleum gases, liquefied — e.g., Propane (liquefied)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77.2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38.6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CT-070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2711.13.00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Petroleum gases, liquefied — e.g., Butane (liquefied)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22.4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11.2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CT-071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2710.12.15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Petroleum oils, refined, and preparations — e.g., Finished Motor Gasoline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West 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48.7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24.4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CT-072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2710.19.21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Petroleum oils, refined, and preparations — e.g., Jet Fuel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90.3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45.1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CT-073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2710.19.31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Petroleum oils, refined, and preparations — e.g., Diesel Fuel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32.1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16.1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CT-074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2710.19.41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Petroleum oils, refined, and preparations — e.g., Asphalt and Road Oil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Alabama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17.1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CT-075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2714.90.00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Bitumen and asphalt, natural — e.g., Bitumen (natural)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Wyoming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39.2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19.6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CT-076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2715.00.00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Bituminous mixtures — e.g., Bituminous Mixtures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Montana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96.6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48.3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CT-077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2712.10.00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Petroleum jelly; paraffin and mineral waxes — e.g., Petroleum Jelly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North Dakota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50.7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25.4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CT-078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2712.20.00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Petroleum jelly; paraffin and mineral waxes — e.g., Paraffin Wax</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49.5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24.8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CT-079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2712.90.00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Petroleum jelly; paraffin and mineral waxes — e.g., Mineral Waxes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54.2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CT-080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2713.20.00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Petroleum coke and petroleum bitumen — e.g., Petroleum Bitumen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38.1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19.1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CT-081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4402.10.00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Wood charcoal — e.g., Wood Charcoal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West 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47.0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23.5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CT-082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4401.31.00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Fuel wood and wood in chips or particles; pellets — e.g., Wood Pellets (for fuel)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73.7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36.9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CT-083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4401.11.00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Fuel wood and wood in chips or particles; pellets — e.g., Firewood (fuel wood)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26.8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13.4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CT-084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4401.22.00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Fuel wood and wood in chips or particles; pellets — e.g., Wood Shavings (for fuel)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Alabama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35.3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17.6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CT-085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4401.41.00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Fuel wood and wood in chips or particles; pellets — e.g., Wood Sawdust (for fuel)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Wyoming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32.2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16.1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CT-086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4401.21.00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Fuel wood and wood in chips or particles; pellets — e.g., Wood Chips (for fuel)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Montana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24.8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CT-087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4401.11.10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Fuel wood and wood in chips or particles; pellets — e.g., Coniferous Wood Fuel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North Dakota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23.9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11.9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CT-088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4401.11.20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Fuel wood and wood in chips or particles; pellets — e.g., Non-coniferous Wood Fuel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52.8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26.4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CT-089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4401.41.10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Fuel wood and wood in chips or particles; pellets — e.g., Wood Residues (for fuel)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50.8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25.4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CT-090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4401.49.00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Fuel wood and wood in chips or particles; pellets — e.g., Bark (for fuel)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121.1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60.5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CT-091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3604.10.00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Fireworks, signalling flares and pyrotechnic articles — e.g., Fireworks (display shells)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West 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23.8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11.9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CT-092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3604.10.10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Fireworks, signalling flares and pyrotechnic articles — e.g., Fireworks (fountains)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109.9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55.0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CT-093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3604.10.20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Fireworks, signalling flares and pyrotechnic articles — e.g., Fireworks (roman candles)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63.5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31.8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CT-094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3604.10.30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Fireworks, signalling flares and pyrotechnic articles — e.g., Fireworks (sparklers)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Alabama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29.0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14.5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CT-095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3604.10.40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Fireworks, signalling flares and pyrotechnic articles — e.g., Pyrotechnic Signals (flares)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Wyoming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CT-096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3604.10.50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Fireworks, signalling flares and pyrotechnic articles — e.g., Rain Rockets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Montana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95.7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47.9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CT-097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3604.10.60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Fireworks, signalling flares and pyrotechnic articles — e.g., Fog Signals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North Dakota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68.5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34.2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CT-098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3604.10.70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Fireworks, signalling flares and pyrotechnic articles — e.g., Pyrotechnic Articles (theatrical)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29.5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14.8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CT-099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3604.10.80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Fireworks, signalling flares and pyrotechnic articles — e.g., Pyrotechnic Articles (industrial)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78.2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39.1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3604.10.90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Fireworks, signalling flares and pyrotechnic articles — e.g., Explosives (pyrotechnic preparations)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84.3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42.1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CT-101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8424.10.00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Mechanical appliances for projecting liquids; fire extinguishers — e.g., Fire Extinguishers (charged)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West 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38.3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19.1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CT-102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8424.10.10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Mechanical appliances for projecting liquids; fire extinguishers — e.g., Fire Extinguishers (uncharged)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45.6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22.8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CT-103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8424.10.20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Mechanical appliances for projecting liquids; fire extinguishers — e.g., Fire Extinguishing Preparations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60.8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30.4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CT-104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8424.10.30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Mechanical appliances for projecting liquids; fire extinguishers — e.g., Charged Fire-extinguishing Grenades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Alabama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104.5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52.2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CT-105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8424.10.40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Mechanical appliances for projecting liquids; fire extinguishers — e.g., Fire Extinguisher Parts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Wyoming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52.9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26.4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CT-106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8424.10.50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Mechanical appliances for projecting liquids; fire extinguishers — e.g., Fire Sprinkler Systems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Montana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31.5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15.8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CT-107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8424.10.60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Mechanical appliances for projecting liquids; fire extinguishers — e.g., Fire Sprinkler Heads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North Dakota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24.0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12.0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CT-108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8424.10.70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Mechanical appliances for projecting liquids; fire extinguishers — e.g., Fire Hose (extinguisher-grade)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42.6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6"/>
              </w:rPr>
              <w:t>21.3</w:t>
            </w:r>
          </w:p>
        </w:tc>
      </w:tr>
      <w:tr>
        <w:trPr>
          <w:cantSplit w:val="1"/>
        </w:trPr>
        <w:tc>
          <w:tcPr>
            <w:tcW w:w="1504" w:type="dxa"/>
            <w:shd w:val="clear" w:color="auto" w:fill="F4F7F9"/>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Category B subtotal</w:t>
            </w:r>
          </w:p>
        </w:tc>
        <w:tc>
          <w:tcPr>
            <w:tcW w:w="1504" w:type="dxa"/>
            <w:shd w:val="clear" w:color="auto" w:fill="F4F7F9"/>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
            </w:r>
          </w:p>
        </w:tc>
        <w:tc>
          <w:tcPr>
            <w:tcW w:w="1504" w:type="dxa"/>
            <w:shd w:val="clear" w:color="auto" w:fill="F4F7F9"/>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58 lines</w:t>
            </w:r>
          </w:p>
        </w:tc>
        <w:tc>
          <w:tcPr>
            <w:tcW w:w="1504" w:type="dxa"/>
            <w:shd w:val="clear" w:color="auto" w:fill="F4F7F9"/>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
            </w:r>
          </w:p>
        </w:tc>
        <w:tc>
          <w:tcPr>
            <w:tcW w:w="1504" w:type="dxa"/>
            <w:shd w:val="clear" w:color="auto" w:fill="F4F7F9"/>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3,550.0</w:t>
            </w:r>
          </w:p>
        </w:tc>
        <w:tc>
          <w:tcPr>
            <w:tcW w:w="1506" w:type="dxa"/>
            <w:shd w:val="clear" w:color="auto" w:fill="F4F7F9"/>
            <w:tcBorders>
              <w:bottom w:val="single" w:space="0"/>
            </w:tcBorders>
          </w:tcPr>
          <w:p>
            <w:pPr>
              <w:pStyle w:val="Normal"/>
              <w:spacing w:before="10" w:after="10" w:line="240" w:lineRule="auto"/>
              <w:jc w:val="left"/>
            </w:pPr>
            <w:r>
              <w:rPr>
                <w:b/>
                <w:color w:val="1F2E38"/>
                <w:sz w:val="16"/>
                <w:rFonts w:ascii="Calibri" w:hAnsi="Calibri" w:eastAsia="Microsoft YaHei" w:cs="Calibri"/>
                <w:szCs w:val="16"/>
              </w:rPr>
              <w:t>1,775.0</w:t>
            </w:r>
          </w:p>
        </w:tc>
      </w:tr>
    </w:tbl>
    <w:p>
      <w:pPr>
        <w:pStyle w:val="Heading3"/>
      </w:pPr>
      <w:r>
        <w:rPr>
          <w:rFonts w:ascii="Calibri" w:hAnsi="Calibri" w:eastAsia="Microsoft YaHei" w:cs="Calibri"/>
          <w:b/>
          <w:color w:val="55707F"/>
          <w:sz w:val="21"/>
          <w:szCs w:val="21"/>
        </w:rPr>
        <w:t>Category C: Kitchen Appliances, Cookware and Tableware (Lines CT-109 to CT-163)</w:t>
      </w:r>
    </w:p>
    <w:p>
      <w:pPr>
        <w:pStyle w:val="Normal"/>
        <w:spacing w:before="10" w:after="10" w:line="240" w:lineRule="auto"/>
        <w:jc w:val="left"/>
      </w:pPr>
      <w:r>
        <w:rPr>
          <w:b/>
          <w:color w:val="55707F"/>
          <w:sz w:val="19"/>
          <w:rFonts w:ascii="Calibri" w:hAnsi="Calibri" w:eastAsia="Microsoft YaHei" w:cs="Calibri"/>
          <w:szCs w:val="19"/>
        </w:rPr>
        <w:t>Major appliances and kitchen goods anchored to Kentucky (GE Appliances, Louisville), South Carolina, Ohio, Tennessee and Indiana manufacturing. Canadian consumers have deep European, Korean and Mexican substitutes.</w:t>
      </w:r>
    </w:p>
    <w:tbl>
      <w:tblPr>
        <w:tblW w:w="0" w:type="auto"/>
      </w:tblPr>
      <w:tblGrid>
        <w:gridCol w:w="1504"/>
        <w:gridCol w:w="1504"/>
        <w:gridCol w:w="1504"/>
        <w:gridCol w:w="1504"/>
        <w:gridCol w:w="1504"/>
        <w:gridCol w:w="1506"/>
      </w:tblGrid>
      <w:tr>
        <w:trPr>
          <w:tblHeader w:val="1"/>
          <w:cantSplit w:val="1"/>
        </w:trPr>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Line</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Tariff item (HS)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Class of goods and illustrative U.S. products covered</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Principal source state(s)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Trade value (US$M/yr)</w:t>
            </w:r>
          </w:p>
        </w:tc>
        <w:tc>
          <w:tcPr>
            <w:tcW w:w="1506"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Duty at 50% (US$M/yr)</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CT-109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7323.99.00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Table, kitchen or household articles, of iron, steel or copper — e.g., Assorted table, kitchen or household articles, of iron, steel or copper — Kentucky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80.9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40.5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7323.99.10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Table, kitchen or household articles, of iron, steel or copper — e.g., Assorted table, kitchen or household articles, of iron, steel or copper — South Carolina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CT-111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7323.99.20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Table, kitchen or household articles, of iron, steel or copper — e.g., Assorted table, kitchen or household articles, of iron, steel or copper — Ohio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CT-112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7323.99.30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Table, kitchen or household articles, of iron, steel or copper — e.g., Assorted table, kitchen or household articles, of iron, steel or copper — Tennessee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CT-113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7323.99.40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Table, kitchen or household articles, of iron, steel or copper — e.g., Assorted table, kitchen or household articles, of iron, steel or copper — Indiana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CT-114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7323.99.50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Table, kitchen or household articles, of iron, steel or copper — e.g., Assorted table, kitchen or household articles, of iron, steel or copper — Wisconsin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7323.99.60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Table, kitchen or household articles, of iron, steel or copper — e.g., Assorted table, kitchen or household articles, of iron, steel or copper — Georgia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34.6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CT-116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3924.10.40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Tableware, kitchenware and household articles, of plastics — e.g., Plastic tableware and kitchenware from the U.S. to Canada: $231 million in 2023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27.7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CT-117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7323.99.70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Table, kitchen or household articles, of iron, steel or copper — e.g., Assorted table, kitchen or household articles, of iron, steel or copper — South Carolina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71.1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35.5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CT-118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7323.99.80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Table, kitchen or household articles, of iron, steel or copper — e.g., Assorted table, kitchen or household articles, of iron, steel or copper — Ohio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CT-119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7323.99.90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Table, kitchen or household articles, of iron, steel or copper — e.g., Assorted table, kitchen or household articles, of iron, steel or copper — Tennessee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46.2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23.1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7323.99.01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Table, kitchen or household articles, of iron, steel or copper — e.g., Refrigerators, dishwashers, washers, ovens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30.1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CT-121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8418.10.00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Refrigerators, freezers and other refrigerating equipment — e.g., Refrigerator (side-by-side, 36-inch)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CT-122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8418.10.01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Refrigerators, freezers and other refrigerating equipment — e.g., Refrigerator (French door, 36-inch)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CT-123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8418.10.02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Refrigerators, freezers and other refrigerating equipment — e.g., Refrigerator (top-mount freezer, 18 cubic feet)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26.1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CT-124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8418.10.03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Refrigerators, freezers and other refrigerating equipment — e.g., Refrigerator (bottom-mount freezer, 22 cubic feet)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CT-125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8418.10.04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Refrigerators, freezers and other refrigerating equipment — e.g., Refrigerator (compact, 4.5 cubic feet)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CT-126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8450.11.01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Household or laundry-type washing machines — e.g., Dishwasher (built-in, 24-inch)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CT-127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8450.11.02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Household or laundry-type washing machines — e.g., Dishwasher (portable, 18-inch)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29.8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CT-128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8450.11.03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Household or laundry-type washing machines — e.g., Dishwasher (drawer-style, 24-inch)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35.8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CT-129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8516.60.40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Electric range/stove (freestanding, 30-inch)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45.7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CT-130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8516.60.41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Electric range/stove (slide-in, 30-inch)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31.4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CT-131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8516.60.42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Gas range/stove (freestanding, 30-inch)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CT-132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8516.60.43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Gas range/stove (dual-fuel, 36-inch)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60.1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CT-133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8516.60.44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Electric cooktop (ceramic, 30-inch)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CT-134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8516.60.45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Gas cooktop (stainless steel, 36-inch)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28.9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CT-135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8516.60.46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Wall oven (electric, single, 27-inch)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37.6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18.8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CT-136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8516.60.47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Wall oven (electric, double, 30-inch)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CT-137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8516.60.48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Microwave oven (countertop, 1.6 cubic feet)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CT-138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8516.60.49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Microwave oven (over-the-range, 1.6 cubic feet)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91.0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45.5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CT-139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8516.60.50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Microwave oven (built-in, 24-inch)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18.2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8516.60.51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Range hood (under-cabinet, 30-inch)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CT-141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8516.60.52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Range hood (wall-mount, 36-inch)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18.6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CT-142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7323.99.02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Table, kitchen or household articles, of iron, steel or copper — e.g., Garbage disposal (1/2 HP)</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63.4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31.7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CT-143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7323.99.03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Table, kitchen or household articles, of iron, steel or copper — e.g., Garbage disposal (3/4 HP)</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28.2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CT-144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7323.99.04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Table, kitchen or household articles, of iron, steel or copper — e.g., Trash compactor (built-in, 15-inch)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78.1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CT-145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8418.10.05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Refrigerators, freezers and other refrigerating equipment — e.g., Wine refrigerator (18-inch, 34-bottle)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70.1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35.0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CT-146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8516.71.00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Electric coffee makers and tea makers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36.6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18.3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CT-147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8516.71.01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Drip coffee maker (12-cup, glass carafe)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99.3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49.6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CT-148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8516.71.02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Drip coffee maker (14-cup, thermal carafe)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27.7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CT-149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8516.71.03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Single-serve coffee brewer (K-cup)</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27.5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8516.71.04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Single-serve coffee brewer (multi-cup adapter)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104.5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52.2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CT-151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8516.71.05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Espresso machine (15-bar pump)</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23.2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CT-152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8516.71.06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Espresso machine (super-automatic)</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CT-153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8516.71.07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Coffee grinder (burr, 12-ounce)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CT-154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8516.71.08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Coffee grinder (blade, 4-ounce)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59.2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29.6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CT-155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8516.71.09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Electric tea kettle (glass, 1.7L)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CT-156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8516.71.10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Electric tea kettle (stainless steel, 1.5L)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CT-157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8516.71.11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Cold brew coffee maker (1.5L)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40.9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CT-158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8516.71.12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French press coffee maker (1.0L)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40.9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CT-159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8516.71.13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Pour-over coffee maker (8-cup)</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34.0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CT-160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8516.71.14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Milk frother (electric, handheld)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52.4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26.2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CT-161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8516.71.15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heating appliances; domestic electro-thermic appliances — e.g., Hot water dispenser (instant, 2.5L)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CT-162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7323.99.05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Table, kitchen or household articles, of iron, steel or copper — e.g., Electro-mechanical domestic appliances with motor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84.1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CT-163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8509.80.50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Electro-mechanical domestic appliances — e.g., Stand mixer (5-quart, tilt-head)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19.6</w:t>
            </w:r>
          </w:p>
        </w:tc>
      </w:tr>
      <w:tr>
        <w:trPr>
          <w:cantSplit w:val="1"/>
        </w:trPr>
        <w:tc>
          <w:tcPr>
            <w:tcW w:w="1504"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Category C subtotal</w:t>
            </w:r>
          </w:p>
        </w:tc>
        <w:tc>
          <w:tcPr>
            <w:tcW w:w="1504"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55 lines</w:t>
            </w:r>
          </w:p>
        </w:tc>
        <w:tc>
          <w:tcPr>
            <w:tcW w:w="1504"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2,237.0</w:t>
            </w:r>
          </w:p>
        </w:tc>
        <w:tc>
          <w:tcPr>
            <w:tcW w:w="1506"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1,118.5</w:t>
            </w:r>
          </w:p>
        </w:tc>
      </w:tr>
    </w:tbl>
    <w:p>
      <w:pPr>
        <w:pStyle w:val="Heading3"/>
      </w:pPr>
      <w:r>
        <w:rPr>
          <w:rFonts w:ascii="Calibri" w:hAnsi="Calibri" w:eastAsia="Microsoft YaHei" w:cs="Calibri"/>
          <w:b/>
          <w:color w:val="55707F"/>
          <w:sz w:val="21"/>
          <w:szCs w:val="21"/>
        </w:rPr>
        <w:t>Category D: Plastics and Plastic Articles I — Packaging, Film and Construction (Lines CT-164 to CT-203)</w:t>
      </w:r>
    </w:p>
    <w:p>
      <w:pPr>
        <w:pStyle w:val="Normal"/>
        <w:spacing w:before="10" w:after="10" w:line="240" w:lineRule="auto"/>
        <w:jc w:val="left"/>
      </w:pPr>
      <w:r>
        <w:rPr>
          <w:b/>
          <w:color w:val="55707F"/>
          <w:sz w:val="19"/>
          <w:rFonts w:ascii="Calibri" w:hAnsi="Calibri" w:eastAsia="Microsoft YaHei" w:cs="Calibri"/>
          <w:szCs w:val="19"/>
        </w:rPr>
        <w:t>Plastic packaging, films, pipes and builders’ ware from the Gulf Coast petrochemical corridor (Texas, Louisiana) and Ohio-Pennsylvania converters.</w:t>
      </w:r>
    </w:p>
    <w:tbl>
      <w:tblPr>
        <w:tblW w:w="0" w:type="auto"/>
      </w:tblPr>
      <w:tblGrid>
        <w:gridCol w:w="1504"/>
        <w:gridCol w:w="1504"/>
        <w:gridCol w:w="1504"/>
        <w:gridCol w:w="1504"/>
        <w:gridCol w:w="1504"/>
        <w:gridCol w:w="1506"/>
      </w:tblGrid>
      <w:tr>
        <w:trPr>
          <w:tblHeader w:val="1"/>
          <w:cantSplit w:val="1"/>
        </w:trPr>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Line</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Tariff item (HS)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Class of goods and illustrative U.S. products covered</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Principal source state(s)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Trade value (US$M/yr)</w:t>
            </w:r>
          </w:p>
        </w:tc>
        <w:tc>
          <w:tcPr>
            <w:tcW w:w="1506"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Duty at 50% (US$M/yr)</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CT-164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3926.90.05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articles of plastics — e.g., Assorted other articles of plastics — Texas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72.1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36.0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CT-165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3926.90.06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articles of plastics — e.g., Assorted other articles of plastics — Louisiana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CT-166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3926.10.00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articles of plastics — e.g., Assorted other articles of plastics — Ohio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CT-167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3926.90.07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articles of plastics — e.g., Assorted other articles of plastics — Pennsylvania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26.4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CT-168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3926.90.08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articles of plastics — e.g., Assorted other articles of plastics — Georgia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58.4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29.2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CT-169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3926.90.09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articles of plastics — e.g., Florida: $154–$330 million in plastics and plastic articles to Canada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CT-170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3926.90.10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articles of plastics — e.g., Assorted other articles of plastics — South Carolina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CT-171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3923.10.90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for the conveyance or packing of goods, of plastics — e.g., Articles for conveyance/packing of goods, of plastics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30.9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CT-172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3923.10.91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for the conveyance or packing of goods, of plastics — e.g., Plastic boxes (rigid, hinged lid)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29.1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CT-173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3923.10.92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for the conveyance or packing of goods, of plastics — e.g., Plastic cases (molded, with handles)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43.7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CT-174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3923.10.93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for the conveyance or packing of goods, of plastics — e.g., Plastic crates (stackable, open)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28.3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CT-175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3923.10.94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for the conveyance or packing of goods, of plastics — e.g., Plastic pails (5-gallon, with wire handle)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49.7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24.9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CT-176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3923.10.95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for the conveyance or packing of goods, of plastics — e.g., Plastic drums (55-gallon, closed-head)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CT-177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3923.10.96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for the conveyance or packing of goods, of plastics — e.g., Plastic jerry cans (5-gallon, with spout)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27.4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CT-178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3923.10.97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for the conveyance or packing of goods, of plastics — e.g., Plastic bottles (PET, 500ml)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31.1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CT-179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3923.10.98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for the conveyance or packing of goods, of plastics — e.g., Plastic bottles (HDPE, 1-gallon)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24.8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CT-180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3923.10.99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for the conveyance or packing of goods, of plastics — e.g., Plastic jars (wide-mouth, 32oz)</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47.6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23.8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CT-181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3923.10.00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for the conveyance or packing of goods, of plastics — e.g., Plastic tubes (collapsible, with cap)</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CT-182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3923.10.01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for the conveyance or packing of goods, of plastics — e.g., Plastic stoppers and lids (screw-on)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CT-183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3923.10.02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for the conveyance or packing of goods, of plastics — e.g., Plastic caps (snap-on, child-resistant)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28.1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CT-184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3923.10.03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for the conveyance or packing of goods, of plastics — e.g., Plastic plugs (tapered, industrial)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CT-185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3923.10.04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for the conveyance or packing of goods, of plastics — e.g., Plastic bungs (drum closures)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CT-186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3923.10.05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for the conveyance or packing of goods, of plastics — e.g., Plastic pallets (molded, 48x40-inch)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57.2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28.6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CT-187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Non-cellular plastic film, sheet, foil, strip</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34.6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CT-188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3920.10.11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Polyethylene film (LDPE, clear, 0.5mm)</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74.2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37.1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CT-189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3920.10.12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Polyethylene film (HDPE, black, 4mil)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CT-190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3920.10.13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Polypropylene film (BOPP, clear)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46.2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23.1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CT-191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3920.10.14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PET film (polyester, clear)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23.5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CT-192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PVC film (flexible, clear)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30.6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CT-193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3920.10.16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Polystyrene film (rigid, clear)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70.0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35.0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CT-194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3920.10.17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Plastic sheeting (reinforced, 6mil)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43.4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CT-195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3920.10.18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Plastic wrap (stretch film, 18-inch)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CT-196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3920.10.19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Plastic foam sheet (polyethylene, 2mm)</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107.3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53.6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CT-197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Plastic floor coverings (rolled, PVC)</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24.2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CT-198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3920.10.21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Plastic wall coverings (vinyl, embossed)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45.5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CT-199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3920.10.22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Self-adhesive plastic tape (under 20cm wide)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3917.40.01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Tubes, pipes, hoses and fittings, of plastics — e.g., Tubes, pipes, hoses and fittings thereof, of plastics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3917.40.02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Tubes, pipes, hoses and fittings, of plastics — e.g., PVC pipe (schedule 40, 2-inch)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46.9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23.4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3917.40.03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Tubes, pipes, hoses and fittings, of plastics — e.g., PVC pipe (schedule 80, 4-inch)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3917.40.04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Tubes, pipes, hoses and fittings, of plastics — e.g., CPVC pipe (3/4-inch)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47.9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23.9</w:t>
            </w:r>
          </w:p>
        </w:tc>
      </w:tr>
      <w:tr>
        <w:trPr>
          <w:cantSplit w:val="1"/>
        </w:trPr>
        <w:tc>
          <w:tcPr>
            <w:tcW w:w="1504"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Category D subtotal</w:t>
            </w:r>
          </w:p>
        </w:tc>
        <w:tc>
          <w:tcPr>
            <w:tcW w:w="1504"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40 lines</w:t>
            </w:r>
          </w:p>
        </w:tc>
        <w:tc>
          <w:tcPr>
            <w:tcW w:w="1504"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1,450.0</w:t>
            </w:r>
          </w:p>
        </w:tc>
        <w:tc>
          <w:tcPr>
            <w:tcW w:w="1506"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725.0</w:t>
            </w:r>
          </w:p>
        </w:tc>
      </w:tr>
    </w:tbl>
    <w:p>
      <w:pPr>
        <w:pStyle w:val="Heading3"/>
      </w:pPr>
      <w:r>
        <w:rPr>
          <w:rFonts w:ascii="Calibri" w:hAnsi="Calibri" w:eastAsia="Microsoft YaHei" w:cs="Calibri"/>
          <w:b/>
          <w:color w:val="55707F"/>
          <w:sz w:val="21"/>
          <w:szCs w:val="21"/>
        </w:rPr>
        <w:t>Category E: Plastics and Plastic Articles II — Resins, Containers and Consumer Articles (Lines CT-204 to CT-243)</w:t>
      </w:r>
    </w:p>
    <w:p>
      <w:pPr>
        <w:pStyle w:val="Normal"/>
        <w:spacing w:before="10" w:after="10" w:line="240" w:lineRule="auto"/>
        <w:jc w:val="left"/>
      </w:pPr>
      <w:r>
        <w:rPr>
          <w:b/>
          <w:color w:val="55707F"/>
          <w:sz w:val="19"/>
          <w:rFonts w:ascii="Calibri" w:hAnsi="Calibri" w:eastAsia="Microsoft YaHei" w:cs="Calibri"/>
          <w:szCs w:val="19"/>
        </w:rPr>
        <w:t>Resins, closures, containers and consumer plastic articles, again weighted to Texas and Louisiana with Canadian and Asian substitutes available at modest cost wedges.</w:t>
      </w:r>
    </w:p>
    <w:tbl>
      <w:tblPr>
        <w:tblW w:w="0" w:type="auto"/>
      </w:tblPr>
      <w:tblGrid>
        <w:gridCol w:w="1504"/>
        <w:gridCol w:w="1504"/>
        <w:gridCol w:w="1504"/>
        <w:gridCol w:w="1504"/>
        <w:gridCol w:w="1504"/>
        <w:gridCol w:w="1506"/>
      </w:tblGrid>
      <w:tr>
        <w:trPr>
          <w:tblHeader w:val="1"/>
          <w:cantSplit w:val="1"/>
        </w:trPr>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Line</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Tariff item (HS)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Class of goods and illustrative U.S. products covered</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Principal source state(s)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Trade value (US$M/yr)</w:t>
            </w:r>
          </w:p>
        </w:tc>
        <w:tc>
          <w:tcPr>
            <w:tcW w:w="1506"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Duty at 50% (US$M/yr)</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3926.90.01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articles of plastics — e.g., Assorted other articles of plastics — Texas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3923.50.00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for the conveyance or packing of goods, of plastics — e.g., Articles for conveyance/packing (stoppers, lids, caps): $2.36B</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62.4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31.2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CT-206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Other plates, sheets, film, foil, strip: $1.55B</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CT-207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3926.90.02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articles of plastics — e.g., Other articles of plastics: $1.51B</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41.0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CT-208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3926.90.03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articles of plastics — e.g., Polymers of ethylene (primary forms): $1.48B</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25.5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CT-209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3917.40.00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Tubes, pipes, hoses and fittings, of plastics — e.g., Tubes, pipes, hoses, fittings: $725M</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56.7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28.4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3926.90.04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articles of plastics — e.g., Builders' ware of plastics: $417M</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CT-211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U.S. exports of non-cellular plastic film/sheet to Canada exceeded $1.55B in 2023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CT-212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3901.10.50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Polymers of ethylene, in primary forms — e.g., Polyethylene film (LDPE, clear, 0.3mm)</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CT-213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3901.10.51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Polymers of ethylene, in primary forms — e.g., Polyethylene film (LDPE, black, 6mil)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51.1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25.6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CT-214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3901.10.52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Polymers of ethylene, in primary forms — e.g., Polyethylene film (HDPE, translucent, 4mil)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41.3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3901.10.53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Polymers of ethylene, in primary forms — e.g., Polypropylene film (BOPP, metallized)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24.0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CT-216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3901.10.54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Polymers of ethylene, in primary forms — e.g., Polypropylene film (CPP, cast, clear)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50.0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25.0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CT-217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3901.10.55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Polymers of ethylene, in primary forms — e.g., PET film (polyester, matte finish)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CT-218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3901.10.56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Polymers of ethylene, in primary forms — e.g., PET film (polyester, metalized)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CT-219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3901.10.57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Polymers of ethylene, in primary forms — e.g., PVC film (flexible, colored)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31.3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3901.10.58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Polymers of ethylene, in primary forms — e.g., PVC film (rigid, clear)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CT-221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3901.10.59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Polymers of ethylene, in primary forms — e.g., Polystyrene film (oriented, OPS)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CT-222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3901.10.60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Polymers of ethylene, in primary forms — e.g., Polystyrene foam sheet (extruded, XPS)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24.1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CT-223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Polyurethane foam sheet (flexible)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46.0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23.0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CT-224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Polyurethane foam sheet (rigid)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CT-225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3901.10.61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Polymers of ethylene, in primary forms — e.g., Polycarbonate sheet (solid, clear, 4x8-foot)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43.6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CT-226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3901.10.62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Polymers of ethylene, in primary forms — e.g., Polycarbonate sheet (multi-wall, clear)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CT-227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Acrylic sheet (PMMA, clear, cast)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31.4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CT-228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Acrylic sheet (PMMA, extruded)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59.8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29.9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CT-229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3901.10.63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Polymers of ethylene, in primary forms — e.g., Nylon film (polyamide)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CT-230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3920.10.06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Cellulose acetate film</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30.9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CT-231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3901.10.64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Polymers of ethylene, in primary forms — e.g., Plastic foam sheet (polyethylene, cross-linked)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63.6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31.8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CT-232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3923.21.00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for the conveyance or packing of goods, of plastics — e.g., U.S. exports of packing articles to Canada: $2.36B</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41.0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CT-233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3901.10.65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Polymers of ethylene, in primary forms — e.g., Plastic sacks (polyethylene, 55-gallon drum liners)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CT-234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3901.10.66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Polymers of ethylene, in primary forms — e.g., Plastic bags (polyethylene, grocery-size, T-shirt style)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CT-235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3901.10.67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Polymers of ethylene, in primary forms — e.g., Plastic bags (polyethylene, zipper-lock, quart-size)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49.4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24.7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CT-236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3901.10.68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Polymers of ethylene, in primary forms — e.g., Plastic bags (polyethylene, heavy-duty, 6mil)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84.3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CT-237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3920.10.07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Plastic shrink film (centerfold, 24-inch)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CT-238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3920.10.08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Plastic stretch wrap (hand-grade, 18-inch)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63.5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31.8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CT-239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3920.10.09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plates, sheets, film, foil and strip, of plastics — e.g., Plastic stretch wrap (machine-grade, 20-inch)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45.3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3923.21.01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for the conveyance or packing of goods, of plastics — e.g., Plastic blister packs (pre-formed, with card)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CT-241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3923.21.02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for the conveyance or packing of goods, of plastics — e.g., Plastic clamshell containers (clear, hinged)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30.6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CT-242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3923.21.03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for the conveyance or packing of goods, of plastics — e.g., Plastic trays (thermoformed, black)</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97.9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49.0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CT-243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3901.10.69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Polymers of ethylene, in primary forms — e.g., Plastic egg cartons (pulp or PET)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54.4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27.2</w:t>
            </w:r>
          </w:p>
        </w:tc>
      </w:tr>
      <w:tr>
        <w:trPr>
          <w:cantSplit w:val="1"/>
        </w:trPr>
        <w:tc>
          <w:tcPr>
            <w:tcW w:w="1504"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Category E subtotal</w:t>
            </w:r>
          </w:p>
        </w:tc>
        <w:tc>
          <w:tcPr>
            <w:tcW w:w="1504"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40 lines</w:t>
            </w:r>
          </w:p>
        </w:tc>
        <w:tc>
          <w:tcPr>
            <w:tcW w:w="1504"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1,500.0</w:t>
            </w:r>
          </w:p>
        </w:tc>
        <w:tc>
          <w:tcPr>
            <w:tcW w:w="1506"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750.0</w:t>
            </w:r>
          </w:p>
        </w:tc>
      </w:tr>
    </w:tbl>
    <w:p>
      <w:pPr>
        <w:pStyle w:val="Heading3"/>
      </w:pPr>
      <w:r>
        <w:rPr>
          <w:rFonts w:ascii="Calibri" w:hAnsi="Calibri" w:eastAsia="Microsoft YaHei" w:cs="Calibri"/>
          <w:b/>
          <w:color w:val="55707F"/>
          <w:sz w:val="21"/>
          <w:szCs w:val="21"/>
        </w:rPr>
        <w:t>Category F: Alcohol, Wine, Spirits and Beer (Lines CT-244 to CT-313)</w:t>
      </w:r>
    </w:p>
    <w:p>
      <w:pPr>
        <w:pStyle w:val="Normal"/>
        <w:spacing w:before="10" w:after="10" w:line="240" w:lineRule="auto"/>
        <w:jc w:val="left"/>
      </w:pPr>
      <w:r>
        <w:rPr>
          <w:b/>
          <w:color w:val="55707F"/>
          <w:sz w:val="19"/>
          <w:rFonts w:ascii="Calibri" w:hAnsi="Calibri" w:eastAsia="Microsoft YaHei" w:cs="Calibri"/>
          <w:szCs w:val="19"/>
        </w:rPr>
        <w:t>Kentucky bourbon, Tennessee whiskey, Texas vodka, Florida rum and gin, and regional wine and beer. Canada’s domestic wine, spirits and brewing industries absorb displaced demand within weeks; these lines pair with provincial liquor-board delistings.</w:t>
      </w:r>
    </w:p>
    <w:tbl>
      <w:tblPr>
        <w:tblW w:w="0" w:type="auto"/>
      </w:tblPr>
      <w:tblGrid>
        <w:gridCol w:w="1504"/>
        <w:gridCol w:w="1504"/>
        <w:gridCol w:w="1504"/>
        <w:gridCol w:w="1504"/>
        <w:gridCol w:w="1504"/>
        <w:gridCol w:w="1506"/>
      </w:tblGrid>
      <w:tr>
        <w:trPr>
          <w:tblHeader w:val="1"/>
          <w:cantSplit w:val="1"/>
        </w:trPr>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Line</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Tariff item (HS)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Class of goods and illustrative U.S. products covered</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Principal source state(s)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Trade value (US$M/yr)</w:t>
            </w:r>
          </w:p>
        </w:tc>
        <w:tc>
          <w:tcPr>
            <w:tcW w:w="1506"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Duty at 50% (US$M/yr)</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CT-244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2208.30.61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Jim Beam White Label Bourbon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CT-245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2208.30.62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Maker's Mark Bourbon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37.1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18.6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CT-246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2208.30.63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Buffalo Trace Bourbon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CT-247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2208.30.64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Bulleit Bourbon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CT-248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2208.30.65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Woodford Reserve Bourbon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CT-249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2208.30.66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Wild Turkey 101 Bourbon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2208.30.67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Four Roses Small Batch Bourbon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CT-251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2208.30.68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Knob Creek 9-Year Bourbon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CT-252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2208.30.69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Basil Hayden's Bourbon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CT-253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2208.30.70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Elijah Craig Small Batch Bourbon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CT-254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2208.30.71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Blanton's Single Barrel Bourbon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CT-255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2208.30.72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Old Forester Bourbon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CT-256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2208.30.73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1792 Small Batch Bourbon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CT-257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2208.30.74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Evan Williams Black Label Bourbon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CT-258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2208.30.75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Angel's Envy Bourbon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CT-259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2208.30.76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Jack Daniel's Old No. 7 Tennessee Whiskey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CT-260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2208.30.77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Jack Daniel's Tennessee Honey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CT-261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2208.30.78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Jack Daniel's Tennessee Fire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CT-262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2208.30.79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Jack Daniel's Single Barrel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CT-263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2208.30.80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Jack Daniel's Gentleman Jack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30.9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CT-264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2208.30.81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George Dickel No. 12 Tennessee Whiskey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CT-265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2208.30.82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George Dickel Rye Whiskey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35.6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CT-266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2208.30.83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Nelson's Green Brier Tennessee Whiskey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CT-267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2208.30.84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Sazerac Rye Whiskey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CT-268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2208.30.85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High West Double Rye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Utah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CT-269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2208.30.86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High West Campfire Whiskey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Utah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CT-270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2208.30.87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Balcones Texas Single Malt Whisky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24.7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CT-271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2208.30.88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Balcones Baby Blue Corn Whisky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CT-272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2208.30.89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Westland American Single Malt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Washington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CT-273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2208.30.90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Cleveland Whiskey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29.8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CT-274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2208.60.50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Tito's Handmade Vodka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CT-275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2208.60.51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Tito's Handmade Vodka (1.14L)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CT-276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2208.60.52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Deep Eddy Vodka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18.5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CT-277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2208.60.53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Deep Eddy Ruby Red Vodka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CT-278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2208.60.54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Deep Eddy Lemon Vodka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CT-279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2208.60.55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Tito's Handmade Vodka (200ml)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CT-280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2208.60.56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Dripping Springs Vodka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CT-281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2208.60.57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Texas Silver Star Vodka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26.4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CT-282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2208.40.60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Bacardi Rum (Bottled in Jacksonville, 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CT-283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2208.40.61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Bacardi Gold Rum (Bottled in 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CT-284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2208.40.62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Bacardi Superior Rum (Bottled in 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25.9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CT-285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2208.40.63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NOXX&amp;DUNN 2-4-5 Florida Rum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CT-286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2208.40.64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NOXX&amp;DUNN Florida Rum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24.1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CT-287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2208.40.65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Rolling Fork Florida Rum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CT-288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2208.50.00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Bombay Sapphire Gin (Bottled in 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37.8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18.9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CT-289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2208.50.01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Tanqueray Gin (Bottled in 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CT-290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2208.50.02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Aviation American Gin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CT-291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2208.50.03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Rogue Spirits Gin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24.4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CT-292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2208.50.04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Dry Fly Gin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CT-293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2208.90.71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Tequila Herradura (Bottled in 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CT-294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2208.90.72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Jose Cuervo Tradicional (Bottled in 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26.3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CT-295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2208.90.73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Casamigos Tequila (Bottled in 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CT-296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2208.90.74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Don Julio Tequila (Bottled in 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34.5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CT-297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2208.90.75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Patron Tequila (Bottled in 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24.8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CT-298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2204.21.50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Wine of fresh grapes — e.g., McManis Family Vineyards Petite Sirah (California)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California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CT-299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2204.21.51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Wine of fresh grapes — e.g., Hobo Wine Company Sonoma Red (California)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California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2204.21.52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Wine of fresh grapes — e.g., Hobo Wine Company Santa Rosa White (California)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California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28.1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2204.21.53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Wine of fresh grapes — e.g., Birichino Winery California Wine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California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2204.21.54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Wine of fresh grapes — e.g., Cliff Lede Vineyards Napa Cabernet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California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2204.21.55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Wine of fresh grapes — e.g., Extradimensional Wine Co. Sonoma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California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2204.21.56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Wine of fresh grapes — e.g., Ernest Vineyards Healdsburg Wine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California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2208.50.05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Spirits, liqueurs and other spirituous beverages — e.g., Margins Wine Watsonville (California)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CT-306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2204.21.57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Wine of fresh grapes — e.g., Sonoma County Pinot Noir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California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CT-307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2204.21.58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Wine of fresh grapes — e.g., Napa Valley Cabernet Sauvignon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California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CT-308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2204.21.59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Wine of fresh grapes — e.g., Paso Robles Zinfandel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California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CT-309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2204.21.60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Wine of fresh grapes — e.g., Russian River Valley Chardonnay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California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35.0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2204.21.61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Wine of fresh grapes — e.g., Central Coast Syrah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California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53.5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26.8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CT-311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2204.21.62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Wine of fresh grapes — e.g., Santa Barbara County Pinot Noir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California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CT-312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2204.21.63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Wine of fresh grapes — e.g., Oregon Pinot Noir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Oregon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24.7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CT-313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2204.21.64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Wine of fresh grapes — e.g., Willamette Valley Pinot Noir (750ml)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Oregon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6.2</w:t>
            </w:r>
          </w:p>
        </w:tc>
      </w:tr>
      <w:tr>
        <w:trPr>
          <w:cantSplit w:val="1"/>
        </w:trPr>
        <w:tc>
          <w:tcPr>
            <w:tcW w:w="1504"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Category F subtotal</w:t>
            </w:r>
          </w:p>
        </w:tc>
        <w:tc>
          <w:tcPr>
            <w:tcW w:w="1504"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70 lines</w:t>
            </w:r>
          </w:p>
        </w:tc>
        <w:tc>
          <w:tcPr>
            <w:tcW w:w="1504"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1,430.0</w:t>
            </w:r>
          </w:p>
        </w:tc>
        <w:tc>
          <w:tcPr>
            <w:tcW w:w="1506" w:type="dxa"/>
            <w:shd w:val="clear" w:color="auto" w:fill="F4F7F9"/>
            <w:tcBorders>
              <w:bottom w:val="single" w:space="0"/>
            </w:tcBorders>
          </w:tcPr>
          <w:p>
            <w:pPr>
              <w:pStyle w:val="Normal"/>
              <w:spacing w:before="10" w:after="10" w:line="240" w:lineRule="auto"/>
              <w:jc w:val="left"/>
            </w:pPr>
            <w:r>
              <w:rPr>
                <w:b/>
                <w:color w:val="D7E3EA"/>
                <w:sz w:val="16"/>
                <w:rFonts w:ascii="Calibri" w:hAnsi="Calibri" w:eastAsia="Microsoft YaHei" w:cs="Calibri"/>
                <w:szCs w:val="19"/>
              </w:rPr>
              <w:t>715.0</w:t>
            </w:r>
          </w:p>
        </w:tc>
      </w:tr>
    </w:tbl>
    <w:p>
      <w:pPr>
        <w:pStyle w:val="Heading3"/>
      </w:pPr>
      <w:r>
        <w:rPr>
          <w:rFonts w:ascii="Calibri" w:hAnsi="Calibri" w:eastAsia="Microsoft YaHei" w:cs="Calibri"/>
          <w:b/>
          <w:color w:val="1F2E38"/>
          <w:sz w:val="22"/>
          <w:szCs w:val="22"/>
        </w:rPr>
        <w:t>Category G: Wood, Lumber, Furniture and Paper Products (Lines CT-314 to CT-348)</w:t>
      </w:r>
    </w:p>
    <w:p>
      <w:pPr>
        <w:pStyle w:val="Normal"/>
        <w:spacing w:before="10" w:after="10" w:line="240" w:lineRule="auto"/>
        <w:jc w:val="left"/>
      </w:pPr>
      <w:r>
        <w:rPr>
          <w:b/>
          <w:color w:val="55707F"/>
          <w:sz w:val="16"/>
          <w:rFonts w:ascii="Calibri" w:hAnsi="Calibri" w:eastAsia="Microsoft YaHei" w:cs="Calibri"/>
          <w:szCs w:val="19"/>
        </w:rPr>
        <w:t>Hardwood lumber, panels, wooden furniture and commercial paper grades from Maine, Pennsylvania, Wisconsin, Georgia and the Carolinas. Household sanitary paper and market pulp lines are excluded here because they already appear on the official September 8 schedule.</w:t>
      </w:r>
    </w:p>
    <w:tbl>
      <w:tblPr>
        <w:tblW w:w="0" w:type="auto"/>
      </w:tblPr>
      <w:tblGrid>
        <w:gridCol w:w="1504"/>
        <w:gridCol w:w="1504"/>
        <w:gridCol w:w="1504"/>
        <w:gridCol w:w="1504"/>
        <w:gridCol w:w="1504"/>
        <w:gridCol w:w="1506"/>
      </w:tblGrid>
      <w:tr>
        <w:trPr>
          <w:tblHeader w:val="1"/>
          <w:cantSplit w:val="1"/>
        </w:trPr>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Line</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Tariff item (HS)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Class of goods and illustrative U.S. products covered</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Principal source state(s)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Trade value (US$M/yr)</w:t>
            </w:r>
          </w:p>
        </w:tc>
        <w:tc>
          <w:tcPr>
            <w:tcW w:w="1506"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Duty at 50% (US$M/yr)</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CT-314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4407.99.00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Wood sawn or chipped lengthwise, exceeding 6 mm — e.g., Wood Products (25 items)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Maine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59.0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29.5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4407.91.00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Wood sawn or chipped lengthwise, exceeding 6 mm — e.g., Oak Lumber (excluding red oak)</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23.5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CT-316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4407.99.01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Wood sawn or chipped lengthwise, exceeding 6 mm — e.g., Walnut Lumber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36.1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18.1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CT-317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4408.90.00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Sheets for veneering and plywood — e.g., Hardwood Veneer Sheets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41.6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CT-318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4407.11.00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Wood sawn or chipped lengthwise, exceeding 6 mm — e.g., Softwood Pine Lumber (sawn or sliced &gt;6mm)</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CT-319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4407.12.00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Wood sawn or chipped lengthwise, exceeding 6 mm — e.g., Softwood Fir Lumber (sawn or sliced &gt;6mm)</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4407.13.00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Wood sawn or chipped lengthwise, exceeding 6 mm — e.g., Softwood Spruce Lumber (sawn or sliced &gt;6mm)</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27.2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CT-321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4410.11.00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Particle board and similar board of wood — e.g., Particleboard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North Dakota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CT-322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4411.92.00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Fibreboard of wood or other ligneous materials — e.g., Fibreboard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54.7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27.4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CT-323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4412.33.00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Plywood, veneered panels and similar laminated wood — e.g., Hardwood Plywood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31.6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CT-324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4412.39.00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Plywood, veneered panels and similar laminated wood — e.g., Softwood Plywood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Maine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CT-325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4412.42.00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Plywood, veneered panels and similar laminated wood — e.g., Veneered Panels (hardwood)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26.1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CT-326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4412.49.00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Plywood, veneered panels and similar laminated wood — e.g., Veneered Panels (softwood)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CT-327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9403.50.90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furniture and parts thereof — e.g., Wooden Furniture (bedroom)</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CT-328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9403.60.80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furniture and parts thereof — e.g., Wooden Furniture (dining room)</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23.9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CT-329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9403.60.40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furniture and parts thereof — e.g., Wooden Furniture (living room)</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CT-330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9403.40.90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furniture and parts thereof — e.g., Kitchen Cabinets (wooden)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23.9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CT-331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4409.29.00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Wood, continuously shaped (mouldings, flooring) — e.g., Wood Mouldings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North Dakota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43.5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CT-332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4409.22.00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Wood, continuously shaped (mouldings, flooring) — e.g., Wood Flooring (hardwood)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43.8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CT-333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9202.10.01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string musical instruments (guitars) — e.g., Wood Musical Instruments (guitars)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CT-334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4415.20.00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Packing cases, boxes, crates and pallets, of wood — e.g., Wooden Pallets and Skids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Maine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CT-335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4401.22.01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Fuel wood and wood in chips or particles; pellets — e.g., Wood Chips and Particles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CT-336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4406.12.00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Railway or tramway sleepers (cross-ties) of wood — e.g., Railway Ties (wooden)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CT-337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4404.20.00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Hoopwood; split poles and stakes — e.g., Utility Poles (wooden)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CT-338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4418.50.00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Builders’ joinery and carpentry of wood (shingles) — e.g., Wood Shingles and Shakes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CT-339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4805.91.00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uncoated paper and paperboard — e.g., Paper and Paperboard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56.2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28.1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4819.10.00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Cartons, boxes, cases, bags and packing containers, of paper — e.g., Corrugated Boxes and Cases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27.3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CT-341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4817.10.00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Envelopes, letter cards and correspondence cards — e.g., Envelopes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North Dakota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24.7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CT-342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4804.11.00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Uncoated kraft paper and paperboard — e.g., Kraft Paper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35.0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CT-343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4802.20.00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Uncoated paper for writing, printing or graphic purposes — e.g., Bleached Paper Products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30.1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CT-344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4802.57.00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Uncoated paper for writing, printing or graphic purposes — e.g., Printing and Writing Paper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Maine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CT-345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4820.10.00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Registers, notebooks, diaries and similar articles — e.g., Stationery Products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49.9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24.9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CT-346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4819.30.00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Cartons, boxes, cases, bags and packing containers, of paper — e.g., Paper Bags and Sacks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CT-347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4814.20.00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Wallpaper and similar wall coverings — e.g., Wallpaper and Wall Coverings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29.7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CT-348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4821.10.00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Paper or paperboard labels — e.g., Paper Labels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24.9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12.4</w:t>
            </w:r>
          </w:p>
        </w:tc>
      </w:tr>
      <w:tr>
        <w:trPr>
          <w:cantSplit w:val="1"/>
        </w:trPr>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Category G subtotal</w:t>
            </w:r>
          </w:p>
        </w:tc>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35 lines</w:t>
            </w:r>
          </w:p>
        </w:tc>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1,120.0</w:t>
            </w:r>
          </w:p>
        </w:tc>
        <w:tc>
          <w:tcPr>
            <w:tcW w:w="1506"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560.0</w:t>
            </w:r>
          </w:p>
        </w:tc>
      </w:tr>
    </w:tbl>
    <w:p>
      <w:pPr>
        <w:pStyle w:val="Heading3"/>
      </w:pPr>
      <w:r>
        <w:rPr>
          <w:rFonts w:ascii="Calibri" w:hAnsi="Calibri" w:eastAsia="Microsoft YaHei" w:cs="Calibri"/>
          <w:b/>
          <w:color w:val="1F2E38"/>
          <w:sz w:val="22"/>
          <w:szCs w:val="22"/>
        </w:rPr>
        <w:t>Category H: Plumbing Fixtures and Sanitary Ware (Lines CT-349 to CT-388)</w:t>
      </w:r>
    </w:p>
    <w:p>
      <w:pPr>
        <w:pStyle w:val="Normal"/>
        <w:spacing w:before="10" w:after="10" w:line="240" w:lineRule="auto"/>
        <w:jc w:val="left"/>
      </w:pPr>
      <w:r>
        <w:rPr>
          <w:b/>
          <w:color w:val="55707F"/>
          <w:sz w:val="16"/>
          <w:rFonts w:ascii="Calibri" w:hAnsi="Calibri" w:eastAsia="Microsoft YaHei" w:cs="Calibri"/>
          <w:szCs w:val="19"/>
        </w:rPr>
        <w:t>Ceramic fixtures, faucets, valves, tubs and fittings from Ohio, Wisconsin, Texas, Georgia, Indiana and South Carolina plants; domestic and Mexican supply chains cover the category.</w:t>
      </w:r>
    </w:p>
    <w:tbl>
      <w:tblPr>
        <w:tblW w:w="0" w:type="auto"/>
      </w:tblPr>
      <w:tblGrid>
        <w:gridCol w:w="1504"/>
        <w:gridCol w:w="1504"/>
        <w:gridCol w:w="1504"/>
        <w:gridCol w:w="1504"/>
        <w:gridCol w:w="1504"/>
        <w:gridCol w:w="1506"/>
      </w:tblGrid>
      <w:tr>
        <w:trPr>
          <w:tblHeader w:val="1"/>
          <w:cantSplit w:val="1"/>
        </w:trPr>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Line</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Tariff item (HS)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Class of goods and illustrative U.S. products covered</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Principal source state(s)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Trade value (US$M/yr)</w:t>
            </w:r>
          </w:p>
        </w:tc>
        <w:tc>
          <w:tcPr>
            <w:tcW w:w="1506"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Duty at 50% (US$M/yr)</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CT-349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Kohler vitreous china toilets and fixtures (two-piece, elongated bowl)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Assorted ceramic sinks, baths, water closet pans and sanitary fixtures — Texas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CT-351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Kohler Cimarron Comfort Height Two-Piece Toilet (K-3619)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CT-352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Kohler Santa Rosa Comfort Height One-Piece Toilet (K-3810)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18.7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CT-353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Kohler Memoirs Stately Comfort Height Two-Piece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CT-354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Kohler Highline Classic Comfort Height Two-Piece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CT-355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6910.10.06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Kohler Wellworth Two-Piece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34.8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CT-356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6910.10.07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Kohler San Souci Comfort Height One-Piece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CT-357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6910.10.08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Kohler Tresham Comfort Height Two-Piece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CT-358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6910.10.09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Kohler Devonshire Comfort Height Two-Piece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CT-359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Kohler Persuade Curv One-Piece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CT-360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6910.10.11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Kohler Archer Comfort Height Two-Piece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CT-361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6910.10.12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Kohler Veil Wall-Hung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CT-362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6910.10.13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Kohler Sterling Ensemble Two-Piece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CT-363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6910.10.14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Kohler Sterling Windham Two-Piece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CT-364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Kohler Brookfield Comfort Height Two-Piece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CT-365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6910.10.16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Kohler Coralais Comfort Height Two-Piece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CT-366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6910.10.17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American Standard vitreous china toilets and fixtures (one-piece and two-piece)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26.3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CT-367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6910.10.18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Assorted ceramic sinks, baths, water closet pans and sanitary fixtures — Georgia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CT-368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6910.10.19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American Standard FloWise Dual Flush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CT-369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American Standard Compact Cadet 3 One-Piece Elongated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CT-370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6910.10.21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American Standard Champion 4 Two-Piece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26.1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CT-371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6910.10.22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American Standard VorMax One-Piece Elongated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62.5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31.2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CT-372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6910.10.23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American Standard H2Option Dual Flush Siphonic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26.4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CT-373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6910.10.24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American Standard Reliant 2-Piece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CT-374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6910.10.25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American Standard TownSq One-Piece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CT-375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6910.10.26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American Standard Cadet Pro Two-Piece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30.0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CT-376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6910.10.27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American Standard Colony Soft Two-Piece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CT-377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6910.10.28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American Standard Yorkville Comfort Height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CT-378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6910.10.29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American Standard Glenwall Wall-Hung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CT-379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6910.10.30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American Standard EverClean Surface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38.2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CT-380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6910.10.31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American Standard Highline Two-Piece Elongated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CT-381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6910.10.32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American Standard Mainstream Two-Piece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CT-382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6910.10.33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American Standard Selectronic Flush Valve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CT-383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6910.10.34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Mansfield vitreous china toilets and lavatory fixtures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CT-384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6910.10.35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Target States: Ohio (Perrysville, Big Prairie), Texas (Henderson)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35.0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CT-385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6910.10.36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Mansfield Classic Two-Piece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18.6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CT-386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6910.10.37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Mansfield Elite Two-Piece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26.0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CT-387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6910.10.38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Mansfield Alto One-Piece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CT-388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6910.10.39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sanitary fixtures — e.g., Mansfield Summit Two-Piece Toilet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45.4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22.7</w:t>
            </w:r>
          </w:p>
        </w:tc>
      </w:tr>
      <w:tr>
        <w:trPr>
          <w:cantSplit w:val="1"/>
        </w:trPr>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Category H subtotal</w:t>
            </w:r>
          </w:p>
        </w:tc>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40 lines</w:t>
            </w:r>
          </w:p>
        </w:tc>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900.0</w:t>
            </w:r>
          </w:p>
        </w:tc>
        <w:tc>
          <w:tcPr>
            <w:tcW w:w="1506"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450.0</w:t>
            </w:r>
          </w:p>
        </w:tc>
      </w:tr>
    </w:tbl>
    <w:p>
      <w:pPr>
        <w:pStyle w:val="Heading3"/>
      </w:pPr>
      <w:r>
        <w:rPr>
          <w:rFonts w:ascii="Calibri" w:hAnsi="Calibri" w:eastAsia="Microsoft YaHei" w:cs="Calibri"/>
          <w:b/>
          <w:color w:val="1F2E38"/>
          <w:sz w:val="22"/>
          <w:szCs w:val="22"/>
        </w:rPr>
        <w:t>Category I: Hunting, Firearms, Ammunition and Outdoor Equipment (Lines CT-389 to CT-448)</w:t>
      </w:r>
    </w:p>
    <w:p>
      <w:pPr>
        <w:pStyle w:val="Normal"/>
        <w:spacing w:before="10" w:after="10" w:line="240" w:lineRule="auto"/>
        <w:jc w:val="left"/>
      </w:pPr>
      <w:r>
        <w:rPr>
          <w:b/>
          <w:color w:val="55707F"/>
          <w:sz w:val="16"/>
          <w:rFonts w:ascii="Calibri" w:hAnsi="Calibri" w:eastAsia="Microsoft YaHei" w:cs="Calibri"/>
          <w:szCs w:val="19"/>
        </w:rPr>
        <w:t>Sporting firearms, ammunition, optics and field gear from Ohio, Pennsylvania, Texas, Wisconsin, Kentucky, Missouri and Montana. Exceptional political resonance per dollar of trade; European and domestic alternatives exist across every sub-class.</w:t>
      </w:r>
    </w:p>
    <w:tbl>
      <w:tblPr>
        <w:tblW w:w="0" w:type="auto"/>
      </w:tblPr>
      <w:tblGrid>
        <w:gridCol w:w="1504"/>
        <w:gridCol w:w="1504"/>
        <w:gridCol w:w="1504"/>
        <w:gridCol w:w="1504"/>
        <w:gridCol w:w="1504"/>
        <w:gridCol w:w="1506"/>
      </w:tblGrid>
      <w:tr>
        <w:trPr>
          <w:tblHeader w:val="1"/>
          <w:cantSplit w:val="1"/>
        </w:trPr>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Line</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Tariff item (HS)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Class of goods and illustrative U.S. products covered</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Principal source state(s)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Trade value (US$M/yr)</w:t>
            </w:r>
          </w:p>
        </w:tc>
        <w:tc>
          <w:tcPr>
            <w:tcW w:w="1506"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Duty at 50% (US$M/yr)</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CT-389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9303.30.80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Bolt-action centerfire hunting rifle (30-06 Springfield)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CT-390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9303.30.81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Bolt-action centerfire hunting rifle (.308 Winchester)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CT-391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9303.30.82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Bolt-action centerfire hunting rifle (.270 Winchester)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CT-392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9303.30.83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Bolt-action centerfire hunting rifle (7mm Remington Magnum)</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38.5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CT-393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9303.30.84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Lever-action centerfire rifle (.30-30 Winchester)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CT-394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9303.30.85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Lever-action centerfire rifle (.45-70 Government)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CT-395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9303.30.86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Semi-automatic centerfire rifle (.223 Remington/5.56mm)</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Montana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23.4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CT-396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9303.30.87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Semi-automatic centerfire rifle (.308 Winchester)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CT-397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9303.30.88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Semi-automatic rimfire rifle (.22 Long Rifle)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CT-398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9303.30.89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Pump-action centerfire rifle (.270 Winchester)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CT-399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9303.30.90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Single-shot break-action rifle (.45-70 Government)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Muzzleloading rifle (.50 caliber)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9303.10.01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Muzzleloading rifle (.45 caliber)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9303.30.91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Youth bolt-action rifle (.243 Winchester)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Montana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9303.90.40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Combination shotgun-rifle (over-under)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Pump-action shotgun (12 gauge, 3-inch chamber)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Pump-action shotgun (12 gauge, 3.5-inch chamber)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CT-406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Pump-action shotgun (20 gauge)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CT-407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Semi-automatic shotgun (12 gauge, 3-inch chamber)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CT-408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Semi-automatic shotgun (12 gauge, 3.5-inch chamber)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CT-409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Over-under shotgun (12 gauge, 28-inch barrels)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Montana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9303.20.06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Over-under shotgun (20 gauge, 26-inch barrels)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CT-411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9303.20.07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Side-by-side shotgun (12 gauge)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CT-412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9303.20.08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Single-shot break-action shotgun (12 gauge)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18.7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CT-413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9303.20.09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Semi-automatic shotgun (20 gauge)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CT-414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9303.30.92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.30-06 Springfield hunting ammunition (180-grain soft point)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24.6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9303.30.93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.308 Winchester hunting ammunition (165-grain soft point)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CT-416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9303.30.94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.270 Winchester hunting ammunition (150-grain soft point)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Montana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CT-417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9303.30.95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7mm Remington Magnum hunting ammunition (160-grain soft point)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CT-418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9303.30.96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.30-30 Winchester hunting ammunition (170-grain soft point)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CT-419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9303.30.97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.45-70 Government hunting ammunition (300-grain hollow point)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9303.30.98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.223 Remington varmint ammunition (55-grain hollow point)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CT-421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9303.30.99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.22-250 Remington varmint ammunition (55-grain soft point)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CT-422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.243 Winchester deer ammunition (100-grain soft point)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CT-423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.300 Winchester Magnum hunting ammunition (180-grain soft point)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Montana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CT-424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.338 Winchester Magnum hunting ammunition (225-grain soft point)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CT-425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6.5 Creedmoor hunting ammunition (143-grain soft point)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CT-426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12-gauge shotshell (2.75-inch, #6 lead shot)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CT-427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9303.20.11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12-gauge shotshell (2.75-inch, #7.5 lead shot)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CT-428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9303.20.12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12-gauge shotshell (3-inch, #4 steel shot)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CT-429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9303.20.13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12-gauge shotshell (3-inch, BB steel shot)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CT-430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9303.20.14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12-gauge shotshell (3-inch, #2 steel shot)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Montana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CT-431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12-gauge shotshell (3.5-inch, #4 steel shot)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CT-432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9303.20.16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12-gauge shotshell (3.5-inch, BB steel shot)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CT-433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9303.20.17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12-gauge shotshell (2.75-inch, #4 buckshot)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CT-434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9303.20.18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12-gauge shotshell (2.75-inch, rifled slug)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CT-435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9303.20.19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12-gauge shotshell (3-inch, rifled slug)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CT-436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20-gauge shotshell (2.75-inch, #6 lead shot)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CT-437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9303.20.21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20-gauge shotshell (3-inch, #4 steel shot)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Montana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CT-438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.22 Long Rifle hunting ammunition (40-grain solid)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CT-439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.22 Long Rifle hunting ammunition (36-grain hollow point)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9306.30.41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Bombs, grenades; cartridges and other ammunition — e.g., .22 Winchester Magnum Rimfire (40-grain hollow point)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CT-441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9306.30.42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Bombs, grenades; cartridges and other ammunition — e.g., .44 Magnum hunting ammunition (240-grain soft point)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CT-442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9306.30.43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Bombs, grenades; cartridges and other ammunition — e.g., .357 Magnum hunting ammunition (158-grain soft point)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CT-443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9306.30.44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Bombs, grenades; cartridges and other ammunition — e.g., .45 Colt hunting ammunition (250-grain soft point)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CT-444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9303.30.06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3-9x40mm riflescope (duplex reticle)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Montana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CT-445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9303.30.07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4-12x40mm riflescope (BDC reticle)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CT-446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9303.30.08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2-7x32mm riflescope (duplex reticle)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CT-447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9303.30.09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1-4x24mm riflescope (illuminated reticle)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CT-448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9303.30.10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firearms and similar devices — e.g., Assorted other firearms and similar devices — Wisconsin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Category I subtotal</w:t>
            </w:r>
          </w:p>
        </w:tc>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60 lines</w:t>
            </w:r>
          </w:p>
        </w:tc>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761.0</w:t>
            </w:r>
          </w:p>
        </w:tc>
        <w:tc>
          <w:tcPr>
            <w:tcW w:w="1506"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380.5</w:t>
            </w:r>
          </w:p>
        </w:tc>
      </w:tr>
    </w:tbl>
    <w:p>
      <w:pPr>
        <w:pStyle w:val="Heading3"/>
      </w:pPr>
      <w:r>
        <w:rPr>
          <w:rFonts w:ascii="Calibri" w:hAnsi="Calibri" w:eastAsia="Microsoft YaHei" w:cs="Calibri"/>
          <w:b/>
          <w:color w:val="1F2E38"/>
          <w:sz w:val="22"/>
          <w:szCs w:val="22"/>
        </w:rPr>
        <w:t>Category J: Leather Goods, Footwear and Saddlery (Lines CT-449 to CT-503)</w:t>
      </w:r>
    </w:p>
    <w:p>
      <w:pPr>
        <w:pStyle w:val="Normal"/>
        <w:spacing w:before="10" w:after="10" w:line="240" w:lineRule="auto"/>
        <w:jc w:val="left"/>
      </w:pPr>
      <w:r>
        <w:rPr>
          <w:b/>
          <w:color w:val="55707F"/>
          <w:sz w:val="16"/>
          <w:rFonts w:ascii="Calibri" w:hAnsi="Calibri" w:eastAsia="Microsoft YaHei" w:cs="Calibri"/>
          <w:szCs w:val="19"/>
        </w:rPr>
        <w:t>Boots, saddlery, handbags, gloves, belts and leather furniture from Texas, Tennessee, Kentucky, Ohio, Pennsylvania, Wisconsin and Missouri.</w:t>
      </w:r>
    </w:p>
    <w:tbl>
      <w:tblPr>
        <w:tblW w:w="0" w:type="auto"/>
      </w:tblPr>
      <w:tblGrid>
        <w:gridCol w:w="1504"/>
        <w:gridCol w:w="1504"/>
        <w:gridCol w:w="1504"/>
        <w:gridCol w:w="1504"/>
        <w:gridCol w:w="1504"/>
        <w:gridCol w:w="1506"/>
      </w:tblGrid>
      <w:tr>
        <w:trPr>
          <w:tblHeader w:val="1"/>
          <w:cantSplit w:val="1"/>
        </w:trPr>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Line</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Tariff item (HS)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Class of goods and illustrative U.S. products covered</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Principal source state(s)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Trade value (US$M/yr)</w:t>
            </w:r>
          </w:p>
        </w:tc>
        <w:tc>
          <w:tcPr>
            <w:tcW w:w="1506"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Duty at 50% (US$M/yr)</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CT-449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6403.91.60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Footwear with outer soles of rubber, plastics, leather and uppers of leather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6403.91.61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cowboy boots (leather, square toe)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CT-451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6403.91.62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cowboy boots (leather, pointed toe)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CT-452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6403.91.63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roper boots (leather, low heel)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CT-453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6403.91.64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Women's cowboy boots (leather, embroidered)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CT-454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6403.91.65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Women's cowboy boots (leather, smooth)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41.1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CT-455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6403.91.66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work boots (leather, steel toe)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CT-456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6403.91.67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work boots (leather, soft toe)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CT-457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6403.91.68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logger boots (leather, 8-inch)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CT-458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6403.91.69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hunting boots (leather, 400g insulation)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CT-459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6403.91.70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hunting boots (leather, uninsulated)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CT-460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6403.91.71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Women's work boots (leather, steel toe)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CT-461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6403.91.72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Chelsea boots (leather, elastic side)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CT-462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6403.91.73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dress boots (leather, lace-up)</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CT-463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6403.91.74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motorcycle boots (leather, buckle)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CT-464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6403.91.75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packer boots (leather, 10-inch)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CT-465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6403.91.76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Children's cowboy boots (leather)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CT-466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6403.91.77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chukka boots (leather, suede)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CT-467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6403.91.78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desert boots (leather, crepe sole)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CT-468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6403.91.79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Women's fashion boots (leather, knee-high)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CT-469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6403.91.80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Women's fashion boots (leather, ankle)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CT-470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6403.99.90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oxford shoes (leather, lace-up)</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18.2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CT-471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6403.99.91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derby shoes (leather, open lacing)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CT-472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6403.99.92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loafer shoes (leather, slip-on)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CT-473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6403.99.93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boat shoes (leather, moc-toe)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CT-474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6403.99.94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Women's pumps (leather, high heel)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CT-475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6403.99.95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Women's flats (leather, ballet)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CT-476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6403.99.96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Women's sandals (leather, strappy)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CT-477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6403.99.97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moccasin shoes (leather, soft sole)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CT-478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6403.99.98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driving shoes (leather, rubber nub sole)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CT-479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6403.99.99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tennis shoes (leather, classic)</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CT-480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Women's wedge shoes (leather, platform)</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CT-481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6403.99.01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Children's school shoes (leather, lace-up)</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CT-482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6403.99.02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slip-resistant work shoes (leather)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CT-483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6403.99.03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Men's orthopedic shoes (leather)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CT-484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6403.99.04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Women's clog shoes (leather, wooden heel)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CT-485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4201.00.60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Saddlery and harness for any animal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18.1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CT-486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4201.00.61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Saddlery and harness for any animal — e.g., Western saddle (leather, 15-inch seat)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CT-487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4201.00.62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Saddlery and harness for any animal — e.g., Western saddle (leather, 16-inch seat)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CT-488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4201.00.63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Saddlery and harness for any animal — e.g., English saddle (leather, close contact)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CT-489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4201.00.64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Saddlery and harness for any animal — e.g., English saddle (leather, dressage)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CT-490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4201.00.65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Saddlery and harness for any animal — e.g., Roping saddle (leather, reinforced)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CT-491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4201.00.66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Saddlery and harness for any animal — e.g., Barrel racing saddle (leather, lightweight)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18.9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CT-492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4201.00.67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Saddlery and harness for any animal — e.g., Trail saddle (leather, padded)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CT-493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4201.00.68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Saddlery and harness for any animal — e.g., Leather bridle (with bit)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CT-494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4201.00.69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Saddlery and harness for any animal — e.g., Leather halter (with hardware)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CT-495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4201.00.70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Saddlery and harness for any animal — e.g., Leather breast collar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CT-496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4201.00.71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Saddlery and harness for any animal — e.g., Leather crupper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CT-497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4201.00.72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Saddlery and harness for any animal — e.g., Leather girth/cinch (western)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CT-498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4201.00.73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Saddlery and harness for any animal — e.g., Leather stirrup leathers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CT-499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4201.00.74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Saddlery and harness for any animal — e.g., Leather reins (split or romal)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4201.00.75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Saddlery and harness for any animal — e.g., Leather saddle bags (for horses)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4202.22.15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Trunks, suitcases, handbags and similar containers — e.g., Trunks, suitcases, handbags, etc.</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4202.22.16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Trunks, suitcases, handbags and similar containers — e.g., Women's leather tote bag (large, unlined)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34.9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4202.22.17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Trunks, suitcases, handbags and similar containers — e.g., Women's leather tote bag (medium, lined)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Kentucky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w:t>
            </w:r>
          </w:p>
        </w:tc>
      </w:tr>
      <w:tr>
        <w:trPr>
          <w:cantSplit w:val="1"/>
        </w:trPr>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Category J subtotal</w:t>
            </w:r>
          </w:p>
        </w:tc>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55 lines</w:t>
            </w:r>
          </w:p>
        </w:tc>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550.0</w:t>
            </w:r>
          </w:p>
        </w:tc>
        <w:tc>
          <w:tcPr>
            <w:tcW w:w="1506"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275.0</w:t>
            </w:r>
          </w:p>
        </w:tc>
      </w:tr>
    </w:tbl>
    <w:p>
      <w:pPr>
        <w:pStyle w:val="Heading3"/>
      </w:pPr>
      <w:r>
        <w:rPr>
          <w:rFonts w:ascii="Calibri" w:hAnsi="Calibri" w:eastAsia="Microsoft YaHei" w:cs="Calibri"/>
          <w:b/>
          <w:color w:val="1F2E38"/>
          <w:sz w:val="22"/>
          <w:szCs w:val="22"/>
        </w:rPr>
        <w:t>Category K: Golf Equipment and Apparel (Lines CT-504 to CT-532)</w:t>
      </w:r>
    </w:p>
    <w:p>
      <w:pPr>
        <w:pStyle w:val="Normal"/>
        <w:spacing w:before="10" w:after="10" w:line="240" w:lineRule="auto"/>
        <w:jc w:val="left"/>
      </w:pPr>
      <w:r>
        <w:rPr>
          <w:b/>
          <w:color w:val="55707F"/>
          <w:sz w:val="16"/>
          <w:rFonts w:ascii="Calibri" w:hAnsi="Calibri" w:eastAsia="Microsoft YaHei" w:cs="Calibri"/>
          <w:szCs w:val="19"/>
        </w:rPr>
        <w:t>Clubs, balls, bags, gloves, footwear and apparel concentrated in Texas, Florida, Arizona, Georgia and South Carolina supply chains, including resort pro-shop goods.</w:t>
      </w:r>
    </w:p>
    <w:tbl>
      <w:tblPr>
        <w:tblW w:w="0" w:type="auto"/>
      </w:tblPr>
      <w:tblGrid>
        <w:gridCol w:w="1504"/>
        <w:gridCol w:w="1504"/>
        <w:gridCol w:w="1504"/>
        <w:gridCol w:w="1504"/>
        <w:gridCol w:w="1504"/>
        <w:gridCol w:w="1506"/>
      </w:tblGrid>
      <w:tr>
        <w:trPr>
          <w:tblHeader w:val="1"/>
          <w:cantSplit w:val="1"/>
        </w:trPr>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Line</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Tariff item (HS)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Class of goods and illustrative U.S. products covered</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Principal source state(s)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Trade value (US$M/yr)</w:t>
            </w:r>
          </w:p>
        </w:tc>
        <w:tc>
          <w:tcPr>
            <w:tcW w:w="1506"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Duty at 50% (US$M/yr)</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Mississippi: True Temper steel golf shafts (Amory)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18.4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9506.32.00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South Carolina: TaylorMade golf balls (Liberty); golf bag manufacturing (Orangeburg)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CT-506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9506.32.01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Georgia: Bridgestone golf balls (Covington)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Arizona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CT-507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Missouri: Newton Golf putter assembly (St. Joseph)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CT-508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Arizona: PING golf clubs and bags (Phoenix)</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CT-509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Alabama: Tad Moore hickory golf clubs (Selma); Otey Crisman putters (Selma)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4203.21.40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of apparel and clothing accessories, of leather — e.g., North Carolina: Carolina Glove Co. golf gloves (Conover)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CT-511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9506.39.01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Texas: Various golf accessory manufacturers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Arizona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34.3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CT-512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9506.39.02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Oregon: Seamus Golf wool headcovers and accessories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CT-513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4203.21.41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of apparel and clothing accessories, of leather — e.g., Utah: Asher Golf gloves (Park City)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18.3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CT-514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Target states: Arizona (PING), California (Callaway assembly), 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PING G430 Max Driver (10.5°, right-handed)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CT-516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PING G430 LST Driver (9°, right-handed)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Arizona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CT-517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9506.31.06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PING G430 SFT Driver (10.5°, draw-biased)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CT-518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9506.31.07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PING G430 Fairway Wood (3-wood, 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CT-519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9506.31.08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PING G430 Fairway Wood (5-wood, 18°)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9506.31.09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PING G430 Fairway Wood (7-wood, 21°)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CT-521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Callaway Paradym Driver (10.5°, right-handed)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Arizona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CT-522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9506.31.11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Callaway Paradym Fairway Wood (3-wood, 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CT-523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9506.31.12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Callaway Paradym Fairway Wood (5-wood, 18°)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CT-524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9506.31.13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TaylorMade Stealth 2 Driver (10.5°, right-handed)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CT-525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9506.31.14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TaylorMade Stealth 2 Fairway Wood (3-wood, 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CT-526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TaylorMade Stealth 2 Fairway Wood (5-wood, 18°)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Arizona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CT-527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9506.31.16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Cobra Aerojet Driver (10.5°, right-handed)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31.4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CT-528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9506.31.17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Cobra Aerojet Fairway Wood (3-wood, 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CT-529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9506.31.18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Titleist TSR2 Driver (10°, right-handed)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CT-530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9506.31.19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Titleist TSR3 Driver (9°, right-handed)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CT-531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Titleist TSR2 Fairway Wood (3-wood, 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Arizona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CT-532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9506.31.21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Articles and equipment for sports; golf clubs and balls — e.g., Titleist TSR2 Fairway Wood (5-wood, 18°)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27.4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13.7</w:t>
            </w:r>
          </w:p>
        </w:tc>
      </w:tr>
      <w:tr>
        <w:trPr>
          <w:cantSplit w:val="1"/>
        </w:trPr>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Category K subtotal</w:t>
            </w:r>
          </w:p>
        </w:tc>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29 lines</w:t>
            </w:r>
          </w:p>
        </w:tc>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380.0</w:t>
            </w:r>
          </w:p>
        </w:tc>
        <w:tc>
          <w:tcPr>
            <w:tcW w:w="1506" w:type="dxa"/>
            <w:shd w:val="clear" w:color="auto" w:fill="F4F7F9"/>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190.0</w:t>
            </w:r>
          </w:p>
        </w:tc>
      </w:tr>
    </w:tbl>
    <w:p>
      <w:pPr>
        <w:pStyle w:val="Heading3"/>
      </w:pPr>
      <w:r>
        <w:rPr>
          <w:rFonts w:ascii="Calibri" w:hAnsi="Calibri" w:eastAsia="Microsoft YaHei" w:cs="Calibri"/>
          <w:b/>
          <w:color w:val="1F2E38"/>
          <w:sz w:val="22"/>
          <w:szCs w:val="22"/>
        </w:rPr>
        <w:t>Category L: Musical Instruments and Audio Equipment (Lines CT-533 to CT-556)</w:t>
      </w:r>
    </w:p>
    <w:p>
      <w:pPr>
        <w:pStyle w:val="Normal"/>
        <w:spacing w:before="10" w:after="10" w:line="240" w:lineRule="auto"/>
        <w:jc w:val="left"/>
      </w:pPr>
      <w:r>
        <w:rPr>
          <w:b/>
          <w:color w:val="55707F"/>
          <w:sz w:val="16"/>
          <w:rFonts w:ascii="Calibri" w:hAnsi="Calibri" w:eastAsia="Microsoft YaHei" w:cs="Calibri"/>
          <w:szCs w:val="19"/>
        </w:rPr>
        <w:t>Guitars, pianos, percussion and amplification from Tennessee (Nashville), Pennsylvania and Ohio builders.</w:t>
      </w:r>
    </w:p>
    <w:tbl>
      <w:tblPr>
        <w:tblW w:w="0" w:type="auto"/>
      </w:tblPr>
      <w:tblGrid>
        <w:gridCol w:w="1504"/>
        <w:gridCol w:w="1504"/>
        <w:gridCol w:w="1504"/>
        <w:gridCol w:w="1504"/>
        <w:gridCol w:w="1504"/>
        <w:gridCol w:w="1506"/>
      </w:tblGrid>
      <w:tr>
        <w:trPr>
          <w:tblHeader w:val="1"/>
          <w:cantSplit w:val="1"/>
        </w:trPr>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Line</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Tariff item (HS)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Class of goods and illustrative U.S. products covered</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Principal source state(s)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Trade value (US$M/yr)</w:t>
            </w:r>
          </w:p>
        </w:tc>
        <w:tc>
          <w:tcPr>
            <w:tcW w:w="1506"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Duty at 50% (US$M/yr)</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CT-533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9202.10.02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string musical instruments (guitars) — e.g., 🎸 String Instruments (Acoustic &amp; Electric)</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CT-534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9202.10.03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string musical instruments (guitars) — e.g., Guitars &amp; Basses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18.0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CT-535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9202.10.04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string musical instruments (guitars) — e.g., Acoustic Guitar (Dreadnought)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CT-536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9202.10.05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string musical instruments (guitars) — e.g., Acoustic Guitar (Concert)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CT-537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9202.10.06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string musical instruments (guitars) — e.g., Acoustic Guitar (Parlor)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CT-538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9202.10.07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string musical instruments (guitars) — e.g., Acoustic Guitar (Jumbo)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CT-539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9202.10.08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string musical instruments (guitars) — e.g., Acoustic Guitar (000 Size)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9202.10.09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string musical instruments (guitars) — e.g., Acoustic Guitar (Orchestra Model)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CT-541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9202.10.10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string musical instruments (guitars) — e.g., Acoustic Guitar (Grand Auditorium)</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CT-542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9202.10.11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string musical instruments (guitars) — e.g., Acoustic Guitar (12-String)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CT-543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9202.10.12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string musical instruments (guitars) — e.g., Acoustic Guitar (Cutaway)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CT-544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9202.10.13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string musical instruments (guitars) — e.g., Acoustic Guitar (Travel/Compact)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CT-545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9207.90.00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Musical instruments with electrically produced sound — e.g., Electric Guitar (Solid Body)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CT-546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9207.90.01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Musical instruments with electrically produced sound — e.g., Electric Guitar (Semi-Hollow)</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CT-547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9207.90.02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Musical instruments with electrically produced sound — e.g., Electric Guitar (Hollow Body)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CT-548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9207.90.03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Musical instruments with electrically produced sound — e.g., Electric Guitar (Signature Model)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CT-549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9207.90.04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Musical instruments with electrically produced sound — e.g., Electric Guitar (Baritone)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9207.90.05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Musical instruments with electrically produced sound — e.g., Electric Guitar (7-String)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CT-551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9207.90.06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Musical instruments with electrically produced sound — e.g., Electric Guitar (Extended Range)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CT-552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9207.90.07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Musical instruments with electrically produced sound — e.g., Electric Bass (4-String)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CT-553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9207.90.08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Musical instruments with electrically produced sound — e.g., Electric Bass (5-String)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CT-554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9207.90.09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Musical instruments with electrically produced sound — e.g., Electric Bass (Fretless)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CT-555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9207.90.10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Musical instruments with electrically produced sound — e.g., Electric Bass (Acoustic/Electric)</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25.4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CT-556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9207.90.11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Musical instruments with electrically produced sound — e.g., Electric Bass (Short Scale)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5.8</w:t>
            </w:r>
          </w:p>
        </w:tc>
      </w:tr>
      <w:tr>
        <w:trPr>
          <w:cantSplit w:val="1"/>
        </w:trPr>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Category L subtotal</w:t>
            </w:r>
          </w:p>
        </w:tc>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24 lines</w:t>
            </w:r>
          </w:p>
        </w:tc>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340.0</w:t>
            </w:r>
          </w:p>
        </w:tc>
        <w:tc>
          <w:tcPr>
            <w:tcW w:w="1506"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170.0</w:t>
            </w:r>
          </w:p>
        </w:tc>
      </w:tr>
    </w:tbl>
    <w:p>
      <w:pPr>
        <w:pStyle w:val="Heading3"/>
      </w:pPr>
      <w:r>
        <w:rPr>
          <w:rFonts w:ascii="Calibri" w:hAnsi="Calibri" w:eastAsia="Microsoft YaHei" w:cs="Calibri"/>
          <w:b/>
          <w:color w:val="1F2E38"/>
          <w:sz w:val="22"/>
          <w:szCs w:val="22"/>
        </w:rPr>
        <w:t>Category M: Shaving and Grooming Preparations and Razors (Lines CT-557 to CT-577)</w:t>
      </w:r>
    </w:p>
    <w:p>
      <w:pPr>
        <w:pStyle w:val="Normal"/>
        <w:spacing w:before="10" w:after="10" w:line="240" w:lineRule="auto"/>
        <w:jc w:val="left"/>
      </w:pPr>
      <w:r>
        <w:rPr>
          <w:b/>
          <w:color w:val="55707F"/>
          <w:sz w:val="16"/>
          <w:rFonts w:ascii="Calibri" w:hAnsi="Calibri" w:eastAsia="Microsoft YaHei" w:cs="Calibri"/>
          <w:szCs w:val="19"/>
        </w:rPr>
        <w:t>Razors, blades, shaving preparations and brushes from Ohio, Pennsylvania, Tennessee and Georgia plants; daily-use visibility with trivial substitution.</w:t>
      </w:r>
    </w:p>
    <w:tbl>
      <w:tblPr>
        <w:tblW w:w="0" w:type="auto"/>
      </w:tblPr>
      <w:tblGrid>
        <w:gridCol w:w="1504"/>
        <w:gridCol w:w="1504"/>
        <w:gridCol w:w="1504"/>
        <w:gridCol w:w="1504"/>
        <w:gridCol w:w="1504"/>
        <w:gridCol w:w="1506"/>
      </w:tblGrid>
      <w:tr>
        <w:trPr>
          <w:tblHeader w:val="1"/>
          <w:cantSplit w:val="1"/>
        </w:trPr>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Line</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Tariff item (HS)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Class of goods and illustrative U.S. products covered</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Principal source state(s)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Trade value (US$M/yr)</w:t>
            </w:r>
          </w:p>
        </w:tc>
        <w:tc>
          <w:tcPr>
            <w:tcW w:w="1506"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Duty at 50% (US$M/yr)</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CT-557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3307.10.10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Ohio: Barbasol shaving cream (Ashland)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CT-558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3307.10.20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Texas: Noble Otter (artisan shaving soaps/aftershaves), Supply razors (Fort Worth)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CT-559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8212.20.00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Razors and razor blades — e.g., Virginia: AccuTec/Personna razor blades (Verona)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CT-560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8212.10.00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Razors and razor blades — e.g., Florida: Western Razor Co. safety razors (Pensacola)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CT-561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8212.10.01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Razors and razor blades — e.g., Idaho: Classic Shaving (Sandpoint)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CT-562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8212.10.02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Razors and razor blades — e.g., Pennsylvania: Yates Precision Manufacturing razors (Waynesburg)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CT-563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3307.90.00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Nebraska: Ogallala Bay Rum aftershaves (Ogallala)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CT-564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8212.10.03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Razors and razor blades — e.g., Missouri: Edgewell Personal Care (Chesterfield)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CT-565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8212.10.04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Razors and razor blades — e.g., New York: Barrister and Mann (Hartwick)</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CT-566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8212.10.05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Razors and razor blades — e.g., Target states: Florida, Idaho, Pennsylvania, Texas, New York, Virginia, 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CT-567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8212.10.06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Razors and razor blades — e.g., Western Razor Co. High Noon Safety Razor (solid metal)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CT-568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8212.10.07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Razors and razor blades — e.g., Western Razor Co. Double-Edge Safety Razor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CT-569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8212.10.08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Razors and razor blades — e.g., Classic Shaving The Blades Grim Safety Razor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CT-570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8212.10.09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Razors and razor blades — e.g., Classic Shaving Occam's Razor Safety Razor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CT-571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8212.10.10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Razors and razor blades — e.g., Yates Precision Manufacturing "The 'Merica Razor" (316 stainless steel)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CT-572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8212.10.11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Razors and razor blades — e.g., Supply Single-Edge Safety Razor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CT-573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8212.10.12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Razors and razor blades — e.g., Tier One Razor (double-edge, combat-themed)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CT-574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8212.10.13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Razors and razor blades — e.g., Personna Double-Edge Safety Razor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CT-575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8212.10.14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Razors and razor blades — e.g., Personna Single-Edge Safety Razor (GEM brand)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CT-576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8212.10.15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Razors and razor blades — e.g., GEM Single-Edge Razor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CT-577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8212.10.16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Razors and razor blades — e.g., American Safety Razor Co. Safety Razor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5.2</w:t>
            </w:r>
          </w:p>
        </w:tc>
      </w:tr>
      <w:tr>
        <w:trPr>
          <w:cantSplit w:val="1"/>
        </w:trPr>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Category M subtotal</w:t>
            </w:r>
          </w:p>
        </w:tc>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21 lines</w:t>
            </w:r>
          </w:p>
        </w:tc>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210.0</w:t>
            </w:r>
          </w:p>
        </w:tc>
        <w:tc>
          <w:tcPr>
            <w:tcW w:w="1506"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105.0</w:t>
            </w:r>
          </w:p>
        </w:tc>
      </w:tr>
    </w:tbl>
    <w:p>
      <w:pPr>
        <w:pStyle w:val="Heading3"/>
      </w:pPr>
      <w:r>
        <w:rPr>
          <w:rFonts w:ascii="Calibri" w:hAnsi="Calibri" w:eastAsia="Microsoft YaHei" w:cs="Calibri"/>
          <w:b/>
          <w:color w:val="1F2E38"/>
          <w:sz w:val="22"/>
          <w:szCs w:val="22"/>
        </w:rPr>
        <w:t>Category N: Knives, Cutlery and Blades (Lines CT-578 to CT-607)</w:t>
      </w:r>
    </w:p>
    <w:p>
      <w:pPr>
        <w:pStyle w:val="Normal"/>
        <w:spacing w:before="10" w:after="10" w:line="240" w:lineRule="auto"/>
        <w:jc w:val="left"/>
      </w:pPr>
      <w:r>
        <w:rPr>
          <w:b/>
          <w:color w:val="55707F"/>
          <w:sz w:val="16"/>
          <w:rFonts w:ascii="Calibri" w:hAnsi="Calibri" w:eastAsia="Microsoft YaHei" w:cs="Calibri"/>
          <w:szCs w:val="19"/>
        </w:rPr>
        <w:t>Kitchen, hunting, pocket and tactical cutlery from Pennsylvania, Ohio, Tennessee and Wisconsin cutlery districts.</w:t>
      </w:r>
    </w:p>
    <w:tbl>
      <w:tblPr>
        <w:tblW w:w="0" w:type="auto"/>
      </w:tblPr>
      <w:tblGrid>
        <w:gridCol w:w="1504"/>
        <w:gridCol w:w="1504"/>
        <w:gridCol w:w="1504"/>
        <w:gridCol w:w="1504"/>
        <w:gridCol w:w="1504"/>
        <w:gridCol w:w="1506"/>
      </w:tblGrid>
      <w:tr>
        <w:trPr>
          <w:tblHeader w:val="1"/>
          <w:cantSplit w:val="1"/>
        </w:trPr>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Line</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Tariff item (HS)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Class of goods and illustrative U.S. products covered</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Principal source state(s)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Trade value (US$M/yr)</w:t>
            </w:r>
          </w:p>
        </w:tc>
        <w:tc>
          <w:tcPr>
            <w:tcW w:w="1506"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Duty at 50% (US$M/yr)</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CT-578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8211.92.00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Ohio: Cooper Cutlery; automatic/switchblade manufacturing hub</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CT-579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8211.92.01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Montana: Montana Knife Company (Missoula), a high‑profile red‑state manufacturer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CT-580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8211.92.02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Iowa: Rada Cutlery (Waverly)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CT-581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8211.92.03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Assorted knives with cutting blades, and blades therefor — Texas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CT-582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8211.92.20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Table knives having fixed blades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CT-583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8211.92.21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Chef’s knife (8‑inch, stainless steel)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CT-584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8211.92.22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Chef’s knife (10‑inch, stainless steel)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CT-585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8211.92.23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Chef’s knife (6‑inch, stainless steel)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CT-586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8211.92.24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Chef’s knife (8‑inch, high‑carbon steel)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CT-587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8211.92.25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Chef’s knife (10‑inch, high‑carbon steel)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CT-588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8211.92.26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Chef’s knife (8‑inch, ceramic‑coated)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12.0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CT-589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8211.92.27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Chef’s knife (7‑inch, Santoku‑style)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CT-590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8211.92.28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Chef’s knife (9‑inch, granton edge)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CT-591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8211.92.29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Chef’s knife (12‑inch, extra‑long)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CT-592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8211.92.30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Chef’s knife (6‑inch, utility‑style)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CT-593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8211.92.31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Chef’s knife (8‑inch, with sheath)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CT-594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8211.92.32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Chef’s knife (10‑inch, forged)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CT-595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8211.91.30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Table knives having fixed blades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CT-596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8211.91.31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Paring knife (3‑inch, straight blade)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CT-597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8211.91.32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Paring knife (3.5‑inch, curved blade)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CT-598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8211.91.33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Paring knife (4‑inch, stainless steel)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CT-599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8211.91.34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Paring knife (2.5‑inch, peeling)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8211.91.35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Utility knife (5‑inch, serrated)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8211.91.36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Utility knife (6‑inch, straight)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8211.91.37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Tomato slicer (5.5‑inch, serrated)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8211.91.38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Sandwich knife (5‑inch, offset)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8211.91.39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Cheese knife (5‑inch, forked tip)</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8211.91.40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Cheese knife (4‑inch, plane‑style)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CT-606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8211.91.41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Cheese knife (6‑inch, cleaver‑style)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CT-607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8211.91.42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Knives with cutting blades, and blades therefor — e.g., Butter knife (4‑inch, rounded tip)</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4.9</w:t>
            </w:r>
          </w:p>
        </w:tc>
      </w:tr>
      <w:tr>
        <w:trPr>
          <w:cantSplit w:val="1"/>
        </w:trPr>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Category N subtotal</w:t>
            </w:r>
          </w:p>
        </w:tc>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30 lines</w:t>
            </w:r>
          </w:p>
        </w:tc>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220.0</w:t>
            </w:r>
          </w:p>
        </w:tc>
        <w:tc>
          <w:tcPr>
            <w:tcW w:w="1506"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110.0</w:t>
            </w:r>
          </w:p>
        </w:tc>
      </w:tr>
    </w:tbl>
    <w:p>
      <w:pPr>
        <w:pStyle w:val="Heading3"/>
      </w:pPr>
      <w:r>
        <w:rPr>
          <w:rFonts w:ascii="Calibri" w:hAnsi="Calibri" w:eastAsia="Microsoft YaHei" w:cs="Calibri"/>
          <w:b/>
          <w:color w:val="1F2E38"/>
          <w:sz w:val="22"/>
          <w:szCs w:val="22"/>
        </w:rPr>
        <w:t>Category O: Fishing and Marine Equipment (Lines CT-608 to CT-632)</w:t>
      </w:r>
    </w:p>
    <w:p>
      <w:pPr>
        <w:pStyle w:val="Normal"/>
        <w:spacing w:before="10" w:after="10" w:line="240" w:lineRule="auto"/>
        <w:jc w:val="left"/>
      </w:pPr>
      <w:r>
        <w:rPr>
          <w:b/>
          <w:color w:val="55707F"/>
          <w:sz w:val="16"/>
          <w:rFonts w:ascii="Calibri" w:hAnsi="Calibri" w:eastAsia="Microsoft YaHei" w:cs="Calibri"/>
          <w:szCs w:val="19"/>
        </w:rPr>
        <w:t>Rods, reels, tackle, nets and small watercraft from Texas, Florida, Alabama, Louisiana, Georgia and South Carolina.</w:t>
      </w:r>
    </w:p>
    <w:tbl>
      <w:tblPr>
        <w:tblW w:w="0" w:type="auto"/>
      </w:tblPr>
      <w:tblGrid>
        <w:gridCol w:w="1504"/>
        <w:gridCol w:w="1504"/>
        <w:gridCol w:w="1504"/>
        <w:gridCol w:w="1504"/>
        <w:gridCol w:w="1504"/>
        <w:gridCol w:w="1506"/>
      </w:tblGrid>
      <w:tr>
        <w:trPr>
          <w:tblHeader w:val="1"/>
          <w:cantSplit w:val="1"/>
        </w:trPr>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Line</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Tariff item (HS)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Class of goods and illustrative U.S. products covered</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Principal source state(s)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Trade value (US$M/yr)</w:t>
            </w:r>
          </w:p>
        </w:tc>
        <w:tc>
          <w:tcPr>
            <w:tcW w:w="1506"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Duty at 50% (US$M/yr)</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CT-608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9014.80.20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Direction finding compasses; navigational instruments — e.g., Alabama: Humminbird sonar/GPS equipment designed and manufactured primarily in Eufaula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CT-609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9507.90.00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Georgia: Humminbird manufacturing in Alpharetta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9507.90.60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Texas: Cotton Cordell lures (Gay Blade, Red Fin) designed in Tyler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Alabama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CT-611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South Carolina: Z-Man Fishing Products (Ladson)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CT-612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9507.90.61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North Carolina: Blue Water Candy Lures (Holly Ridge), Fathom Offshore (Wilmington)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CT-613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9507.30.40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Virginia: Missile Baits (Salem), Perko Lures, Seigler Reels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CT-614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8903.99.90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Yachts and other vessels for pleasure or sports — e.g., Wisconsin: Northport Marine (fishing boats)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9507.90.01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Assorted fishing rods, hooks, tackle; decoys and calls — Florida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CT-616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9507.90.02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Assorted fishing rods, hooks, tackle; decoys and calls — Alabama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Alabama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CT-617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9507.10.01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Fishing rods and parts and accessories thereof</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CT-618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9507.10.02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Spinning rod (6-foot, light action)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CT-619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9507.10.03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Spinning rod (7-foot, medium action)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9507.10.04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Spinning rod (7.5-foot, heavy action)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CT-621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9507.10.05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Casting rod (6.5-foot, medium-heavy)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CT-622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9507.10.06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Casting rod (7-foot, heavy action)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Alabama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CT-623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9507.10.07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Fly rod (9-foot, 5-weight)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CT-624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9507.10.08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Fly rod (9-foot, 8-weight)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CT-625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9507.10.09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Fly rod (10-foot, 7-weight)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CT-626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9507.10.10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Trolling rod (6-foot, heavy, with roller guides)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CT-627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9507.10.11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Ice fishing rod (24-inch, ultra-light)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CT-628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9507.10.12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Surf casting rod (10-foot, heavy)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Alabama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CT-629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9507.10.13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Jigging rod (5.5-foot, extra-heavy)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CT-630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9507.10.14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Spinning rod (8-foot, medium-light)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CT-631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9507.10.15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Travel rod (4-piece, 7-foot)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Louisiana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CT-632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9507.10.16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Fishing rods, hooks, tackle; decoys and calls — e.g., Rod blank (unfinished, 7-foot)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5.8</w:t>
            </w:r>
          </w:p>
        </w:tc>
      </w:tr>
      <w:tr>
        <w:trPr>
          <w:cantSplit w:val="1"/>
        </w:trPr>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Category O subtotal</w:t>
            </w:r>
          </w:p>
        </w:tc>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25 lines</w:t>
            </w:r>
          </w:p>
        </w:tc>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200.0</w:t>
            </w:r>
          </w:p>
        </w:tc>
        <w:tc>
          <w:tcPr>
            <w:tcW w:w="1506"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100.0</w:t>
            </w:r>
          </w:p>
        </w:tc>
      </w:tr>
    </w:tbl>
    <w:p>
      <w:pPr>
        <w:pStyle w:val="Heading3"/>
      </w:pPr>
      <w:r>
        <w:rPr>
          <w:rFonts w:ascii="Calibri" w:hAnsi="Calibri" w:eastAsia="Microsoft YaHei" w:cs="Calibri"/>
          <w:b/>
          <w:color w:val="1F2E38"/>
          <w:sz w:val="22"/>
          <w:szCs w:val="22"/>
        </w:rPr>
        <w:t>Category P: Air Fresheners, Candles and Home Fragrance (Lines CT-633 to CT-652)</w:t>
      </w:r>
    </w:p>
    <w:p>
      <w:pPr>
        <w:pStyle w:val="Normal"/>
        <w:spacing w:before="10" w:after="10" w:line="240" w:lineRule="auto"/>
        <w:jc w:val="left"/>
      </w:pPr>
      <w:r>
        <w:rPr>
          <w:b/>
          <w:color w:val="55707F"/>
          <w:sz w:val="16"/>
          <w:rFonts w:ascii="Calibri" w:hAnsi="Calibri" w:eastAsia="Microsoft YaHei" w:cs="Calibri"/>
          <w:szCs w:val="19"/>
        </w:rPr>
        <w:t>Candles, aerosols, diffusers and wax products from Ohio, Texas, South Carolina, Georgia and Tennessee candle-and-fragrance plants.</w:t>
      </w:r>
    </w:p>
    <w:tbl>
      <w:tblPr>
        <w:tblW w:w="0" w:type="auto"/>
      </w:tblPr>
      <w:tblGrid>
        <w:gridCol w:w="1504"/>
        <w:gridCol w:w="1504"/>
        <w:gridCol w:w="1504"/>
        <w:gridCol w:w="1504"/>
        <w:gridCol w:w="1504"/>
        <w:gridCol w:w="1506"/>
      </w:tblGrid>
      <w:tr>
        <w:trPr>
          <w:tblHeader w:val="1"/>
          <w:cantSplit w:val="1"/>
        </w:trPr>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Line</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Tariff item (HS)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Class of goods and illustrative U.S. products covered</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Principal source state(s)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Trade value (US$M/yr)</w:t>
            </w:r>
          </w:p>
        </w:tc>
        <w:tc>
          <w:tcPr>
            <w:tcW w:w="1506"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Duty at 50% (US$M/yr)</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CT-633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3307.49.00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Assorted shaving, bath and other personal preparations — Ohio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CT-634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3307.49.01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Assorted shaving, bath and other personal preparations — Texas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CT-635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3307.49.02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Little Trees "Black Ice" Air Freshener (Classic Paper)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CT-636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3307.49.03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Little Trees "Royal Pine" Air Freshener (Classic Paper)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CT-637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3307.49.04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Little Trees "New Car Scent" Air Freshener (Classic Paper)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CT-638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3307.49.05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Little Trees "Vanilla" Air Freshener (Classic Paper)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CT-639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3307.49.06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Little Trees "Cherry" Air Freshener (Classic Paper)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0.9</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3307.49.07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Little Trees "Strawberry" Air Freshener (Classic Paper)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CT-641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3307.49.08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Little Trees "Leather" Air Freshener (Classic Paper)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CT-642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3307.49.09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Little Trees "Cinnamon" Air Freshener (Classic Paper)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CT-643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3307.49.10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Little Trees Vent Wrap Air Freshener (Vent Clip)</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CT-644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3307.49.11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Little Trees Aerosol Spray Air Freshener (Various Scents)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4.0</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CT-645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3307.49.12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California Scents "Car Scents" (Canister, 2.5oz)</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CT-646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3307.49.13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California Scents "Cool Scents" (Canister)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CT-647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3307.49.14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California Scents "Hang-Outs" Hanging Air Freshener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CT-648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3307.49.15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Sterling Teal "K29 ScentStone" Automotive Air Freshener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CT-649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3307.49.16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Sterling Teal "VentStone" Car Vent Air Freshener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3307.49.17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Paradise Air Gel Auto Air Freshener (Various Scents)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18.6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CT-651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3307.49.18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Paradise Air Oil-Based Auto Air Freshener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CT-652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3307.49.19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My Air Freshener Custom Printed Hanging Car Freshener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3.6</w:t>
            </w:r>
          </w:p>
        </w:tc>
      </w:tr>
      <w:tr>
        <w:trPr>
          <w:cantSplit w:val="1"/>
        </w:trPr>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Category P subtotal</w:t>
            </w:r>
          </w:p>
        </w:tc>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20 lines</w:t>
            </w:r>
          </w:p>
        </w:tc>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120.0</w:t>
            </w:r>
          </w:p>
        </w:tc>
        <w:tc>
          <w:tcPr>
            <w:tcW w:w="1506" w:type="dxa"/>
            <w:shd w:val="clear" w:color="auto" w:fill="F4F7F9"/>
            <w:tcBorders>
              <w:bottom w:val="single" w:space="0"/>
            </w:tcBorders>
          </w:tcPr>
          <w:p>
            <w:pPr>
              <w:pStyle w:val="Normal"/>
              <w:spacing w:before="10" w:after="10" w:line="240" w:lineRule="auto"/>
              <w:jc w:val="left"/>
            </w:pPr>
            <w:r>
              <w:rPr>
                <w:b/>
                <w:color w:val="8AA0AC"/>
                <w:sz w:val="16"/>
                <w:rFonts w:ascii="Calibri" w:hAnsi="Calibri" w:eastAsia="Microsoft YaHei" w:cs="Calibri"/>
                <w:szCs w:val="19"/>
              </w:rPr>
              <w:t>60.0</w:t>
            </w:r>
          </w:p>
        </w:tc>
      </w:tr>
    </w:tbl>
    <w:p>
      <w:pPr>
        <w:pStyle w:val="Heading3"/>
      </w:pPr>
      <w:r>
        <w:rPr>
          <w:rFonts w:ascii="Calibri" w:hAnsi="Calibri" w:eastAsia="Microsoft YaHei" w:cs="Calibri"/>
          <w:b/>
          <w:color w:val="1F2E38"/>
          <w:sz w:val="22"/>
          <w:szCs w:val="22"/>
        </w:rPr>
        <w:t>Category Q: Trump Organization Exposure Categories — Apparel, Promotional Goods, Print, Golf Operations, Hospitality Consumables, Food and Beverage, and Aviation (Lines CT-653 to CT-712)</w:t>
      </w:r>
    </w:p>
    <w:p>
      <w:pPr>
        <w:pStyle w:val="Normal"/>
        <w:spacing w:before="10" w:after="10" w:line="240" w:lineRule="auto"/>
        <w:jc w:val="left"/>
      </w:pPr>
      <w:r>
        <w:rPr>
          <w:b/>
          <w:color w:val="55707F"/>
          <w:sz w:val="16"/>
          <w:rFonts w:ascii="Calibri" w:hAnsi="Calibri" w:eastAsia="Microsoft YaHei" w:cs="Calibri"/>
          <w:szCs w:val="19"/>
        </w:rPr>
        <w:t>Class-based lines that incidentally sweep in the supply chains of Trump-branded resorts, hotels, golf courses, licensing and private aviation: apparel headings 6109/6110/6505/6203/6205/6114, promotional goods, books and printed matter, golf operations equipment, hotel consumables, hospitality food and beverage, business aircraft, engines and parts, and real-estate fit-out goods. Real property, brand licensing and hotel services are not goods and cannot be surtaxed; those exposures are addressed by Tier E instruments in Part VI.</w:t>
      </w:r>
    </w:p>
    <w:tbl>
      <w:tblPr>
        <w:tblW w:w="0" w:type="auto"/>
      </w:tblPr>
      <w:tblGrid>
        <w:gridCol w:w="1504"/>
        <w:gridCol w:w="1504"/>
        <w:gridCol w:w="1504"/>
        <w:gridCol w:w="1504"/>
        <w:gridCol w:w="1504"/>
        <w:gridCol w:w="1506"/>
      </w:tblGrid>
      <w:tr>
        <w:trPr>
          <w:tblHeader w:val="1"/>
          <w:cantSplit w:val="1"/>
        </w:trPr>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Line</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Tariff item (HS)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Class of goods and illustrative U.S. products covered</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Principal source state(s)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Trade value (US$M/yr)</w:t>
            </w:r>
          </w:p>
        </w:tc>
        <w:tc>
          <w:tcPr>
            <w:tcW w:w="1506"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Duty at 50% (US$M/yr)</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CT-653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6109.10.13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T-shirts, singlets and tank tops, knitted, of cotton — e.g., Campaign and brand T-shirts; resort pro-shop tees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CT-654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6109.90.10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T-shirts and tank tops, knitted, of man-made fibres — e.g., Polyester athletic tees with political branding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CT-655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6110.20.23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Sweaters, pullovers and sweatshirts, knitted, of cotton — e.g., Mock-neck pullovers; crewneck sweatshirts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CT-656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6110.30.32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Sweaters and sweatshirts, knitted, of man-made fibres — e.g., Sequined and embroidered branded sweatshirts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CT-657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headgear, knitted or crocheted — e.g., Knitted caps and visors sold at resorts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CT-658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6505.00.71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caps, of felt or other textile fabric, in the piece — e.g., Baseball-style caps, including signature red caps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CT-659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6203.42.40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Men's trousers and shorts, woven, of cotton — e.g., Resort and golf trousers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CT-660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6205.20.20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Men's shirts, woven, of cotton — e.g., Dress shirts sold through brand stores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CT-661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6205.30.20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Men's shirts, woven, of man-made fibres — e.g., Casual branded shirts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CT-662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6114.20.00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garments, knitted, of cotton — e.g., Miscellaneous knitted branded apparel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CT-663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6114.30.30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garments, knitted, of man-made fibres — e.g., Athletic and leisure garments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CT-664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3924.10.41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Tableware and kitchenware of plastics — e.g., Plastic cups and drinkware with branding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CT-665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3924.90.56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household articles of plastics — e.g., Branded plastic household and promotional articles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CT-666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6911.10.80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Tableware of porcelain or china — e.g., Ceramic mugs and tableware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CT-667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6912.00.48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tableware, other than porcelain — e.g., Stoneware mugs incl. campaign mugs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CT-668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4202.22.19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Handbags with outer surface of leather — e.g., Branded handbags and clutches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CT-669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4202.92.33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Bags with outer surface of textile materials — e.g., Tote bags, duffel bags, sport bags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CT-670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9608.10.00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Ball-point pens — e.g., Promotional ballpoint pens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CT-671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4911.91.20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Pictures, designs and photographs, printed — e.g., Posters and prints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CT-672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4911.91.40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Decals and stickers, printed — e.g., Bumper stickers and decal sets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CT-673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4820.10.20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Notebooks, diaries and address books, bound — e.g., Branded notebooks and journals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CT-674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4901.99.00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Printed books, other than dictionaries and encyclopaedias — e.g., Celebrity and political memoirs; endorsed editions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New York</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CT-675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4902.90.20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Newspapers and journals, other than daily — e.g., Commemorative magazine editions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New York</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CT-676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4903.00.00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Children's picture and colouring books — e.g., Political-themed children's books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CT-677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4911.10.00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Trade advertising material and commercial catalogues — e.g., Merchandise catalogues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CT-678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9506.31.22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Golf clubs, complete — e.g., Golf clubs sold at U.S. resort pro shops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CT-679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9506.32.02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Golf balls — e.g., Logo golf balls, 3-ball sleeves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CT-680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9506.39.03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golf equipment — e.g., Headcovers, tees, markers, training aids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CT-681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6302.60.00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Toilet linen and kitchen linen, of terry towelling, cotton — e.g., Golf towels and clubhouse towels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CT-682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4203.21.42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Gloves of leather, specially designed for use in sports — e.g., Golf gloves, cabretta leather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CT-683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9015.10.40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Rangefinders — e.g., Laser golf rangefinders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Arizona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CT-684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8703.10.50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Golf cars and similar vehicles — e.g., Fleet golf cars for resort courses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26.1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CT-685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6302.10.00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Bed linen, knitted or crocheted — e.g., Hotel bed linen sets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South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CT-686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6302.31.50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Bed linen, not knitted, of cotton, other — e.g., Hotel sheeting and pillowcases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CT-687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6303.92.20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Curtains and drapes, of synthetic fibres — e.g., Hotel drapery, synthetic</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CT-688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3401.11.50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Soap, for toilet use, in bars, cakes or moulded pieces — e.g., Hotel amenity soaps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CT-689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3304.99.50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Beauty or skin-care preparations, other — e.g., Hotel amenity lotions and skincare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CT-690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3305.10.00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Shampoos — e.g., Hotel amenity shampoos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CT-691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3922.10.00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Baths, shower-baths, sinks and wash-basins, of plastics — e.g., Plastic bathtubs and shower units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CT-692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3922.90.00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Bidets, lavatory seats and other sanitary ware, of plastics — e.g., Toilet seats and sanitary ware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Wisconsin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CT-693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7324.90.00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sanitary ware of iron or steel — e.g., Metal bathroom fittings and drains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Indiana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CT-694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6910.10.40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Ceramic sinks, baths, water closet pans and similar sanitary fixtures — e.g., Porcelain hotel sanitary fixtures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CT-695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2203.00.00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Beer made from malt — e.g., U.S. craft and premium beer kegs and cases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Colorado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CT-696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2204.21.65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Wine of fresh grapes, in containers of 2 litres or less — e.g., Estate-bottled Virginia and other U.S. wines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CT-697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2106.90.00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Food preparations, not elsewhere specified — e.g., Sauces, mixes and branded food preparations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CT-698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1905.31.00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Sweet biscuits — e.g., Premium cookies and biscuits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Pennsylvania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CT-699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2008.11.42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Ground-nuts, prepared or preserved — e.g., Prepared peanuts and nut mixes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2008.99.90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fruits and nuts, prepared or preserved — e.g., Preserved fruit for hospitality</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8802.30.00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Aeroplanes, of an unladen weight 2,000-15,000 kg — e.g., Business jets (light and mid-size)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Kansas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8802.40.00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Aeroplanes, of an unladen weight exceeding 15,000 kg — e.g., Narrow-body private aircraft (Boeing 757 class)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Washington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8803.30.00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Parts of aeroplanes or helicopters — e.g., Aircraft spares and rotables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39.1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8411.11.40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Turbo-jets, of a thrust not exceeding 25 kN — e.g., Business-jet turbofan engines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8411.12.40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Turbo-jets, of a thrust exceeding 25 kN — e.g., Large turbofan engines and spares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16.3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CT-706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8805.29.00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Ground flying trainers and parts; other ground equipment — e.g., Towbars, tugs, GPUs for private ramps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Missouri</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CT-707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6802.21.50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Marble, travertine and alabaster, worked, for building — e.g., Dimensional marble for lobbies and interiors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CT-708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9405.11.80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Electric ceiling and wall lighting fittings, LED — e.g., Chandeliers and architectural luminaires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New York</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13.0</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CT-709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5703.21.00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Carpets of nylon, tufted, &lt;=5.25 m2 — e.g., Hotel corridor and ballroom carpeting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9401.61.40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Upholstered seats with wooden frames — e.g., Lobby and lounge seating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North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CT-711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9403.60.81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wooden furniture — e.g., Guestroom casegoods, wooden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North Carolina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19.6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9.8</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CT-712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6307.90.98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made-up textile articles, incl. flags, banners and club covers — e.g., Golf club covers, pin flags, resort banners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3.2</w:t>
            </w:r>
          </w:p>
        </w:tc>
      </w:tr>
      <w:tr>
        <w:trPr>
          <w:cantSplit w:val="1"/>
        </w:trPr>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Category Q subtotal</w:t>
            </w:r>
          </w:p>
        </w:tc>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60 lines</w:t>
            </w:r>
          </w:p>
        </w:tc>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900.0</w:t>
            </w:r>
          </w:p>
        </w:tc>
        <w:tc>
          <w:tcPr>
            <w:tcW w:w="1506"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450.0</w:t>
            </w:r>
          </w:p>
        </w:tc>
      </w:tr>
    </w:tbl>
    <w:p>
      <w:pPr>
        <w:pStyle w:val="Heading3"/>
      </w:pPr>
      <w:r>
        <w:rPr>
          <w:rFonts w:ascii="Calibri" w:hAnsi="Calibri" w:eastAsia="Microsoft YaHei" w:cs="Calibri"/>
          <w:b/>
          <w:color w:val="1F2E38"/>
          <w:sz w:val="22"/>
          <w:szCs w:val="22"/>
        </w:rPr>
        <w:t>Category R: Trump-Branded Merchandise I (Lines CT-713 to CT-735)</w:t>
      </w:r>
    </w:p>
    <w:p>
      <w:pPr>
        <w:pStyle w:val="Normal"/>
        <w:spacing w:before="10" w:after="10" w:line="240" w:lineRule="auto"/>
        <w:jc w:val="left"/>
      </w:pPr>
      <w:r>
        <w:rPr>
          <w:b/>
          <w:color w:val="55707F"/>
          <w:sz w:val="16"/>
          <w:rFonts w:ascii="Calibri" w:hAnsi="Calibri" w:eastAsia="Microsoft YaHei" w:cs="Calibri"/>
          <w:szCs w:val="19"/>
        </w:rPr>
        <w:t>Goods classes covering merchandise retailed through TrumpStore.com, resort gift shops and the Trump Winery in Virginia: apparel, footwear, drinkware, collectibles and accessories.</w:t>
      </w:r>
    </w:p>
    <w:tbl>
      <w:tblPr>
        <w:tblW w:w="0" w:type="auto"/>
      </w:tblPr>
      <w:tblGrid>
        <w:gridCol w:w="1504"/>
        <w:gridCol w:w="1504"/>
        <w:gridCol w:w="1504"/>
        <w:gridCol w:w="1504"/>
        <w:gridCol w:w="1504"/>
        <w:gridCol w:w="1506"/>
      </w:tblGrid>
      <w:tr>
        <w:trPr>
          <w:tblHeader w:val="1"/>
          <w:cantSplit w:val="1"/>
        </w:trPr>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Line</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Tariff item (HS)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Class of goods and illustrative U.S. products covered</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Principal source state(s)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Trade value (US$M/yr)</w:t>
            </w:r>
          </w:p>
        </w:tc>
        <w:tc>
          <w:tcPr>
            <w:tcW w:w="1506"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Duty at 50% (US$M/yr)</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CT-713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6505.00.67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"Make America Great Again" Red Hat (45-47 edition)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CT-714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6505.00.68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"Trump 2028" Campaign Hat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CT-715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6505.00.69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"Four More Years!" Hat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CT-716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6505.00.70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Trump-branded Golf Hat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CT-717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6110.20.22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Jerseys, pullovers, cardigans and sweatshirts, knitted — e.g., Mar-a-Lago Mock Neck Pullover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CT-718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6110.90.92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Jerseys, pullovers, cardigans and sweatshirts, knitted — e.g., Trump-branded Quilted Vest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CT-719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6101.30.20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Men’s overcoats, jackets and similar, knitted — e.g., Trump-branded Jackets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6109.10.12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T-shirts, singlets and other vests, knitted — e.g., Trump-branded T-Shirts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CT-721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6105.20.21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Men’s or boys’ shirts, knitted — e.g., Trump-branded Polo Shirts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CT-722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6215.10.01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Ties, bow ties and cravats — e.g., "Freedom Tie"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CT-723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6108.39.04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Women’s slips, pyjamas, bathrobes and similar, knitted — e.g., Trump-branded Pajamas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CT-724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6404.19.91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or plastics and textile uppers — e.g., Trump-branded Slippers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CT-725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Trump-branded Scarves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CT-726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4202.92.32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Trunks, suitcases, handbags and similar containers — e.g., Trump-branded Tote Bags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CT-727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6301.40.00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Blankets and travelling rugs — e.g., Trump-branded Quilted Blankets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CT-728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6404.11.00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or plastics and textile uppers — e.g., "Never Surrender" High-Top Sneakers (Gold)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CT-729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6404.11.01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or plastics and textile uppers — e.g., Trump Sneakers (White with American Flag)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0.6</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CT-730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6404.11.02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or plastics and textile uppers — e.g., Trump Sneakers (Women's)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CT-731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6403.19.00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Trump-branded Golf Shoes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CT-732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7117.11.00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Imitation jewellery — e.g., Trump-branded Cufflinks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CT-733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7117.19.00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Imitation jewellery — e.g., Trump-branded Necklaces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CT-734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6215.10.02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Ties, bow ties and cravats — e.g., Trump-branded Dog Bowties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CT-735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6117.80.95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made-up knitted clothing accessories — e.g., Trump-branded Headbands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Category R subtotal</w:t>
            </w:r>
          </w:p>
        </w:tc>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23 lines</w:t>
            </w:r>
          </w:p>
        </w:tc>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7.5</w:t>
            </w:r>
          </w:p>
        </w:tc>
        <w:tc>
          <w:tcPr>
            <w:tcW w:w="1506"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3.8</w:t>
            </w:r>
          </w:p>
        </w:tc>
      </w:tr>
    </w:tbl>
    <w:p>
      <w:pPr>
        <w:pStyle w:val="Heading3"/>
      </w:pPr>
      <w:r>
        <w:rPr>
          <w:rFonts w:ascii="Calibri" w:hAnsi="Calibri" w:eastAsia="Microsoft YaHei" w:cs="Calibri"/>
          <w:b/>
          <w:color w:val="1F2E38"/>
          <w:sz w:val="22"/>
          <w:szCs w:val="22"/>
        </w:rPr>
        <w:t>Category S: Trump-Branded Merchandise II (Lines CT-736 to CT-760)</w:t>
      </w:r>
    </w:p>
    <w:p>
      <w:pPr>
        <w:pStyle w:val="Normal"/>
        <w:spacing w:before="10" w:after="10" w:line="240" w:lineRule="auto"/>
        <w:jc w:val="left"/>
      </w:pPr>
      <w:r>
        <w:rPr>
          <w:b/>
          <w:color w:val="55707F"/>
          <w:sz w:val="16"/>
          <w:rFonts w:ascii="Calibri" w:hAnsi="Calibri" w:eastAsia="Microsoft YaHei" w:cs="Calibri"/>
          <w:szCs w:val="19"/>
        </w:rPr>
        <w:t>A second tranche of classes covering branded apparel, headwear, watches, sporting goods, electronics accessories and home goods.</w:t>
      </w:r>
    </w:p>
    <w:tbl>
      <w:tblPr>
        <w:tblW w:w="0" w:type="auto"/>
      </w:tblPr>
      <w:tblGrid>
        <w:gridCol w:w="1504"/>
        <w:gridCol w:w="1504"/>
        <w:gridCol w:w="1504"/>
        <w:gridCol w:w="1504"/>
        <w:gridCol w:w="1504"/>
        <w:gridCol w:w="1506"/>
      </w:tblGrid>
      <w:tr>
        <w:trPr>
          <w:tblHeader w:val="1"/>
          <w:cantSplit w:val="1"/>
        </w:trPr>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Line</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Tariff item (HS)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Class of goods and illustrative U.S. products covered</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Principal source state(s)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Trade value (US$M/yr)</w:t>
            </w:r>
          </w:p>
        </w:tc>
        <w:tc>
          <w:tcPr>
            <w:tcW w:w="1506"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Duty at 50% (US$M/yr)</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CT-736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6108.39.02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Women’s slips, pyjamas, bathrobes and similar, knitted — e.g., Trump Signature Short Pyjama Set (Pink)</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CT-737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6104.42.00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Women’s suits, dresses, skirts and trousers, knitted — e.g., Trump Sleeveless Dress (White with Navy Belt)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CT-738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6104.63.20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Women’s suits, dresses, skirts and trousers, knitted — e.g., Lara Trump Leggings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CT-739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6110.30.30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Jerseys, pullovers, cardigans and sweatshirts, knitted — e.g., Trump Sequined Sweatshirt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CT-740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4202.22.18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Trunks, suitcases, handbags and similar containers — e.g., Trump Bling Clutch</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CT-741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6110.90.90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Jerseys, pullovers, cardigans and sweatshirts, knitted — e.g., Trump Quilted Vest (Women's)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CT-742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6404.19.90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or plastics and textile uppers — e.g., Trump Slippers (Women's)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CT-743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6117.10.20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Other made-up knitted clothing accessories — e.g., Trump Scarf (Women's)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CT-744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4202.92.31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Trunks, suitcases, handbags and similar containers — e.g., Trump Tote Bag</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0.9</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0.5</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CT-745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6108.39.03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Women’s slips, pyjamas, bathrobes and similar, knitted — e.g., Trump Pyjama Set (Women's, various colors)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CT-746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7013.28.05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Glassware for table, kitchen, toilet or indoor decoration — e.g., Trump Wine Glasses (stemware)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CT-747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6110.20.20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Jerseys, pullovers, cardigans and sweatshirts, knitted — e.g., Mar-a-Lago Mock Neck Pullover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CT-748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6208.99.30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Women’s nightdresses, pyjamas, bathrobes and similar, woven — e.g., Trump Deluxe Robe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CT-749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6215.10.00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Ties, bow ties and cravats — e.g., Trump Silk Tie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6110.90.91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Jerseys, pullovers, cardigans and sweatshirts, knitted — e.g., Trump Quilted Vest (Men's)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CT-751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6105.20.20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Men’s or boys’ shirts, knitted — e.g., Trump Golf Polo Shirt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CT-752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6110.30.31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Jerseys, pullovers, cardigans and sweatshirts, knitted — e.g., Trump Crewneck Sweatshirt ("45/47")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CT-753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6110.20.21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Jerseys, pullovers, cardigans and sweatshirts, knitted — e.g., Trump AmeriChristmas Sweater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CT-754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6109.10.11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T-shirts, singlets and other vests, knitted — e.g., Trump 2028 (Rewrite the Rules) T-Shirt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CT-755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6403.91.81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Footwear with outer soles of rubber, plastics or leather and uppers of leather — e.g., Trump Fight for America Boots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CT-756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6505.00.62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Pastel MAGA Hat 5-Pack</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CT-757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6505.00.63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Special Edition Pink MAGA Hat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CT-758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6505.00.64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Space Force Hat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CT-759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6505.00.65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"Gulf of America" Hat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CT-760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6505.00.66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America 250 Commemorative Hat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Category S subtotal</w:t>
            </w:r>
          </w:p>
        </w:tc>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25 lines</w:t>
            </w:r>
          </w:p>
        </w:tc>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8.0</w:t>
            </w:r>
          </w:p>
        </w:tc>
        <w:tc>
          <w:tcPr>
            <w:tcW w:w="1506"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4.0</w:t>
            </w:r>
          </w:p>
        </w:tc>
      </w:tr>
    </w:tbl>
    <w:p>
      <w:pPr>
        <w:pStyle w:val="Heading3"/>
      </w:pPr>
      <w:r>
        <w:rPr>
          <w:rFonts w:ascii="Calibri" w:hAnsi="Calibri" w:eastAsia="Microsoft YaHei" w:cs="Calibri"/>
          <w:b/>
          <w:color w:val="1F2E38"/>
          <w:sz w:val="22"/>
          <w:szCs w:val="22"/>
        </w:rPr>
        <w:t>Category T: MAGA and Campaign Merchandise (Lines CT-761 to CT-785)</w:t>
      </w:r>
    </w:p>
    <w:p>
      <w:pPr>
        <w:pStyle w:val="Normal"/>
        <w:spacing w:before="10" w:after="10" w:line="240" w:lineRule="auto"/>
        <w:jc w:val="left"/>
      </w:pPr>
      <w:r>
        <w:rPr>
          <w:b/>
          <w:color w:val="55707F"/>
          <w:sz w:val="16"/>
          <w:rFonts w:ascii="Calibri" w:hAnsi="Calibri" w:eastAsia="Microsoft YaHei" w:cs="Calibri"/>
          <w:szCs w:val="19"/>
        </w:rPr>
        <w:t>Classes covering campaign and affiliated political merchandise: headwear, T-shirts, sweatshirts, sneakers, fragrances and memorabilia.</w:t>
      </w:r>
    </w:p>
    <w:tbl>
      <w:tblPr>
        <w:tblW w:w="0" w:type="auto"/>
      </w:tblPr>
      <w:tblGrid>
        <w:gridCol w:w="1504"/>
        <w:gridCol w:w="1504"/>
        <w:gridCol w:w="1504"/>
        <w:gridCol w:w="1504"/>
        <w:gridCol w:w="1504"/>
        <w:gridCol w:w="1506"/>
      </w:tblGrid>
      <w:tr>
        <w:trPr>
          <w:tblHeader w:val="1"/>
          <w:cantSplit w:val="1"/>
        </w:trPr>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Line</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Tariff item (HS)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Class of goods and illustrative U.S. products covered</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Principal source state(s)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Trade value (US$M/yr)</w:t>
            </w:r>
          </w:p>
        </w:tc>
        <w:tc>
          <w:tcPr>
            <w:tcW w:w="1506"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Duty at 50% (US$M/yr)</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CT-761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Classic Red "45-47 MAGA Hat"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CT-762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6505.00.51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"Trump 2028" High Crown Hat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CT-763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6505.00.52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"Dark MAGA Hat"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CT-764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6505.00.53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Pastel MAGA Hat 5-Pack</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CT-765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6505.00.54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Special Edition Pink MAGA Hat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CT-766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6505.00.55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"Space Force" Commemorative Hat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CT-767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6505.00.56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"Gulf of America" Hat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CT-768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6505.00.57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"America 250" Commemorative Hat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CT-769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6505.00.58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"Little Red MAGA Hat"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CT-770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6505.00.59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Classic MAGA Hat (Original)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CT-771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6505.00.60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Trump-branded Golf Hat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0.8</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0.4</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CT-772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6505.00.61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Hats and other headgear, knitted, crocheted or made up — e.g., Camo MAGA Hat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CT-773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6109.10.00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T-shirts, singlets and other vests, knitted — e.g., "Trump Era" White T-Shirt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CT-774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6109.10.01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T-shirts, singlets and other vests, knitted — e.g., "MAGADonald's" T-Shirt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CT-775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6109.10.02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T-shirts, singlets and other vests, knitted — e.g., "Fight" T-Shirt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CT-776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6109.10.03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T-shirts, singlets and other vests, knitted — e.g., "Dancing POTUS" T-Shirt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CT-777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6109.10.04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T-shirts, singlets and other vests, knitted — e.g., "DOGE" Graphic T-Shirt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CT-778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6109.10.05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T-shirts, singlets and other vests, knitted — e.g., Trump 2028 "Rewrite the Rules" T-Shirt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CT-779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6109.10.06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T-shirts, singlets and other vests, knitted — e.g., "USA Bear" Clothing Line T-Shirt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CT-780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6109.10.07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T-shirts, singlets and other vests, knitted — e.g., Trump Sequined Sweatshirt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CT-781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6109.10.08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T-shirts, singlets and other vests, knitted — e.g., "45-47" Crewneck Sweatshirt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CT-782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6109.10.09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T-shirts, singlets and other vests, knitted — e.g., AmeriChristmas Sweater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CT-783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6109.10.10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T-shirts, singlets and other vests, knitted — e.g., Sweater (general)</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CT-784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6108.39.00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Women’s slips, pyjamas, bathrobes and similar, knitted — e.g., Trump Signature Short Pyjama Set (Pink)</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Virginia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CT-785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6108.39.01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Women’s slips, pyjamas, bathrobes and similar, knitted — e.g., Navy Blue Pyjama Set</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Category T subtotal</w:t>
            </w:r>
          </w:p>
        </w:tc>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25 lines</w:t>
            </w:r>
          </w:p>
        </w:tc>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9.0</w:t>
            </w:r>
          </w:p>
        </w:tc>
        <w:tc>
          <w:tcPr>
            <w:tcW w:w="1506"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4.5</w:t>
            </w:r>
          </w:p>
        </w:tc>
      </w:tr>
    </w:tbl>
    <w:p>
      <w:pPr>
        <w:pStyle w:val="Heading3"/>
      </w:pPr>
      <w:r>
        <w:rPr>
          <w:rFonts w:ascii="Calibri" w:hAnsi="Calibri" w:eastAsia="Microsoft YaHei" w:cs="Calibri"/>
          <w:b/>
          <w:color w:val="1F2E38"/>
          <w:sz w:val="22"/>
          <w:szCs w:val="22"/>
        </w:rPr>
        <w:t>Category U: Bath Salts and Personal Soaking Products (Lines CT-786 to CT-800)</w:t>
      </w:r>
    </w:p>
    <w:p>
      <w:pPr>
        <w:pStyle w:val="Normal"/>
        <w:spacing w:before="10" w:after="10" w:line="240" w:lineRule="auto"/>
        <w:jc w:val="left"/>
      </w:pPr>
      <w:r>
        <w:rPr>
          <w:b/>
          <w:color w:val="55707F"/>
          <w:sz w:val="16"/>
          <w:rFonts w:ascii="Calibri" w:hAnsi="Calibri" w:eastAsia="Microsoft YaHei" w:cs="Calibri"/>
          <w:szCs w:val="19"/>
        </w:rPr>
        <w:t>Bath salts, Epsom-salt soaks and mineral soaks from Texas, Florida, Ohio, Tennessee and Georgia personal-care manufacturers.</w:t>
      </w:r>
    </w:p>
    <w:tbl>
      <w:tblPr>
        <w:tblW w:w="0" w:type="auto"/>
      </w:tblPr>
      <w:tblGrid>
        <w:gridCol w:w="1504"/>
        <w:gridCol w:w="1504"/>
        <w:gridCol w:w="1504"/>
        <w:gridCol w:w="1504"/>
        <w:gridCol w:w="1504"/>
        <w:gridCol w:w="1506"/>
      </w:tblGrid>
      <w:tr>
        <w:trPr>
          <w:tblHeader w:val="1"/>
          <w:cantSplit w:val="1"/>
        </w:trPr>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Line</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Tariff item (HS)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Class of goods and illustrative U.S. products covered</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Principal source state(s)</w:t>
            </w:r>
          </w:p>
        </w:tc>
        <w:tc>
          <w:tcPr>
            <w:tcW w:w="1504"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Trade value (US$M/yr)</w:t>
            </w:r>
          </w:p>
        </w:tc>
        <w:tc>
          <w:tcPr>
            <w:tcW w:w="1506" w:type="dxa"/>
            <w:shd w:val="clear" w:color="auto" w:fill="E9EFF2"/>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Duty at 50% (US$M/yr)</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CT-786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3307.30.50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Bath salts fall under HS Code 3307.30.1000 (Bath salts, whether or not perfumed).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CT-787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3307.30.51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Ohio: Midwest Sea Salt Company (West Chester), Chagrin Valley Soap &amp; Salve (Cleveland)</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CT-788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3307.30.00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Texas: Niven Morgan (Dallas/Houston area)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CT-789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3307.30.01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Florida: 4EverAlive Labs (South 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CT-790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3307.30.02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Wyoming: BPI Labs (Evanston)</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CT-791</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3307.30.03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Pennsylvania: Private label manufacturers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0.7</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CT-792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3307.30.52</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California: Juniper Ridge (Oakland), Esker Beauty, Taylor Made Bath Salts (Lancaster)</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CT-793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3307.30.53</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Assorted shaving, bath and other personal preparations — Ohio manufacture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CT-794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3307.30.54</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Dr. Teal's Pure Epsom Salt Soaking Solution, Lavender (3 lb)</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0.6</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CT-795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3307.30.55</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Dr. Teal's Pure Epsom Salt Soaking Solution, Lavender (7 lb)</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CT-796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3307.30.56</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Dr. Teal's Pure Epsom Salt Soaking Solution, Eucalyptus &amp; Spearmint (3 lb)</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Texas</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0.5</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CT-797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3307.30.57</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Dr. Teal's Pure Epsom Salt Soaking Solution, Eucalyptus &amp; Spearmint (7 lb)</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Florida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CT-798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3307.30.58</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Dr. Teal's Pure Epsom Salt Soaking Solution, Chamomile (3 lb)</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Ohio</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0.1</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CT-799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3307.30.59</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Dr. Teal's Pure Epsom Salt Soaking Solution, Chamomile (7 lb)</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Tennessee</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0.4</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0.2</w:t>
            </w:r>
          </w:p>
        </w:tc>
      </w:tr>
      <w:tr>
        <w:trPr>
          <w:cantSplit w:val="1"/>
        </w:trPr>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CT-800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3307.30.60</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Shaving, bath and other personal preparations — e.g., Dr. Teal's Pure Epsom Salt Soaking Solution, Rose &amp; Milk (3 lb)</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Georgia</w:t>
            </w:r>
          </w:p>
        </w:tc>
        <w:tc>
          <w:tcPr>
            <w:tcW w:w="1504"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0.7</w:t>
            </w:r>
          </w:p>
        </w:tc>
        <w:tc>
          <w:tcPr>
            <w:tcW w:w="1506"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0.3</w:t>
            </w:r>
          </w:p>
        </w:tc>
      </w:tr>
      <w:tr>
        <w:trPr>
          <w:cantSplit w:val="1"/>
        </w:trPr>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Category U subtotal</w:t>
            </w:r>
          </w:p>
        </w:tc>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15 lines</w:t>
            </w:r>
          </w:p>
        </w:tc>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
            </w:r>
          </w:p>
        </w:tc>
        <w:tc>
          <w:tcPr>
            <w:tcW w:w="1504"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7.5</w:t>
            </w:r>
          </w:p>
        </w:tc>
        <w:tc>
          <w:tcPr>
            <w:tcW w:w="1506" w:type="dxa"/>
            <w:shd w:val="clear" w:color="auto" w:fill="F4F7F9"/>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3.8</w:t>
            </w:r>
          </w:p>
        </w:tc>
      </w:tr>
    </w:tbl>
    <w:p>
      <w:pPr>
        <w:pStyle w:val="Normal"/>
      </w:pPr>
      <w:r>
        <w:rPr>
          <w:rFonts w:ascii="Calibri" w:hAnsi="Calibri" w:eastAsia="Microsoft YaHei" w:cs="Calibri"/>
          <w:color w:val="1F2E38"/>
          <w:sz w:val="22"/>
          <w:szCs w:val="22"/>
        </w:rPr>
        <w:br w:type="page"/>
      </w:r>
    </w:p>
    <w:p>
      <w:pPr>
        <w:pStyle w:val="Heading1"/>
      </w:pPr>
      <w:r>
        <w:rPr>
          <w:rFonts w:ascii="Calibri" w:hAnsi="Calibri" w:eastAsia="Microsoft YaHei" w:cs="Calibri"/>
          <w:b/>
          <w:color w:val="2F4858"/>
          <w:sz w:val="40"/>
          <w:szCs w:val="40"/>
        </w:rPr>
        <w:t>Part XI: Operational Hardening and Contingency Protocols</w:t>
      </w:r>
    </w:p>
    <w:p>
      <w:pPr>
        <w:pStyle w:val="Normal"/>
      </w:pPr>
      <w:r>
        <w:rPr>
          <w:rFonts w:ascii="Calibri" w:hAnsi="Calibri" w:eastAsia="Microsoft YaHei" w:cs="Calibri"/>
          <w:color w:val="1F2E38"/>
          <w:sz w:val="22"/>
          <w:szCs w:val="22"/>
        </w:rPr>
        <w:t>Part X delivers the tariff schedule; this part hardens everything around it. The protocols below convert the package from a static list of measures into an operating system for the conflict: they define what winning looks like, how escalation pauses without surrendering leverage, how Canadian workers and firms are shielded, how the provinces move in lockstep, how the message is carried into the American heartland, and how Canada prepares for the financial and legal countermoves Washington may attempt. Each protocol is drafted to be implementable with existing statutory instruments or those already identified in Part IX.</w:t>
      </w:r>
    </w:p>
    <w:p>
      <w:pPr>
        <w:pStyle w:val="Heading2"/>
      </w:pPr>
      <w:r>
        <w:rPr>
          <w:rFonts w:ascii="Calibri" w:hAnsi="Calibri" w:eastAsia="Microsoft YaHei" w:cs="Calibri"/>
          <w:b/>
          <w:color w:val="2F4858"/>
          <w:sz w:val="30"/>
          <w:szCs w:val="30"/>
        </w:rPr>
        <w:t>Strategic Narrative: Structural Realignment, Not a Trade War</w:t>
      </w:r>
    </w:p>
    <w:p>
      <w:pPr>
        <w:pStyle w:val="Normal"/>
      </w:pPr>
      <w:r>
        <w:rPr>
          <w:rFonts w:ascii="Calibri" w:hAnsi="Calibri" w:eastAsia="Microsoft YaHei" w:cs="Calibri"/>
          <w:color w:val="1F2E38"/>
          <w:sz w:val="22"/>
          <w:szCs w:val="22"/>
        </w:rPr>
        <w:t>The public framing of this package matters as much as its contents. A narrative of pure retaliation invites the charge that Canada is engaged in self-harm for the sake of pride. The correct frame, to be used by every minister in every appearance, is structural realignment: these measures are the bridge to a diversified, resilient Canadian economy that no single foreign partner can hold hostage. Every tariff dollar is a down payment on that future, because revenue is recycled into the Economic Resilience Fund described in this part, and every off-ramp is designed so that de-escalation leaves Canada stronger than it entered the conflict.</w:t>
      </w:r>
    </w:p>
    <w:p>
      <w:pPr>
        <w:pStyle w:val="Normal"/>
      </w:pPr>
      <w:r>
        <w:rPr>
          <w:rFonts w:ascii="Calibri" w:hAnsi="Calibri" w:eastAsia="Microsoft YaHei" w:cs="Calibri"/>
          <w:color w:val="1F2E38"/>
          <w:sz w:val="22"/>
          <w:szCs w:val="22"/>
        </w:rPr>
        <w:t>Three talking points follow. First, Canada did not choose this conflict; the United States breached Article 2.4 of CUSMA, and Canada is responding lawfully, proportionally, and dollar for dollar. Second, the objective is not to injure the American economy for its own sake but to make continued tariffs more expensive for Washington than settlement. Third, the end state is not a return to the old dependency; it is a permanently more resilient Canada, whether or not a deal is reached.</w:t>
      </w:r>
    </w:p>
    <w:p>
      <w:pPr>
        <w:pStyle w:val="Heading2"/>
      </w:pPr>
      <w:r>
        <w:rPr>
          <w:rFonts w:ascii="Calibri" w:hAnsi="Calibri" w:eastAsia="Microsoft YaHei" w:cs="Calibri"/>
          <w:b/>
          <w:color w:val="2F4858"/>
          <w:sz w:val="30"/>
          <w:szCs w:val="30"/>
        </w:rPr>
        <w:t>The Silent Companion Track</w:t>
      </w:r>
    </w:p>
    <w:p>
      <w:pPr>
        <w:pStyle w:val="Normal"/>
      </w:pPr>
      <w:r>
        <w:rPr>
          <w:rFonts w:ascii="Calibri" w:hAnsi="Calibri" w:eastAsia="Microsoft YaHei" w:cs="Calibri"/>
          <w:color w:val="1F2E38"/>
          <w:sz w:val="22"/>
          <w:szCs w:val="22"/>
        </w:rPr>
        <w:t>The 800-line schedule is the public artillery. It does not operate alone. Three companion frameworks run in parallel and are cross-referenced here so that planners treat the package as one instrument: the Strategic Compliance and Structural Leverage Framework (SCSLF), which fields 457 lawful, deniable compliance measures in thirteen operational packages; the Regulatory Enforcement and Compliance Modernization Initiative (RECMI), which stages 470 proposed statutes in eleven statute books; and the Strategic Revenue Modernization and Fiscal Resilience Initiative (SRM-FRI), which stages 415 revenue measures in ten revenue books. Each companion volume carries its own triggers and off-ramps keyed to the same escalation logic as this guide.</w:t>
      </w:r>
    </w:p>
    <w:p>
      <w:pPr>
        <w:pStyle w:val="Normal"/>
      </w:pPr>
      <w:r>
        <w:rPr>
          <w:rFonts w:ascii="Calibri" w:hAnsi="Calibri" w:eastAsia="Microsoft YaHei" w:cs="Calibri"/>
          <w:color w:val="1F2E38"/>
          <w:sz w:val="22"/>
          <w:szCs w:val="22"/>
        </w:rPr>
        <w:t>The operating rule is pairing. For every tariff line activated under Part X, a corresponding regulatory action is pre-scheduled from the companion track: a phytosanitary inspection surge for agricultural lines, origin-labelling audits for consumer goods, customs valuation audits for industrial inputs. The United States must therefore not only pay the tariff but absorb friction, delay, and compliance cost on the same trade flow. This prevents the simple strategy of paying the surtax and waiting Canada out, and it does so without a single unlawful act: the silent track applies Canadian law with zeal rather than rewriting it.</w:t>
      </w:r>
    </w:p>
    <w:p>
      <w:pPr>
        <w:pStyle w:val="Heading2"/>
      </w:pPr>
      <w:r>
        <w:rPr>
          <w:rFonts w:ascii="Calibri" w:hAnsi="Calibri" w:eastAsia="Microsoft YaHei" w:cs="Calibri"/>
          <w:b/>
          <w:color w:val="2F4858"/>
          <w:sz w:val="30"/>
          <w:szCs w:val="30"/>
        </w:rPr>
        <w:t>Services-Sector Measures Without Digital Targets</w:t>
      </w:r>
    </w:p>
    <w:p>
      <w:pPr>
        <w:pStyle w:val="Normal"/>
      </w:pPr>
      <w:r>
        <w:rPr>
          <w:rFonts w:ascii="Calibri" w:hAnsi="Calibri" w:eastAsia="Microsoft YaHei" w:cs="Calibri"/>
          <w:color w:val="1F2E38"/>
          <w:sz w:val="22"/>
          <w:szCs w:val="22"/>
        </w:rPr>
        <w:t>The guide deliberately avoids digital services taxes, streaming levies, and cloud measures: they concentrate Big Tech lobbying power against Canada and invite WTO complaints about discriminatory digital taxation. The U.S. services surplus can be reached without touching a single line of code, through two instruments aimed at Wall Street, K Street, and the consulting industry rather than at platforms.</w:t>
      </w:r>
    </w:p>
    <w:p>
      <w:pPr>
        <w:pStyle w:val="Normal"/>
      </w:pPr>
      <w:r>
        <w:rPr>
          <w:rFonts w:ascii="Calibri" w:hAnsi="Calibri" w:eastAsia="Microsoft YaHei" w:cs="Calibri"/>
          <w:color w:val="1F2E38"/>
          <w:sz w:val="22"/>
          <w:szCs w:val="22"/>
          <w:b/>
        </w:rPr>
        <w:t xml:space="preserve">Professional services withholding tax (Phase One). </w:t>
      </w:r>
      <w:r>
        <w:rPr>
          <w:rFonts w:ascii="Calibri" w:hAnsi="Calibri" w:eastAsia="Microsoft YaHei" w:cs="Calibri"/>
          <w:color w:val="1F2E38"/>
          <w:sz w:val="22"/>
          <w:szCs w:val="22"/>
        </w:rPr>
        <w:t>A 15% withholding tax applies to cross-border payments made to U.S.-based management consultants, legal advisors, and engineering and architectural firms for services provided into Canada. The measure proceeds through the existing withholding architecture of the Income Tax Act and is framed publicly as ensuring that foreign service providers pay tax on Canadian-source income, consistent with OECD base-erosion principles. It enters in Phase One, alongside the Tier A and Tier B goods measures in early October, so that the first wave reaches the U.S. services surplus immediately rather than waiting for Phase Four. The U.S. surplus in business, professional, and management consulting services with Canada is roughly US$26.6 billion a year; even partial coverage converts that surplus into a domestic American lobbying constituency for settlement.</w:t>
      </w:r>
    </w:p>
    <w:p>
      <w:pPr>
        <w:pStyle w:val="Normal"/>
      </w:pPr>
      <w:r>
        <w:rPr>
          <w:rFonts w:ascii="Calibri" w:hAnsi="Calibri" w:eastAsia="Microsoft YaHei" w:cs="Calibri"/>
          <w:color w:val="1F2E38"/>
          <w:sz w:val="22"/>
          <w:szCs w:val="22"/>
          <w:b/>
        </w:rPr>
        <w:t xml:space="preserve">Cross-border financial transaction tax (held in reserve). </w:t>
      </w:r>
      <w:r>
        <w:rPr>
          <w:rFonts w:ascii="Calibri" w:hAnsi="Calibri" w:eastAsia="Microsoft YaHei" w:cs="Calibri"/>
          <w:color w:val="1F2E38"/>
          <w:sz w:val="22"/>
          <w:szCs w:val="22"/>
        </w:rPr>
        <w:t>A 1% charge on cross-border wire transfers and currency conversions exceeding C$10,000 originating from U.S. entities is drafted, costed, and held in the Tier E reserve rather than activated. Two reasons justify restraint: the measure requires careful review against the financial services chapter of CUSMA and the Canada-U.S. tax treaty, and its value is greatest as a visible, unused escalation option. It activates only if the United States escalates beyond the January 2027 auto threat or attempts financial-pressure tactics of its own, at which point it taxes the cross-border fee income of the U.S. banking sector directly. The public frame, prepared in advance, is discouraging speculative capital flows and stabilizing the Canadian dollar.</w:t>
      </w:r>
    </w:p>
    <w:p>
      <w:pPr>
        <w:pStyle w:val="Heading2"/>
      </w:pPr>
      <w:r>
        <w:rPr>
          <w:rFonts w:ascii="Calibri" w:hAnsi="Calibri" w:eastAsia="Microsoft YaHei" w:cs="Calibri"/>
          <w:b/>
          <w:color w:val="2F4858"/>
          <w:sz w:val="30"/>
          <w:szCs w:val="30"/>
        </w:rPr>
        <w:t>Victory Conditions and the Off-Ramp Architecture</w:t>
      </w:r>
    </w:p>
    <w:p>
      <w:pPr>
        <w:pStyle w:val="Normal"/>
      </w:pPr>
      <w:r>
        <w:rPr>
          <w:rFonts w:ascii="Calibri" w:hAnsi="Calibri" w:eastAsia="Microsoft YaHei" w:cs="Calibri"/>
          <w:color w:val="1F2E38"/>
          <w:sz w:val="22"/>
          <w:szCs w:val="22"/>
        </w:rPr>
        <w:t>The endgame cannot be a wish list. Canada negotiates from a published ladder of outcomes, and each rung is priced in the trigger matrix so that both sides can see exactly what de-escalation buys. The ladder also disciplines domestic politics: no minister may claim victory below the Minimum Viable Deal, and no critic may claim the government is holding out for the Dream Deal.</w:t>
      </w:r>
    </w:p>
    <w:tbl>
      <w:tblPr>
        <w:tblW w:w="0" w:type="auto"/>
      </w:tblPr>
      <w:tblGrid>
        <w:gridCol w:w="3008"/>
        <w:gridCol w:w="3008"/>
        <w:gridCol w:w="3010"/>
      </w:tblGrid>
      <w:tr>
        <w:tc>
          <w:tcPr>
            <w:tcW w:w="3008" w:type="dxa"/>
            <w:shd w:val="clear" w:color="auto" w:fill="E9EFF2"/>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Deal tier</w:t>
            </w:r>
          </w:p>
        </w:tc>
        <w:tc>
          <w:tcPr>
            <w:tcW w:w="3008" w:type="dxa"/>
            <w:shd w:val="clear" w:color="auto" w:fill="E9EFF2"/>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Definition</w:t>
            </w:r>
          </w:p>
        </w:tc>
        <w:tc>
          <w:tcPr>
            <w:tcW w:w="3010" w:type="dxa"/>
            <w:shd w:val="clear" w:color="auto" w:fill="E9EFF2"/>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What retires or activates</w:t>
            </w:r>
          </w:p>
        </w:tc>
      </w:tr>
      <w:tr>
        <w:trPr>
          <w:cantSplit w:val="1"/>
        </w:trPr>
        <w:tc>
          <w:tcPr>
            <w:tcW w:w="3008"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Minimum Viable Deal (MVD)</w:t>
            </w:r>
          </w:p>
        </w:tc>
        <w:tc>
          <w:tcPr>
            <w:tcW w:w="3008"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Full removal of the Section 338 tariffs.</w:t>
            </w:r>
          </w:p>
        </w:tc>
        <w:tc>
          <w:tcPr>
            <w:tcW w:w="3010"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The 800-line Part X schedule and Phase One measures retire, line by line, as removals are verified in the U.S. Federal Register.</w:t>
            </w:r>
          </w:p>
        </w:tc>
      </w:tr>
      <w:tr>
        <w:trPr>
          <w:cantSplit w:val="1"/>
        </w:trPr>
        <w:tc>
          <w:tcPr>
            <w:tcW w:w="3008"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Good Deal</w:t>
            </w:r>
          </w:p>
        </w:tc>
        <w:tc>
          <w:tcPr>
            <w:tcW w:w="3008"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MVD plus formal abandonment of the January 1, 2027 auto, steel, and parts threat.</w:t>
            </w:r>
          </w:p>
        </w:tc>
        <w:tc>
          <w:tcPr>
            <w:tcW w:w="3010"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Tier D energy measures stand down and are de-staged; the remission backlog is cleared on a priority basis.</w:t>
            </w:r>
          </w:p>
        </w:tc>
      </w:tr>
      <w:tr>
        <w:trPr>
          <w:cantSplit w:val="1"/>
        </w:trPr>
        <w:tc>
          <w:tcPr>
            <w:tcW w:w="3008"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Great Deal</w:t>
            </w:r>
          </w:p>
        </w:tc>
        <w:tc>
          <w:tcPr>
            <w:tcW w:w="3008"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Good Deal plus removal of Section 232 steel and aluminum duties.</w:t>
            </w:r>
          </w:p>
        </w:tc>
        <w:tc>
          <w:tcPr>
            <w:tcW w:w="3010"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All remaining countermeasures suspend; the Peace Dividend escrow converts to the Canada-U.S. Economic Reconciliation Fund.</w:t>
            </w:r>
          </w:p>
        </w:tc>
      </w:tr>
      <w:tr>
        <w:trPr>
          <w:cantSplit w:val="1"/>
        </w:trPr>
        <w:tc>
          <w:tcPr>
            <w:tcW w:w="3008"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Dream Deal</w:t>
            </w:r>
          </w:p>
        </w:tc>
        <w:tc>
          <w:tcPr>
            <w:tcW w:w="3008"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Great Deal plus a clean sixteen-year CUSMA extension.</w:t>
            </w:r>
          </w:p>
        </w:tc>
        <w:tc>
          <w:tcPr>
            <w:tcW w:w="3010"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Joint rebuild projects begin under the Reconciliation Fund; this guide is archived as standing contingency doctrine.</w:t>
            </w:r>
          </w:p>
        </w:tc>
      </w:tr>
    </w:tbl>
    <w:p>
      <w:pPr>
        <w:pStyle w:val="Normal"/>
      </w:pPr>
      <w:r>
        <w:rPr>
          <w:rFonts w:ascii="Calibri" w:hAnsi="Calibri" w:eastAsia="Microsoft YaHei" w:cs="Calibri"/>
          <w:color w:val="1F2E38"/>
          <w:sz w:val="22"/>
          <w:szCs w:val="22"/>
        </w:rPr>
        <w:t>Four off-ramp scenarios translate the ladder into standing instructions, so that an American move at any hour maps to a pre-authorized Canadian response within the same news cycle.</w:t>
      </w:r>
    </w:p>
    <w:tbl>
      <w:tblPr>
        <w:tblW w:w="0" w:type="auto"/>
      </w:tblPr>
      <w:tblGrid>
        <w:gridCol w:w="3008"/>
        <w:gridCol w:w="3008"/>
        <w:gridCol w:w="3010"/>
      </w:tblGrid>
      <w:tr>
        <w:tc>
          <w:tcPr>
            <w:tcW w:w="3008" w:type="dxa"/>
            <w:shd w:val="clear" w:color="auto" w:fill="E9EFF2"/>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Scenario</w:t>
            </w:r>
          </w:p>
        </w:tc>
        <w:tc>
          <w:tcPr>
            <w:tcW w:w="3008" w:type="dxa"/>
            <w:shd w:val="clear" w:color="auto" w:fill="E9EFF2"/>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American action</w:t>
            </w:r>
          </w:p>
        </w:tc>
        <w:tc>
          <w:tcPr>
            <w:tcW w:w="3010" w:type="dxa"/>
            <w:shd w:val="clear" w:color="auto" w:fill="E9EFF2"/>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Canadian response</w:t>
            </w:r>
          </w:p>
        </w:tc>
      </w:tr>
      <w:tr>
        <w:trPr>
          <w:cantSplit w:val="1"/>
        </w:trPr>
        <w:tc>
          <w:tcPr>
            <w:tcW w:w="3008"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1. Status quo</w:t>
            </w:r>
          </w:p>
        </w:tc>
        <w:tc>
          <w:tcPr>
            <w:tcW w:w="3008"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U.S. maintains Section 338.</w:t>
            </w:r>
          </w:p>
        </w:tc>
        <w:tc>
          <w:tcPr>
            <w:tcW w:w="3010"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Phases Zero through Two proceed on schedule; surge-and-lull rules apply; no rollback without verified removal.</w:t>
            </w:r>
          </w:p>
        </w:tc>
      </w:tr>
      <w:tr>
        <w:trPr>
          <w:cantSplit w:val="1"/>
        </w:trPr>
        <w:tc>
          <w:tcPr>
            <w:tcW w:w="3008"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2. Partial de-escalation</w:t>
            </w:r>
          </w:p>
        </w:tc>
        <w:tc>
          <w:tcPr>
            <w:tcW w:w="3008"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U.S. removes Section 338 but maintains Section 232.</w:t>
            </w:r>
          </w:p>
        </w:tc>
        <w:tc>
          <w:tcPr>
            <w:tcW w:w="3010"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Phase Three (energy) freezes in place; negotiations open; Part X lines suspend individually as U.S. removals are verified.</w:t>
            </w:r>
          </w:p>
        </w:tc>
      </w:tr>
      <w:tr>
        <w:trPr>
          <w:cantSplit w:val="1"/>
        </w:trPr>
        <w:tc>
          <w:tcPr>
            <w:tcW w:w="3008"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3. Full de-escalation</w:t>
            </w:r>
          </w:p>
        </w:tc>
        <w:tc>
          <w:tcPr>
            <w:tcW w:w="3008"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U.S. removes all tariffs and cancels the auto threat.</w:t>
            </w:r>
          </w:p>
        </w:tc>
        <w:tc>
          <w:tcPr>
            <w:tcW w:w="3010"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All countermeasures suspend within thirty days; CUSMA modernization talks open; escrow funds convert to the Reconciliation Fund.</w:t>
            </w:r>
          </w:p>
        </w:tc>
      </w:tr>
      <w:tr>
        <w:trPr>
          <w:cantSplit w:val="1"/>
        </w:trPr>
        <w:tc>
          <w:tcPr>
            <w:tcW w:w="3008"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4. No deal</w:t>
            </w:r>
          </w:p>
        </w:tc>
        <w:tc>
          <w:tcPr>
            <w:tcW w:w="3008"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U.S. implements any portion of the January 2027 auto tariffs.</w:t>
            </w:r>
          </w:p>
        </w:tc>
        <w:tc>
          <w:tcPr>
            <w:tcW w:w="3010" w:type="dxa"/>
            <w:tcBorders>
              <w:bottom w:val="single" w:space="0"/>
            </w:tcBorders>
          </w:tcPr>
          <w:p>
            <w:pPr>
              <w:pStyle w:val="Normal"/>
              <w:spacing w:before="10" w:after="10" w:line="240" w:lineRule="auto"/>
              <w:jc w:val="left"/>
            </w:pPr>
            <w:r>
              <w:rPr>
                <w:b/>
                <w:color w:val="55707F"/>
                <w:sz w:val="16"/>
                <w:rFonts w:ascii="Calibri" w:hAnsi="Calibri" w:eastAsia="Microsoft YaHei" w:cs="Calibri"/>
                <w:szCs w:val="19"/>
              </w:rPr>
              <w:t>Phase Three activates within 72 hours; Canada serves the six-month Article 34.6 withdrawal notice; the reserve financial transaction tax is readied.</w:t>
            </w:r>
          </w:p>
        </w:tc>
      </w:tr>
    </w:tbl>
    <w:p>
      <w:pPr>
        <w:pStyle w:val="Normal"/>
      </w:pPr>
      <w:r>
        <w:rPr>
          <w:rFonts w:ascii="Calibri" w:hAnsi="Calibri" w:eastAsia="Microsoft YaHei" w:cs="Calibri"/>
          <w:color w:val="1F2E38"/>
          <w:sz w:val="22"/>
          <w:szCs w:val="22"/>
          <w:b/>
        </w:rPr>
        <w:t xml:space="preserve">The walk-away clock (Article 34.6). </w:t>
      </w:r>
      <w:r>
        <w:rPr>
          <w:rFonts w:ascii="Calibri" w:hAnsi="Calibri" w:eastAsia="Microsoft YaHei" w:cs="Calibri"/>
          <w:color w:val="1F2E38"/>
          <w:sz w:val="22"/>
          <w:szCs w:val="22"/>
        </w:rPr>
        <w:t>If the Great Deal has not been reached within twelve months of the start of the conflict, Canada serves the six-month withdrawal notice under Article 34.6 of CUSMA, targeting August 2027. The deadline is published. Its purpose is not to leave the agreement but to give the American business community a date certain on which the entire continental market framework is at risk, which is the single largest source of internal U.S. pressure available to Canada. The notice is revocable at any time before it takes effect, and every off-ramp scenario above suspends it.</w:t>
      </w:r>
    </w:p>
    <w:p>
      <w:pPr>
        <w:pStyle w:val="Normal"/>
      </w:pPr>
      <w:r>
        <w:rPr>
          <w:rFonts w:ascii="Calibri" w:hAnsi="Calibri" w:eastAsia="Microsoft YaHei" w:cs="Calibri"/>
          <w:color w:val="1F2E38"/>
          <w:sz w:val="22"/>
          <w:szCs w:val="22"/>
          <w:b/>
        </w:rPr>
        <w:t xml:space="preserve">No concession without implementation. </w:t>
      </w:r>
      <w:r>
        <w:rPr>
          <w:rFonts w:ascii="Calibri" w:hAnsi="Calibri" w:eastAsia="Microsoft YaHei" w:cs="Calibri"/>
          <w:color w:val="1F2E38"/>
          <w:sz w:val="22"/>
          <w:szCs w:val="22"/>
        </w:rPr>
        <w:t>Canada grants no concession, including a pause of any phase, against a verbal American undertaking. Concessions follow only from legally implemented U.S. action, verified in the Federal Register or in published regulatory text. This closes the concession-creep vulnerability in which Washington banks a Canadian pause, pockets it, and reopens with a new demand.</w:t>
      </w:r>
    </w:p>
    <w:p>
      <w:pPr>
        <w:pStyle w:val="Normal"/>
      </w:pPr>
      <w:r>
        <w:rPr>
          <w:rFonts w:ascii="Calibri" w:hAnsi="Calibri" w:eastAsia="Microsoft YaHei" w:cs="Calibri"/>
          <w:color w:val="1F2E38"/>
          <w:sz w:val="22"/>
          <w:szCs w:val="22"/>
          <w:b/>
        </w:rPr>
        <w:t xml:space="preserve">Post-election re-engagement protocol. </w:t>
      </w:r>
      <w:r>
        <w:rPr>
          <w:rFonts w:ascii="Calibri" w:hAnsi="Calibri" w:eastAsia="Microsoft YaHei" w:cs="Calibri"/>
          <w:color w:val="1F2E38"/>
          <w:sz w:val="22"/>
          <w:szCs w:val="22"/>
        </w:rPr>
        <w:t>The strategy is weighted toward the November 2026 midterms, but it does not end there. Whatever the result, if a new Congress or a shifting administration signals a genuine policy change, Canada offers a ninety-day cooling-off period in which no new measures are added, in exchange for a U.S. commitment to return to formal negotiations. Existing measures remain in force throughout; the cooling-off buys talks, not relief.</w:t>
      </w:r>
    </w:p>
    <w:p>
      <w:pPr>
        <w:pStyle w:val="Normal"/>
      </w:pPr>
      <w:r>
        <w:rPr>
          <w:rFonts w:ascii="Calibri" w:hAnsi="Calibri" w:eastAsia="Microsoft YaHei" w:cs="Calibri"/>
          <w:color w:val="1F2E38"/>
          <w:sz w:val="22"/>
          <w:szCs w:val="22"/>
          <w:b/>
        </w:rPr>
        <w:t xml:space="preserve">The Peace Dividend escrow. </w:t>
      </w:r>
      <w:r>
        <w:rPr>
          <w:rFonts w:ascii="Calibri" w:hAnsi="Calibri" w:eastAsia="Microsoft YaHei" w:cs="Calibri"/>
          <w:color w:val="1F2E38"/>
          <w:sz w:val="22"/>
          <w:szCs w:val="22"/>
        </w:rPr>
        <w:t>All revenue collected under the Part X schedule accrues to a dedicated escrow inside the Canadian Economic Resilience Fund. On the day a Great Deal is signed, the escrow converts into the Canada-U.S. Economic Reconciliation Fund, financing the rebuilding of cross-border supply chains and border infrastructure. The mechanism gives both sides a tangible reward for settlement and a standing instrument for repairing the damage the conflict has done.</w:t>
      </w:r>
    </w:p>
    <w:p>
      <w:pPr>
        <w:pStyle w:val="Heading2"/>
      </w:pPr>
      <w:r>
        <w:rPr>
          <w:rFonts w:ascii="Calibri" w:hAnsi="Calibri" w:eastAsia="Microsoft YaHei" w:cs="Calibri"/>
          <w:b/>
          <w:color w:val="2F4858"/>
          <w:sz w:val="30"/>
          <w:szCs w:val="30"/>
        </w:rPr>
        <w:t>Escalation Dynamics: Surge-and-Lull, Quantitative Triggers</w:t>
      </w:r>
    </w:p>
    <w:p>
      <w:pPr>
        <w:pStyle w:val="Normal"/>
      </w:pPr>
      <w:r>
        <w:rPr>
          <w:rFonts w:ascii="Calibri" w:hAnsi="Calibri" w:eastAsia="Microsoft YaHei" w:cs="Calibri"/>
          <w:color w:val="1F2E38"/>
          <w:sz w:val="22"/>
          <w:szCs w:val="22"/>
        </w:rPr>
        <w:t>The phase architecture is deliberately asymmetric in time. Escalation is automatic on published triggers; de-escalation is never automatic. If the United States pauses or delays a measure, Canada pauses the next phase but does not roll back the current one. A pause without legal implementation is treated as a bluff designed to buy time, and it buys nothing. Only a concrete, verified removal moves Canada backward down the ladder. This surge-and-lull rule keeps leverage constant and prevents the conflict from being gamed by announcement tactics.</w:t>
      </w:r>
    </w:p>
    <w:p>
      <w:pPr>
        <w:pStyle w:val="Normal"/>
      </w:pPr>
      <w:r>
        <w:rPr>
          <w:rFonts w:ascii="Calibri" w:hAnsi="Calibri" w:eastAsia="Microsoft YaHei" w:cs="Calibri"/>
          <w:color w:val="1F2E38"/>
          <w:sz w:val="22"/>
          <w:szCs w:val="22"/>
        </w:rPr>
        <w:t>Behavioral triggers are supplemented by quantitative outcome triggers, so that the package responds to real economic damage in the United States rather than to rhetoric. The standing rules:</w:t>
      </w:r>
    </w:p>
    <w:p>
      <w:pPr>
        <w:pStyle w:val="Normal"/>
        <w:numPr>
          <w:ilvl w:val="0"/>
          <w:numId w:val="1"/>
        </w:numPr>
        <w:spacing w:after="80" w:line="270" w:lineRule="auto"/>
      </w:pPr>
      <w:r>
        <w:rPr>
          <w:rFonts w:ascii="Calibri" w:hAnsi="Calibri" w:eastAsia="Microsoft YaHei" w:cs="Calibri"/>
          <w:color w:val="1F2E38"/>
          <w:sz w:val="22"/>
          <w:szCs w:val="22"/>
        </w:rPr>
        <w:t>If unemployment in the U.S. automotive sector reaches 8 percent, Phase Three auto-related origin audits and parts measures accelerate to the next scheduled date, whatever the calendar says.</w:t>
      </w:r>
    </w:p>
    <w:p>
      <w:pPr>
        <w:pStyle w:val="Normal"/>
        <w:numPr>
          <w:ilvl w:val="0"/>
          <w:numId w:val="1"/>
        </w:numPr>
        <w:spacing w:after="80" w:line="270" w:lineRule="auto"/>
      </w:pPr>
      <w:r>
        <w:rPr>
          <w:rFonts w:ascii="Calibri" w:hAnsi="Calibri" w:eastAsia="Microsoft YaHei" w:cs="Calibri"/>
          <w:color w:val="1F2E38"/>
          <w:sz w:val="22"/>
          <w:szCs w:val="22"/>
        </w:rPr>
        <w:t>If farm bankruptcies in the targeted farm-belt states rise 10 percent year over year, Phase One agricultural lines are frozen in place rather than lifted, regardless of interim U.S. offers.</w:t>
      </w:r>
    </w:p>
    <w:p>
      <w:pPr>
        <w:pStyle w:val="Normal"/>
        <w:numPr>
          <w:ilvl w:val="0"/>
          <w:numId w:val="1"/>
        </w:numPr>
        <w:spacing w:after="80" w:line="270" w:lineRule="auto"/>
      </w:pPr>
      <w:r>
        <w:rPr>
          <w:rFonts w:ascii="Calibri" w:hAnsi="Calibri" w:eastAsia="Microsoft YaHei" w:cs="Calibri"/>
          <w:color w:val="1F2E38"/>
          <w:sz w:val="22"/>
          <w:szCs w:val="22"/>
        </w:rPr>
        <w:t>If the U.S. trade deficit with Canada in targeted categories falls by half, the corresponding Part X lines are reviewed for early retirement as a published good-faith signal.</w:t>
      </w:r>
    </w:p>
    <w:p>
      <w:pPr>
        <w:pStyle w:val="Normal"/>
      </w:pPr>
      <w:r>
        <w:rPr>
          <w:rFonts w:ascii="Calibri" w:hAnsi="Calibri" w:eastAsia="Microsoft YaHei" w:cs="Calibri"/>
          <w:color w:val="1F2E38"/>
          <w:sz w:val="22"/>
          <w:szCs w:val="22"/>
        </w:rPr>
        <w:t>The Department of Finance tracks these indicators monthly from public U.S. sources and tables a trigger report with the War Cabinet described below.</w:t>
      </w:r>
    </w:p>
    <w:p>
      <w:pPr>
        <w:pStyle w:val="Heading2"/>
      </w:pPr>
      <w:r>
        <w:rPr>
          <w:rFonts w:ascii="Calibri" w:hAnsi="Calibri" w:eastAsia="Microsoft YaHei" w:cs="Calibri"/>
          <w:b/>
          <w:color w:val="2F4858"/>
          <w:sz w:val="30"/>
          <w:szCs w:val="30"/>
        </w:rPr>
        <w:t>Variable Rate Authority Within the Schedule</w:t>
      </w:r>
    </w:p>
    <w:p>
      <w:pPr>
        <w:pStyle w:val="Normal"/>
      </w:pPr>
      <w:r>
        <w:rPr>
          <w:rFonts w:ascii="Calibri" w:hAnsi="Calibri" w:eastAsia="Microsoft YaHei" w:cs="Calibri"/>
          <w:color w:val="1F2E38"/>
          <w:sz w:val="22"/>
          <w:szCs w:val="22"/>
        </w:rPr>
        <w:t>The Part X schedule carries a flat 50 percent rate because every line was screened, at design time, for substitutability and Canadian-impact minimization; the schedule contains no staple without domestic supply and no critical input without a remission track. Even so, conditions change. The Governor in Council therefore takes a standing authority, in the enabling order itself, to re-designate any Part X line into a 25 percent essential-inputs sub-rate where Canadian importers demonstrate that U.S. supply dependence has emerged and no substitute is yet available at scale. Lines with easy substitutes, including alcohol, recreational vehicles, furniture, and golf equipment, are not eligible. Re-designation publishes in the Canada Gazette with the supporting evidence, preserving the legal record. This delivers the inflation protection of a variable-rate design without weakening the published 50 percent wall that mirrors the U.S. measure.</w:t>
      </w:r>
    </w:p>
    <w:p>
      <w:pPr>
        <w:pStyle w:val="Heading2"/>
      </w:pPr>
      <w:r>
        <w:rPr>
          <w:rFonts w:ascii="Calibri" w:hAnsi="Calibri" w:eastAsia="Microsoft YaHei" w:cs="Calibri"/>
          <w:b/>
          <w:color w:val="2F4858"/>
          <w:sz w:val="30"/>
          <w:szCs w:val="30"/>
        </w:rPr>
        <w:t>Protecting Canadians: Remission, Diversification, Adjustment</w:t>
      </w:r>
    </w:p>
    <w:p>
      <w:pPr>
        <w:pStyle w:val="Normal"/>
      </w:pPr>
      <w:r>
        <w:rPr>
          <w:rFonts w:ascii="Calibri" w:hAnsi="Calibri" w:eastAsia="Microsoft YaHei" w:cs="Calibri"/>
          <w:color w:val="1F2E38"/>
          <w:sz w:val="22"/>
          <w:szCs w:val="22"/>
          <w:b/>
        </w:rPr>
        <w:t xml:space="preserve">Duty drawback and remission framework. </w:t>
      </w:r>
      <w:r>
        <w:rPr>
          <w:rFonts w:ascii="Calibri" w:hAnsi="Calibri" w:eastAsia="Microsoft YaHei" w:cs="Calibri"/>
          <w:color w:val="1F2E38"/>
          <w:sz w:val="22"/>
          <w:szCs w:val="22"/>
        </w:rPr>
        <w:t>Part VIII identifies self-harm risk; this protocol supplies the mechanism. Any Canadian importer may apply for remission of a Part X surtax where it can demonstrate that a U.S. input has no Canadian or third-country substitute available at commercial scale. The application requires a standard form, twelve months of import data, and documented quotes from at least two alternative suppliers. Finance and the Canada Border Services Agency commit to a written decision within ten business days, with an interim relief code available on filing for continuous-production inputs. Approved remissions publish quarterly in aggregate, preserving commercial confidentiality while keeping the legal tariff wall intact on the books. The framework converts the schedule from a blunt wall into a screened wall: pressure on the United States stays at 50 percent while Canadian supply chains breathe.</w:t>
      </w:r>
    </w:p>
    <w:p>
      <w:pPr>
        <w:pStyle w:val="Normal"/>
      </w:pPr>
      <w:r>
        <w:rPr>
          <w:rFonts w:ascii="Calibri" w:hAnsi="Calibri" w:eastAsia="Microsoft YaHei" w:cs="Calibri"/>
          <w:color w:val="1F2E38"/>
          <w:sz w:val="22"/>
          <w:szCs w:val="22"/>
          <w:b/>
        </w:rPr>
        <w:t xml:space="preserve">Interim diversification pathways for Tier D. </w:t>
      </w:r>
      <w:r>
        <w:rPr>
          <w:rFonts w:ascii="Calibri" w:hAnsi="Calibri" w:eastAsia="Microsoft YaHei" w:cs="Calibri"/>
          <w:color w:val="1F2E38"/>
          <w:sz w:val="22"/>
          <w:szCs w:val="22"/>
        </w:rPr>
        <w:t>The crude and potash export charges carry self-harm risk because the United States is today the dominant customer. The threat becomes credible only with a published redirection roadmap. The standing plan: Trans Mountain optimization and drag-reducing-agent upgrades free roughly 50,000 to 100,000 barrels per day of additional Pacific capacity within six months, on top of the system’s 890,000 barrel-per-day design capacity; LNG Canada Phase One and the proposed Phase Two expansion open Asian gas markets on a two-to-four-year horizon; and CETA and CPTPP tariff preferences are actively marketed to displace U.S. buyers in Europe and East Asia for potash, uranium, and critical minerals. Publishing these pathways, even while their volumes are modest, transforms Tier D from a mutual-injury gamble into a staged, credible threat.</w:t>
      </w:r>
    </w:p>
    <w:p>
      <w:pPr>
        <w:pStyle w:val="Normal"/>
      </w:pPr>
      <w:r>
        <w:rPr>
          <w:rFonts w:ascii="Calibri" w:hAnsi="Calibri" w:eastAsia="Microsoft YaHei" w:cs="Calibri"/>
          <w:color w:val="1F2E38"/>
          <w:sz w:val="22"/>
          <w:szCs w:val="22"/>
          <w:b/>
        </w:rPr>
        <w:t xml:space="preserve">Producing-province revenue partnership. </w:t>
      </w:r>
      <w:r>
        <w:rPr>
          <w:rFonts w:ascii="Calibri" w:hAnsi="Calibri" w:eastAsia="Microsoft YaHei" w:cs="Calibri"/>
          <w:color w:val="1F2E38"/>
          <w:sz w:val="22"/>
          <w:szCs w:val="22"/>
        </w:rPr>
        <w:t>Tier D charges are federal export measures, but one hundred percent of their net revenue returns to the producing provinces, principally Alberta and Saskatchewan, under a standing revenue-sharing agreement. The province that carries the political cost of the measure receives its fiscal benefit. This converts the most dangerous fault line in the federation, the perception that Ottawa taxes the West to fight Washington, into a financial incentive for producing provinces to hold the line.</w:t>
      </w:r>
    </w:p>
    <w:p>
      <w:pPr>
        <w:pStyle w:val="Normal"/>
      </w:pPr>
      <w:r>
        <w:rPr>
          <w:rFonts w:ascii="Calibri" w:hAnsi="Calibri" w:eastAsia="Microsoft YaHei" w:cs="Calibri"/>
          <w:color w:val="1F2E38"/>
          <w:sz w:val="22"/>
          <w:szCs w:val="22"/>
          <w:b/>
        </w:rPr>
        <w:t xml:space="preserve">Inflation modelling and consumer offset. </w:t>
      </w:r>
      <w:r>
        <w:rPr>
          <w:rFonts w:ascii="Calibri" w:hAnsi="Calibri" w:eastAsia="Microsoft YaHei" w:cs="Calibri"/>
          <w:color w:val="1F2E38"/>
          <w:sz w:val="22"/>
          <w:szCs w:val="22"/>
        </w:rPr>
        <w:t>Finance models the CPI impact of each phase before activation and publishes the estimate. Because the schedule was screened for substitutability, the Phase One and Phase Two consumer-goods lines are estimated to add between 0.2 and 0.5 percentage points to CPI at full pass-through, concentrated in discretionary categories. To offset the pressure, a temporary GST holiday applies to a published list of Canadian-made substitutes, framed publicly as a Buy Canadian stimulus rather than a concession that tariffs raise prices.</w:t>
      </w:r>
    </w:p>
    <w:p>
      <w:pPr>
        <w:pStyle w:val="Normal"/>
      </w:pPr>
      <w:r>
        <w:rPr>
          <w:rFonts w:ascii="Calibri" w:hAnsi="Calibri" w:eastAsia="Microsoft YaHei" w:cs="Calibri"/>
          <w:color w:val="1F2E38"/>
          <w:sz w:val="22"/>
          <w:szCs w:val="22"/>
          <w:b/>
        </w:rPr>
        <w:t xml:space="preserve">Guidance for Canadian businesses. </w:t>
      </w:r>
      <w:r>
        <w:rPr>
          <w:rFonts w:ascii="Calibri" w:hAnsi="Calibri" w:eastAsia="Microsoft YaHei" w:cs="Calibri"/>
          <w:color w:val="1F2E38"/>
          <w:sz w:val="22"/>
          <w:szCs w:val="22"/>
        </w:rPr>
        <w:t>A standing directive tells every Canadian firm with cross-border exposure four steps: audit the supply chain for U.S. dependencies against the Part X schedule; begin qualifying alternative inputs from domestic, Mexican, European, or Asian suppliers; apply to the remission framework where no substitute exists; and prepare documentation for CUSMA origin audits, which will intensify as Measures 55 and 56 deploy. The directive turns the crisis into a structured compliance exercise rather than a boardroom emergency.</w:t>
      </w:r>
    </w:p>
    <w:p>
      <w:pPr>
        <w:pStyle w:val="Heading2"/>
      </w:pPr>
      <w:r>
        <w:rPr>
          <w:rFonts w:ascii="Calibri" w:hAnsi="Calibri" w:eastAsia="Microsoft YaHei" w:cs="Calibri"/>
          <w:b/>
          <w:color w:val="2F4858"/>
          <w:sz w:val="30"/>
          <w:szCs w:val="30"/>
        </w:rPr>
        <w:t>Governance: The Federal-Provincial War Cabinet</w:t>
      </w:r>
    </w:p>
    <w:p>
      <w:pPr>
        <w:pStyle w:val="Normal"/>
      </w:pPr>
      <w:r>
        <w:rPr>
          <w:rFonts w:ascii="Calibri" w:hAnsi="Calibri" w:eastAsia="Microsoft YaHei" w:cs="Calibri"/>
          <w:color w:val="1F2E38"/>
          <w:sz w:val="22"/>
          <w:szCs w:val="22"/>
        </w:rPr>
        <w:t>Disunity is the one failure mode Washington counts on. The compact described in Part IX is therefore formalized as a Federal-Provincial War Cabinet, co-chaired by the Deputy Prime Minister with the Premiers of Ontario, Quebec, Alberta, Saskatchewan, and British Columbia. Its rules are published: Tier D energy activation requires unanimous sign-off by the five co-chairing provinces, ensuring no energy measure proceeds over producing-province objection; Tiers A, B, and C remain unilateral federal authorities under section 53 of the Customs Tariff, so retail-level pressure never waits on a meeting; and a single public calendar of triggers and off-ramps binds all eleven governments.</w:t>
      </w:r>
    </w:p>
    <w:p>
      <w:pPr>
        <w:pStyle w:val="Normal"/>
      </w:pPr>
      <w:r>
        <w:rPr>
          <w:rFonts w:ascii="Calibri" w:hAnsi="Calibri" w:eastAsia="Microsoft YaHei" w:cs="Calibri"/>
          <w:color w:val="1F2E38"/>
          <w:sz w:val="22"/>
          <w:szCs w:val="22"/>
          <w:b/>
        </w:rPr>
        <w:t xml:space="preserve">Communications discipline. </w:t>
      </w:r>
      <w:r>
        <w:rPr>
          <w:rFonts w:ascii="Calibri" w:hAnsi="Calibri" w:eastAsia="Microsoft YaHei" w:cs="Calibri"/>
          <w:color w:val="1F2E38"/>
          <w:sz w:val="22"/>
          <w:szCs w:val="22"/>
        </w:rPr>
        <w:t>All federal and provincial communication on the trade file coordinates through the War Cabinet communications office. One message, one calendar, no freelancing. Premiers retain full freedom on every other file; on this file, a single contradictory quote costs real leverage, and the protocol says so.</w:t>
      </w:r>
    </w:p>
    <w:p>
      <w:pPr>
        <w:pStyle w:val="Normal"/>
      </w:pPr>
      <w:r>
        <w:rPr>
          <w:rFonts w:ascii="Calibri" w:hAnsi="Calibri" w:eastAsia="Microsoft YaHei" w:cs="Calibri"/>
          <w:color w:val="1F2E38"/>
          <w:sz w:val="22"/>
          <w:szCs w:val="22"/>
          <w:b/>
        </w:rPr>
        <w:t xml:space="preserve">Internal trade as leverage. </w:t>
      </w:r>
      <w:r>
        <w:rPr>
          <w:rFonts w:ascii="Calibri" w:hAnsi="Calibri" w:eastAsia="Microsoft YaHei" w:cs="Calibri"/>
          <w:color w:val="1F2E38"/>
          <w:sz w:val="22"/>
          <w:szCs w:val="22"/>
        </w:rPr>
        <w:t>Concurrent with the tariff rollout, the federal government presses every province to sign mutual recognition agreements for goods, services, and labour mobility on the Ontario model. Each internal barrier removed shrinks the relative weight of the U.S. market and is framed domestically as resilience, not retaliation.</w:t>
      </w:r>
    </w:p>
    <w:p>
      <w:pPr>
        <w:pStyle w:val="Normal"/>
      </w:pPr>
      <w:r>
        <w:rPr>
          <w:rFonts w:ascii="Calibri" w:hAnsi="Calibri" w:eastAsia="Microsoft YaHei" w:cs="Calibri"/>
          <w:color w:val="1F2E38"/>
          <w:sz w:val="22"/>
          <w:szCs w:val="22"/>
          <w:b/>
        </w:rPr>
        <w:t xml:space="preserve">Provincial liquor boards as the first strike. </w:t>
      </w:r>
      <w:r>
        <w:rPr>
          <w:rFonts w:ascii="Calibri" w:hAnsi="Calibri" w:eastAsia="Microsoft YaHei" w:cs="Calibri"/>
          <w:color w:val="1F2E38"/>
          <w:sz w:val="22"/>
          <w:szCs w:val="22"/>
        </w:rPr>
        <w:t>The fastest, cheapest, most visible pressure in the entire package is provincial. On activation day, every provincial liquor board applies the 50 percent surtax to, and begins delisting, the Kentucky bourbon and Tennessee whiskey classes at lines CT-244 through CT-266 of the Part X schedule, together with the broader spirits lines at CT-036 and CT-052. The shelves of government-run stores are the one place where the countertariff is physically visible to American exporters within days, at zero fiscal cost to Ottawa.</w:t>
      </w:r>
    </w:p>
    <w:p>
      <w:pPr>
        <w:pStyle w:val="Heading2"/>
      </w:pPr>
      <w:r>
        <w:rPr>
          <w:rFonts w:ascii="Calibri" w:hAnsi="Calibri" w:eastAsia="Microsoft YaHei" w:cs="Calibri"/>
          <w:b/>
          <w:color w:val="2F4858"/>
          <w:sz w:val="30"/>
          <w:szCs w:val="30"/>
        </w:rPr>
        <w:t>Economic Resilience Architecture</w:t>
      </w:r>
    </w:p>
    <w:p>
      <w:pPr>
        <w:pStyle w:val="Normal"/>
      </w:pPr>
      <w:r>
        <w:rPr>
          <w:rFonts w:ascii="Calibri" w:hAnsi="Calibri" w:eastAsia="Microsoft YaHei" w:cs="Calibri"/>
          <w:color w:val="1F2E38"/>
          <w:sz w:val="22"/>
          <w:szCs w:val="22"/>
          <w:b/>
        </w:rPr>
        <w:t xml:space="preserve">Canadian Economic Resilience Fund. </w:t>
      </w:r>
      <w:r>
        <w:rPr>
          <w:rFonts w:ascii="Calibri" w:hAnsi="Calibri" w:eastAsia="Microsoft YaHei" w:cs="Calibri"/>
          <w:color w:val="1F2E38"/>
          <w:sz w:val="22"/>
          <w:szCs w:val="22"/>
        </w:rPr>
        <w:t>Legislation dedicates one hundred percent of Part X tariff revenue, estimated at roughly US$13.8 billion per year at full activation, to a standing Canadian Economic Resilience Fund. The fund indemnifies affected workers, subsidizes exporter retooling, and finances the ports, rail, and pipeline projects that enable diversification. Tariff revenue stops being a political liability and becomes the visible down payment on the realignment.</w:t>
      </w:r>
    </w:p>
    <w:p>
      <w:pPr>
        <w:pStyle w:val="Normal"/>
      </w:pPr>
      <w:r>
        <w:rPr>
          <w:rFonts w:ascii="Calibri" w:hAnsi="Calibri" w:eastAsia="Microsoft YaHei" w:cs="Calibri"/>
          <w:color w:val="1F2E38"/>
          <w:sz w:val="22"/>
          <w:szCs w:val="22"/>
          <w:b/>
        </w:rPr>
        <w:t xml:space="preserve">Critical-mineral stockpile. </w:t>
      </w:r>
      <w:r>
        <w:rPr>
          <w:rFonts w:ascii="Calibri" w:hAnsi="Calibri" w:eastAsia="Microsoft YaHei" w:cs="Calibri"/>
          <w:color w:val="1F2E38"/>
          <w:sz w:val="22"/>
          <w:szCs w:val="22"/>
        </w:rPr>
        <w:t>A strategic reserve program purchases and stockpiles Canadian lithium, nickel, graphite, and uranium for domestic use. The reserve buffers Canadian industry against supply disruption, and every tonne stockpiled is a tonne withheld from the export market, incrementally tightening the leverage documented in Part IV.</w:t>
      </w:r>
    </w:p>
    <w:p>
      <w:pPr>
        <w:pStyle w:val="Normal"/>
      </w:pPr>
      <w:r>
        <w:rPr>
          <w:rFonts w:ascii="Calibri" w:hAnsi="Calibri" w:eastAsia="Microsoft YaHei" w:cs="Calibri"/>
          <w:color w:val="1F2E38"/>
          <w:sz w:val="22"/>
          <w:szCs w:val="22"/>
          <w:b/>
        </w:rPr>
        <w:t xml:space="preserve">Trade Diversification Dashboard. </w:t>
      </w:r>
      <w:r>
        <w:rPr>
          <w:rFonts w:ascii="Calibri" w:hAnsi="Calibri" w:eastAsia="Microsoft YaHei" w:cs="Calibri"/>
          <w:color w:val="1F2E38"/>
          <w:sz w:val="22"/>
          <w:szCs w:val="22"/>
        </w:rPr>
        <w:t>A public dashboard tracks new trade agreements, export volumes to non-U.S. markets, and diversification infrastructure milestones. It supplies the positive daily narrative that counterbalances tariff coverage and gives every Canadian a scoreboard for the realignment.</w:t>
      </w:r>
    </w:p>
    <w:p>
      <w:pPr>
        <w:pStyle w:val="Normal"/>
      </w:pPr>
      <w:r>
        <w:rPr>
          <w:rFonts w:ascii="Calibri" w:hAnsi="Calibri" w:eastAsia="Microsoft YaHei" w:cs="Calibri"/>
          <w:color w:val="1F2E38"/>
          <w:sz w:val="22"/>
          <w:szCs w:val="22"/>
          <w:b/>
        </w:rPr>
        <w:t xml:space="preserve">Investment summit as kickoff. </w:t>
      </w:r>
      <w:r>
        <w:rPr>
          <w:rFonts w:ascii="Calibri" w:hAnsi="Calibri" w:eastAsia="Microsoft YaHei" w:cs="Calibri"/>
          <w:color w:val="1F2E38"/>
          <w:sz w:val="22"/>
          <w:szCs w:val="22"/>
        </w:rPr>
        <w:t>The planned Toronto investment summit is re-scoped as the public launch of the diversification decade, used to announce specific European and Asian investment partnerships in the sectors hit by U.S. tariffs. The message to global capital is that Canada is open for business outside the U.S. corridor.</w:t>
      </w:r>
    </w:p>
    <w:p>
      <w:pPr>
        <w:pStyle w:val="Normal"/>
      </w:pPr>
      <w:r>
        <w:rPr>
          <w:rFonts w:ascii="Calibri" w:hAnsi="Calibri" w:eastAsia="Microsoft YaHei" w:cs="Calibri"/>
          <w:color w:val="1F2E38"/>
          <w:sz w:val="22"/>
          <w:szCs w:val="22"/>
          <w:b/>
        </w:rPr>
        <w:t xml:space="preserve">The ten-year pivot. </w:t>
      </w:r>
      <w:r>
        <w:rPr>
          <w:rFonts w:ascii="Calibri" w:hAnsi="Calibri" w:eastAsia="Microsoft YaHei" w:cs="Calibri"/>
          <w:color w:val="1F2E38"/>
          <w:sz w:val="22"/>
          <w:szCs w:val="22"/>
        </w:rPr>
        <w:t>The commitment to double non-U.S. exports is broken into a published milestone plan so that progress is measurable and failure is visible.</w:t>
      </w:r>
    </w:p>
    <w:tbl>
      <w:tblPr>
        <w:tblW w:w="0" w:type="auto"/>
      </w:tblPr>
      <w:tblGrid>
        <w:gridCol w:w="4513"/>
        <w:gridCol w:w="4513"/>
      </w:tblGrid>
      <w:tr>
        <w:tc>
          <w:tcPr>
            <w:tcW w:w="4513" w:type="dxa"/>
            <w:shd w:val="clear" w:color="auto" w:fill="E9EFF2"/>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Horizon</w:t>
            </w:r>
          </w:p>
        </w:tc>
        <w:tc>
          <w:tcPr>
            <w:tcW w:w="4513" w:type="dxa"/>
            <w:shd w:val="clear" w:color="auto" w:fill="E9EFF2"/>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Milestones</w:t>
            </w:r>
          </w:p>
        </w:tc>
      </w:tr>
      <w:tr>
        <w:trPr>
          <w:cantSplit w:val="1"/>
        </w:trPr>
        <w:tc>
          <w:tcPr>
            <w:tcW w:w="4513"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Years 1 to 2</w:t>
            </w:r>
          </w:p>
        </w:tc>
        <w:tc>
          <w:tcPr>
            <w:tcW w:w="4513"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CETA upgrade concluded; CPTPP deepening advanced; Trans Mountain optimization and LNG Phase One ramp complete; Trade Diversification Dashboard live; EU and UK procurement corridors opened for affected exporters.</w:t>
            </w:r>
          </w:p>
        </w:tc>
      </w:tr>
      <w:tr>
        <w:trPr>
          <w:cantSplit w:val="1"/>
        </w:trPr>
        <w:tc>
          <w:tcPr>
            <w:tcW w:w="4513"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Years 3 to 5</w:t>
            </w:r>
          </w:p>
        </w:tc>
        <w:tc>
          <w:tcPr>
            <w:tcW w:w="4513"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Agreements with India and ASEAN finalized; LNG Phase Two and associated corridor infrastructure under construction; critical-mineral stockpile at target levels; non-U.S. export share up by one quarter.</w:t>
            </w:r>
          </w:p>
        </w:tc>
      </w:tr>
      <w:tr>
        <w:trPr>
          <w:cantSplit w:val="1"/>
        </w:trPr>
        <w:tc>
          <w:tcPr>
            <w:tcW w:w="4513"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Years 6 to 10</w:t>
            </w:r>
          </w:p>
        </w:tc>
        <w:tc>
          <w:tcPr>
            <w:tcW w:w="4513"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Port, rail, and pipeline buildout complete; non-U.S. export share doubled against the 2025 base; the Economic Resilience Fund self-sustaining from endowment returns.</w:t>
            </w:r>
          </w:p>
        </w:tc>
      </w:tr>
    </w:tbl>
    <w:p>
      <w:pPr>
        <w:pStyle w:val="Normal"/>
      </w:pPr>
      <w:r>
        <w:rPr>
          <w:rFonts w:ascii="Calibri" w:hAnsi="Calibri" w:eastAsia="Microsoft YaHei" w:cs="Calibri"/>
          <w:color w:val="1F2E38"/>
          <w:sz w:val="22"/>
          <w:szCs w:val="22"/>
          <w:b/>
        </w:rPr>
        <w:t xml:space="preserve">Real-time trade analytics. </w:t>
      </w:r>
      <w:r>
        <w:rPr>
          <w:rFonts w:ascii="Calibri" w:hAnsi="Calibri" w:eastAsia="Microsoft YaHei" w:cs="Calibri"/>
          <w:color w:val="1F2E38"/>
          <w:sz w:val="22"/>
          <w:szCs w:val="22"/>
        </w:rPr>
        <w:t>Finance deploys AI-driven trade analytics to track import substitution, detect tariff avoidance and transshipment through third countries, and measure state-level economic impact weekly. Phase adjustments, remission decisions, and trigger reports all draw on this single evidence base.</w:t>
      </w:r>
    </w:p>
    <w:p>
      <w:pPr>
        <w:pStyle w:val="Normal"/>
      </w:pPr>
      <w:r>
        <w:rPr>
          <w:rFonts w:ascii="Calibri" w:hAnsi="Calibri" w:eastAsia="Microsoft YaHei" w:cs="Calibri"/>
          <w:color w:val="1F2E38"/>
          <w:sz w:val="22"/>
          <w:szCs w:val="22"/>
          <w:b/>
        </w:rPr>
        <w:t xml:space="preserve">Technology partnership incentive. </w:t>
      </w:r>
      <w:r>
        <w:rPr>
          <w:rFonts w:ascii="Calibri" w:hAnsi="Calibri" w:eastAsia="Microsoft YaHei" w:cs="Calibri"/>
          <w:color w:val="1F2E38"/>
          <w:sz w:val="22"/>
          <w:szCs w:val="22"/>
        </w:rPr>
        <w:t>Applicants for remission who commit to joint research, technology sharing, or production localization with Canadian firms receive priority processing and extended relief terms. Participation is voluntary and incentive-based; no performance requirement is imposed, keeping the measure clear of the CUSMA investment chapter while still using the crisis to build Canadian capability.</w:t>
      </w:r>
    </w:p>
    <w:p>
      <w:pPr>
        <w:pStyle w:val="Heading2"/>
      </w:pPr>
      <w:r>
        <w:rPr>
          <w:rFonts w:ascii="Calibri" w:hAnsi="Calibri" w:eastAsia="Microsoft YaHei" w:cs="Calibri"/>
          <w:b/>
          <w:color w:val="2F4858"/>
          <w:sz w:val="30"/>
          <w:szCs w:val="30"/>
        </w:rPr>
        <w:t>Risk Register Addition: Financial Decoupling</w:t>
      </w:r>
    </w:p>
    <w:p>
      <w:pPr>
        <w:pStyle w:val="Normal"/>
      </w:pPr>
      <w:r>
        <w:rPr>
          <w:rFonts w:ascii="Calibri" w:hAnsi="Calibri" w:eastAsia="Microsoft YaHei" w:cs="Calibri"/>
          <w:color w:val="1F2E38"/>
          <w:sz w:val="22"/>
          <w:szCs w:val="22"/>
        </w:rPr>
        <w:t>The risk register in Part VIII gains a financial-decoupling entry. The extreme U.S. countermove is financial rather than commercial: threatening Canadian access to U.S. dollar clearing or pressuring the SWIFT network. The probability is low and the self-harm to the dollar system would be severe, but the contingency is planned, not improvised. Quiet preparations only: the Bank of Canada expands standing swap arrangements and negotiates a CAD-EUR bilateral swap line with the European Central Bank; Finance studies non-dollar invoicing pilots for crude and potash sales into Asian markets; and the reserve financial transaction tax described above stands ready as the in-kind reply. None of this is pre-announced. Signalling preparation for the worst, without theatrical gestures such as a public petro-currency announcement, deters financial escalation while avoiding the market instability that an announcement itself would cause.</w:t>
      </w:r>
    </w:p>
    <w:p>
      <w:pPr>
        <w:pStyle w:val="Heading2"/>
      </w:pPr>
      <w:r>
        <w:rPr>
          <w:rFonts w:ascii="Calibri" w:hAnsi="Calibri" w:eastAsia="Microsoft YaHei" w:cs="Calibri"/>
          <w:b/>
          <w:color w:val="2F4858"/>
          <w:sz w:val="30"/>
          <w:szCs w:val="30"/>
        </w:rPr>
        <w:t>Communications and Public Engagement</w:t>
      </w:r>
    </w:p>
    <w:p>
      <w:pPr>
        <w:pStyle w:val="Normal"/>
      </w:pPr>
      <w:r>
        <w:rPr>
          <w:rFonts w:ascii="Calibri" w:hAnsi="Calibri" w:eastAsia="Microsoft YaHei" w:cs="Calibri"/>
          <w:color w:val="D7E3EA"/>
          <w:sz w:val="16"/>
          <w:szCs w:val="19"/>
          <w:b/>
        </w:rPr>
        <w:t xml:space="preserve">State-level media playbook. </w:t>
      </w:r>
      <w:r>
        <w:rPr>
          <w:rFonts w:ascii="Calibri" w:hAnsi="Calibri" w:eastAsia="Microsoft YaHei" w:cs="Calibri"/>
          <w:color w:val="1F2E38"/>
          <w:sz w:val="22"/>
          <w:szCs w:val="22"/>
        </w:rPr>
        <w:t>Every phase activation is accompanied by localized press packages for the affected states, placed with state and local outlets rather than the national networks. The template names the state, the industry, and the dollar figure: for example, that Iowa’s corn, pork, and ethanol complex loses its Canadian market because Washington refuses to negotiate, or that Kentucky bourbon loses shelf space in the world’s most profitable liquor-board system. The message bypasses the national filter and lands on the voters and local businesses whose senators must answer for the tariffs. The targeting matrix in this part supplies the numbers.</w:t>
      </w:r>
    </w:p>
    <w:p>
      <w:pPr>
        <w:pStyle w:val="Normal"/>
      </w:pPr>
      <w:r>
        <w:rPr>
          <w:rFonts w:ascii="Calibri" w:hAnsi="Calibri" w:eastAsia="Microsoft YaHei" w:cs="Calibri"/>
          <w:color w:val="D7E3EA"/>
          <w:sz w:val="16"/>
          <w:szCs w:val="19"/>
          <w:b/>
        </w:rPr>
        <w:t xml:space="preserve">Category press lines. </w:t>
      </w:r>
      <w:r>
        <w:rPr>
          <w:rFonts w:ascii="Calibri" w:hAnsi="Calibri" w:eastAsia="Microsoft YaHei" w:cs="Calibri"/>
          <w:color w:val="1F2E38"/>
          <w:sz w:val="22"/>
          <w:szCs w:val="22"/>
        </w:rPr>
        <w:t>Following the companion-track doctrine of innocence claims, every category of the Part X schedule carries a pre-written public rationale, so that no activation announcement ever uses the word retaliation and Washington is denied a quotable grievance from the first hour.</w:t>
      </w:r>
    </w:p>
    <w:tbl>
      <w:tblPr>
        <w:tblW w:w="0" w:type="auto"/>
      </w:tblPr>
      <w:tblGrid>
        <w:gridCol w:w="3008"/>
        <w:gridCol w:w="3008"/>
        <w:gridCol w:w="3010"/>
      </w:tblGrid>
      <w:tr>
        <w:tc>
          <w:tcPr>
            <w:tcW w:w="3008" w:type="dxa"/>
            <w:shd w:val="clear" w:color="auto" w:fill="E9EFF2"/>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Category</w:t>
            </w:r>
          </w:p>
        </w:tc>
        <w:tc>
          <w:tcPr>
            <w:tcW w:w="3008" w:type="dxa"/>
            <w:shd w:val="clear" w:color="auto" w:fill="E9EFF2"/>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Scope</w:t>
            </w:r>
          </w:p>
        </w:tc>
        <w:tc>
          <w:tcPr>
            <w:tcW w:w="3010" w:type="dxa"/>
            <w:shd w:val="clear" w:color="auto" w:fill="E9EFF2"/>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Standard public rationale</w:t>
            </w:r>
          </w:p>
        </w:tc>
      </w:tr>
      <w:tr>
        <w:trPr>
          <w:cantSplit w:val="1"/>
        </w:trPr>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A</w:t>
            </w:r>
          </w:p>
        </w:tc>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State-anchor industrial and agricultural goods</w:t>
            </w:r>
          </w:p>
        </w:tc>
        <w:tc>
          <w:tcPr>
            <w:tcW w:w="3010"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Strengthening Canadian industrial supply chains and food security.</w:t>
            </w:r>
          </w:p>
        </w:tc>
      </w:tr>
      <w:tr>
        <w:trPr>
          <w:cantSplit w:val="1"/>
        </w:trPr>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B</w:t>
            </w:r>
          </w:p>
        </w:tc>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Coal, petroleum, fuels and combustion products</w:t>
            </w:r>
          </w:p>
        </w:tc>
        <w:tc>
          <w:tcPr>
            <w:tcW w:w="3010"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Aligning fuel quality standards and supporting Canadian refinery competitiveness.</w:t>
            </w:r>
          </w:p>
        </w:tc>
      </w:tr>
      <w:tr>
        <w:trPr>
          <w:cantSplit w:val="1"/>
        </w:trPr>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C</w:t>
            </w:r>
          </w:p>
        </w:tc>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Kitchen appliances, cookware and tableware</w:t>
            </w:r>
          </w:p>
        </w:tc>
        <w:tc>
          <w:tcPr>
            <w:tcW w:w="3010"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Enforcing product safety and energy-efficiency standards for household appliances.</w:t>
            </w:r>
          </w:p>
        </w:tc>
      </w:tr>
      <w:tr>
        <w:trPr>
          <w:cantSplit w:val="1"/>
        </w:trPr>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D</w:t>
            </w:r>
          </w:p>
        </w:tc>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Plastics I: packaging, film and construction</w:t>
            </w:r>
          </w:p>
        </w:tc>
        <w:tc>
          <w:tcPr>
            <w:tcW w:w="3010"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Advancing Canadian packaging-reduction and recycled-content standards.</w:t>
            </w:r>
          </w:p>
        </w:tc>
      </w:tr>
      <w:tr>
        <w:trPr>
          <w:cantSplit w:val="1"/>
        </w:trPr>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E</w:t>
            </w:r>
          </w:p>
        </w:tc>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Plastics II: resins, containers, consumer articles</w:t>
            </w:r>
          </w:p>
        </w:tc>
        <w:tc>
          <w:tcPr>
            <w:tcW w:w="3010"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Supporting domestic resin recyclers and circular-economy standards.</w:t>
            </w:r>
          </w:p>
        </w:tc>
      </w:tr>
      <w:tr>
        <w:trPr>
          <w:cantSplit w:val="1"/>
        </w:trPr>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F</w:t>
            </w:r>
          </w:p>
        </w:tc>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Alcohol, wine, spirits and beer</w:t>
            </w:r>
          </w:p>
        </w:tc>
        <w:tc>
          <w:tcPr>
            <w:tcW w:w="3010"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Protecting Canadian consumers from misleading origin labelling on alcoholic beverages.</w:t>
            </w:r>
          </w:p>
        </w:tc>
      </w:tr>
      <w:tr>
        <w:trPr>
          <w:cantSplit w:val="1"/>
        </w:trPr>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G</w:t>
            </w:r>
          </w:p>
        </w:tc>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Wood, lumber, furniture and paper products</w:t>
            </w:r>
          </w:p>
        </w:tc>
        <w:tc>
          <w:tcPr>
            <w:tcW w:w="3010"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Protecting Canadian forestry employment and sustainable wood-product standards.</w:t>
            </w:r>
          </w:p>
        </w:tc>
      </w:tr>
      <w:tr>
        <w:trPr>
          <w:cantSplit w:val="1"/>
        </w:trPr>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H</w:t>
            </w:r>
          </w:p>
        </w:tc>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Plumbing fixtures and sanitary ware</w:t>
            </w:r>
          </w:p>
        </w:tc>
        <w:tc>
          <w:tcPr>
            <w:tcW w:w="3010"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Enforcing Canadian water-efficiency standards for fixtures.</w:t>
            </w:r>
          </w:p>
        </w:tc>
      </w:tr>
      <w:tr>
        <w:trPr>
          <w:cantSplit w:val="1"/>
        </w:trPr>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I</w:t>
            </w:r>
          </w:p>
        </w:tc>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Hunting, firearms, ammunition and outdoor equipment</w:t>
            </w:r>
          </w:p>
        </w:tc>
        <w:tc>
          <w:tcPr>
            <w:tcW w:w="3010"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Supporting Canadian conservation programs and firearms safety standards.</w:t>
            </w:r>
          </w:p>
        </w:tc>
      </w:tr>
      <w:tr>
        <w:trPr>
          <w:cantSplit w:val="1"/>
        </w:trPr>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J</w:t>
            </w:r>
          </w:p>
        </w:tc>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Leather goods, footwear and saddlery</w:t>
            </w:r>
          </w:p>
        </w:tc>
        <w:tc>
          <w:tcPr>
            <w:tcW w:w="3010"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Supporting domestic footwear and leather artisans under fair-competition rules.</w:t>
            </w:r>
          </w:p>
        </w:tc>
      </w:tr>
      <w:tr>
        <w:trPr>
          <w:cantSplit w:val="1"/>
        </w:trPr>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K</w:t>
            </w:r>
          </w:p>
        </w:tc>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Golf equipment and apparel</w:t>
            </w:r>
          </w:p>
        </w:tc>
        <w:tc>
          <w:tcPr>
            <w:tcW w:w="3010"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Ensuring fair competition for Canadian sporting-goods retailers.</w:t>
            </w:r>
          </w:p>
        </w:tc>
      </w:tr>
      <w:tr>
        <w:trPr>
          <w:cantSplit w:val="1"/>
        </w:trPr>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L</w:t>
            </w:r>
          </w:p>
        </w:tc>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Musical instruments and audio equipment</w:t>
            </w:r>
          </w:p>
        </w:tc>
        <w:tc>
          <w:tcPr>
            <w:tcW w:w="3010"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Supporting Canadian cultural industries and music education.</w:t>
            </w:r>
          </w:p>
        </w:tc>
      </w:tr>
      <w:tr>
        <w:trPr>
          <w:cantSplit w:val="1"/>
        </w:trPr>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M</w:t>
            </w:r>
          </w:p>
        </w:tc>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Shaving and grooming preparations</w:t>
            </w:r>
          </w:p>
        </w:tc>
        <w:tc>
          <w:tcPr>
            <w:tcW w:w="3010"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Enforcing Canadian ingredient and labelling standards for grooming products.</w:t>
            </w:r>
          </w:p>
        </w:tc>
      </w:tr>
      <w:tr>
        <w:trPr>
          <w:cantSplit w:val="1"/>
        </w:trPr>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N</w:t>
            </w:r>
          </w:p>
        </w:tc>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Knives, cutlery and blades</w:t>
            </w:r>
          </w:p>
        </w:tc>
        <w:tc>
          <w:tcPr>
            <w:tcW w:w="3010"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Enforcing Canadian safety standards for bladed consumer products.</w:t>
            </w:r>
          </w:p>
        </w:tc>
      </w:tr>
      <w:tr>
        <w:trPr>
          <w:cantSplit w:val="1"/>
        </w:trPr>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O</w:t>
            </w:r>
          </w:p>
        </w:tc>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Fishing and marine equipment</w:t>
            </w:r>
          </w:p>
        </w:tc>
        <w:tc>
          <w:tcPr>
            <w:tcW w:w="3010"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Protecting Canadian fisheries and domestic marine suppliers.</w:t>
            </w:r>
          </w:p>
        </w:tc>
      </w:tr>
      <w:tr>
        <w:trPr>
          <w:cantSplit w:val="1"/>
        </w:trPr>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P</w:t>
            </w:r>
          </w:p>
        </w:tc>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Air fresheners, candles and home fragrance</w:t>
            </w:r>
          </w:p>
        </w:tc>
        <w:tc>
          <w:tcPr>
            <w:tcW w:w="3010"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Enforcing volatile-compound and fire-safety standards for home fragrance.</w:t>
            </w:r>
          </w:p>
        </w:tc>
      </w:tr>
      <w:tr>
        <w:trPr>
          <w:cantSplit w:val="1"/>
        </w:trPr>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Q</w:t>
            </w:r>
          </w:p>
        </w:tc>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Trump Organization exposure categories</w:t>
            </w:r>
          </w:p>
        </w:tc>
        <w:tc>
          <w:tcPr>
            <w:tcW w:w="3010"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Ensuring fair competition for Canadian aerospace, apparel, and hospitality suppliers.</w:t>
            </w:r>
          </w:p>
        </w:tc>
      </w:tr>
      <w:tr>
        <w:trPr>
          <w:cantSplit w:val="1"/>
        </w:trPr>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R</w:t>
            </w:r>
          </w:p>
        </w:tc>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Branded merchandise I</w:t>
            </w:r>
          </w:p>
        </w:tc>
        <w:tc>
          <w:tcPr>
            <w:tcW w:w="3010"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Ensuring truthful origin labelling on imported branded merchandise.</w:t>
            </w:r>
          </w:p>
        </w:tc>
      </w:tr>
      <w:tr>
        <w:trPr>
          <w:cantSplit w:val="1"/>
        </w:trPr>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S</w:t>
            </w:r>
          </w:p>
        </w:tc>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Branded merchandise II</w:t>
            </w:r>
          </w:p>
        </w:tc>
        <w:tc>
          <w:tcPr>
            <w:tcW w:w="3010"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Ensuring truthful origin labelling on imported branded merchandise.</w:t>
            </w:r>
          </w:p>
        </w:tc>
      </w:tr>
      <w:tr>
        <w:trPr>
          <w:cantSplit w:val="1"/>
        </w:trPr>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T</w:t>
            </w:r>
          </w:p>
        </w:tc>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Campaign and novelty merchandise</w:t>
            </w:r>
          </w:p>
        </w:tc>
        <w:tc>
          <w:tcPr>
            <w:tcW w:w="3010"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Enforcing Canadian labelling and safety standards on novelty imports.</w:t>
            </w:r>
          </w:p>
        </w:tc>
      </w:tr>
      <w:tr>
        <w:trPr>
          <w:cantSplit w:val="1"/>
        </w:trPr>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U</w:t>
            </w:r>
          </w:p>
        </w:tc>
        <w:tc>
          <w:tcPr>
            <w:tcW w:w="3008"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Bath salts and personal soaking products</w:t>
            </w:r>
          </w:p>
        </w:tc>
        <w:tc>
          <w:tcPr>
            <w:tcW w:w="3010" w:type="dxa"/>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Enforcing Canadian ingredient and labelling standards for personal-care products.</w:t>
            </w:r>
          </w:p>
        </w:tc>
      </w:tr>
    </w:tbl>
    <w:p>
      <w:pPr>
        <w:pStyle w:val="Normal"/>
      </w:pPr>
      <w:r>
        <w:rPr>
          <w:rFonts w:ascii="Calibri" w:hAnsi="Calibri" w:eastAsia="Microsoft YaHei" w:cs="Calibri"/>
          <w:color w:val="D7E3EA"/>
          <w:sz w:val="16"/>
          <w:szCs w:val="19"/>
          <w:b/>
        </w:rPr>
        <w:t xml:space="preserve">Engaging American stakeholders. </w:t>
      </w:r>
      <w:r>
        <w:rPr>
          <w:rFonts w:ascii="Calibri" w:hAnsi="Calibri" w:eastAsia="Microsoft YaHei" w:cs="Calibri"/>
          <w:color w:val="1F2E38"/>
          <w:sz w:val="22"/>
          <w:szCs w:val="22"/>
        </w:rPr>
        <w:t>Canada runs a standing briefing program for the U.S. Chamber of Commerce, the Business Roundtable, the National Association of Home Builders, the RV Industry Association, and the distilled-spirits and farm-state trade associations. The message is consistent and sympathetic: the Canadian market is closed to you because of Washington’s actions, the off-ramps are published, and help changing Washington’s position is the fastest way back in. American business pressure on the administration is an allied force, and this program treats it as one.</w:t>
      </w:r>
    </w:p>
    <w:p>
      <w:pPr>
        <w:pStyle w:val="Normal"/>
      </w:pPr>
      <w:r>
        <w:rPr>
          <w:rFonts w:ascii="Calibri" w:hAnsi="Calibri" w:eastAsia="Microsoft YaHei" w:cs="Calibri"/>
          <w:color w:val="D7E3EA"/>
          <w:sz w:val="16"/>
          <w:szCs w:val="19"/>
          <w:b/>
        </w:rPr>
        <w:t xml:space="preserve">Public frequently asked questions. </w:t>
      </w:r>
      <w:r>
        <w:rPr>
          <w:rFonts w:ascii="Calibri" w:hAnsi="Calibri" w:eastAsia="Microsoft YaHei" w:cs="Calibri"/>
          <w:color w:val="1F2E38"/>
          <w:sz w:val="22"/>
          <w:szCs w:val="22"/>
        </w:rPr>
        <w:t>A plain-language FAQ publishes with Phase One and updates with each phase, arming Canadians with honest answers:</w:t>
      </w:r>
    </w:p>
    <w:p>
      <w:pPr>
        <w:pStyle w:val="Normal"/>
      </w:pPr>
      <w:r>
        <w:rPr>
          <w:rFonts w:ascii="Calibri" w:hAnsi="Calibri" w:eastAsia="Microsoft YaHei" w:cs="Calibri"/>
          <w:color w:val="1F2E38"/>
          <w:sz w:val="22"/>
          <w:szCs w:val="22"/>
          <w:b/>
        </w:rPr>
        <w:t xml:space="preserve">Will this raise my grocery bill? </w:t>
      </w:r>
      <w:r>
        <w:rPr>
          <w:rFonts w:ascii="Calibri" w:hAnsi="Calibri" w:eastAsia="Microsoft YaHei" w:cs="Calibri"/>
          <w:color w:val="1F2E38"/>
          <w:sz w:val="22"/>
          <w:szCs w:val="22"/>
        </w:rPr>
        <w:t>Minimally. The schedule excludes food staples without domestic supply, every line was screened for available substitutes, and the temporary GST holiday on Canadian-made goods offsets the residual pressure.</w:t>
      </w:r>
    </w:p>
    <w:p>
      <w:pPr>
        <w:pStyle w:val="Normal"/>
      </w:pPr>
      <w:r>
        <w:rPr>
          <w:rFonts w:ascii="Calibri" w:hAnsi="Calibri" w:eastAsia="Microsoft YaHei" w:cs="Calibri"/>
          <w:color w:val="1F2E38"/>
          <w:sz w:val="22"/>
          <w:szCs w:val="22"/>
          <w:b/>
        </w:rPr>
        <w:t xml:space="preserve">Who actually pays a tariff? </w:t>
      </w:r>
      <w:r>
        <w:rPr>
          <w:rFonts w:ascii="Calibri" w:hAnsi="Calibri" w:eastAsia="Microsoft YaHei" w:cs="Calibri"/>
          <w:color w:val="1F2E38"/>
          <w:sz w:val="22"/>
          <w:szCs w:val="22"/>
        </w:rPr>
        <w:t>The importer pays at the border. Where a product has easy substitutes, demand shifts and the American exporter loses the sale; that loss of market access, concentrated in the states that voted for the tariffs, is the pressure mechanism.</w:t>
      </w:r>
    </w:p>
    <w:p>
      <w:pPr>
        <w:pStyle w:val="Normal"/>
      </w:pPr>
      <w:r>
        <w:rPr>
          <w:rFonts w:ascii="Calibri" w:hAnsi="Calibri" w:eastAsia="Microsoft YaHei" w:cs="Calibri"/>
          <w:color w:val="1F2E38"/>
          <w:sz w:val="22"/>
          <w:szCs w:val="22"/>
          <w:b/>
        </w:rPr>
        <w:t xml:space="preserve">Why not simply give in? </w:t>
      </w:r>
      <w:r>
        <w:rPr>
          <w:rFonts w:ascii="Calibri" w:hAnsi="Calibri" w:eastAsia="Microsoft YaHei" w:cs="Calibri"/>
          <w:color w:val="1F2E38"/>
          <w:sz w:val="22"/>
          <w:szCs w:val="22"/>
        </w:rPr>
        <w:t>Because conceding under tariff threat sets the precedent that trade policy can be dictated to Canada permanently. Every concession purchased by pressure invites the next demand.</w:t>
      </w:r>
    </w:p>
    <w:p>
      <w:pPr>
        <w:pStyle w:val="Normal"/>
      </w:pPr>
      <w:r>
        <w:rPr>
          <w:rFonts w:ascii="Calibri" w:hAnsi="Calibri" w:eastAsia="Microsoft YaHei" w:cs="Calibri"/>
          <w:color w:val="1F2E38"/>
          <w:sz w:val="22"/>
          <w:szCs w:val="22"/>
          <w:b/>
        </w:rPr>
        <w:t xml:space="preserve">What if my employer depends on American inputs? </w:t>
      </w:r>
      <w:r>
        <w:rPr>
          <w:rFonts w:ascii="Calibri" w:hAnsi="Calibri" w:eastAsia="Microsoft YaHei" w:cs="Calibri"/>
          <w:color w:val="1F2E38"/>
          <w:sz w:val="22"/>
          <w:szCs w:val="22"/>
        </w:rPr>
        <w:t>The remission framework decides complete applications within ten business days, and the Economic Resilience Fund supports retooling and worker transition.</w:t>
      </w:r>
    </w:p>
    <w:p>
      <w:pPr>
        <w:pStyle w:val="Normal"/>
      </w:pPr>
      <w:r>
        <w:rPr>
          <w:rFonts w:ascii="Calibri" w:hAnsi="Calibri" w:eastAsia="Microsoft YaHei" w:cs="Calibri"/>
          <w:color w:val="1F2E38"/>
          <w:sz w:val="22"/>
          <w:szCs w:val="22"/>
          <w:b/>
        </w:rPr>
        <w:t xml:space="preserve">How long will this last? </w:t>
      </w:r>
      <w:r>
        <w:rPr>
          <w:rFonts w:ascii="Calibri" w:hAnsi="Calibri" w:eastAsia="Microsoft YaHei" w:cs="Calibri"/>
          <w:color w:val="1F2E38"/>
          <w:sz w:val="22"/>
          <w:szCs w:val="22"/>
        </w:rPr>
        <w:t>The schedule retires the moment the Minimum Viable Deal is verified: full removal of the Section 338 tariffs. The ladder in this part defines every rung between today and full settlement.</w:t>
      </w:r>
    </w:p>
    <w:p>
      <w:pPr>
        <w:pStyle w:val="Normal"/>
      </w:pPr>
      <w:r>
        <w:rPr>
          <w:rFonts w:ascii="Calibri" w:hAnsi="Calibri" w:eastAsia="Microsoft YaHei" w:cs="Calibri"/>
          <w:color w:val="1F2E38"/>
          <w:sz w:val="22"/>
          <w:szCs w:val="22"/>
          <w:b/>
        </w:rPr>
        <w:t xml:space="preserve">Is this legal under CUSMA? </w:t>
      </w:r>
      <w:r>
        <w:rPr>
          <w:rFonts w:ascii="Calibri" w:hAnsi="Calibri" w:eastAsia="Microsoft YaHei" w:cs="Calibri"/>
          <w:color w:val="1F2E38"/>
          <w:sz w:val="22"/>
          <w:szCs w:val="22"/>
        </w:rPr>
        <w:t>The United States breached Article 2.4 first. Canada’s measures are proportionate countermeasures under international law and are further defensible under the essential security exception in Article 32.2. The full argument is in the legal defence protocol of this part.</w:t>
      </w:r>
    </w:p>
    <w:p>
      <w:pPr>
        <w:pStyle w:val="Normal"/>
      </w:pPr>
      <w:r>
        <w:rPr>
          <w:rFonts w:ascii="Calibri" w:hAnsi="Calibri" w:eastAsia="Microsoft YaHei" w:cs="Calibri"/>
          <w:color w:val="1F2E38"/>
          <w:sz w:val="22"/>
          <w:szCs w:val="22"/>
          <w:b/>
        </w:rPr>
        <w:t xml:space="preserve">Where does the money go? </w:t>
        <w:t>One hundred percent of the surtax revenue flows to the Canadian Economic Resilience Fund for workers, exporters, and diversification infrastructure; on settlement, the escrow converts to a joint reconciliation fund.</w:t>
      </w:r>
    </w:p>
    <w:p>
      <w:pPr>
        <w:pStyle w:val="Normal"/>
      </w:pPr>
      <w:r>
        <w:rPr>
          <w:rFonts w:ascii="Calibri" w:hAnsi="Calibri" w:eastAsia="Microsoft YaHei" w:cs="Calibri"/>
          <w:color w:val="1F2E38"/>
          <w:sz w:val="22"/>
          <w:szCs w:val="22"/>
          <w:b/>
        </w:rPr>
        <w:t xml:space="preserve">What can I do? </w:t>
        <w:t>Buy Canadian where a substitute exists, check the Trade Diversification Dashboard for progress, and treat the conflict as what it is: a bridge to a more resilient economy, not a permanent condition.</w:t>
      </w:r>
    </w:p>
    <w:p>
      <w:pPr>
        <w:pStyle w:val="Heading2"/>
      </w:pPr>
      <w:r>
        <w:rPr>
          <w:rFonts w:ascii="Calibri" w:hAnsi="Calibri" w:eastAsia="Microsoft YaHei" w:cs="Calibri"/>
          <w:b/>
          <w:color w:val="1F2E38"/>
          <w:sz w:val="25"/>
          <w:szCs w:val="30"/>
        </w:rPr>
        <w:t>Legal Defence Pre-Positioning</w:t>
      </w:r>
    </w:p>
    <w:p>
      <w:pPr>
        <w:pStyle w:val="Normal"/>
      </w:pPr>
      <w:r>
        <w:rPr>
          <w:rFonts w:ascii="Calibri" w:hAnsi="Calibri" w:eastAsia="Microsoft YaHei" w:cs="Calibri"/>
          <w:color w:val="1F2E38"/>
          <w:sz w:val="19"/>
          <w:szCs w:val="22"/>
          <w:b/>
        </w:rPr>
        <w:t>The United States may challenge the countermeasures under CUSMA or at the WTO. The defence is drafted before the first activation, not after the first complaint, and rests on three limbs. First, breach: the United States violated Article 2.4 of CUSMA by raising duties on originating goods without exception, as documented in Part II; a party in material breach is poorly positioned to invoke the agreement against a proportionate reply. Second, proportionality: the measures are dollar-for-dollar, published, reversible, and keyed to verified removal, which satisfies the proportionality requirements for lawful countermeasures under the international law of state responsibility. Third, security: where a panel reaches the question, the measures are defensible under the essential security exception of Article 32.2, read consistently with the WTO security-exception jurisprudence that panels, not parties, judge good faith.</w:t>
      </w:r>
    </w:p>
    <w:p>
      <w:pPr>
        <w:pStyle w:val="Normal"/>
      </w:pPr>
      <w:r>
        <w:rPr>
          <w:rFonts w:ascii="Calibri" w:hAnsi="Calibri" w:eastAsia="Microsoft YaHei" w:cs="Calibri"/>
          <w:color w:val="1F2E38"/>
          <w:sz w:val="19"/>
          <w:szCs w:val="22"/>
          <w:b/>
        </w:rPr>
        <w:t>Every instrument therefore publishes with its legal justification at promulgation, preserving the Chapter 31 record from day one; every remission decision, rate re-designation, and phase movement is Gazetted with reasons; and the trigger matrix doubles as the proportionality ledger, showing that each Canadian move maps to a specific, verified American action. The objective is not merely to win a dispute three years from now but to make the U.S. Trade Representative’s office advise against filing at all.</w:t>
      </w:r>
    </w:p>
    <w:p>
      <w:pPr>
        <w:pStyle w:val="Heading2"/>
      </w:pPr>
      <w:r>
        <w:rPr>
          <w:rFonts w:ascii="Calibri" w:hAnsi="Calibri" w:eastAsia="Microsoft YaHei" w:cs="Calibri"/>
          <w:b/>
          <w:color w:val="1F2E38"/>
          <w:sz w:val="25"/>
          <w:szCs w:val="30"/>
        </w:rPr>
        <w:t>Red-State Targeting Matrix</w:t>
      </w:r>
    </w:p>
    <w:p>
      <w:pPr>
        <w:pStyle w:val="Normal"/>
      </w:pPr>
      <w:r>
        <w:rPr>
          <w:rFonts w:ascii="Calibri" w:hAnsi="Calibri" w:eastAsia="Microsoft YaHei" w:cs="Calibri"/>
          <w:color w:val="1F2E38"/>
          <w:sz w:val="19"/>
          <w:szCs w:val="22"/>
          <w:b/>
        </w:rPr>
        <w:t>The eight states identified by Premier Ford are formalized as a standing targeting matrix, drawn directly from the Part X schedule’s state-of-origin attributions. It is the reference table for the state-level media playbook and for the War Cabinet’s weekly trigger review. Concentration is deliberate: Texas, Missouri, Wisconsin, and Florida carry the dollar weight, while Arkansas and Iowa carry outsized symbolic value in the farm belt.</w:t>
      </w:r>
    </w:p>
    <w:tbl>
      <w:tblPr>
        <w:tblW w:w="0" w:type="auto"/>
      </w:tblPr>
      <w:tblGrid>
        <w:gridCol w:w="2256"/>
        <w:gridCol w:w="2256"/>
        <w:gridCol w:w="2256"/>
        <w:gridCol w:w="2258"/>
      </w:tblGrid>
      <w:tr>
        <w:tc>
          <w:tcPr>
            <w:tcW w:w="2256" w:type="dxa"/>
            <w:shd w:val="clear" w:color="auto" w:fill="E9EFF2"/>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State</w:t>
            </w:r>
          </w:p>
        </w:tc>
        <w:tc>
          <w:tcPr>
            <w:tcW w:w="2256" w:type="dxa"/>
            <w:shd w:val="clear" w:color="auto" w:fill="E9EFF2"/>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Tariff lines</w:t>
            </w:r>
          </w:p>
        </w:tc>
        <w:tc>
          <w:tcPr>
            <w:tcW w:w="2256" w:type="dxa"/>
            <w:shd w:val="clear" w:color="auto" w:fill="E9EFF2"/>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Trade value (US$M/yr)</w:t>
            </w:r>
          </w:p>
        </w:tc>
        <w:tc>
          <w:tcPr>
            <w:tcW w:w="2258" w:type="dxa"/>
            <w:shd w:val="clear" w:color="auto" w:fill="E9EFF2"/>
            <w:tcBorders>
              <w:bottom w:val="single" w:space="0"/>
            </w:tcBorders>
          </w:tcPr>
          <w:p>
            <w:pPr>
              <w:pStyle w:val="Normal"/>
              <w:spacing w:before="10" w:after="10" w:line="240" w:lineRule="auto"/>
              <w:jc w:val="left"/>
            </w:pPr>
            <w:r>
              <w:rPr>
                <w:b/>
                <w:color w:val="2F4858"/>
                <w:sz w:val="16"/>
                <w:rFonts w:ascii="Calibri" w:hAnsi="Calibri" w:eastAsia="Microsoft YaHei" w:cs="Calibri"/>
                <w:szCs w:val="19"/>
              </w:rPr>
              <w:t>Representative exposure</w:t>
            </w:r>
          </w:p>
        </w:tc>
      </w:tr>
      <w:tr>
        <w:trPr>
          <w:cantSplit w:val="1"/>
        </w:trPr>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Texas</w:t>
            </w:r>
          </w:p>
        </w:tc>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115</w:t>
            </w:r>
          </w:p>
        </w:tc>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3,199.0</w:t>
            </w:r>
          </w:p>
        </w:tc>
        <w:tc>
          <w:tcPr>
            <w:tcW w:w="2258"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Refined fuels (CT-001), organic chemicals, carbon products; anchors Category A and runs through Categories D, E, and Q</w:t>
            </w:r>
          </w:p>
        </w:tc>
      </w:tr>
      <w:tr>
        <w:trPr>
          <w:cantSplit w:val="1"/>
        </w:trPr>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Missouri</w:t>
            </w:r>
          </w:p>
        </w:tc>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24</w:t>
            </w:r>
          </w:p>
        </w:tc>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4,571.9</w:t>
            </w:r>
          </w:p>
        </w:tc>
        <w:tc>
          <w:tcPr>
            <w:tcW w:w="2258"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Transportation equipment, chemicals, and machinery (CT-031 to CT-033), the heaviest per-line concentration in the schedule</w:t>
            </w:r>
          </w:p>
        </w:tc>
      </w:tr>
      <w:tr>
        <w:trPr>
          <w:cantSplit w:val="1"/>
        </w:trPr>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Wisconsin</w:t>
            </w:r>
          </w:p>
        </w:tc>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52</w:t>
            </w:r>
          </w:p>
        </w:tc>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927.7</w:t>
            </w:r>
          </w:p>
        </w:tc>
        <w:tc>
          <w:tcPr>
            <w:tcW w:w="2258"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Kitchen and household articles, garbage disposals, and Kohler plumbing fixtures (CT-017 to CT-021; Categories C and H)</w:t>
            </w:r>
          </w:p>
        </w:tc>
      </w:tr>
      <w:tr>
        <w:trPr>
          <w:cantSplit w:val="1"/>
        </w:trPr>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Florida</w:t>
            </w:r>
          </w:p>
        </w:tc>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61</w:t>
            </w:r>
          </w:p>
        </w:tc>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615.5</w:t>
            </w:r>
          </w:p>
        </w:tc>
        <w:tc>
          <w:tcPr>
            <w:tcW w:w="2258"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Fresh cranberries, bottled gin and rum, citrus and consumer goods (CT-011 to CT-016; Categories F and beyond)</w:t>
            </w:r>
          </w:p>
        </w:tc>
      </w:tr>
      <w:tr>
        <w:trPr>
          <w:cantSplit w:val="1"/>
        </w:trPr>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Montana</w:t>
            </w:r>
          </w:p>
        </w:tc>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14</w:t>
            </w:r>
          </w:p>
        </w:tc>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494.0</w:t>
            </w:r>
          </w:p>
        </w:tc>
        <w:tc>
          <w:tcPr>
            <w:tcW w:w="2258"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Distillate fuels, bituminous mixtures, and fireworks (CT-056 and decadal anchors in Category B)</w:t>
            </w:r>
          </w:p>
        </w:tc>
      </w:tr>
      <w:tr>
        <w:trPr>
          <w:cantSplit w:val="1"/>
        </w:trPr>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Alabama</w:t>
            </w:r>
          </w:p>
        </w:tc>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11</w:t>
            </w:r>
          </w:p>
        </w:tc>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372.5</w:t>
            </w:r>
          </w:p>
        </w:tc>
        <w:tc>
          <w:tcPr>
            <w:tcW w:w="2258"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Fire-extinguishing grenades, coal briquettes, and calcined petroleum coke (CT-039 and Category B anchors)</w:t>
            </w:r>
          </w:p>
        </w:tc>
      </w:tr>
      <w:tr>
        <w:trPr>
          <w:cantSplit w:val="1"/>
        </w:trPr>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Arkansas</w:t>
            </w:r>
          </w:p>
        </w:tc>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1</w:t>
            </w:r>
          </w:p>
        </w:tc>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0.5</w:t>
            </w:r>
          </w:p>
        </w:tc>
        <w:tc>
          <w:tcPr>
            <w:tcW w:w="2258"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Milled long-grain rice (CT-050), the signature farm-belt line</w:t>
            </w:r>
          </w:p>
        </w:tc>
      </w:tr>
      <w:tr>
        <w:trPr>
          <w:cantSplit w:val="1"/>
        </w:trPr>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Iowa</w:t>
            </w:r>
          </w:p>
        </w:tc>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1</w:t>
            </w:r>
          </w:p>
        </w:tc>
        <w:tc>
          <w:tcPr>
            <w:tcW w:w="2256"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0.5</w:t>
            </w:r>
          </w:p>
        </w:tc>
        <w:tc>
          <w:tcPr>
            <w:tcW w:w="2258" w:type="dxa"/>
            <w:tcBorders>
              <w:bottom w:val="single" w:space="0"/>
            </w:tcBorders>
          </w:tcPr>
          <w:p>
            <w:pPr>
              <w:pStyle w:val="Normal"/>
              <w:spacing w:before="10" w:after="10" w:line="240" w:lineRule="auto"/>
              <w:jc w:val="left"/>
            </w:pPr>
            <w:r>
              <w:rPr>
                <w:b/>
                <w:color w:val="1F2E38"/>
                <w:sz w:val="16"/>
                <w:rFonts w:ascii="Calibri" w:hAnsi="Calibri" w:eastAsia="Microsoft YaHei" w:cs="Calibri"/>
                <w:szCs w:val="19"/>
              </w:rPr>
              <w:t>Pork and corn products (CT-045), paired with Category A ethanol-adjacent flows</w:t>
            </w:r>
          </w:p>
        </w:tc>
      </w:tr>
    </w:tbl>
    <w:p>
      <w:pPr>
        <w:pStyle w:val="Normal"/>
      </w:pPr>
      <w:r>
        <w:rPr>
          <w:rFonts w:ascii="Calibri" w:hAnsi="Calibri" w:eastAsia="Microsoft YaHei" w:cs="Calibri"/>
          <w:color w:val="1F2E38"/>
          <w:sz w:val="19"/>
          <w:szCs w:val="22"/>
          <w:b/>
        </w:rPr>
        <w:t>Beyond the eight, the schedule maintains sustained secondary pressure on Kentucky (47 lines, including the bourbon classes CT-244 to CT-258), Tennessee (77 lines, including the Tennessee whiskey classes CT-259 to CT-266), Indiana (32 lines, including recreational vehicles and kitchen manufacturing), Georgia, South Carolina, Ohio, and Pennsylvania, so that no plausible 2026 Senate map is untouched. The matrix is reviewed quarterly against the real-time trade analytics and updated as trade flows reroute.</w:t>
      </w:r>
    </w:p>
    <w:p>
      <w:pPr>
        <w:pStyle w:val="Normal"/>
      </w:pPr>
      <w:r>
        <w:rPr>
          <w:rFonts w:ascii="Calibri" w:hAnsi="Calibri" w:eastAsia="Microsoft YaHei" w:cs="Calibri"/>
          <w:color w:val="1F2E38"/>
          <w:sz w:val="19"/>
          <w:szCs w:val="22"/>
          <w:b/>
        </w:rPr>
        <w:t>With the schedule, the ladder, the off-ramps, the silent companion track, and these hardening protocols in place, the package is complete: lawful, proportional, reversible, and designed to be won rather than merely fought.</w:t>
      </w:r>
    </w:p>
    <w:p>
      <w:pPr>
        <w:pStyle w:val="Heading1"/>
      </w:pPr>
      <w:r>
        <w:rPr>
          <w:rFonts w:ascii="Calibri" w:hAnsi="Calibri" w:eastAsia="Microsoft YaHei" w:cs="Calibri"/>
          <w:b/>
          <w:color w:val="2F4858"/>
          <w:sz w:val="40"/>
          <w:szCs w:val="40"/>
        </w:rPr>
        <w:t>Appendix: Sources and Data Notes</w:t>
      </w:r>
    </w:p>
    <w:p>
      <w:pPr>
        <w:pStyle w:val="Normal"/>
      </w:pPr>
      <w:r>
        <w:rPr>
          <w:rFonts w:ascii="Calibri" w:hAnsi="Calibri" w:eastAsia="Microsoft YaHei" w:cs="Calibri"/>
          <w:color w:val="1F2E38"/>
          <w:sz w:val="22"/>
          <w:szCs w:val="22"/>
        </w:rPr>
        <w:t>This guide draws on the following public sources, consulted August 23 to 26, 2026. Figures use the most recent full-year data available (2025 unless noted); where series disagree, the text flags both values.</w:t>
      </w:r>
    </w:p>
    <w:p>
      <w:pPr>
        <w:pStyle w:val="Normal"/>
        <w:numPr>
          <w:ilvl w:val="0"/>
          <w:numId w:val="1"/>
        </w:numPr>
        <w:spacing w:after="80" w:line="270" w:lineRule="auto"/>
      </w:pPr>
      <w:r>
        <w:rPr>
          <w:rFonts w:ascii="Calibri" w:hAnsi="Calibri" w:eastAsia="Microsoft YaHei" w:cs="Calibri"/>
          <w:color w:val="1F2E38"/>
          <w:sz w:val="22"/>
          <w:szCs w:val="22"/>
        </w:rPr>
        <w:t>Associated Press live coverage, August 25 to 26, 2026: Canada's retaliatory tariff announcement, product scope, effective dates, and political reactions.</w:t>
      </w:r>
    </w:p>
    <w:p>
      <w:pPr>
        <w:pStyle w:val="Normal"/>
        <w:numPr>
          <w:ilvl w:val="0"/>
          <w:numId w:val="1"/>
        </w:numPr>
        <w:spacing w:after="80" w:line="270" w:lineRule="auto"/>
      </w:pPr>
      <w:r>
        <w:rPr>
          <w:rFonts w:ascii="Calibri" w:hAnsi="Calibri" w:eastAsia="Microsoft YaHei" w:cs="Calibri"/>
          <w:color w:val="1F2E38"/>
          <w:sz w:val="22"/>
          <w:szCs w:val="22"/>
        </w:rPr>
        <w:t>U.S. News and World Report, August 25, 2026: The Escalating U.S.-Canada Trade War.</w:t>
      </w:r>
    </w:p>
    <w:p>
      <w:pPr>
        <w:pStyle w:val="Normal"/>
        <w:numPr>
          <w:ilvl w:val="0"/>
          <w:numId w:val="1"/>
        </w:numPr>
        <w:spacing w:after="80" w:line="270" w:lineRule="auto"/>
      </w:pPr>
      <w:r>
        <w:rPr>
          <w:rFonts w:ascii="Calibri" w:hAnsi="Calibri" w:eastAsia="Microsoft YaHei" w:cs="Calibri"/>
          <w:color w:val="1F2E38"/>
          <w:sz w:val="22"/>
          <w:szCs w:val="22"/>
        </w:rPr>
        <w:t>The Globe and Mail, August 25, 2026: Ottawa's C$27.6 billion countertariff package and support measures.</w:t>
      </w:r>
    </w:p>
    <w:p>
      <w:pPr>
        <w:pStyle w:val="Normal"/>
        <w:numPr>
          <w:ilvl w:val="0"/>
          <w:numId w:val="1"/>
        </w:numPr>
        <w:spacing w:after="80" w:line="270" w:lineRule="auto"/>
      </w:pPr>
      <w:r>
        <w:rPr>
          <w:rFonts w:ascii="Calibri" w:hAnsi="Calibri" w:eastAsia="Microsoft YaHei" w:cs="Calibri"/>
          <w:color w:val="1F2E38"/>
          <w:sz w:val="22"/>
          <w:szCs w:val="22"/>
        </w:rPr>
        <w:t>NBC News, August 25, 2026: Trump's threatened 50% tariffs on Canadian cars, trucks, parts, and steel from January 1, 2027.</w:t>
      </w:r>
    </w:p>
    <w:p>
      <w:pPr>
        <w:pStyle w:val="Normal"/>
        <w:numPr>
          <w:ilvl w:val="0"/>
          <w:numId w:val="1"/>
        </w:numPr>
        <w:spacing w:after="80" w:line="270" w:lineRule="auto"/>
      </w:pPr>
      <w:r>
        <w:rPr>
          <w:rFonts w:ascii="Calibri" w:hAnsi="Calibri" w:eastAsia="Microsoft YaHei" w:cs="Calibri"/>
          <w:color w:val="1F2E38"/>
          <w:sz w:val="22"/>
          <w:szCs w:val="22"/>
        </w:rPr>
        <w:t>Fox Business, August 24, 2026: presidential statement text and negotiation collapse details.</w:t>
      </w:r>
    </w:p>
    <w:p>
      <w:pPr>
        <w:pStyle w:val="Normal"/>
        <w:numPr>
          <w:ilvl w:val="0"/>
          <w:numId w:val="1"/>
        </w:numPr>
        <w:spacing w:after="80" w:line="270" w:lineRule="auto"/>
      </w:pPr>
      <w:r>
        <w:rPr>
          <w:rFonts w:ascii="Calibri" w:hAnsi="Calibri" w:eastAsia="Microsoft YaHei" w:cs="Calibri"/>
          <w:color w:val="1F2E38"/>
          <w:sz w:val="22"/>
          <w:szCs w:val="22"/>
        </w:rPr>
        <w:t>PBS NewsHour / AP, August 23, 2026: scope of the Section 338 tariffs and affected goods.</w:t>
      </w:r>
    </w:p>
    <w:p>
      <w:pPr>
        <w:pStyle w:val="Normal"/>
        <w:numPr>
          <w:ilvl w:val="0"/>
          <w:numId w:val="1"/>
        </w:numPr>
        <w:spacing w:after="80" w:line="270" w:lineRule="auto"/>
      </w:pPr>
      <w:r>
        <w:rPr>
          <w:rFonts w:ascii="Calibri" w:hAnsi="Calibri" w:eastAsia="Microsoft YaHei" w:cs="Calibri"/>
          <w:color w:val="1F2E38"/>
          <w:sz w:val="22"/>
          <w:szCs w:val="22"/>
        </w:rPr>
        <w:t>The Washington Post, August 22 to 23, 2026: tariff implementation and Canadian response.</w:t>
      </w:r>
    </w:p>
    <w:p>
      <w:pPr>
        <w:pStyle w:val="Normal"/>
        <w:numPr>
          <w:ilvl w:val="0"/>
          <w:numId w:val="1"/>
        </w:numPr>
        <w:spacing w:after="80" w:line="270" w:lineRule="auto"/>
      </w:pPr>
      <w:r>
        <w:rPr>
          <w:rFonts w:ascii="Calibri" w:hAnsi="Calibri" w:eastAsia="Microsoft YaHei" w:cs="Calibri"/>
          <w:color w:val="1F2E38"/>
          <w:sz w:val="22"/>
          <w:szCs w:val="22"/>
        </w:rPr>
        <w:t>Newsweek, August 23, 2026: the Ford letter and state-level export exposure data for Alabama, Arkansas, Florida, Iowa, Missouri, Montana, Texas, and Wisconsin.</w:t>
      </w:r>
    </w:p>
    <w:p>
      <w:pPr>
        <w:pStyle w:val="Normal"/>
        <w:numPr>
          <w:ilvl w:val="0"/>
          <w:numId w:val="1"/>
        </w:numPr>
        <w:spacing w:after="80" w:line="270" w:lineRule="auto"/>
      </w:pPr>
      <w:r>
        <w:rPr>
          <w:rFonts w:ascii="Calibri" w:hAnsi="Calibri" w:eastAsia="Microsoft YaHei" w:cs="Calibri"/>
          <w:color w:val="1F2E38"/>
          <w:sz w:val="22"/>
          <w:szCs w:val="22"/>
        </w:rPr>
        <w:t>White House fact sheet, July 20, 2026: Section 338 proclamation scope and exemptions.</w:t>
      </w:r>
    </w:p>
    <w:p>
      <w:pPr>
        <w:pStyle w:val="Normal"/>
        <w:numPr>
          <w:ilvl w:val="0"/>
          <w:numId w:val="1"/>
        </w:numPr>
        <w:spacing w:after="80" w:line="270" w:lineRule="auto"/>
      </w:pPr>
      <w:r>
        <w:rPr>
          <w:rFonts w:ascii="Calibri" w:hAnsi="Calibri" w:eastAsia="Microsoft YaHei" w:cs="Calibri"/>
          <w:color w:val="1F2E38"/>
          <w:sz w:val="22"/>
          <w:szCs w:val="22"/>
        </w:rPr>
        <w:t>Wikipedia (2025-2026 United States trade war with Canada and Mexico), consolidated timeline with primary citations to Reuters, The New York Times, CBC, Politico, and The Wall Street Journal.</w:t>
      </w:r>
    </w:p>
    <w:p>
      <w:pPr>
        <w:pStyle w:val="Normal"/>
        <w:numPr>
          <w:ilvl w:val="0"/>
          <w:numId w:val="1"/>
        </w:numPr>
        <w:spacing w:after="80" w:line="270" w:lineRule="auto"/>
      </w:pPr>
      <w:r>
        <w:rPr>
          <w:rFonts w:ascii="Calibri" w:hAnsi="Calibri" w:eastAsia="Microsoft YaHei" w:cs="Calibri"/>
          <w:color w:val="1F2E38"/>
          <w:sz w:val="22"/>
          <w:szCs w:val="22"/>
        </w:rPr>
        <w:t>USTR: United States-Mexico-Canada Agreement text (Chapters 2, 3, 4, 10, 31, 32, 34 and side letters); USTR Canada trade summary 2025.</w:t>
      </w:r>
    </w:p>
    <w:p>
      <w:pPr>
        <w:pStyle w:val="Normal"/>
        <w:numPr>
          <w:ilvl w:val="0"/>
          <w:numId w:val="1"/>
        </w:numPr>
        <w:spacing w:after="80" w:line="270" w:lineRule="auto"/>
      </w:pPr>
      <w:r>
        <w:rPr>
          <w:rFonts w:ascii="Calibri" w:hAnsi="Calibri" w:eastAsia="Microsoft YaHei" w:cs="Calibri"/>
          <w:color w:val="1F2E38"/>
          <w:sz w:val="22"/>
          <w:szCs w:val="22"/>
        </w:rPr>
        <w:t>Global Affairs Canada: CUSMA economic impact assessment; Office of the Chief Economist, 2025 merchandise trade highlights.</w:t>
      </w:r>
    </w:p>
    <w:p>
      <w:pPr>
        <w:pStyle w:val="Normal"/>
        <w:numPr>
          <w:ilvl w:val="0"/>
          <w:numId w:val="1"/>
        </w:numPr>
        <w:spacing w:after="80" w:line="270" w:lineRule="auto"/>
      </w:pPr>
      <w:r>
        <w:rPr>
          <w:rFonts w:ascii="Calibri" w:hAnsi="Calibri" w:eastAsia="Microsoft YaHei" w:cs="Calibri"/>
          <w:color w:val="1F2E38"/>
          <w:sz w:val="22"/>
          <w:szCs w:val="22"/>
        </w:rPr>
        <w:t>UN COMTRADE via Trading Economics: bilateral product-level trade values, 2025.</w:t>
      </w:r>
    </w:p>
    <w:p>
      <w:pPr>
        <w:pStyle w:val="Normal"/>
        <w:numPr>
          <w:ilvl w:val="0"/>
          <w:numId w:val="1"/>
        </w:numPr>
        <w:spacing w:after="80" w:line="270" w:lineRule="auto"/>
      </w:pPr>
      <w:r>
        <w:rPr>
          <w:rFonts w:ascii="Calibri" w:hAnsi="Calibri" w:eastAsia="Microsoft YaHei" w:cs="Calibri"/>
          <w:color w:val="1F2E38"/>
          <w:sz w:val="22"/>
          <w:szCs w:val="22"/>
        </w:rPr>
        <w:t>USAFacts / U.S. Bureau of Economic Analysis: 2025 goods and services trade balances by category.</w:t>
      </w:r>
    </w:p>
    <w:p>
      <w:pPr>
        <w:pStyle w:val="Normal"/>
        <w:numPr>
          <w:ilvl w:val="0"/>
          <w:numId w:val="1"/>
        </w:numPr>
        <w:spacing w:after="80" w:line="270" w:lineRule="auto"/>
      </w:pPr>
      <w:r>
        <w:rPr>
          <w:rFonts w:ascii="Calibri" w:hAnsi="Calibri" w:eastAsia="Microsoft YaHei" w:cs="Calibri"/>
          <w:color w:val="1F2E38"/>
          <w:sz w:val="22"/>
          <w:szCs w:val="22"/>
        </w:rPr>
        <w:t>Natural Resources Canada: Minerals and the economy (2024 production values, global rankings, critical minerals list).</w:t>
      </w:r>
    </w:p>
    <w:p>
      <w:pPr>
        <w:pStyle w:val="Normal"/>
        <w:numPr>
          <w:ilvl w:val="0"/>
          <w:numId w:val="1"/>
        </w:numPr>
        <w:spacing w:after="80" w:line="270" w:lineRule="auto"/>
      </w:pPr>
      <w:r>
        <w:rPr>
          <w:rFonts w:ascii="Calibri" w:hAnsi="Calibri" w:eastAsia="Microsoft YaHei" w:cs="Calibri"/>
          <w:color w:val="1F2E38"/>
          <w:sz w:val="22"/>
          <w:szCs w:val="22"/>
        </w:rPr>
        <w:t>U.S. Geological Survey: final 2025 List of Critical Minerals.</w:t>
      </w:r>
    </w:p>
    <w:p>
      <w:pPr>
        <w:pStyle w:val="Normal"/>
        <w:numPr>
          <w:ilvl w:val="0"/>
          <w:numId w:val="1"/>
        </w:numPr>
        <w:spacing w:after="80" w:line="270" w:lineRule="auto"/>
      </w:pPr>
      <w:r>
        <w:rPr>
          <w:rFonts w:ascii="Calibri" w:hAnsi="Calibri" w:eastAsia="Microsoft YaHei" w:cs="Calibri"/>
          <w:color w:val="1F2E38"/>
          <w:sz w:val="22"/>
          <w:szCs w:val="22"/>
        </w:rPr>
        <w:t>U.S. Energy Information Administration uranium delivery shares for 2025, as reported August 2026.</w:t>
      </w:r>
    </w:p>
    <w:p>
      <w:pPr>
        <w:pStyle w:val="Normal"/>
        <w:numPr>
          <w:ilvl w:val="0"/>
          <w:numId w:val="1"/>
        </w:numPr>
        <w:spacing w:after="80" w:line="270" w:lineRule="auto"/>
      </w:pPr>
      <w:r>
        <w:rPr>
          <w:rFonts w:ascii="Calibri" w:hAnsi="Calibri" w:eastAsia="Microsoft YaHei" w:cs="Calibri"/>
          <w:color w:val="1F2E38"/>
          <w:sz w:val="22"/>
          <w:szCs w:val="22"/>
        </w:rPr>
        <w:t>CSIS, Brookings, White and Case, Baker McKenzie, and Prodensa analyses of the Article 34.7 joint review.</w:t>
      </w:r>
    </w:p>
    <w:p>
      <w:pPr>
        <w:pStyle w:val="Normal"/>
        <w:numPr>
          <w:ilvl w:val="0"/>
          <w:numId w:val="1"/>
        </w:numPr>
        <w:spacing w:after="80" w:line="270" w:lineRule="auto"/>
      </w:pPr>
      <w:r>
        <w:rPr>
          <w:rFonts w:ascii="Calibri" w:hAnsi="Calibri" w:eastAsia="Microsoft YaHei" w:cs="Calibri"/>
          <w:color w:val="1F2E38"/>
          <w:sz w:val="22"/>
          <w:szCs w:val="22"/>
        </w:rPr>
        <w:t>Politico, February 3, 2025: Canada's first-round retaliation list and Republican-state targeting logic.</w:t>
      </w:r>
    </w:p>
    <w:p>
      <w:pPr>
        <w:pStyle w:val="Normal"/>
        <w:numPr>
          <w:ilvl w:val="0"/>
          <w:numId w:val="1"/>
        </w:numPr>
        <w:spacing w:after="80" w:line="270" w:lineRule="auto"/>
      </w:pPr>
      <w:r>
        <w:rPr>
          <w:rFonts w:ascii="Calibri" w:hAnsi="Calibri" w:eastAsia="Microsoft YaHei" w:cs="Calibri"/>
          <w:color w:val="1F2E38"/>
          <w:sz w:val="22"/>
          <w:szCs w:val="22"/>
        </w:rPr>
        <w:t>Progressive Policy Institute: state export market rankings (Canada as top market for 36 states).</w:t>
      </w:r>
    </w:p>
    <w:p>
      <w:pPr>
        <w:pStyle w:val="Normal"/>
        <w:numPr>
          <w:ilvl w:val="0"/>
          <w:numId w:val="1"/>
        </w:numPr>
        <w:spacing w:after="80" w:line="270" w:lineRule="auto"/>
      </w:pPr>
      <w:r>
        <w:rPr>
          <w:rFonts w:ascii="Calibri" w:hAnsi="Calibri" w:eastAsia="Microsoft YaHei" w:cs="Calibri"/>
          <w:color w:val="1F2E38"/>
          <w:sz w:val="22"/>
          <w:szCs w:val="22"/>
        </w:rPr>
        <w:t>University of Wisconsin Extension: U.S.-Canada dairy trade agreements review and Chapter 31 panel history.</w:t>
      </w:r>
    </w:p>
    <w:p>
      <w:pPr>
        <w:pStyle w:val="Normal"/>
      </w:pPr>
      <w:r>
        <w:rPr>
          <w:rFonts w:ascii="Calibri" w:hAnsi="Calibri" w:eastAsia="Microsoft YaHei" w:cs="Calibri"/>
          <w:color w:val="1F2E38"/>
          <w:sz w:val="22"/>
          <w:szCs w:val="22"/>
        </w:rPr>
        <w:t>Data note: Canadian dollar figures follow the announcing sources; U.S. dollar figures follow COMTRADE or USTR series. Product-level values use two-digit Harmonized System categories, so individual measures list approximate exposure rather than line-item precision. Final regulatory drafting assigns eight-digit tariff items before any order in council. Part X data note: the 800-line schedule draws its product research from the internal product dossier (lyst.txt working file), state trade office export series, and U.S. Census state export data; line values are planning estimates calibrated to a US$27.6 billion aggregate on a 2025 basis; tariff item numbers are working eight-digit assignments and must be verified against the Schedule to the Customs Tariff before promulgation, consistent with the class-based design required by section 53 of the Customs Tariff.</w:t>
      </w:r>
    </w:p>
    <w:p>
      <w:pPr>
        <w:pStyle w:val="Normal"/>
        <w:numPr>
          <w:ilvl w:val="0"/>
          <w:numId w:val="1"/>
        </w:numPr>
        <w:spacing w:after="80" w:line="270" w:lineRule="auto"/>
      </w:pPr>
      <w:r>
        <w:rPr>
          <w:rFonts w:ascii="Calibri" w:hAnsi="Calibri" w:eastAsia="Microsoft YaHei" w:cs="Calibri"/>
          <w:color w:val="1F2E38"/>
          <w:sz w:val="19"/>
          <w:szCs w:val="22"/>
          <w:b/>
        </w:rPr>
        <w:t>Part XI data note: the hardening protocols reference three companion volumes prepared for the same series — the Strategic Compliance and Structural Leverage Framework (SCSLF) v1.0, the Regulatory Enforcement and Compliance Modernization Initiative (RECMI) v1.0, and the Strategic Revenue Modernization and Fiscal Resilience Initiative (SRM-FRI) v1.0 — whose scopes (457 compliance measures, 470 proposed statutes, and 415 revenue measures respectively) are summarized from those documents. Forward-looking figures in Part XI (diversification capacity, CPI estimates, revenue projections) are planning estimates on a 2025 basis and are flagged as such in the text.</w:t>
      </w:r>
    </w:p>
    <w:sectPr>
      <w:headerReference w:type="default" r:id="R18ac3ed31b774b2e"/>
      <w:footerReference w:type="default" r:id="R12046467c31d43cc"/>
      <w:pgSz w:w="11906" w:h="16838"/>
      <w:pgMar w:top="1440" w:right="1440" w:bottom="1440" w:left="1440" w:header="720" w:footer="720"/>
    </w:sectPr>
  </w:body>
</w:document>
</file>

<file path=word/footer1.xml><?xml version="1.0" encoding="utf-8"?>
<w:ftr xmlns:w="http://schemas.openxmlformats.org/wordprocessingml/2006/main">
  <w:p>
    <w:pPr>
      <w:pBdr>
        <w:top w:val="single" w:color="CBD8DE" w:sz="4" w:space="4"/>
      </w:pBdr>
      <w:jc w:val="center"/>
    </w:pPr>
    <w:r>
      <w:rPr>
        <w:color w:val="55707F"/>
        <w:sz w:val="17"/>
      </w:rPr>
      <w:fldChar w:fldCharType="begin"/>
    </w:r>
    <w:r>
      <w:rPr>
        <w:color w:val="55707F"/>
        <w:sz w:val="17"/>
      </w:rPr>
      <w:instrText xml:space="preserve"> PAGE </w:instrText>
    </w:r>
    <w:r>
      <w:rPr>
        <w:color w:val="55707F"/>
        <w:sz w:val="17"/>
      </w:rPr>
      <w:fldChar w:fldCharType="separate"/>
    </w:r>
    <w:r>
      <w:rPr>
        <w:color w:val="55707F"/>
        <w:sz w:val="17"/>
      </w:rPr>
      <w:t>1</w:t>
    </w:r>
    <w:r>
      <w:rPr>
        <w:color w:val="55707F"/>
        <w:sz w:val="17"/>
      </w:rPr>
      <w:fldChar w:fldCharType="end"/>
    </w:r>
    <w:r>
      <w:rPr>
        <w:color w:val="55707F"/>
        <w:sz w:val="17"/>
      </w:rPr>
      <w:t xml:space="preserve"> of </w:t>
    </w:r>
    <w:r>
      <w:rPr>
        <w:color w:val="55707F"/>
        <w:sz w:val="17"/>
      </w:rPr>
      <w:fldChar w:fldCharType="begin"/>
    </w:r>
    <w:r>
      <w:rPr>
        <w:color w:val="55707F"/>
        <w:sz w:val="17"/>
      </w:rPr>
      <w:instrText xml:space="preserve"> NUMPAGES </w:instrText>
    </w:r>
    <w:r>
      <w:rPr>
        <w:color w:val="55707F"/>
        <w:sz w:val="17"/>
      </w:rPr>
      <w:fldChar w:fldCharType="separate"/>
    </w:r>
    <w:r>
      <w:rPr>
        <w:color w:val="55707F"/>
        <w:sz w:val="17"/>
      </w:rPr>
      <w:t>40</w:t>
    </w:r>
    <w:r>
      <w:rPr>
        <w:color w:val="55707F"/>
        <w:sz w:val="17"/>
      </w:rPr>
      <w:fldChar w:fldCharType="end"/>
    </w:r>
  </w:p>
</w:ftr>
</file>

<file path=word/header1.xml><?xml version="1.0" encoding="utf-8"?>
<w:hdr xmlns:w="http://schemas.openxmlformats.org/wordprocessingml/2006/main">
  <w:p>
    <w:pPr>
      <w:pBdr>
        <w:bottom w:val="single" w:color="CBD8DE" w:sz="4" w:space="4"/>
      </w:pBdr>
      <w:jc w:val="right"/>
    </w:pPr>
    <w:r>
      <w:rPr>
        <w:color w:val="55707F"/>
        <w:sz w:val="17"/>
      </w:rPr>
      <w:t>Canadian Tariff Strategy Guide  |  Office of the Prime Minister</w:t>
    </w:r>
  </w:p>
</w:hdr>
</file>

<file path=word/numbering.xml><?xml version="1.0" encoding="utf-8"?>
<w:numbering xmlns:w="http://schemas.openxmlformats.org/wordprocessingml/2006/main">
  <w:abstractNum w:abstractNumId="1">
    <w:lvl w:ilvl="0">
      <w:numFmt w:val="decimal"/>
      <w:lvlText w:val="%1."/>
      <w:lvlJc w:val="left"/>
      <w:pPr>
        <w:ind w:left="5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40" w:line="280" w:lineRule="auto"/>
      <w:jc w:val="both"/>
    </w:pPr>
    <w:rPr>
      <w:rFonts w:ascii="Calibri" w:hAnsi="Calibri" w:eastAsia="Microsoft YaHei"/>
      <w:color w:val="1F2E38"/>
      <w:sz w:val="22"/>
    </w:rPr>
  </w:style>
  <w:style w:type="paragraph" w:styleId="Heading1">
    <w:name w:val="heading 1"/>
    <w:basedOn w:val="Normal"/>
    <w:pPr>
      <w:keepNext/>
      <w:keepLines/>
      <w:spacing w:before="380" w:after="160"/>
      <w:jc w:val="left"/>
      <w:outlineLvl w:val="0"/>
    </w:pPr>
    <w:rPr>
      <w:rFonts w:ascii="Calibri" w:hAnsi="Calibri" w:eastAsia="Microsoft YaHei"/>
      <w:b/>
      <w:color w:val="2F4858"/>
      <w:sz w:val="40"/>
    </w:rPr>
  </w:style>
  <w:style w:type="paragraph" w:styleId="Heading2">
    <w:name w:val="heading 2"/>
    <w:basedOn w:val="Normal"/>
    <w:pPr>
      <w:keepNext/>
      <w:keepLines/>
      <w:spacing w:before="280" w:after="120"/>
      <w:jc w:val="left"/>
      <w:outlineLvl w:val="1"/>
    </w:pPr>
    <w:rPr>
      <w:rFonts w:ascii="Calibri" w:hAnsi="Calibri" w:eastAsia="Microsoft YaHei"/>
      <w:b/>
      <w:color w:val="2F4858"/>
      <w:sz w:val="30"/>
    </w:rPr>
  </w:style>
  <w:style w:type="paragraph" w:styleId="Heading3">
    <w:name w:val="heading 3"/>
    <w:basedOn w:val="Normal"/>
    <w:pPr>
      <w:keepNext/>
      <w:keepLines/>
      <w:spacing w:before="200" w:after="60"/>
      <w:jc w:val="left"/>
      <w:outlineLvl w:val="2"/>
    </w:pPr>
    <w:rPr>
      <w:rFonts w:ascii="Calibri" w:hAnsi="Calibri" w:eastAsia="Microsoft YaHei"/>
      <w:b/>
      <w:color w:val="1F2E38"/>
      <w:sz w:val="25"/>
    </w:rPr>
  </w:style>
  <w:style w:type="paragraph" w:styleId="Caption">
    <w:name w:val="Caption"/>
    <w:basedOn w:val="Normal"/>
    <w:pPr>
      <w:spacing w:before="40" w:after="200"/>
      <w:jc w:val="center"/>
    </w:pPr>
    <w:rPr>
      <w:color w:val="8AA0AC"/>
      <w:sz w:val="19"/>
    </w:rPr>
  </w:style>
  <w:style w:type="paragraph" w:styleId="TOC1">
    <w:name w:val="toc 1"/>
    <w:basedOn w:val="Normal"/>
    <w:pPr>
      <w:tabs>
        <w:tab w:val="right" w:leader="dot" w:pos="9000"/>
      </w:tabs>
      <w:spacing w:before="100" w:after="20"/>
      <w:ind w:left="0"/>
      <w:jc w:val="left"/>
    </w:pPr>
    <w:rPr>
      <w:b/>
      <w:color w:val="1F2E38"/>
      <w:sz w:val="21"/>
    </w:rPr>
  </w:style>
  <w:style w:type="paragraph" w:styleId="TOC2">
    <w:name w:val="toc 2"/>
    <w:basedOn w:val="Normal"/>
    <w:pPr>
      <w:tabs>
        <w:tab w:val="right" w:leader="dot" w:pos="9000"/>
      </w:tabs>
      <w:spacing w:before="20" w:after="20"/>
      <w:ind w:left="360"/>
      <w:jc w:val="left"/>
    </w:pPr>
    <w:rPr>
      <w:color w:val="55707F"/>
      <w:sz w:val="21"/>
    </w:rPr>
  </w:style>
</w:styles>
</file>

<file path=word/_rels/document.xml.rels><?xml version='1.0' encoding='UTF-8'?>
<Relationships xmlns="http://schemas.openxmlformats.org/package/2006/relationships"><Relationship Id="R12046467c31d43cc" Type="http://schemas.openxmlformats.org/officeDocument/2006/relationships/footer" Target="footer1.xml" /><Relationship Id="R18ac3ed31b774b2e" Type="http://schemas.openxmlformats.org/officeDocument/2006/relationships/header" Target="header1.xml" /><Relationship Id="R44cfc7318fa54d36" Type="http://schemas.openxmlformats.org/officeDocument/2006/relationships/settings" Target="settings.xml" /><Relationship Id="R45dd0f57c7d4472c" Type="http://schemas.openxmlformats.org/officeDocument/2006/relationships/styles" Target="styles.xml" /><Relationship Id="Rb626447a4e044541" Type="http://schemas.openxmlformats.org/officeDocument/2006/relationships/numbering" Target="numbering.xml" /></Relationships>
</file>