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rFonts w:ascii="Aptos Display" w:hAnsi="Aptos Display"/>
          <w:b/>
          <w:sz w:val="50"/>
        </w:rPr>
        <w:t>The Federal-Provincial Trade Conflict Solidarity Protocol</w:t>
      </w:r>
    </w:p>
    <w:p>
      <w:pPr>
        <w:jc w:val="center"/>
      </w:pPr>
      <w:r>
        <w:rPr>
          <w:b/>
          <w:i w:val="0"/>
        </w:rPr>
        <w:t>A Cooperative Framework for Canadian Cohesion During External Trade Conflict</w:t>
      </w:r>
    </w:p>
    <w:p>
      <w:pPr>
        <w:jc w:val="center"/>
      </w:pPr>
      <w:r>
        <w:rPr>
          <w:b w:val="0"/>
          <w:i/>
        </w:rPr>
        <w:t>Consultation • No Surprise • Burden Sharing • Provincial Co-Design • Fair Settlement</w:t>
      </w:r>
    </w:p>
    <w:p>
      <w:pPr>
        <w:spacing w:before="1400"/>
        <w:jc w:val="center"/>
      </w:pPr>
      <w:r>
        <w:rPr>
          <w:b/>
          <w:sz w:val="22"/>
        </w:rPr>
        <w:t>VERSION 1.0 • AUGUST 2026</w:t>
      </w:r>
    </w:p>
    <w:p>
      <w:pPr>
        <w:jc w:val="center"/>
      </w:pPr>
      <w:r>
        <w:rPr>
          <w:b w:val="0"/>
          <w:i w:val="0"/>
        </w:rPr>
        <w:t>Strategic reference framework • Non-binding model protocol • Expert constitutional and legal validation required</w:t>
      </w:r>
    </w:p>
    <w:p>
      <w:pPr>
        <w:jc w:val="center"/>
      </w:pPr>
      <w:r>
        <w:rPr>
          <w:b w:val="0"/>
          <w:i/>
        </w:rPr>
        <w:t>Core rule: Canada does not preserve national unity by threatening its provinces. It preserves unity by making cooperation safer than defection.</w:t>
      </w:r>
    </w:p>
    <w:p>
      <w:r>
        <w:br w:type="page"/>
      </w:r>
    </w:p>
    <w:p>
      <w:pPr>
        <w:pStyle w:val="Heading1"/>
        <w:keepNext/>
        <w:spacing w:before="140" w:after="60"/>
      </w:pPr>
      <w:r>
        <w:t>Contents</w:t>
      </w:r>
    </w:p>
    <w:tbl>
      <w:tblPr>
        <w:tblW w:type="auto" w:w="0"/>
        <w:jc w:val="center"/>
        <w:tblLook w:firstColumn="1" w:firstRow="1" w:lastColumn="0" w:lastRow="0" w:noHBand="0" w:noVBand="1" w:val="04A0"/>
      </w:tblPr>
      <w:tblGrid>
        <w:gridCol w:w="5083"/>
        <w:gridCol w:w="5083"/>
      </w:tblGrid>
      <w:tr>
        <w:tc>
          <w:tcPr>
            <w:tcW w:type="dxa" w:w="5083"/>
          </w:tcPr>
          <w:p>
            <w:pPr>
              <w:spacing w:after="0"/>
            </w:pPr>
            <w:r>
              <w:rPr>
                <w:sz w:val="16"/>
              </w:rPr>
              <w:t>Executive Summary</w:t>
            </w:r>
          </w:p>
        </w:tc>
        <w:tc>
          <w:tcPr>
            <w:tcW w:type="dxa" w:w="5083"/>
          </w:tcPr>
          <w:p>
            <w:pPr>
              <w:spacing w:after="0"/>
              <w:jc w:val="right"/>
            </w:pPr>
            <w:r>
              <w:rPr>
                <w:sz w:val="16"/>
              </w:rPr>
              <w:t>4</w:t>
            </w:r>
          </w:p>
        </w:tc>
      </w:tr>
      <w:tr>
        <w:tc>
          <w:tcPr>
            <w:tcW w:type="dxa" w:w="5083"/>
          </w:tcPr>
          <w:p>
            <w:pPr>
              <w:spacing w:after="0"/>
            </w:pPr>
            <w:r>
              <w:rPr>
                <w:sz w:val="16"/>
              </w:rPr>
              <w:t>1. Purpose, Scope and Status</w:t>
            </w:r>
          </w:p>
        </w:tc>
        <w:tc>
          <w:tcPr>
            <w:tcW w:type="dxa" w:w="5083"/>
          </w:tcPr>
          <w:p>
            <w:pPr>
              <w:spacing w:after="0"/>
              <w:jc w:val="right"/>
            </w:pPr>
            <w:r>
              <w:rPr>
                <w:sz w:val="16"/>
              </w:rPr>
              <w:t>5</w:t>
            </w:r>
          </w:p>
        </w:tc>
      </w:tr>
      <w:tr>
        <w:tc>
          <w:tcPr>
            <w:tcW w:type="dxa" w:w="5083"/>
          </w:tcPr>
          <w:p>
            <w:pPr>
              <w:spacing w:after="0"/>
            </w:pPr>
            <w:r>
              <w:rPr>
                <w:sz w:val="16"/>
              </w:rPr>
              <w:t>2. Constitutional and Intergovernmental Foundations</w:t>
            </w:r>
          </w:p>
        </w:tc>
        <w:tc>
          <w:tcPr>
            <w:tcW w:type="dxa" w:w="5083"/>
          </w:tcPr>
          <w:p>
            <w:pPr>
              <w:spacing w:after="0"/>
              <w:jc w:val="right"/>
            </w:pPr>
            <w:r>
              <w:rPr>
                <w:sz w:val="16"/>
              </w:rPr>
              <w:t>6</w:t>
            </w:r>
          </w:p>
        </w:tc>
      </w:tr>
      <w:tr>
        <w:tc>
          <w:tcPr>
            <w:tcW w:type="dxa" w:w="5083"/>
          </w:tcPr>
          <w:p>
            <w:pPr>
              <w:spacing w:after="0"/>
            </w:pPr>
            <w:r>
              <w:rPr>
                <w:sz w:val="16"/>
              </w:rPr>
              <w:t>3. Solidarity Principles</w:t>
            </w:r>
          </w:p>
        </w:tc>
        <w:tc>
          <w:tcPr>
            <w:tcW w:type="dxa" w:w="5083"/>
          </w:tcPr>
          <w:p>
            <w:pPr>
              <w:spacing w:after="0"/>
              <w:jc w:val="right"/>
            </w:pPr>
            <w:r>
              <w:rPr>
                <w:sz w:val="16"/>
              </w:rPr>
              <w:t>7</w:t>
            </w:r>
          </w:p>
        </w:tc>
      </w:tr>
      <w:tr>
        <w:tc>
          <w:tcPr>
            <w:tcW w:type="dxa" w:w="5083"/>
          </w:tcPr>
          <w:p>
            <w:pPr>
              <w:spacing w:after="0"/>
            </w:pPr>
            <w:r>
              <w:rPr>
                <w:sz w:val="16"/>
              </w:rPr>
              <w:t>4. Governance and Command Architecture</w:t>
            </w:r>
          </w:p>
        </w:tc>
        <w:tc>
          <w:tcPr>
            <w:tcW w:type="dxa" w:w="5083"/>
          </w:tcPr>
          <w:p>
            <w:pPr>
              <w:spacing w:after="0"/>
              <w:jc w:val="right"/>
            </w:pPr>
            <w:r>
              <w:rPr>
                <w:sz w:val="16"/>
              </w:rPr>
              <w:t>8</w:t>
            </w:r>
          </w:p>
        </w:tc>
      </w:tr>
      <w:tr>
        <w:tc>
          <w:tcPr>
            <w:tcW w:type="dxa" w:w="5083"/>
          </w:tcPr>
          <w:p>
            <w:pPr>
              <w:spacing w:after="0"/>
            </w:pPr>
            <w:r>
              <w:rPr>
                <w:sz w:val="16"/>
              </w:rPr>
              <w:t>5. Activation and Deactivation</w:t>
            </w:r>
          </w:p>
        </w:tc>
        <w:tc>
          <w:tcPr>
            <w:tcW w:type="dxa" w:w="5083"/>
          </w:tcPr>
          <w:p>
            <w:pPr>
              <w:spacing w:after="0"/>
              <w:jc w:val="right"/>
            </w:pPr>
            <w:r>
              <w:rPr>
                <w:sz w:val="16"/>
              </w:rPr>
              <w:t>9</w:t>
            </w:r>
          </w:p>
        </w:tc>
      </w:tr>
      <w:tr>
        <w:tc>
          <w:tcPr>
            <w:tcW w:type="dxa" w:w="5083"/>
          </w:tcPr>
          <w:p>
            <w:pPr>
              <w:spacing w:after="0"/>
            </w:pPr>
            <w:r>
              <w:rPr>
                <w:sz w:val="16"/>
              </w:rPr>
              <w:t>6. No-Surprise and Notification Rules</w:t>
            </w:r>
          </w:p>
        </w:tc>
        <w:tc>
          <w:tcPr>
            <w:tcW w:type="dxa" w:w="5083"/>
          </w:tcPr>
          <w:p>
            <w:pPr>
              <w:spacing w:after="0"/>
              <w:jc w:val="right"/>
            </w:pPr>
            <w:r>
              <w:rPr>
                <w:sz w:val="16"/>
              </w:rPr>
              <w:t>10</w:t>
            </w:r>
          </w:p>
        </w:tc>
      </w:tr>
      <w:tr>
        <w:tc>
          <w:tcPr>
            <w:tcW w:type="dxa" w:w="5083"/>
          </w:tcPr>
          <w:p>
            <w:pPr>
              <w:spacing w:after="0"/>
            </w:pPr>
            <w:r>
              <w:rPr>
                <w:sz w:val="16"/>
              </w:rPr>
              <w:t>7. Federal-Provincial Negotiating Coordination</w:t>
            </w:r>
          </w:p>
        </w:tc>
        <w:tc>
          <w:tcPr>
            <w:tcW w:type="dxa" w:w="5083"/>
          </w:tcPr>
          <w:p>
            <w:pPr>
              <w:spacing w:after="0"/>
              <w:jc w:val="right"/>
            </w:pPr>
            <w:r>
              <w:rPr>
                <w:sz w:val="16"/>
              </w:rPr>
              <w:t>11</w:t>
            </w:r>
          </w:p>
        </w:tc>
      </w:tr>
      <w:tr>
        <w:tc>
          <w:tcPr>
            <w:tcW w:type="dxa" w:w="5083"/>
          </w:tcPr>
          <w:p>
            <w:pPr>
              <w:spacing w:after="0"/>
            </w:pPr>
            <w:r>
              <w:rPr>
                <w:sz w:val="16"/>
              </w:rPr>
              <w:t>8. Rules for U.S.-Province Bilateral Approaches</w:t>
            </w:r>
          </w:p>
        </w:tc>
        <w:tc>
          <w:tcPr>
            <w:tcW w:type="dxa" w:w="5083"/>
          </w:tcPr>
          <w:p>
            <w:pPr>
              <w:spacing w:after="0"/>
              <w:jc w:val="right"/>
            </w:pPr>
            <w:r>
              <w:rPr>
                <w:sz w:val="16"/>
              </w:rPr>
              <w:t>12</w:t>
            </w:r>
          </w:p>
        </w:tc>
      </w:tr>
      <w:tr>
        <w:tc>
          <w:tcPr>
            <w:tcW w:type="dxa" w:w="5083"/>
          </w:tcPr>
          <w:p>
            <w:pPr>
              <w:spacing w:after="0"/>
            </w:pPr>
            <w:r>
              <w:rPr>
                <w:sz w:val="16"/>
              </w:rPr>
              <w:t>9. Provincial Mandates and Sectoral Red Lines</w:t>
            </w:r>
          </w:p>
        </w:tc>
        <w:tc>
          <w:tcPr>
            <w:tcW w:type="dxa" w:w="5083"/>
          </w:tcPr>
          <w:p>
            <w:pPr>
              <w:spacing w:after="0"/>
              <w:jc w:val="right"/>
            </w:pPr>
            <w:r>
              <w:rPr>
                <w:sz w:val="16"/>
              </w:rPr>
              <w:t>13</w:t>
            </w:r>
          </w:p>
        </w:tc>
      </w:tr>
      <w:tr>
        <w:tc>
          <w:tcPr>
            <w:tcW w:type="dxa" w:w="5083"/>
          </w:tcPr>
          <w:p>
            <w:pPr>
              <w:spacing w:after="0"/>
            </w:pPr>
            <w:r>
              <w:rPr>
                <w:sz w:val="16"/>
              </w:rPr>
              <w:t>10. Resource Measures and Provincial Co-Design</w:t>
            </w:r>
          </w:p>
        </w:tc>
        <w:tc>
          <w:tcPr>
            <w:tcW w:type="dxa" w:w="5083"/>
          </w:tcPr>
          <w:p>
            <w:pPr>
              <w:spacing w:after="0"/>
              <w:jc w:val="right"/>
            </w:pPr>
            <w:r>
              <w:rPr>
                <w:sz w:val="16"/>
              </w:rPr>
              <w:t>14</w:t>
            </w:r>
          </w:p>
        </w:tc>
      </w:tr>
      <w:tr>
        <w:tc>
          <w:tcPr>
            <w:tcW w:type="dxa" w:w="5083"/>
          </w:tcPr>
          <w:p>
            <w:pPr>
              <w:spacing w:after="0"/>
            </w:pPr>
            <w:r>
              <w:rPr>
                <w:sz w:val="16"/>
              </w:rPr>
              <w:t>11. Agricultural and Food-Security Coordination</w:t>
            </w:r>
          </w:p>
        </w:tc>
        <w:tc>
          <w:tcPr>
            <w:tcW w:type="dxa" w:w="5083"/>
          </w:tcPr>
          <w:p>
            <w:pPr>
              <w:spacing w:after="0"/>
              <w:jc w:val="right"/>
            </w:pPr>
            <w:r>
              <w:rPr>
                <w:sz w:val="16"/>
              </w:rPr>
              <w:t>15</w:t>
            </w:r>
          </w:p>
        </w:tc>
      </w:tr>
      <w:tr>
        <w:tc>
          <w:tcPr>
            <w:tcW w:type="dxa" w:w="5083"/>
          </w:tcPr>
          <w:p>
            <w:pPr>
              <w:spacing w:after="0"/>
            </w:pPr>
            <w:r>
              <w:rPr>
                <w:sz w:val="16"/>
              </w:rPr>
              <w:t>12. Manufacturing, Autos, Steel and Aluminum</w:t>
            </w:r>
          </w:p>
        </w:tc>
        <w:tc>
          <w:tcPr>
            <w:tcW w:type="dxa" w:w="5083"/>
          </w:tcPr>
          <w:p>
            <w:pPr>
              <w:spacing w:after="0"/>
              <w:jc w:val="right"/>
            </w:pPr>
            <w:r>
              <w:rPr>
                <w:sz w:val="16"/>
              </w:rPr>
              <w:t>16</w:t>
            </w:r>
          </w:p>
        </w:tc>
      </w:tr>
      <w:tr>
        <w:tc>
          <w:tcPr>
            <w:tcW w:type="dxa" w:w="5083"/>
          </w:tcPr>
          <w:p>
            <w:pPr>
              <w:spacing w:after="0"/>
            </w:pPr>
            <w:r>
              <w:rPr>
                <w:sz w:val="16"/>
              </w:rPr>
              <w:t>13. Energy, Electricity and Critical Infrastructure</w:t>
            </w:r>
          </w:p>
        </w:tc>
        <w:tc>
          <w:tcPr>
            <w:tcW w:type="dxa" w:w="5083"/>
          </w:tcPr>
          <w:p>
            <w:pPr>
              <w:spacing w:after="0"/>
              <w:jc w:val="right"/>
            </w:pPr>
            <w:r>
              <w:rPr>
                <w:sz w:val="16"/>
              </w:rPr>
              <w:t>17</w:t>
            </w:r>
          </w:p>
        </w:tc>
      </w:tr>
      <w:tr>
        <w:tc>
          <w:tcPr>
            <w:tcW w:type="dxa" w:w="5083"/>
          </w:tcPr>
          <w:p>
            <w:pPr>
              <w:spacing w:after="0"/>
            </w:pPr>
            <w:r>
              <w:rPr>
                <w:sz w:val="16"/>
              </w:rPr>
              <w:t>14. Forestry, Fisheries and Regional Export Sectors</w:t>
            </w:r>
          </w:p>
        </w:tc>
        <w:tc>
          <w:tcPr>
            <w:tcW w:type="dxa" w:w="5083"/>
          </w:tcPr>
          <w:p>
            <w:pPr>
              <w:spacing w:after="0"/>
              <w:jc w:val="right"/>
            </w:pPr>
            <w:r>
              <w:rPr>
                <w:sz w:val="16"/>
              </w:rPr>
              <w:t>18</w:t>
            </w:r>
          </w:p>
        </w:tc>
      </w:tr>
      <w:tr>
        <w:tc>
          <w:tcPr>
            <w:tcW w:type="dxa" w:w="5083"/>
          </w:tcPr>
          <w:p>
            <w:pPr>
              <w:spacing w:after="0"/>
            </w:pPr>
            <w:r>
              <w:rPr>
                <w:sz w:val="16"/>
              </w:rPr>
              <w:t>15. Burden Measurement and Regional Impact Accounting</w:t>
            </w:r>
          </w:p>
        </w:tc>
        <w:tc>
          <w:tcPr>
            <w:tcW w:type="dxa" w:w="5083"/>
          </w:tcPr>
          <w:p>
            <w:pPr>
              <w:spacing w:after="0"/>
              <w:jc w:val="right"/>
            </w:pPr>
            <w:r>
              <w:rPr>
                <w:sz w:val="16"/>
              </w:rPr>
              <w:t>19</w:t>
            </w:r>
          </w:p>
        </w:tc>
      </w:tr>
      <w:tr>
        <w:tc>
          <w:tcPr>
            <w:tcW w:type="dxa" w:w="5083"/>
          </w:tcPr>
          <w:p>
            <w:pPr>
              <w:spacing w:after="0"/>
            </w:pPr>
            <w:r>
              <w:rPr>
                <w:sz w:val="16"/>
              </w:rPr>
              <w:t>16. Compensation Architecture</w:t>
            </w:r>
          </w:p>
        </w:tc>
        <w:tc>
          <w:tcPr>
            <w:tcW w:type="dxa" w:w="5083"/>
          </w:tcPr>
          <w:p>
            <w:pPr>
              <w:spacing w:after="0"/>
              <w:jc w:val="right"/>
            </w:pPr>
            <w:r>
              <w:rPr>
                <w:sz w:val="16"/>
              </w:rPr>
              <w:t>20</w:t>
            </w:r>
          </w:p>
        </w:tc>
      </w:tr>
      <w:tr>
        <w:tc>
          <w:tcPr>
            <w:tcW w:type="dxa" w:w="5083"/>
          </w:tcPr>
          <w:p>
            <w:pPr>
              <w:spacing w:after="0"/>
            </w:pPr>
            <w:r>
              <w:rPr>
                <w:sz w:val="16"/>
              </w:rPr>
              <w:t>17. No-Province-Sacrificed Safeguard</w:t>
            </w:r>
          </w:p>
        </w:tc>
        <w:tc>
          <w:tcPr>
            <w:tcW w:type="dxa" w:w="5083"/>
          </w:tcPr>
          <w:p>
            <w:pPr>
              <w:spacing w:after="0"/>
              <w:jc w:val="right"/>
            </w:pPr>
            <w:r>
              <w:rPr>
                <w:sz w:val="16"/>
              </w:rPr>
              <w:t>21</w:t>
            </w:r>
          </w:p>
        </w:tc>
      </w:tr>
      <w:tr>
        <w:tc>
          <w:tcPr>
            <w:tcW w:type="dxa" w:w="5083"/>
          </w:tcPr>
          <w:p>
            <w:pPr>
              <w:spacing w:after="0"/>
            </w:pPr>
            <w:r>
              <w:rPr>
                <w:sz w:val="16"/>
              </w:rPr>
              <w:t>18. Federal Support and Adjustment Instruments</w:t>
            </w:r>
          </w:p>
        </w:tc>
        <w:tc>
          <w:tcPr>
            <w:tcW w:type="dxa" w:w="5083"/>
          </w:tcPr>
          <w:p>
            <w:pPr>
              <w:spacing w:after="0"/>
              <w:jc w:val="right"/>
            </w:pPr>
            <w:r>
              <w:rPr>
                <w:sz w:val="16"/>
              </w:rPr>
              <w:t>22</w:t>
            </w:r>
          </w:p>
        </w:tc>
      </w:tr>
      <w:tr>
        <w:tc>
          <w:tcPr>
            <w:tcW w:type="dxa" w:w="5083"/>
          </w:tcPr>
          <w:p>
            <w:pPr>
              <w:spacing w:after="0"/>
            </w:pPr>
            <w:r>
              <w:rPr>
                <w:sz w:val="16"/>
              </w:rPr>
              <w:t>19. Internal Trade and Domestic Substitution</w:t>
            </w:r>
          </w:p>
        </w:tc>
        <w:tc>
          <w:tcPr>
            <w:tcW w:type="dxa" w:w="5083"/>
          </w:tcPr>
          <w:p>
            <w:pPr>
              <w:spacing w:after="0"/>
              <w:jc w:val="right"/>
            </w:pPr>
            <w:r>
              <w:rPr>
                <w:sz w:val="16"/>
              </w:rPr>
              <w:t>23</w:t>
            </w:r>
          </w:p>
        </w:tc>
      </w:tr>
      <w:tr>
        <w:tc>
          <w:tcPr>
            <w:tcW w:type="dxa" w:w="5083"/>
          </w:tcPr>
          <w:p>
            <w:pPr>
              <w:spacing w:after="0"/>
            </w:pPr>
            <w:r>
              <w:rPr>
                <w:sz w:val="16"/>
              </w:rPr>
              <w:t>20. Indigenous Rights, Interests and Participation</w:t>
            </w:r>
          </w:p>
        </w:tc>
        <w:tc>
          <w:tcPr>
            <w:tcW w:type="dxa" w:w="5083"/>
          </w:tcPr>
          <w:p>
            <w:pPr>
              <w:spacing w:after="0"/>
              <w:jc w:val="right"/>
            </w:pPr>
            <w:r>
              <w:rPr>
                <w:sz w:val="16"/>
              </w:rPr>
              <w:t>24</w:t>
            </w:r>
          </w:p>
        </w:tc>
      </w:tr>
      <w:tr>
        <w:tc>
          <w:tcPr>
            <w:tcW w:type="dxa" w:w="5083"/>
          </w:tcPr>
          <w:p>
            <w:pPr>
              <w:spacing w:after="0"/>
            </w:pPr>
            <w:r>
              <w:rPr>
                <w:sz w:val="16"/>
              </w:rPr>
              <w:t>21. Municipal, Border and Community Coordination</w:t>
            </w:r>
          </w:p>
        </w:tc>
        <w:tc>
          <w:tcPr>
            <w:tcW w:type="dxa" w:w="5083"/>
          </w:tcPr>
          <w:p>
            <w:pPr>
              <w:spacing w:after="0"/>
              <w:jc w:val="right"/>
            </w:pPr>
            <w:r>
              <w:rPr>
                <w:sz w:val="16"/>
              </w:rPr>
              <w:t>25</w:t>
            </w:r>
          </w:p>
        </w:tc>
      </w:tr>
      <w:tr>
        <w:tc>
          <w:tcPr>
            <w:tcW w:type="dxa" w:w="5083"/>
          </w:tcPr>
          <w:p>
            <w:pPr>
              <w:spacing w:after="0"/>
            </w:pPr>
            <w:r>
              <w:rPr>
                <w:sz w:val="16"/>
              </w:rPr>
              <w:t>22. Information Sharing and Common Operating Picture</w:t>
            </w:r>
          </w:p>
        </w:tc>
        <w:tc>
          <w:tcPr>
            <w:tcW w:type="dxa" w:w="5083"/>
          </w:tcPr>
          <w:p>
            <w:pPr>
              <w:spacing w:after="0"/>
              <w:jc w:val="right"/>
            </w:pPr>
            <w:r>
              <w:rPr>
                <w:sz w:val="16"/>
              </w:rPr>
              <w:t>26</w:t>
            </w:r>
          </w:p>
        </w:tc>
      </w:tr>
      <w:tr>
        <w:tc>
          <w:tcPr>
            <w:tcW w:type="dxa" w:w="5083"/>
          </w:tcPr>
          <w:p>
            <w:pPr>
              <w:spacing w:after="0"/>
            </w:pPr>
            <w:r>
              <w:rPr>
                <w:sz w:val="16"/>
              </w:rPr>
              <w:t>23. Communications Discipline</w:t>
            </w:r>
          </w:p>
        </w:tc>
        <w:tc>
          <w:tcPr>
            <w:tcW w:type="dxa" w:w="5083"/>
          </w:tcPr>
          <w:p>
            <w:pPr>
              <w:spacing w:after="0"/>
              <w:jc w:val="right"/>
            </w:pPr>
            <w:r>
              <w:rPr>
                <w:sz w:val="16"/>
              </w:rPr>
              <w:t>27</w:t>
            </w:r>
          </w:p>
        </w:tc>
      </w:tr>
      <w:tr>
        <w:tc>
          <w:tcPr>
            <w:tcW w:type="dxa" w:w="5083"/>
          </w:tcPr>
          <w:p>
            <w:pPr>
              <w:spacing w:after="0"/>
            </w:pPr>
            <w:r>
              <w:rPr>
                <w:sz w:val="16"/>
              </w:rPr>
              <w:t>24. Dispute Prevention and Resolution</w:t>
            </w:r>
          </w:p>
        </w:tc>
        <w:tc>
          <w:tcPr>
            <w:tcW w:type="dxa" w:w="5083"/>
          </w:tcPr>
          <w:p>
            <w:pPr>
              <w:spacing w:after="0"/>
              <w:jc w:val="right"/>
            </w:pPr>
            <w:r>
              <w:rPr>
                <w:sz w:val="16"/>
              </w:rPr>
              <w:t>28</w:t>
            </w:r>
          </w:p>
        </w:tc>
      </w:tr>
      <w:tr>
        <w:tc>
          <w:tcPr>
            <w:tcW w:type="dxa" w:w="5083"/>
          </w:tcPr>
          <w:p>
            <w:pPr>
              <w:spacing w:after="0"/>
            </w:pPr>
            <w:r>
              <w:rPr>
                <w:sz w:val="16"/>
              </w:rPr>
              <w:t>25. Emergency and Fast-Track Procedures</w:t>
            </w:r>
          </w:p>
        </w:tc>
        <w:tc>
          <w:tcPr>
            <w:tcW w:type="dxa" w:w="5083"/>
          </w:tcPr>
          <w:p>
            <w:pPr>
              <w:spacing w:after="0"/>
              <w:jc w:val="right"/>
            </w:pPr>
            <w:r>
              <w:rPr>
                <w:sz w:val="16"/>
              </w:rPr>
              <w:t>29</w:t>
            </w:r>
          </w:p>
        </w:tc>
      </w:tr>
      <w:tr>
        <w:tc>
          <w:tcPr>
            <w:tcW w:type="dxa" w:w="5083"/>
          </w:tcPr>
          <w:p>
            <w:pPr>
              <w:spacing w:after="0"/>
            </w:pPr>
            <w:r>
              <w:rPr>
                <w:sz w:val="16"/>
              </w:rPr>
              <w:t>26. Settlement Approval and Ratification Process</w:t>
            </w:r>
          </w:p>
        </w:tc>
        <w:tc>
          <w:tcPr>
            <w:tcW w:type="dxa" w:w="5083"/>
          </w:tcPr>
          <w:p>
            <w:pPr>
              <w:spacing w:after="0"/>
              <w:jc w:val="right"/>
            </w:pPr>
            <w:r>
              <w:rPr>
                <w:sz w:val="16"/>
              </w:rPr>
              <w:t>30</w:t>
            </w:r>
          </w:p>
        </w:tc>
      </w:tr>
      <w:tr>
        <w:tc>
          <w:tcPr>
            <w:tcW w:type="dxa" w:w="5083"/>
          </w:tcPr>
          <w:p>
            <w:pPr>
              <w:spacing w:after="0"/>
            </w:pPr>
            <w:r>
              <w:rPr>
                <w:sz w:val="16"/>
              </w:rPr>
              <w:t>27. Off-Ramps, Suspension and Restoration</w:t>
            </w:r>
          </w:p>
        </w:tc>
        <w:tc>
          <w:tcPr>
            <w:tcW w:type="dxa" w:w="5083"/>
          </w:tcPr>
          <w:p>
            <w:pPr>
              <w:spacing w:after="0"/>
              <w:jc w:val="right"/>
            </w:pPr>
            <w:r>
              <w:rPr>
                <w:sz w:val="16"/>
              </w:rPr>
              <w:t>31</w:t>
            </w:r>
          </w:p>
        </w:tc>
      </w:tr>
      <w:tr>
        <w:tc>
          <w:tcPr>
            <w:tcW w:type="dxa" w:w="5083"/>
          </w:tcPr>
          <w:p>
            <w:pPr>
              <w:spacing w:after="0"/>
            </w:pPr>
            <w:r>
              <w:rPr>
                <w:sz w:val="16"/>
              </w:rPr>
              <w:t>28. Compliance, Review and Transparency</w:t>
            </w:r>
          </w:p>
        </w:tc>
        <w:tc>
          <w:tcPr>
            <w:tcW w:type="dxa" w:w="5083"/>
          </w:tcPr>
          <w:p>
            <w:pPr>
              <w:spacing w:after="0"/>
              <w:jc w:val="right"/>
            </w:pPr>
            <w:r>
              <w:rPr>
                <w:sz w:val="16"/>
              </w:rPr>
              <w:t>32</w:t>
            </w:r>
          </w:p>
        </w:tc>
      </w:tr>
      <w:tr>
        <w:tc>
          <w:tcPr>
            <w:tcW w:type="dxa" w:w="5083"/>
          </w:tcPr>
          <w:p>
            <w:pPr>
              <w:spacing w:after="0"/>
            </w:pPr>
            <w:r>
              <w:rPr>
                <w:sz w:val="16"/>
              </w:rPr>
              <w:t>29. Scenario Playbooks</w:t>
            </w:r>
          </w:p>
        </w:tc>
        <w:tc>
          <w:tcPr>
            <w:tcW w:type="dxa" w:w="5083"/>
          </w:tcPr>
          <w:p>
            <w:pPr>
              <w:spacing w:after="0"/>
              <w:jc w:val="right"/>
            </w:pPr>
            <w:r>
              <w:rPr>
                <w:sz w:val="16"/>
              </w:rPr>
              <w:t>33</w:t>
            </w:r>
          </w:p>
        </w:tc>
      </w:tr>
      <w:tr>
        <w:tc>
          <w:tcPr>
            <w:tcW w:type="dxa" w:w="5083"/>
          </w:tcPr>
          <w:p>
            <w:pPr>
              <w:spacing w:after="0"/>
            </w:pPr>
            <w:r>
              <w:rPr>
                <w:sz w:val="16"/>
              </w:rPr>
              <w:t>30. Implementation Roadmap</w:t>
            </w:r>
          </w:p>
        </w:tc>
        <w:tc>
          <w:tcPr>
            <w:tcW w:type="dxa" w:w="5083"/>
          </w:tcPr>
          <w:p>
            <w:pPr>
              <w:spacing w:after="0"/>
              <w:jc w:val="right"/>
            </w:pPr>
            <w:r>
              <w:rPr>
                <w:sz w:val="16"/>
              </w:rPr>
              <w:t>34</w:t>
            </w:r>
          </w:p>
        </w:tc>
      </w:tr>
      <w:tr>
        <w:tc>
          <w:tcPr>
            <w:tcW w:type="dxa" w:w="5083"/>
          </w:tcPr>
          <w:p>
            <w:pPr>
              <w:spacing w:after="0"/>
            </w:pPr>
            <w:r>
              <w:rPr>
                <w:sz w:val="16"/>
              </w:rPr>
              <w:t>Annex A — 24-Hour No-Surprise Notice</w:t>
            </w:r>
          </w:p>
        </w:tc>
        <w:tc>
          <w:tcPr>
            <w:tcW w:type="dxa" w:w="5083"/>
          </w:tcPr>
          <w:p>
            <w:pPr>
              <w:spacing w:after="0"/>
              <w:jc w:val="right"/>
            </w:pPr>
            <w:r>
              <w:rPr>
                <w:sz w:val="16"/>
              </w:rPr>
              <w:t>35</w:t>
            </w:r>
          </w:p>
        </w:tc>
      </w:tr>
      <w:tr>
        <w:tc>
          <w:tcPr>
            <w:tcW w:type="dxa" w:w="5083"/>
          </w:tcPr>
          <w:p>
            <w:pPr>
              <w:spacing w:after="0"/>
            </w:pPr>
            <w:r>
              <w:rPr>
                <w:sz w:val="16"/>
              </w:rPr>
              <w:t>Annex B — Provincial Impact Statement</w:t>
            </w:r>
          </w:p>
        </w:tc>
        <w:tc>
          <w:tcPr>
            <w:tcW w:type="dxa" w:w="5083"/>
          </w:tcPr>
          <w:p>
            <w:pPr>
              <w:spacing w:after="0"/>
              <w:jc w:val="right"/>
            </w:pPr>
            <w:r>
              <w:rPr>
                <w:sz w:val="16"/>
              </w:rPr>
              <w:t>36</w:t>
            </w:r>
          </w:p>
        </w:tc>
      </w:tr>
      <w:tr>
        <w:tc>
          <w:tcPr>
            <w:tcW w:type="dxa" w:w="5083"/>
          </w:tcPr>
          <w:p>
            <w:pPr>
              <w:spacing w:after="0"/>
            </w:pPr>
            <w:r>
              <w:rPr>
                <w:sz w:val="16"/>
              </w:rPr>
              <w:t>Annex C — Bilateral U.S. Contact Record</w:t>
            </w:r>
          </w:p>
        </w:tc>
        <w:tc>
          <w:tcPr>
            <w:tcW w:type="dxa" w:w="5083"/>
          </w:tcPr>
          <w:p>
            <w:pPr>
              <w:spacing w:after="0"/>
              <w:jc w:val="right"/>
            </w:pPr>
            <w:r>
              <w:rPr>
                <w:sz w:val="16"/>
              </w:rPr>
              <w:t>37</w:t>
            </w:r>
          </w:p>
        </w:tc>
      </w:tr>
      <w:tr>
        <w:tc>
          <w:tcPr>
            <w:tcW w:type="dxa" w:w="5083"/>
          </w:tcPr>
          <w:p>
            <w:pPr>
              <w:spacing w:after="0"/>
            </w:pPr>
            <w:r>
              <w:rPr>
                <w:sz w:val="16"/>
              </w:rPr>
              <w:t>Annex D — Burden-Sharing Formula</w:t>
            </w:r>
          </w:p>
        </w:tc>
        <w:tc>
          <w:tcPr>
            <w:tcW w:type="dxa" w:w="5083"/>
          </w:tcPr>
          <w:p>
            <w:pPr>
              <w:spacing w:after="0"/>
              <w:jc w:val="right"/>
            </w:pPr>
            <w:r>
              <w:rPr>
                <w:sz w:val="16"/>
              </w:rPr>
              <w:t>38</w:t>
            </w:r>
          </w:p>
        </w:tc>
      </w:tr>
      <w:tr>
        <w:tc>
          <w:tcPr>
            <w:tcW w:type="dxa" w:w="5083"/>
          </w:tcPr>
          <w:p>
            <w:pPr>
              <w:spacing w:after="0"/>
            </w:pPr>
            <w:r>
              <w:rPr>
                <w:sz w:val="16"/>
              </w:rPr>
              <w:t>Annex E — Dispute Ladder</w:t>
            </w:r>
          </w:p>
        </w:tc>
        <w:tc>
          <w:tcPr>
            <w:tcW w:type="dxa" w:w="5083"/>
          </w:tcPr>
          <w:p>
            <w:pPr>
              <w:spacing w:after="0"/>
              <w:jc w:val="right"/>
            </w:pPr>
            <w:r>
              <w:rPr>
                <w:sz w:val="16"/>
              </w:rPr>
              <w:t>39</w:t>
            </w:r>
          </w:p>
        </w:tc>
      </w:tr>
      <w:tr>
        <w:tc>
          <w:tcPr>
            <w:tcW w:type="dxa" w:w="5083"/>
          </w:tcPr>
          <w:p>
            <w:pPr>
              <w:spacing w:after="0"/>
            </w:pPr>
            <w:r>
              <w:rPr>
                <w:sz w:val="16"/>
              </w:rPr>
              <w:t>Annex F — Settlement Fairness Checklist</w:t>
            </w:r>
          </w:p>
        </w:tc>
        <w:tc>
          <w:tcPr>
            <w:tcW w:type="dxa" w:w="5083"/>
          </w:tcPr>
          <w:p>
            <w:pPr>
              <w:spacing w:after="0"/>
              <w:jc w:val="right"/>
            </w:pPr>
            <w:r>
              <w:rPr>
                <w:sz w:val="16"/>
              </w:rPr>
              <w:t>40</w:t>
            </w:r>
          </w:p>
        </w:tc>
      </w:tr>
      <w:tr>
        <w:tc>
          <w:tcPr>
            <w:tcW w:type="dxa" w:w="5083"/>
          </w:tcPr>
          <w:p>
            <w:pPr>
              <w:spacing w:after="0"/>
            </w:pPr>
            <w:r>
              <w:rPr>
                <w:sz w:val="16"/>
              </w:rPr>
              <w:t>Annex G — Source Register and Validation Notes</w:t>
            </w:r>
          </w:p>
        </w:tc>
        <w:tc>
          <w:tcPr>
            <w:tcW w:type="dxa" w:w="5083"/>
          </w:tcPr>
          <w:p>
            <w:pPr>
              <w:spacing w:after="0"/>
              <w:jc w:val="right"/>
            </w:pPr>
            <w:r>
              <w:rPr>
                <w:sz w:val="16"/>
              </w:rPr>
              <w:t>41</w:t>
            </w:r>
          </w:p>
        </w:tc>
      </w:tr>
    </w:tbl>
    <w:p>
      <w:r>
        <w:br w:type="page"/>
      </w:r>
    </w:p>
    <w:p>
      <w:pPr>
        <w:pStyle w:val="Heading1"/>
        <w:keepNext/>
        <w:spacing w:before="140" w:after="60"/>
      </w:pPr>
      <w:r>
        <w:t>Document Map and Operating Logic</w:t>
      </w:r>
    </w:p>
    <w:p>
      <w:r>
        <w:rPr>
          <w:b w:val="0"/>
          <w:i w:val="0"/>
        </w:rPr>
        <w:t>This protocol is designed to sit above sector-specific tariff, support, diversification and negotiating instruments. It does not transfer constitutional authority from one order of government to another. It establishes expectations for consultation, information sharing, sequencing, burden sharing, settlement design and dispute avoidance during an external trade conflict.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9E7F5"/>
          </w:tcPr>
          <w:p>
            <w:r>
              <w:rPr>
                <w:b/>
                <w:sz w:val="15"/>
              </w:rPr>
              <w:t>Layer</w:t>
            </w:r>
          </w:p>
        </w:tc>
        <w:tc>
          <w:tcPr>
            <w:tcW w:type="dxa" w:w="3389"/>
            <w:shd w:fill="D9E7F5"/>
          </w:tcPr>
          <w:p>
            <w:r>
              <w:rPr>
                <w:b/>
                <w:sz w:val="15"/>
              </w:rPr>
              <w:t>Function</w:t>
            </w:r>
          </w:p>
        </w:tc>
        <w:tc>
          <w:tcPr>
            <w:tcW w:type="dxa" w:w="3389"/>
            <w:shd w:fill="D9E7F5"/>
          </w:tcPr>
          <w:p>
            <w:r>
              <w:rPr>
                <w:b/>
                <w:sz w:val="15"/>
              </w:rPr>
              <w:t>Primary output</w:t>
            </w:r>
          </w:p>
        </w:tc>
      </w:tr>
      <w:tr>
        <w:tc>
          <w:tcPr>
            <w:tcW w:type="dxa" w:w="3389"/>
            <w:vAlign w:val="top"/>
          </w:tcPr>
          <w:p>
            <w:pPr>
              <w:spacing w:after="0"/>
            </w:pPr>
            <w:r>
              <w:rPr>
                <w:sz w:val="15"/>
              </w:rPr>
              <w:t>Political</w:t>
            </w:r>
          </w:p>
        </w:tc>
        <w:tc>
          <w:tcPr>
            <w:tcW w:type="dxa" w:w="3389"/>
            <w:vAlign w:val="top"/>
          </w:tcPr>
          <w:p>
            <w:pPr>
              <w:spacing w:after="0"/>
            </w:pPr>
            <w:r>
              <w:rPr>
                <w:sz w:val="15"/>
              </w:rPr>
              <w:t>Prime Minister + Premiers / First Ministers</w:t>
            </w:r>
          </w:p>
        </w:tc>
        <w:tc>
          <w:tcPr>
            <w:tcW w:type="dxa" w:w="3389"/>
            <w:vAlign w:val="top"/>
          </w:tcPr>
          <w:p>
            <w:pPr>
              <w:spacing w:after="0"/>
            </w:pPr>
            <w:r>
              <w:rPr>
                <w:sz w:val="15"/>
              </w:rPr>
              <w:t>National objectives; solidarity principles; unresolved red lines</w:t>
            </w:r>
          </w:p>
        </w:tc>
      </w:tr>
      <w:tr>
        <w:tc>
          <w:tcPr>
            <w:tcW w:type="dxa" w:w="3389"/>
            <w:vAlign w:val="top"/>
          </w:tcPr>
          <w:p>
            <w:pPr>
              <w:spacing w:after="0"/>
            </w:pPr>
            <w:r>
              <w:rPr>
                <w:sz w:val="15"/>
              </w:rPr>
              <w:t>Ministerial</w:t>
            </w:r>
          </w:p>
        </w:tc>
        <w:tc>
          <w:tcPr>
            <w:tcW w:type="dxa" w:w="3389"/>
            <w:vAlign w:val="top"/>
          </w:tcPr>
          <w:p>
            <w:pPr>
              <w:spacing w:after="0"/>
            </w:pPr>
            <w:r>
              <w:rPr>
                <w:sz w:val="15"/>
              </w:rPr>
              <w:t>Trade, Finance, Intergovernmental Affairs + sector ministers</w:t>
            </w:r>
          </w:p>
        </w:tc>
        <w:tc>
          <w:tcPr>
            <w:tcW w:type="dxa" w:w="3389"/>
            <w:vAlign w:val="top"/>
          </w:tcPr>
          <w:p>
            <w:pPr>
              <w:spacing w:after="0"/>
            </w:pPr>
            <w:r>
              <w:rPr>
                <w:sz w:val="15"/>
              </w:rPr>
              <w:t>Negotiating mandates; burden allocation; support packages</w:t>
            </w:r>
          </w:p>
        </w:tc>
      </w:tr>
      <w:tr>
        <w:tc>
          <w:tcPr>
            <w:tcW w:type="dxa" w:w="3389"/>
            <w:vAlign w:val="top"/>
          </w:tcPr>
          <w:p>
            <w:pPr>
              <w:spacing w:after="0"/>
            </w:pPr>
            <w:r>
              <w:rPr>
                <w:sz w:val="15"/>
              </w:rPr>
              <w:t>Officials</w:t>
            </w:r>
          </w:p>
        </w:tc>
        <w:tc>
          <w:tcPr>
            <w:tcW w:type="dxa" w:w="3389"/>
            <w:vAlign w:val="top"/>
          </w:tcPr>
          <w:p>
            <w:pPr>
              <w:spacing w:after="0"/>
            </w:pPr>
            <w:r>
              <w:rPr>
                <w:sz w:val="15"/>
              </w:rPr>
              <w:t>Deputies, ADMs, working groups</w:t>
            </w:r>
          </w:p>
        </w:tc>
        <w:tc>
          <w:tcPr>
            <w:tcW w:type="dxa" w:w="3389"/>
            <w:vAlign w:val="top"/>
          </w:tcPr>
          <w:p>
            <w:pPr>
              <w:spacing w:after="0"/>
            </w:pPr>
            <w:r>
              <w:rPr>
                <w:sz w:val="15"/>
              </w:rPr>
              <w:t>Common operating picture; impact models; draft options</w:t>
            </w:r>
          </w:p>
        </w:tc>
      </w:tr>
      <w:tr>
        <w:tc>
          <w:tcPr>
            <w:tcW w:type="dxa" w:w="3389"/>
            <w:vAlign w:val="top"/>
          </w:tcPr>
          <w:p>
            <w:pPr>
              <w:spacing w:after="0"/>
            </w:pPr>
            <w:r>
              <w:rPr>
                <w:sz w:val="15"/>
              </w:rPr>
              <w:t>Sectoral</w:t>
            </w:r>
          </w:p>
        </w:tc>
        <w:tc>
          <w:tcPr>
            <w:tcW w:type="dxa" w:w="3389"/>
            <w:vAlign w:val="top"/>
          </w:tcPr>
          <w:p>
            <w:pPr>
              <w:spacing w:after="0"/>
            </w:pPr>
            <w:r>
              <w:rPr>
                <w:sz w:val="15"/>
              </w:rPr>
              <w:t>Resource, agriculture, auto, forestry, fisheries, energy tables</w:t>
            </w:r>
          </w:p>
        </w:tc>
        <w:tc>
          <w:tcPr>
            <w:tcW w:type="dxa" w:w="3389"/>
            <w:vAlign w:val="top"/>
          </w:tcPr>
          <w:p>
            <w:pPr>
              <w:spacing w:after="0"/>
            </w:pPr>
            <w:r>
              <w:rPr>
                <w:sz w:val="15"/>
              </w:rPr>
              <w:t>Technical feasibility; regional impacts; implementation</w:t>
            </w:r>
          </w:p>
        </w:tc>
      </w:tr>
      <w:tr>
        <w:tc>
          <w:tcPr>
            <w:tcW w:type="dxa" w:w="3389"/>
            <w:vAlign w:val="top"/>
          </w:tcPr>
          <w:p>
            <w:pPr>
              <w:spacing w:after="0"/>
            </w:pPr>
            <w:r>
              <w:rPr>
                <w:sz w:val="15"/>
              </w:rPr>
              <w:t>Dispute</w:t>
            </w:r>
          </w:p>
        </w:tc>
        <w:tc>
          <w:tcPr>
            <w:tcW w:type="dxa" w:w="3389"/>
            <w:vAlign w:val="top"/>
          </w:tcPr>
          <w:p>
            <w:pPr>
              <w:spacing w:after="0"/>
            </w:pPr>
            <w:r>
              <w:rPr>
                <w:sz w:val="15"/>
              </w:rPr>
              <w:t>Facilitator / mediation / First Ministers escalation</w:t>
            </w:r>
          </w:p>
        </w:tc>
        <w:tc>
          <w:tcPr>
            <w:tcW w:type="dxa" w:w="3389"/>
            <w:vAlign w:val="top"/>
          </w:tcPr>
          <w:p>
            <w:pPr>
              <w:spacing w:after="0"/>
            </w:pPr>
            <w:r>
              <w:rPr>
                <w:sz w:val="15"/>
              </w:rPr>
              <w:t>Resolution without public rupture</w:t>
            </w:r>
          </w:p>
        </w:tc>
      </w:tr>
      <w:tr>
        <w:tc>
          <w:tcPr>
            <w:tcW w:type="dxa" w:w="3389"/>
            <w:vAlign w:val="top"/>
          </w:tcPr>
          <w:p>
            <w:pPr>
              <w:spacing w:after="0"/>
            </w:pPr>
            <w:r>
              <w:rPr>
                <w:sz w:val="15"/>
              </w:rPr>
              <w:t>Public</w:t>
            </w:r>
          </w:p>
        </w:tc>
        <w:tc>
          <w:tcPr>
            <w:tcW w:type="dxa" w:w="3389"/>
            <w:vAlign w:val="top"/>
          </w:tcPr>
          <w:p>
            <w:pPr>
              <w:spacing w:after="0"/>
            </w:pPr>
            <w:r>
              <w:rPr>
                <w:sz w:val="15"/>
              </w:rPr>
              <w:t>Coordinated but not scripted communications</w:t>
            </w:r>
          </w:p>
        </w:tc>
        <w:tc>
          <w:tcPr>
            <w:tcW w:type="dxa" w:w="3389"/>
            <w:vAlign w:val="top"/>
          </w:tcPr>
          <w:p>
            <w:pPr>
              <w:spacing w:after="0"/>
            </w:pPr>
            <w:r>
              <w:rPr>
                <w:sz w:val="15"/>
              </w:rPr>
              <w:t>Clarity: disagreement is permitted; surprise and scapegoating are not</w:t>
            </w:r>
          </w:p>
        </w:tc>
      </w:tr>
    </w:tbl>
    <w:p>
      <w:pPr>
        <w:spacing w:after="20"/>
      </w:pPr>
    </w:p>
    <w:p>
      <w:pPr>
        <w:pStyle w:val="Heading2"/>
        <w:keepNext/>
        <w:spacing w:before="140" w:after="60"/>
      </w:pPr>
      <w:r>
        <w:t>Nine-step operating cycle</w:t>
      </w:r>
    </w:p>
    <w:p>
      <w:pPr>
        <w:pStyle w:val="ListNumber"/>
      </w:pPr>
      <w:r>
        <w:t>Detect external measure or negotiating demand.</w:t>
      </w:r>
    </w:p>
    <w:p>
      <w:pPr>
        <w:pStyle w:val="ListNumber"/>
      </w:pPr>
      <w:r>
        <w:t>Notify all affected Canadian governments.</w:t>
      </w:r>
    </w:p>
    <w:p>
      <w:pPr>
        <w:pStyle w:val="ListNumber"/>
      </w:pPr>
      <w:r>
        <w:t>Map jurisdiction, exposure, regional burden and Indigenous interests.</w:t>
      </w:r>
    </w:p>
    <w:p>
      <w:pPr>
        <w:pStyle w:val="ListNumber"/>
      </w:pPr>
      <w:r>
        <w:t>Develop options jointly with materially affected jurisdictions.</w:t>
      </w:r>
    </w:p>
    <w:p>
      <w:pPr>
        <w:pStyle w:val="ListNumber"/>
      </w:pPr>
      <w:r>
        <w:t>Set federal negotiating mandate and record provincial positions.</w:t>
      </w:r>
    </w:p>
    <w:p>
      <w:pPr>
        <w:pStyle w:val="ListNumber"/>
      </w:pPr>
      <w:r>
        <w:t>Choose measure / offer / support package with Canadian-harm and fairness gates.</w:t>
      </w:r>
    </w:p>
    <w:p>
      <w:pPr>
        <w:pStyle w:val="ListNumber"/>
      </w:pPr>
      <w:r>
        <w:t>Implement with no-surprise communications.</w:t>
      </w:r>
    </w:p>
    <w:p>
      <w:pPr>
        <w:pStyle w:val="ListNumber"/>
      </w:pPr>
      <w:r>
        <w:t>Measure burden and compensate where appropriate.</w:t>
      </w:r>
    </w:p>
    <w:p>
      <w:pPr>
        <w:pStyle w:val="ListNumber"/>
      </w:pPr>
      <w:r>
        <w:t>Review, de-escalate, settle or re-plan.</w:t>
      </w:r>
    </w:p>
    <w:p>
      <w:r>
        <w:br w:type="page"/>
      </w:r>
    </w:p>
    <w:p>
      <w:pPr>
        <w:pStyle w:val="Heading1"/>
        <w:keepNext/>
        <w:spacing w:before="140" w:after="60"/>
      </w:pPr>
      <w:r>
        <w:t>Executive Summary</w:t>
      </w:r>
    </w:p>
    <w:p>
      <w:r>
        <w:rPr>
          <w:b w:val="0"/>
          <w:i w:val="0"/>
        </w:rPr>
        <w:t>Canada’s federation is a strategic asset in a trade conflict only if its governments can disagree without fragmenting. Provinces and territories possess distinct economies, constitutional powers, political mandates, U.S. relationships and exposure to retaliation. Ottawa possesses national trade-negotiating authority, federal fiscal capacity and responsibility for the coherence of Canada’s international position. Neither level can treat the other as background scenery.</w:t>
      </w:r>
    </w:p>
    <w:p>
      <w:r>
        <w:rPr>
          <w:b w:val="0"/>
          <w:i w:val="0"/>
        </w:rPr>
        <w:t>Current practice already points toward a cooperative model. During the August 2026 Canada-U.S. negotiations, the federal trade minister and chief negotiator repeatedly briefed provincial and territorial trade ministers; First Ministers emphasized a Team Canada approach; and federal, provincial and territorial finance ministers coordinated on tariff responses and worker/business supports. This protocol converts that emergency practice into a reusable operating system.</w:t>
      </w:r>
    </w:p>
    <w:p>
      <w:r>
        <w:rPr>
          <w:b w:val="0"/>
          <w:i w:val="0"/>
        </w:rPr>
        <w:t>The protocol is intentionally non-coercive. It rejects punitive transfer clawbacks, compelled provincial silence, hostage-style resource commitments and any doctrine under which one province is deliberately made poorer to discipline another. Solidarity is built through reciprocal obligations: Ottawa provides notice, consultation, burden accounting and protection against sacrifice; provinces provide notice of material U.S. approaches, coordination on national negotiating positions, and an opportunity for Canada-wide consequences to be assessed before separate arrangements are concluded.</w:t>
      </w:r>
    </w:p>
    <w:p>
      <w:pPr>
        <w:pStyle w:val="Heading2"/>
        <w:keepNext/>
        <w:spacing w:before="140" w:after="60"/>
      </w:pPr>
      <w:r>
        <w:t>Five guarantees</w:t>
      </w:r>
    </w:p>
    <w:p>
      <w:pPr>
        <w:pStyle w:val="ListBullet"/>
      </w:pPr>
      <w:r>
        <w:t>No Canadian government should first learn of a material trade-conflict action through the media.</w:t>
      </w:r>
    </w:p>
    <w:p>
      <w:pPr>
        <w:pStyle w:val="ListBullet"/>
      </w:pPr>
      <w:r>
        <w:t>No province or territory should be asked to bear disproportionate costs for a national objective without transparent accounting and a burden-sharing response.</w:t>
      </w:r>
    </w:p>
    <w:p>
      <w:pPr>
        <w:pStyle w:val="ListBullet"/>
      </w:pPr>
      <w:r>
        <w:t>No settlement should materially worsen one jurisdiction merely to secure benefits for another without that jurisdiction’s informed participation and a fair mitigation plan.</w:t>
      </w:r>
    </w:p>
    <w:p>
      <w:pPr>
        <w:pStyle w:val="ListBullet"/>
      </w:pPr>
      <w:r>
        <w:t>Resource measures should be co-designed with the producing province or territory and respect constitutional jurisdiction, Indigenous rights and operational realities.</w:t>
      </w:r>
    </w:p>
    <w:p>
      <w:pPr>
        <w:pStyle w:val="ListBullet"/>
      </w:pPr>
      <w:r>
        <w:t>Disagreement is legitimate. Strategic surprise, public scapegoating and concealed side arrangements are not.</w:t>
      </w:r>
    </w:p>
    <w:p>
      <w:pPr>
        <w:spacing w:after="40"/>
      </w:pPr>
      <w:r>
        <w:rPr>
          <w:b/>
          <w:sz w:val="14"/>
        </w:rPr>
        <w:t xml:space="preserve">Key current-practice references: </w:t>
      </w:r>
      <w:r>
        <w:rPr>
          <w:sz w:val="14"/>
        </w:rPr>
        <w:t>https://www.canada.ca/en/global-affairs/news/2026/08/minister-leblanc-and-chief-trade-negotiator-update-provincial-and-territorial-trade-ministers-and-advisory-committee-on-canada-us-economic-relation.html</w:t>
      </w:r>
    </w:p>
    <w:p>
      <w:r>
        <w:br w:type="page"/>
      </w:r>
    </w:p>
    <w:p>
      <w:pPr>
        <w:pStyle w:val="Heading1"/>
        <w:keepNext/>
        <w:spacing w:before="140" w:after="60"/>
      </w:pPr>
      <w:r>
        <w:t>1. Purpose, Scope and Status</w:t>
      </w:r>
    </w:p>
    <w:p>
      <w:pPr>
        <w:pStyle w:val="Heading2"/>
        <w:keepNext/>
        <w:spacing w:before="140" w:after="60"/>
      </w:pPr>
      <w:r>
        <w:t>Purpose</w:t>
      </w:r>
    </w:p>
    <w:p>
      <w:r>
        <w:rPr>
          <w:b w:val="0"/>
          <w:i w:val="0"/>
        </w:rPr>
        <w:t>Create predictable rules for FPT coordination during tariffs, quotas, export restrictions, procurement discrimination, sanctions-like economic measures, or negotiations that materially affect provincial/territorial interests.</w:t>
      </w:r>
    </w:p>
    <w:p>
      <w:pPr>
        <w:pStyle w:val="Heading2"/>
        <w:keepNext/>
        <w:spacing w:before="140" w:after="60"/>
      </w:pPr>
      <w:r>
        <w:t>Scope</w:t>
      </w:r>
    </w:p>
    <w:p>
      <w:r>
        <w:rPr>
          <w:b w:val="0"/>
          <w:i w:val="0"/>
        </w:rPr>
        <w:t>External trade conflict with significant regional effects; national countermeasures; support packages; settlement offers; diversification measures; resource-related bargaining; major U.S.-state/province contacts.</w:t>
      </w:r>
    </w:p>
    <w:p>
      <w:pPr>
        <w:pStyle w:val="Heading2"/>
        <w:keepNext/>
        <w:spacing w:before="140" w:after="60"/>
      </w:pPr>
      <w:r>
        <w:t>Status</w:t>
      </w:r>
    </w:p>
    <w:p>
      <w:r>
        <w:rPr>
          <w:b w:val="0"/>
          <w:i w:val="0"/>
        </w:rPr>
        <w:t>Model intergovernmental protocol. It should operate through political commitment and FPT agreement, not pretend to amend the Constitution or erase existing statutory powers.</w:t>
      </w:r>
    </w:p>
    <w:p>
      <w:pPr>
        <w:pStyle w:val="Heading2"/>
        <w:keepNext/>
        <w:spacing w:before="140" w:after="60"/>
      </w:pPr>
      <w:r>
        <w:t>Non-derogation</w:t>
      </w:r>
    </w:p>
    <w:p>
      <w:r>
        <w:rPr>
          <w:b w:val="0"/>
          <w:i w:val="0"/>
        </w:rPr>
        <w:t>Nothing in the protocol authorizes a government to exercise a power it does not possess or requires a legislature to enact a measure.</w:t>
      </w:r>
    </w:p>
    <w:p>
      <w:pPr>
        <w:pStyle w:val="Heading2"/>
        <w:keepNext/>
        <w:spacing w:before="140" w:after="60"/>
      </w:pPr>
      <w:r>
        <w:t>Operating presumption</w:t>
      </w:r>
    </w:p>
    <w:p>
      <w:r>
        <w:rPr>
          <w:b w:val="0"/>
          <w:i w:val="0"/>
        </w:rPr>
        <w:t>Consult first, document disagreement, protect essential interests, and preserve an exit path.</w:t>
      </w:r>
    </w:p>
    <w:p>
      <w:r>
        <w:br w:type="page"/>
      </w:r>
    </w:p>
    <w:p>
      <w:pPr>
        <w:pStyle w:val="Heading1"/>
        <w:keepNext/>
        <w:spacing w:before="140" w:after="60"/>
      </w:pPr>
      <w:r>
        <w:t>2. Constitutional and Intergovernmental Foundations</w:t>
      </w:r>
    </w:p>
    <w:p>
      <w:pPr>
        <w:pStyle w:val="Heading2"/>
        <w:keepNext/>
        <w:spacing w:before="140" w:after="60"/>
      </w:pPr>
      <w:r>
        <w:t>Federalism</w:t>
      </w:r>
    </w:p>
    <w:p>
      <w:r>
        <w:rPr>
          <w:b w:val="0"/>
          <w:i w:val="0"/>
        </w:rPr>
        <w:t>Canada has autonomous orders of government; many policy problems overlap. Intergovernmental relations therefore rely heavily on executive consultation, negotiation and consensus rather than a constitutional command hierarchy.</w:t>
      </w:r>
    </w:p>
    <w:p>
      <w:pPr>
        <w:pStyle w:val="Heading2"/>
        <w:keepNext/>
        <w:spacing w:before="140" w:after="60"/>
      </w:pPr>
      <w:r>
        <w:t>Trade and national coherence</w:t>
      </w:r>
    </w:p>
    <w:p>
      <w:r>
        <w:rPr>
          <w:b w:val="0"/>
          <w:i w:val="0"/>
        </w:rPr>
        <w:t>The federal government leads the international trade relationship, but implementation and consequences reach provincial domains, procurement, resources, labour markets, regulation and infrastructure.</w:t>
      </w:r>
    </w:p>
    <w:p>
      <w:pPr>
        <w:pStyle w:val="Heading2"/>
        <w:keepNext/>
        <w:spacing w:before="140" w:after="60"/>
      </w:pPr>
      <w:r>
        <w:t>Resources</w:t>
      </w:r>
    </w:p>
    <w:p>
      <w:r>
        <w:rPr>
          <w:b w:val="0"/>
          <w:i w:val="0"/>
        </w:rPr>
        <w:t>Constitution Act, 1867 s.92A gives provincial legislatures significant authority over non-renewable natural resources, forestry resources and electrical-energy development. Resource bargaining therefore requires genuine provincial co-design, not decorative consultation.</w:t>
      </w:r>
    </w:p>
    <w:p>
      <w:pPr>
        <w:pStyle w:val="Heading2"/>
        <w:keepNext/>
        <w:spacing w:before="140" w:after="60"/>
      </w:pPr>
      <w:r>
        <w:t>FMM norm</w:t>
      </w:r>
    </w:p>
    <w:p>
      <w:r>
        <w:rPr>
          <w:b w:val="0"/>
          <w:i w:val="0"/>
        </w:rPr>
        <w:t>First Ministers Meetings address nationally significant matters and decisions are typically taken by consensus.</w:t>
      </w:r>
    </w:p>
    <w:p>
      <w:pPr>
        <w:pStyle w:val="Heading2"/>
        <w:keepNext/>
        <w:spacing w:before="140" w:after="60"/>
      </w:pPr>
      <w:r>
        <w:t>Protocol consequence</w:t>
      </w:r>
    </w:p>
    <w:p>
      <w:r>
        <w:rPr>
          <w:b w:val="0"/>
          <w:i w:val="0"/>
        </w:rPr>
        <w:t>Use agreement, incentives, common evidence and reciprocal guarantees. Do not imitate a unitary-state chain of command.</w:t>
      </w:r>
    </w:p>
    <w:p>
      <w:pPr>
        <w:spacing w:after="40"/>
      </w:pPr>
      <w:r>
        <w:rPr>
          <w:b/>
          <w:sz w:val="14"/>
        </w:rPr>
        <w:t xml:space="preserve">Intergovernmental relations: </w:t>
      </w:r>
      <w:r>
        <w:rPr>
          <w:sz w:val="14"/>
        </w:rPr>
        <w:t>https://www.canada.ca/en/intergovernmental-affairs/services/relations-canadian-context.html</w:t>
      </w:r>
    </w:p>
    <w:p>
      <w:pPr>
        <w:spacing w:after="40"/>
      </w:pPr>
      <w:r>
        <w:rPr>
          <w:b/>
          <w:sz w:val="14"/>
        </w:rPr>
        <w:t xml:space="preserve">Constitution Act, 1867, s.92A: </w:t>
      </w:r>
      <w:r>
        <w:rPr>
          <w:sz w:val="14"/>
        </w:rPr>
        <w:t>https://laws-lois.justice.gc.ca/eng/const/section-92a.html</w:t>
      </w:r>
    </w:p>
    <w:p>
      <w:r>
        <w:br w:type="page"/>
      </w:r>
    </w:p>
    <w:p>
      <w:pPr>
        <w:pStyle w:val="Heading1"/>
        <w:keepNext/>
        <w:spacing w:before="140" w:after="60"/>
      </w:pPr>
      <w:r>
        <w:t>3. Solidarity Principles</w:t>
      </w:r>
    </w:p>
    <w:p>
      <w:pPr>
        <w:pStyle w:val="Heading2"/>
        <w:keepNext/>
        <w:spacing w:before="140" w:after="60"/>
      </w:pPr>
      <w:r>
        <w:t>Reciprocity</w:t>
      </w:r>
    </w:p>
    <w:p>
      <w:r>
        <w:rPr>
          <w:b w:val="0"/>
          <w:i w:val="0"/>
        </w:rPr>
        <w:t>Federal notice obligations and provincial notice obligations mirror one another.</w:t>
      </w:r>
    </w:p>
    <w:p>
      <w:pPr>
        <w:pStyle w:val="Heading2"/>
        <w:keepNext/>
        <w:spacing w:before="140" w:after="60"/>
      </w:pPr>
      <w:r>
        <w:t>Subsidiarity</w:t>
      </w:r>
    </w:p>
    <w:p>
      <w:r>
        <w:rPr>
          <w:b w:val="0"/>
          <w:i w:val="0"/>
        </w:rPr>
        <w:t>Decisions should be taken at the lowest level capable of handling them while preserving national coherence.</w:t>
      </w:r>
    </w:p>
    <w:p>
      <w:pPr>
        <w:pStyle w:val="Heading2"/>
        <w:keepNext/>
        <w:spacing w:before="140" w:after="60"/>
      </w:pPr>
      <w:r>
        <w:t>Proportional burden</w:t>
      </w:r>
    </w:p>
    <w:p>
      <w:r>
        <w:rPr>
          <w:b w:val="0"/>
          <w:i w:val="0"/>
        </w:rPr>
        <w:t>National measures should not repeatedly concentrate costs in the same region when alternatives exist.</w:t>
      </w:r>
    </w:p>
    <w:p>
      <w:pPr>
        <w:pStyle w:val="Heading2"/>
        <w:keepNext/>
        <w:spacing w:before="140" w:after="60"/>
      </w:pPr>
      <w:r>
        <w:t>No scapegoat</w:t>
      </w:r>
    </w:p>
    <w:p>
      <w:r>
        <w:rPr>
          <w:b w:val="0"/>
          <w:i w:val="0"/>
        </w:rPr>
        <w:t>Governments may explain disagreement but should not portray another Canadian jurisdiction as the enemy.</w:t>
      </w:r>
    </w:p>
    <w:p>
      <w:pPr>
        <w:pStyle w:val="Heading2"/>
        <w:keepNext/>
        <w:spacing w:before="140" w:after="60"/>
      </w:pPr>
      <w:r>
        <w:t>Evidence before theatre</w:t>
      </w:r>
    </w:p>
    <w:p>
      <w:r>
        <w:rPr>
          <w:b w:val="0"/>
          <w:i w:val="0"/>
        </w:rPr>
        <w:t>Impact data, legal authority and implementation readiness outrank symbolic escalation.</w:t>
      </w:r>
    </w:p>
    <w:p>
      <w:pPr>
        <w:pStyle w:val="Heading2"/>
        <w:keepNext/>
        <w:spacing w:before="140" w:after="60"/>
      </w:pPr>
      <w:r>
        <w:t>Reversibility</w:t>
      </w:r>
    </w:p>
    <w:p>
      <w:r>
        <w:rPr>
          <w:b w:val="0"/>
          <w:i w:val="0"/>
        </w:rPr>
        <w:t>Temporary measures should have suspension, review and termination rules.</w:t>
      </w:r>
    </w:p>
    <w:p>
      <w:pPr>
        <w:pStyle w:val="Heading2"/>
        <w:keepNext/>
        <w:spacing w:before="140" w:after="60"/>
      </w:pPr>
      <w:r>
        <w:t>Pluralism</w:t>
      </w:r>
    </w:p>
    <w:p>
      <w:r>
        <w:rPr>
          <w:b w:val="0"/>
          <w:i w:val="0"/>
        </w:rPr>
        <w:t>A province may record dissent without leaving the coordination system.</w:t>
      </w:r>
    </w:p>
    <w:p>
      <w:pPr>
        <w:pStyle w:val="Heading2"/>
        <w:keepNext/>
        <w:spacing w:before="140" w:after="60"/>
      </w:pPr>
      <w:r>
        <w:t>National floor</w:t>
      </w:r>
    </w:p>
    <w:p>
      <w:r>
        <w:rPr>
          <w:b w:val="0"/>
          <w:i w:val="0"/>
        </w:rPr>
        <w:t>No jurisdiction may claim the protocol as authority to violate Canadian law, rights, treaty obligations or constitutional duties.</w:t>
      </w:r>
    </w:p>
    <w:p>
      <w:r>
        <w:br w:type="page"/>
      </w:r>
    </w:p>
    <w:p>
      <w:pPr>
        <w:pStyle w:val="Heading1"/>
        <w:keepNext/>
        <w:spacing w:before="140" w:after="60"/>
      </w:pPr>
      <w:r>
        <w:t>4. Governance and Command Architecture</w:t>
      </w:r>
    </w:p>
    <w:p>
      <w:pPr>
        <w:pStyle w:val="Heading2"/>
        <w:keepNext/>
        <w:spacing w:before="140" w:after="60"/>
      </w:pPr>
      <w:r>
        <w:t>First Ministers Solidarity Council</w:t>
      </w:r>
    </w:p>
    <w:p>
      <w:r>
        <w:rPr>
          <w:b w:val="0"/>
          <w:i w:val="0"/>
        </w:rPr>
        <w:t>Existing First Ministers machinery, convened when conflict reaches national strategic significance. Sets objectives and resolves disputes that ministers cannot.</w:t>
      </w:r>
    </w:p>
    <w:p>
      <w:pPr>
        <w:pStyle w:val="Heading2"/>
        <w:keepNext/>
        <w:spacing w:before="140" w:after="60"/>
      </w:pPr>
      <w:r>
        <w:t>FPT Trade Conflict Table</w:t>
      </w:r>
    </w:p>
    <w:p>
      <w:r>
        <w:rPr>
          <w:b w:val="0"/>
          <w:i w:val="0"/>
        </w:rPr>
        <w:t>Trade ministers plus Intergovernmental Affairs; meets at an enhanced cadence while protocol is active.</w:t>
      </w:r>
    </w:p>
    <w:p>
      <w:pPr>
        <w:pStyle w:val="Heading2"/>
        <w:keepNext/>
        <w:spacing w:before="140" w:after="60"/>
      </w:pPr>
      <w:r>
        <w:t>Finance Burden Table</w:t>
      </w:r>
    </w:p>
    <w:p>
      <w:r>
        <w:rPr>
          <w:b w:val="0"/>
          <w:i w:val="0"/>
        </w:rPr>
        <w:t>Finance ministers validate impact measurement, compensation envelopes and fiscal sustainability.</w:t>
      </w:r>
    </w:p>
    <w:p>
      <w:pPr>
        <w:pStyle w:val="Heading2"/>
        <w:keepNext/>
        <w:spacing w:before="140" w:after="60"/>
      </w:pPr>
      <w:r>
        <w:t>Sector Cells</w:t>
      </w:r>
    </w:p>
    <w:p>
      <w:r>
        <w:rPr>
          <w:b w:val="0"/>
          <w:i w:val="0"/>
        </w:rPr>
        <w:t>Agriculture, resources, energy, forestry, fisheries, autos/manufacturing, infrastructure and labour cells activated as needed.</w:t>
      </w:r>
    </w:p>
    <w:p>
      <w:pPr>
        <w:pStyle w:val="Heading2"/>
        <w:keepNext/>
        <w:spacing w:before="140" w:after="60"/>
      </w:pPr>
      <w:r>
        <w:t>Secretariat</w:t>
      </w:r>
    </w:p>
    <w:p>
      <w:r>
        <w:rPr>
          <w:b w:val="0"/>
          <w:i w:val="0"/>
        </w:rPr>
        <w:t>Small joint federal-provincial-territorial secretariat using existing intergovernmental machinery where possible; maintains records, alerts, dashboards and issue logs.</w:t>
      </w:r>
    </w:p>
    <w:p>
      <w:pPr>
        <w:pStyle w:val="Heading2"/>
        <w:keepNext/>
        <w:spacing w:before="140" w:after="60"/>
      </w:pPr>
      <w:r>
        <w:t>No committee bloat rule</w:t>
      </w:r>
    </w:p>
    <w:p>
      <w:r>
        <w:rPr>
          <w:b w:val="0"/>
          <w:i w:val="0"/>
        </w:rPr>
        <w:t>A new table is created only if no existing FPT forum can perform the task within required timelines.</w:t>
      </w:r>
    </w:p>
    <w:p>
      <w:r>
        <w:br w:type="page"/>
      </w:r>
    </w:p>
    <w:p>
      <w:pPr>
        <w:pStyle w:val="Heading1"/>
        <w:keepNext/>
        <w:spacing w:before="140" w:after="60"/>
      </w:pPr>
      <w:r>
        <w:t>5. Activation and Deactivation</w:t>
      </w:r>
    </w:p>
    <w:p>
      <w:pPr>
        <w:pStyle w:val="Heading2"/>
        <w:keepNext/>
        <w:spacing w:before="140" w:after="60"/>
      </w:pPr>
      <w:r>
        <w:t>Activation triggers</w:t>
      </w:r>
    </w:p>
    <w:p>
      <w:r>
        <w:rPr>
          <w:b w:val="0"/>
          <w:i w:val="0"/>
        </w:rPr>
        <w:t>Major foreign tariff or quota; material negotiating demand touching provincial jurisdiction; credible threat of sectoral action; external measure producing concentrated regional harm; national countermeasure requiring provincial implementation or support.</w:t>
      </w:r>
    </w:p>
    <w:p>
      <w:pPr>
        <w:pStyle w:val="Heading2"/>
        <w:keepNext/>
        <w:spacing w:before="140" w:after="60"/>
      </w:pPr>
      <w:r>
        <w:t>Activation authority</w:t>
      </w:r>
    </w:p>
    <w:p>
      <w:r>
        <w:rPr>
          <w:b w:val="0"/>
          <w:i w:val="0"/>
        </w:rPr>
        <w:t>Prime Minister and Minister of Intergovernmental Affairs may propose activation; a First Ministers call confirms political status as soon as practical.</w:t>
      </w:r>
    </w:p>
    <w:p>
      <w:pPr>
        <w:pStyle w:val="Heading2"/>
        <w:keepNext/>
        <w:spacing w:before="140" w:after="60"/>
      </w:pPr>
      <w:r>
        <w:t>Immediate effect</w:t>
      </w:r>
    </w:p>
    <w:p>
      <w:r>
        <w:rPr>
          <w:b w:val="0"/>
          <w:i w:val="0"/>
        </w:rPr>
        <w:t>24-hour notice rules, common operating picture, bilateral-contact logging and fast-track consultation begin immediately.</w:t>
      </w:r>
    </w:p>
    <w:p>
      <w:pPr>
        <w:pStyle w:val="Heading2"/>
        <w:keepNext/>
        <w:spacing w:before="140" w:after="60"/>
      </w:pPr>
      <w:r>
        <w:t>Deactivation</w:t>
      </w:r>
    </w:p>
    <w:p>
      <w:r>
        <w:rPr>
          <w:b w:val="0"/>
          <w:i w:val="0"/>
        </w:rPr>
        <w:t>When acute conflict has ended or coordination can return to normal forums. Outstanding compensation and implementation duties survive.</w:t>
      </w:r>
    </w:p>
    <w:p>
      <w:pPr>
        <w:pStyle w:val="Heading2"/>
        <w:keepNext/>
        <w:spacing w:before="140" w:after="60"/>
      </w:pPr>
      <w:r>
        <w:t>Partial activation</w:t>
      </w:r>
    </w:p>
    <w:p>
      <w:r>
        <w:rPr>
          <w:b w:val="0"/>
          <w:i w:val="0"/>
        </w:rPr>
        <w:t>Sector-specific activation permitted where national emergency architecture would be excessive.</w:t>
      </w:r>
    </w:p>
    <w:p>
      <w:r>
        <w:br w:type="page"/>
      </w:r>
    </w:p>
    <w:p>
      <w:pPr>
        <w:pStyle w:val="Heading1"/>
        <w:keepNext/>
        <w:spacing w:before="140" w:after="60"/>
      </w:pPr>
      <w:r>
        <w:t>6. No-Surprise and Notification Rules</w:t>
      </w:r>
    </w:p>
    <w:p>
      <w:r>
        <w:rPr>
          <w:b w:val="0"/>
          <w:i w:val="0"/>
        </w:rPr>
        <w:t>The protocol’s most important behavioural rule is simple: a Canadian government should not be strategically surprised by another Canadian government during an external trade conflict.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9E7F5"/>
          </w:tcPr>
          <w:p>
            <w:r>
              <w:rPr>
                <w:b/>
                <w:sz w:val="14"/>
              </w:rPr>
              <w:t>Event</w:t>
            </w:r>
          </w:p>
        </w:tc>
        <w:tc>
          <w:tcPr>
            <w:tcW w:type="dxa" w:w="3389"/>
            <w:shd w:fill="D9E7F5"/>
          </w:tcPr>
          <w:p>
            <w:r>
              <w:rPr>
                <w:b/>
                <w:sz w:val="14"/>
              </w:rPr>
              <w:t>Default notice</w:t>
            </w:r>
          </w:p>
        </w:tc>
        <w:tc>
          <w:tcPr>
            <w:tcW w:type="dxa" w:w="3389"/>
            <w:shd w:fill="D9E7F5"/>
          </w:tcPr>
          <w:p>
            <w:r>
              <w:rPr>
                <w:b/>
                <w:sz w:val="14"/>
              </w:rPr>
              <w:t>Required content</w:t>
            </w:r>
          </w:p>
        </w:tc>
      </w:tr>
      <w:tr>
        <w:tc>
          <w:tcPr>
            <w:tcW w:type="dxa" w:w="3389"/>
            <w:vAlign w:val="top"/>
          </w:tcPr>
          <w:p>
            <w:pPr>
              <w:spacing w:after="0"/>
            </w:pPr>
            <w:r>
              <w:rPr>
                <w:sz w:val="14"/>
              </w:rPr>
              <w:t>New federal countermeasure / remission change</w:t>
            </w:r>
          </w:p>
        </w:tc>
        <w:tc>
          <w:tcPr>
            <w:tcW w:type="dxa" w:w="3389"/>
            <w:vAlign w:val="top"/>
          </w:tcPr>
          <w:p>
            <w:pPr>
              <w:spacing w:after="0"/>
            </w:pPr>
            <w:r>
              <w:rPr>
                <w:sz w:val="14"/>
              </w:rPr>
              <w:t>72 hours where practicable; minimum 24 hours in urgent cases</w:t>
            </w:r>
          </w:p>
        </w:tc>
        <w:tc>
          <w:tcPr>
            <w:tcW w:type="dxa" w:w="3389"/>
            <w:vAlign w:val="top"/>
          </w:tcPr>
          <w:p>
            <w:pPr>
              <w:spacing w:after="0"/>
            </w:pPr>
            <w:r>
              <w:rPr>
                <w:sz w:val="14"/>
              </w:rPr>
              <w:t>Scope, legal basis, affected sectors, regional impact, effective date, off-ramp</w:t>
            </w:r>
          </w:p>
        </w:tc>
      </w:tr>
      <w:tr>
        <w:tc>
          <w:tcPr>
            <w:tcW w:type="dxa" w:w="3389"/>
            <w:vAlign w:val="top"/>
          </w:tcPr>
          <w:p>
            <w:pPr>
              <w:spacing w:after="0"/>
            </w:pPr>
            <w:r>
              <w:rPr>
                <w:sz w:val="14"/>
              </w:rPr>
              <w:t>New federal negotiating concession materially affecting a province</w:t>
            </w:r>
          </w:p>
        </w:tc>
        <w:tc>
          <w:tcPr>
            <w:tcW w:type="dxa" w:w="3389"/>
            <w:vAlign w:val="top"/>
          </w:tcPr>
          <w:p>
            <w:pPr>
              <w:spacing w:after="0"/>
            </w:pPr>
            <w:r>
              <w:rPr>
                <w:sz w:val="14"/>
              </w:rPr>
              <w:t>Before tabling externally</w:t>
            </w:r>
          </w:p>
        </w:tc>
        <w:tc>
          <w:tcPr>
            <w:tcW w:type="dxa" w:w="3389"/>
            <w:vAlign w:val="top"/>
          </w:tcPr>
          <w:p>
            <w:pPr>
              <w:spacing w:after="0"/>
            </w:pPr>
            <w:r>
              <w:rPr>
                <w:sz w:val="14"/>
              </w:rPr>
              <w:t>Objective, expected reciprocal gain, affected jurisdictions, safeguards</w:t>
            </w:r>
          </w:p>
        </w:tc>
      </w:tr>
      <w:tr>
        <w:tc>
          <w:tcPr>
            <w:tcW w:type="dxa" w:w="3389"/>
            <w:vAlign w:val="top"/>
          </w:tcPr>
          <w:p>
            <w:pPr>
              <w:spacing w:after="0"/>
            </w:pPr>
            <w:r>
              <w:rPr>
                <w:sz w:val="14"/>
              </w:rPr>
              <w:t>Material U.S. approach to a province/territory</w:t>
            </w:r>
          </w:p>
        </w:tc>
        <w:tc>
          <w:tcPr>
            <w:tcW w:type="dxa" w:w="3389"/>
            <w:vAlign w:val="top"/>
          </w:tcPr>
          <w:p>
            <w:pPr>
              <w:spacing w:after="0"/>
            </w:pPr>
            <w:r>
              <w:rPr>
                <w:sz w:val="14"/>
              </w:rPr>
              <w:t>Within 24 hours of substantive contact</w:t>
            </w:r>
          </w:p>
        </w:tc>
        <w:tc>
          <w:tcPr>
            <w:tcW w:type="dxa" w:w="3389"/>
            <w:vAlign w:val="top"/>
          </w:tcPr>
          <w:p>
            <w:pPr>
              <w:spacing w:after="0"/>
            </w:pPr>
            <w:r>
              <w:rPr>
                <w:sz w:val="14"/>
              </w:rPr>
              <w:t>Who contacted whom, request/offer, confidentiality constraints, next step</w:t>
            </w:r>
          </w:p>
        </w:tc>
      </w:tr>
      <w:tr>
        <w:tc>
          <w:tcPr>
            <w:tcW w:type="dxa" w:w="3389"/>
            <w:vAlign w:val="top"/>
          </w:tcPr>
          <w:p>
            <w:pPr>
              <w:spacing w:after="0"/>
            </w:pPr>
            <w:r>
              <w:rPr>
                <w:sz w:val="14"/>
              </w:rPr>
              <w:t>Province proposes bilateral arrangement with U.S. entity</w:t>
            </w:r>
          </w:p>
        </w:tc>
        <w:tc>
          <w:tcPr>
            <w:tcW w:type="dxa" w:w="3389"/>
            <w:vAlign w:val="top"/>
          </w:tcPr>
          <w:p>
            <w:pPr>
              <w:spacing w:after="0"/>
            </w:pPr>
            <w:r>
              <w:rPr>
                <w:sz w:val="14"/>
              </w:rPr>
              <w:t>Before commitment where national effects are plausible</w:t>
            </w:r>
          </w:p>
        </w:tc>
        <w:tc>
          <w:tcPr>
            <w:tcW w:type="dxa" w:w="3389"/>
            <w:vAlign w:val="top"/>
          </w:tcPr>
          <w:p>
            <w:pPr>
              <w:spacing w:after="0"/>
            </w:pPr>
            <w:r>
              <w:rPr>
                <w:sz w:val="14"/>
              </w:rPr>
              <w:t>Terms, affected sectors, CUSMA/national implications, timing</w:t>
            </w:r>
          </w:p>
        </w:tc>
      </w:tr>
      <w:tr>
        <w:tc>
          <w:tcPr>
            <w:tcW w:type="dxa" w:w="3389"/>
            <w:vAlign w:val="top"/>
          </w:tcPr>
          <w:p>
            <w:pPr>
              <w:spacing w:after="0"/>
            </w:pPr>
            <w:r>
              <w:rPr>
                <w:sz w:val="14"/>
              </w:rPr>
              <w:t>Emergency verbal discussion</w:t>
            </w:r>
          </w:p>
        </w:tc>
        <w:tc>
          <w:tcPr>
            <w:tcW w:type="dxa" w:w="3389"/>
            <w:vAlign w:val="top"/>
          </w:tcPr>
          <w:p>
            <w:pPr>
              <w:spacing w:after="0"/>
            </w:pPr>
            <w:r>
              <w:rPr>
                <w:sz w:val="14"/>
              </w:rPr>
              <w:t>Same day notice</w:t>
            </w:r>
          </w:p>
        </w:tc>
        <w:tc>
          <w:tcPr>
            <w:tcW w:type="dxa" w:w="3389"/>
            <w:vAlign w:val="top"/>
          </w:tcPr>
          <w:p>
            <w:pPr>
              <w:spacing w:after="0"/>
            </w:pPr>
            <w:r>
              <w:rPr>
                <w:sz w:val="14"/>
              </w:rPr>
              <w:t>Oral summary followed by written record within 24 hours</w:t>
            </w:r>
          </w:p>
        </w:tc>
      </w:tr>
    </w:tbl>
    <w:p>
      <w:pPr>
        <w:spacing w:after="20"/>
      </w:pPr>
    </w:p>
    <w:p>
      <w:pPr>
        <w:pStyle w:val="Heading2"/>
        <w:keepNext/>
        <w:spacing w:before="140" w:after="60"/>
      </w:pPr>
      <w:r>
        <w:t>Protected negotiations</w:t>
      </w:r>
    </w:p>
    <w:p>
      <w:r>
        <w:rPr>
          <w:b w:val="0"/>
          <w:i w:val="0"/>
        </w:rPr>
        <w:t>Notice does not mean uncontrolled distribution. Information may be compartmented by security classification, commercial sensitivity, privilege or negotiating sensitivity. A jurisdiction may identify information as restricted, but may not use confidentiality as a pretext to conceal a material commitment from governments whose jurisdiction or economy would be directly affected.</w:t>
      </w:r>
    </w:p>
    <w:p>
      <w:pPr>
        <w:pStyle w:val="Heading2"/>
        <w:keepNext/>
        <w:spacing w:before="140" w:after="60"/>
      </w:pPr>
      <w:r>
        <w:t>Anti-ambush rule</w:t>
      </w:r>
    </w:p>
    <w:p>
      <w:r>
        <w:rPr>
          <w:b w:val="0"/>
          <w:i w:val="0"/>
        </w:rPr>
        <w:t>Where genuine urgency prevents advance notice, the initiating government must provide notice at the earliest safe moment, explain why advance notice was impossible, and provide a review opportunity before irreversible implementation if one remains available.</w:t>
      </w:r>
    </w:p>
    <w:p>
      <w:r>
        <w:br w:type="page"/>
      </w:r>
    </w:p>
    <w:p>
      <w:pPr>
        <w:pStyle w:val="Heading1"/>
        <w:keepNext/>
        <w:spacing w:before="140" w:after="60"/>
      </w:pPr>
      <w:r>
        <w:t>7. Federal-Provincial Negotiating Coordination</w:t>
      </w:r>
    </w:p>
    <w:p>
      <w:r>
        <w:rPr>
          <w:b w:val="0"/>
          <w:i w:val="0"/>
        </w:rPr>
        <w:t>The federal government retains responsibility for Canada’s international negotiating position. The solidarity obligation is therefore not a provincial veto over every federal negotiating move. It is a structured right to be heard, to receive material information, to identify jurisdictional and regional consequences, and to trigger a fairness review before Canada trades away a major provincial interest.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9E7F5"/>
          </w:tcPr>
          <w:p>
            <w:r>
              <w:rPr>
                <w:b/>
                <w:sz w:val="14"/>
              </w:rPr>
              <w:t>Stage</w:t>
            </w:r>
          </w:p>
        </w:tc>
        <w:tc>
          <w:tcPr>
            <w:tcW w:type="dxa" w:w="3389"/>
            <w:shd w:fill="D9E7F5"/>
          </w:tcPr>
          <w:p>
            <w:r>
              <w:rPr>
                <w:b/>
                <w:sz w:val="14"/>
              </w:rPr>
              <w:t>Federal responsibility</w:t>
            </w:r>
          </w:p>
        </w:tc>
        <w:tc>
          <w:tcPr>
            <w:tcW w:type="dxa" w:w="3389"/>
            <w:shd w:fill="D9E7F5"/>
          </w:tcPr>
          <w:p>
            <w:r>
              <w:rPr>
                <w:b/>
                <w:sz w:val="14"/>
              </w:rPr>
              <w:t>Provincial/Territorial responsibility</w:t>
            </w:r>
          </w:p>
        </w:tc>
      </w:tr>
      <w:tr>
        <w:tc>
          <w:tcPr>
            <w:tcW w:type="dxa" w:w="3389"/>
            <w:vAlign w:val="top"/>
          </w:tcPr>
          <w:p>
            <w:pPr>
              <w:spacing w:after="0"/>
            </w:pPr>
            <w:r>
              <w:rPr>
                <w:sz w:val="14"/>
              </w:rPr>
              <w:t>Mandate formation</w:t>
            </w:r>
          </w:p>
        </w:tc>
        <w:tc>
          <w:tcPr>
            <w:tcW w:type="dxa" w:w="3389"/>
            <w:vAlign w:val="top"/>
          </w:tcPr>
          <w:p>
            <w:pPr>
              <w:spacing w:after="0"/>
            </w:pPr>
            <w:r>
              <w:rPr>
                <w:sz w:val="14"/>
              </w:rPr>
              <w:t>Define national objectives and legal envelope</w:t>
            </w:r>
          </w:p>
        </w:tc>
        <w:tc>
          <w:tcPr>
            <w:tcW w:type="dxa" w:w="3389"/>
            <w:vAlign w:val="top"/>
          </w:tcPr>
          <w:p>
            <w:pPr>
              <w:spacing w:after="0"/>
            </w:pPr>
            <w:r>
              <w:rPr>
                <w:sz w:val="14"/>
              </w:rPr>
              <w:t>Identify sector exposure, non-negotiables, feasible concessions</w:t>
            </w:r>
          </w:p>
        </w:tc>
      </w:tr>
      <w:tr>
        <w:tc>
          <w:tcPr>
            <w:tcW w:type="dxa" w:w="3389"/>
            <w:vAlign w:val="top"/>
          </w:tcPr>
          <w:p>
            <w:pPr>
              <w:spacing w:after="0"/>
            </w:pPr>
            <w:r>
              <w:rPr>
                <w:sz w:val="14"/>
              </w:rPr>
              <w:t>Option design</w:t>
            </w:r>
          </w:p>
        </w:tc>
        <w:tc>
          <w:tcPr>
            <w:tcW w:type="dxa" w:w="3389"/>
            <w:vAlign w:val="top"/>
          </w:tcPr>
          <w:p>
            <w:pPr>
              <w:spacing w:after="0"/>
            </w:pPr>
            <w:r>
              <w:rPr>
                <w:sz w:val="14"/>
              </w:rPr>
              <w:t>Integrate national trade-offs</w:t>
            </w:r>
          </w:p>
        </w:tc>
        <w:tc>
          <w:tcPr>
            <w:tcW w:type="dxa" w:w="3389"/>
            <w:vAlign w:val="top"/>
          </w:tcPr>
          <w:p>
            <w:pPr>
              <w:spacing w:after="0"/>
            </w:pPr>
            <w:r>
              <w:rPr>
                <w:sz w:val="14"/>
              </w:rPr>
              <w:t>Provide operational and regional consequences</w:t>
            </w:r>
          </w:p>
        </w:tc>
      </w:tr>
      <w:tr>
        <w:tc>
          <w:tcPr>
            <w:tcW w:type="dxa" w:w="3389"/>
            <w:vAlign w:val="top"/>
          </w:tcPr>
          <w:p>
            <w:pPr>
              <w:spacing w:after="0"/>
            </w:pPr>
            <w:r>
              <w:rPr>
                <w:sz w:val="14"/>
              </w:rPr>
              <w:t>Pre-tabling</w:t>
            </w:r>
          </w:p>
        </w:tc>
        <w:tc>
          <w:tcPr>
            <w:tcW w:type="dxa" w:w="3389"/>
            <w:vAlign w:val="top"/>
          </w:tcPr>
          <w:p>
            <w:pPr>
              <w:spacing w:after="0"/>
            </w:pPr>
            <w:r>
              <w:rPr>
                <w:sz w:val="14"/>
              </w:rPr>
              <w:t>Notify materially affected jurisdictions</w:t>
            </w:r>
          </w:p>
        </w:tc>
        <w:tc>
          <w:tcPr>
            <w:tcW w:type="dxa" w:w="3389"/>
            <w:vAlign w:val="top"/>
          </w:tcPr>
          <w:p>
            <w:pPr>
              <w:spacing w:after="0"/>
            </w:pPr>
            <w:r>
              <w:rPr>
                <w:sz w:val="14"/>
              </w:rPr>
              <w:t>Flag constitutional, fiscal, sector or political obstacles rapidly</w:t>
            </w:r>
          </w:p>
        </w:tc>
      </w:tr>
      <w:tr>
        <w:tc>
          <w:tcPr>
            <w:tcW w:type="dxa" w:w="3389"/>
            <w:vAlign w:val="top"/>
          </w:tcPr>
          <w:p>
            <w:pPr>
              <w:spacing w:after="0"/>
            </w:pPr>
            <w:r>
              <w:rPr>
                <w:sz w:val="14"/>
              </w:rPr>
              <w:t>Negotiation</w:t>
            </w:r>
          </w:p>
        </w:tc>
        <w:tc>
          <w:tcPr>
            <w:tcW w:type="dxa" w:w="3389"/>
            <w:vAlign w:val="top"/>
          </w:tcPr>
          <w:p>
            <w:pPr>
              <w:spacing w:after="0"/>
            </w:pPr>
            <w:r>
              <w:rPr>
                <w:sz w:val="14"/>
              </w:rPr>
              <w:t>Speak for Canada internationally</w:t>
            </w:r>
          </w:p>
        </w:tc>
        <w:tc>
          <w:tcPr>
            <w:tcW w:type="dxa" w:w="3389"/>
            <w:vAlign w:val="top"/>
          </w:tcPr>
          <w:p>
            <w:pPr>
              <w:spacing w:after="0"/>
            </w:pPr>
            <w:r>
              <w:rPr>
                <w:sz w:val="14"/>
              </w:rPr>
              <w:t>Maintain coordinated state-level advocacy and factual support</w:t>
            </w:r>
          </w:p>
        </w:tc>
      </w:tr>
      <w:tr>
        <w:tc>
          <w:tcPr>
            <w:tcW w:type="dxa" w:w="3389"/>
            <w:vAlign w:val="top"/>
          </w:tcPr>
          <w:p>
            <w:pPr>
              <w:spacing w:after="0"/>
            </w:pPr>
            <w:r>
              <w:rPr>
                <w:sz w:val="14"/>
              </w:rPr>
              <w:t>Provisional understanding</w:t>
            </w:r>
          </w:p>
        </w:tc>
        <w:tc>
          <w:tcPr>
            <w:tcW w:type="dxa" w:w="3389"/>
            <w:vAlign w:val="top"/>
          </w:tcPr>
          <w:p>
            <w:pPr>
              <w:spacing w:after="0"/>
            </w:pPr>
            <w:r>
              <w:rPr>
                <w:sz w:val="14"/>
              </w:rPr>
              <w:t>Circulate affected terms under confidentiality</w:t>
            </w:r>
          </w:p>
        </w:tc>
        <w:tc>
          <w:tcPr>
            <w:tcW w:type="dxa" w:w="3389"/>
            <w:vAlign w:val="top"/>
          </w:tcPr>
          <w:p>
            <w:pPr>
              <w:spacing w:after="0"/>
            </w:pPr>
            <w:r>
              <w:rPr>
                <w:sz w:val="14"/>
              </w:rPr>
              <w:t>Confirm implementability and identify mitigation</w:t>
            </w:r>
          </w:p>
        </w:tc>
      </w:tr>
      <w:tr>
        <w:tc>
          <w:tcPr>
            <w:tcW w:type="dxa" w:w="3389"/>
            <w:vAlign w:val="top"/>
          </w:tcPr>
          <w:p>
            <w:pPr>
              <w:spacing w:after="0"/>
            </w:pPr>
            <w:r>
              <w:rPr>
                <w:sz w:val="14"/>
              </w:rPr>
              <w:t>Finalization</w:t>
            </w:r>
          </w:p>
        </w:tc>
        <w:tc>
          <w:tcPr>
            <w:tcW w:type="dxa" w:w="3389"/>
            <w:vAlign w:val="top"/>
          </w:tcPr>
          <w:p>
            <w:pPr>
              <w:spacing w:after="0"/>
            </w:pPr>
            <w:r>
              <w:rPr>
                <w:sz w:val="14"/>
              </w:rPr>
              <w:t>Secure federal approvals and treaty/legal process</w:t>
            </w:r>
          </w:p>
        </w:tc>
        <w:tc>
          <w:tcPr>
            <w:tcW w:type="dxa" w:w="3389"/>
            <w:vAlign w:val="top"/>
          </w:tcPr>
          <w:p>
            <w:pPr>
              <w:spacing w:after="0"/>
            </w:pPr>
            <w:r>
              <w:rPr>
                <w:sz w:val="14"/>
              </w:rPr>
              <w:t>Secure any required provincial policy, regulatory or spending commitments</w:t>
            </w:r>
          </w:p>
        </w:tc>
      </w:tr>
    </w:tbl>
    <w:p>
      <w:pPr>
        <w:spacing w:after="20"/>
      </w:pPr>
    </w:p>
    <w:p>
      <w:pPr>
        <w:pStyle w:val="Heading2"/>
        <w:keepNext/>
        <w:spacing w:before="140" w:after="60"/>
      </w:pPr>
      <w:r>
        <w:t>Recorded dissent</w:t>
      </w:r>
    </w:p>
    <w:p>
      <w:r>
        <w:rPr>
          <w:b w:val="0"/>
          <w:i w:val="0"/>
        </w:rPr>
        <w:t>A province may file a concise Dissent Memorandum stating the nature of its objection and preferred alternative. The federal government must acknowledge it in the decision record. Recording dissent preserves cohesion better than pretending unanimity where none exists.</w:t>
      </w:r>
    </w:p>
    <w:p>
      <w:r>
        <w:br w:type="page"/>
      </w:r>
    </w:p>
    <w:p>
      <w:pPr>
        <w:pStyle w:val="Heading1"/>
        <w:keepNext/>
        <w:spacing w:before="140" w:after="60"/>
      </w:pPr>
      <w:r>
        <w:t>8. Rules for U.S.-Province Bilateral Approaches</w:t>
      </w:r>
    </w:p>
    <w:p>
      <w:r>
        <w:rPr>
          <w:b w:val="0"/>
          <w:i w:val="0"/>
        </w:rPr>
        <w:t>Provincial relationships with U.S. governors, legislatures, industries and regional institutions are strategic assets. The goal is not to federalize them. The goal is to keep those channels from accidentally creating conflicting Canadian commitments.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7F5"/>
          </w:tcPr>
          <w:p>
            <w:r>
              <w:rPr>
                <w:b/>
                <w:sz w:val="14"/>
              </w:rPr>
              <w:t>Rule</w:t>
            </w:r>
          </w:p>
        </w:tc>
        <w:tc>
          <w:tcPr>
            <w:tcW w:type="dxa" w:w="5083"/>
            <w:shd w:fill="D9E7F5"/>
          </w:tcPr>
          <w:p>
            <w:r>
              <w:rPr>
                <w:b/>
                <w:sz w:val="14"/>
              </w:rPr>
              <w:t>Protocol</w:t>
            </w:r>
          </w:p>
        </w:tc>
      </w:tr>
      <w:tr>
        <w:tc>
          <w:tcPr>
            <w:tcW w:type="dxa" w:w="5083"/>
            <w:vAlign w:val="top"/>
          </w:tcPr>
          <w:p>
            <w:pPr>
              <w:spacing w:after="0"/>
            </w:pPr>
            <w:r>
              <w:rPr>
                <w:sz w:val="14"/>
              </w:rPr>
              <w:t>Contact freedom</w:t>
            </w:r>
          </w:p>
        </w:tc>
        <w:tc>
          <w:tcPr>
            <w:tcW w:type="dxa" w:w="5083"/>
            <w:vAlign w:val="top"/>
          </w:tcPr>
          <w:p>
            <w:pPr>
              <w:spacing w:after="0"/>
            </w:pPr>
            <w:r>
              <w:rPr>
                <w:sz w:val="14"/>
              </w:rPr>
              <w:t>Provinces remain free to conduct normal economic and governmental relations with U.S. states and stakeholders.</w:t>
            </w:r>
          </w:p>
        </w:tc>
      </w:tr>
      <w:tr>
        <w:tc>
          <w:tcPr>
            <w:tcW w:type="dxa" w:w="5083"/>
            <w:vAlign w:val="top"/>
          </w:tcPr>
          <w:p>
            <w:pPr>
              <w:spacing w:after="0"/>
            </w:pPr>
            <w:r>
              <w:rPr>
                <w:sz w:val="14"/>
              </w:rPr>
              <w:t>Material-offer notification</w:t>
            </w:r>
          </w:p>
        </w:tc>
        <w:tc>
          <w:tcPr>
            <w:tcW w:type="dxa" w:w="5083"/>
            <w:vAlign w:val="top"/>
          </w:tcPr>
          <w:p>
            <w:pPr>
              <w:spacing w:after="0"/>
            </w:pPr>
            <w:r>
              <w:rPr>
                <w:sz w:val="14"/>
              </w:rPr>
              <w:t>A province reports any U.S. request or offer that could change national tariffs, quotas, procurement access, resource flows, CUSMA treatment or another province’s position.</w:t>
            </w:r>
          </w:p>
        </w:tc>
      </w:tr>
      <w:tr>
        <w:tc>
          <w:tcPr>
            <w:tcW w:type="dxa" w:w="5083"/>
            <w:vAlign w:val="top"/>
          </w:tcPr>
          <w:p>
            <w:pPr>
              <w:spacing w:after="0"/>
            </w:pPr>
            <w:r>
              <w:rPr>
                <w:sz w:val="14"/>
              </w:rPr>
              <w:t>No false authority</w:t>
            </w:r>
          </w:p>
        </w:tc>
        <w:tc>
          <w:tcPr>
            <w:tcW w:type="dxa" w:w="5083"/>
            <w:vAlign w:val="top"/>
          </w:tcPr>
          <w:p>
            <w:pPr>
              <w:spacing w:after="0"/>
            </w:pPr>
            <w:r>
              <w:rPr>
                <w:sz w:val="14"/>
              </w:rPr>
              <w:t>A province does not represent that it can bind Canada on matters outside provincial authority; Ottawa does not represent that it can bind a province on matters requiring provincial action.</w:t>
            </w:r>
          </w:p>
        </w:tc>
      </w:tr>
      <w:tr>
        <w:tc>
          <w:tcPr>
            <w:tcW w:type="dxa" w:w="5083"/>
            <w:vAlign w:val="top"/>
          </w:tcPr>
          <w:p>
            <w:pPr>
              <w:spacing w:after="0"/>
            </w:pPr>
            <w:r>
              <w:rPr>
                <w:sz w:val="14"/>
              </w:rPr>
              <w:t>No hidden sacrifice</w:t>
            </w:r>
          </w:p>
        </w:tc>
        <w:tc>
          <w:tcPr>
            <w:tcW w:type="dxa" w:w="5083"/>
            <w:vAlign w:val="top"/>
          </w:tcPr>
          <w:p>
            <w:pPr>
              <w:spacing w:after="0"/>
            </w:pPr>
            <w:r>
              <w:rPr>
                <w:sz w:val="14"/>
              </w:rPr>
              <w:t>No bilateral understanding should obtain relief for one province by explicitly worsening treatment of another Canadian jurisdiction.</w:t>
            </w:r>
          </w:p>
        </w:tc>
      </w:tr>
      <w:tr>
        <w:tc>
          <w:tcPr>
            <w:tcW w:type="dxa" w:w="5083"/>
            <w:vAlign w:val="top"/>
          </w:tcPr>
          <w:p>
            <w:pPr>
              <w:spacing w:after="0"/>
            </w:pPr>
            <w:r>
              <w:rPr>
                <w:sz w:val="14"/>
              </w:rPr>
              <w:t>Consult-before-commit</w:t>
            </w:r>
          </w:p>
        </w:tc>
        <w:tc>
          <w:tcPr>
            <w:tcW w:type="dxa" w:w="5083"/>
            <w:vAlign w:val="top"/>
          </w:tcPr>
          <w:p>
            <w:pPr>
              <w:spacing w:after="0"/>
            </w:pPr>
            <w:r>
              <w:rPr>
                <w:sz w:val="14"/>
              </w:rPr>
              <w:t>If a proposed arrangement has material national spillovers, a rapid FPT review occurs before political commitment.</w:t>
            </w:r>
          </w:p>
        </w:tc>
      </w:tr>
      <w:tr>
        <w:tc>
          <w:tcPr>
            <w:tcW w:type="dxa" w:w="5083"/>
            <w:vAlign w:val="top"/>
          </w:tcPr>
          <w:p>
            <w:pPr>
              <w:spacing w:after="0"/>
            </w:pPr>
            <w:r>
              <w:rPr>
                <w:sz w:val="14"/>
              </w:rPr>
              <w:t>Local cooperation safe harbour</w:t>
            </w:r>
          </w:p>
        </w:tc>
        <w:tc>
          <w:tcPr>
            <w:tcW w:type="dxa" w:w="5083"/>
            <w:vAlign w:val="top"/>
          </w:tcPr>
          <w:p>
            <w:pPr>
              <w:spacing w:after="0"/>
            </w:pPr>
            <w:r>
              <w:rPr>
                <w:sz w:val="14"/>
              </w:rPr>
              <w:t>Routine trade missions, investment attraction, academic cooperation, mutual aid, cultural ties and ordinary state/province MOUs do not require central approval unless they acquire material trade-conflict implications.</w:t>
            </w:r>
          </w:p>
        </w:tc>
      </w:tr>
    </w:tbl>
    <w:p>
      <w:pPr>
        <w:spacing w:after="20"/>
      </w:pPr>
    </w:p>
    <w:p>
      <w:pPr>
        <w:pStyle w:val="Heading2"/>
        <w:keepNext/>
        <w:spacing w:before="140" w:after="60"/>
      </w:pPr>
      <w:r>
        <w:t>Constructive bilateralism</w:t>
      </w:r>
    </w:p>
    <w:p>
      <w:r>
        <w:rPr>
          <w:b w:val="0"/>
          <w:i w:val="0"/>
        </w:rPr>
        <w:t>The protocol encourages provinces to use their U.S. relationships to explain integrated supply chains, identify localized American costs, maintain friendship, and surface settlement ideas. It discourages competitive undercutting in which jurisdictions bid against each other for unilateral relief.</w:t>
      </w:r>
    </w:p>
    <w:p>
      <w:r>
        <w:br w:type="page"/>
      </w:r>
    </w:p>
    <w:p>
      <w:pPr>
        <w:pStyle w:val="Heading1"/>
        <w:keepNext/>
        <w:spacing w:before="140" w:after="60"/>
      </w:pPr>
      <w:r>
        <w:t>9. Provincial Mandates and Sectoral Red Lines</w:t>
      </w:r>
    </w:p>
    <w:p>
      <w:r>
        <w:rPr>
          <w:b w:val="0"/>
          <w:i w:val="0"/>
        </w:rPr>
        <w:t>Each jurisdiction should maintain a confidential Trade Conflict Mandate Card updated at least quarterly during activation.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7F5"/>
          </w:tcPr>
          <w:p>
            <w:r>
              <w:rPr>
                <w:b/>
                <w:sz w:val="15"/>
              </w:rPr>
              <w:t>Field</w:t>
            </w:r>
          </w:p>
        </w:tc>
        <w:tc>
          <w:tcPr>
            <w:tcW w:type="dxa" w:w="5083"/>
            <w:shd w:fill="D9E7F5"/>
          </w:tcPr>
          <w:p>
            <w:r>
              <w:rPr>
                <w:b/>
                <w:sz w:val="15"/>
              </w:rPr>
              <w:t>Example content</w:t>
            </w:r>
          </w:p>
        </w:tc>
      </w:tr>
      <w:tr>
        <w:tc>
          <w:tcPr>
            <w:tcW w:type="dxa" w:w="5083"/>
            <w:vAlign w:val="top"/>
          </w:tcPr>
          <w:p>
            <w:pPr>
              <w:spacing w:after="0"/>
            </w:pPr>
            <w:r>
              <w:rPr>
                <w:sz w:val="15"/>
              </w:rPr>
              <w:t>Top exposed exports</w:t>
            </w:r>
          </w:p>
        </w:tc>
        <w:tc>
          <w:tcPr>
            <w:tcW w:type="dxa" w:w="5083"/>
            <w:vAlign w:val="top"/>
          </w:tcPr>
          <w:p>
            <w:pPr>
              <w:spacing w:after="0"/>
            </w:pPr>
            <w:r>
              <w:rPr>
                <w:sz w:val="15"/>
              </w:rPr>
              <w:t>Sector, value, jobs, communities</w:t>
            </w:r>
          </w:p>
        </w:tc>
      </w:tr>
      <w:tr>
        <w:tc>
          <w:tcPr>
            <w:tcW w:type="dxa" w:w="5083"/>
            <w:vAlign w:val="top"/>
          </w:tcPr>
          <w:p>
            <w:pPr>
              <w:spacing w:after="0"/>
            </w:pPr>
            <w:r>
              <w:rPr>
                <w:sz w:val="15"/>
              </w:rPr>
              <w:t>Critical imports</w:t>
            </w:r>
          </w:p>
        </w:tc>
        <w:tc>
          <w:tcPr>
            <w:tcW w:type="dxa" w:w="5083"/>
            <w:vAlign w:val="top"/>
          </w:tcPr>
          <w:p>
            <w:pPr>
              <w:spacing w:after="0"/>
            </w:pPr>
            <w:r>
              <w:rPr>
                <w:sz w:val="15"/>
              </w:rPr>
              <w:t>Inputs that cannot be disrupted without disproportionate Canadian harm</w:t>
            </w:r>
          </w:p>
        </w:tc>
      </w:tr>
      <w:tr>
        <w:tc>
          <w:tcPr>
            <w:tcW w:type="dxa" w:w="5083"/>
            <w:vAlign w:val="top"/>
          </w:tcPr>
          <w:p>
            <w:pPr>
              <w:spacing w:after="0"/>
            </w:pPr>
            <w:r>
              <w:rPr>
                <w:sz w:val="15"/>
              </w:rPr>
              <w:t>Provincial authorities</w:t>
            </w:r>
          </w:p>
        </w:tc>
        <w:tc>
          <w:tcPr>
            <w:tcW w:type="dxa" w:w="5083"/>
            <w:vAlign w:val="top"/>
          </w:tcPr>
          <w:p>
            <w:pPr>
              <w:spacing w:after="0"/>
            </w:pPr>
            <w:r>
              <w:rPr>
                <w:sz w:val="15"/>
              </w:rPr>
              <w:t>Regulatory, procurement, resource, infrastructure, tax/spending levers</w:t>
            </w:r>
          </w:p>
        </w:tc>
      </w:tr>
      <w:tr>
        <w:tc>
          <w:tcPr>
            <w:tcW w:type="dxa" w:w="5083"/>
            <w:vAlign w:val="top"/>
          </w:tcPr>
          <w:p>
            <w:pPr>
              <w:spacing w:after="0"/>
            </w:pPr>
            <w:r>
              <w:rPr>
                <w:sz w:val="15"/>
              </w:rPr>
              <w:t>Red lines</w:t>
            </w:r>
          </w:p>
        </w:tc>
        <w:tc>
          <w:tcPr>
            <w:tcW w:type="dxa" w:w="5083"/>
            <w:vAlign w:val="top"/>
          </w:tcPr>
          <w:p>
            <w:pPr>
              <w:spacing w:after="0"/>
            </w:pPr>
            <w:r>
              <w:rPr>
                <w:sz w:val="15"/>
              </w:rPr>
              <w:t>Measures province cannot implement or considers unacceptable</w:t>
            </w:r>
          </w:p>
        </w:tc>
      </w:tr>
      <w:tr>
        <w:tc>
          <w:tcPr>
            <w:tcW w:type="dxa" w:w="5083"/>
            <w:vAlign w:val="top"/>
          </w:tcPr>
          <w:p>
            <w:pPr>
              <w:spacing w:after="0"/>
            </w:pPr>
            <w:r>
              <w:rPr>
                <w:sz w:val="15"/>
              </w:rPr>
              <w:t>Tradable flexibilities</w:t>
            </w:r>
          </w:p>
        </w:tc>
        <w:tc>
          <w:tcPr>
            <w:tcW w:type="dxa" w:w="5083"/>
            <w:vAlign w:val="top"/>
          </w:tcPr>
          <w:p>
            <w:pPr>
              <w:spacing w:after="0"/>
            </w:pPr>
            <w:r>
              <w:rPr>
                <w:sz w:val="15"/>
              </w:rPr>
              <w:t>Areas where provincial policy adjustment may be possible for reciprocal value</w:t>
            </w:r>
          </w:p>
        </w:tc>
      </w:tr>
      <w:tr>
        <w:tc>
          <w:tcPr>
            <w:tcW w:type="dxa" w:w="5083"/>
            <w:vAlign w:val="top"/>
          </w:tcPr>
          <w:p>
            <w:pPr>
              <w:spacing w:after="0"/>
            </w:pPr>
            <w:r>
              <w:rPr>
                <w:sz w:val="15"/>
              </w:rPr>
              <w:t>Support needs</w:t>
            </w:r>
          </w:p>
        </w:tc>
        <w:tc>
          <w:tcPr>
            <w:tcW w:type="dxa" w:w="5083"/>
            <w:vAlign w:val="top"/>
          </w:tcPr>
          <w:p>
            <w:pPr>
              <w:spacing w:after="0"/>
            </w:pPr>
            <w:r>
              <w:rPr>
                <w:sz w:val="15"/>
              </w:rPr>
              <w:t>Worker, business, community, infrastructure or liquidity support</w:t>
            </w:r>
          </w:p>
        </w:tc>
      </w:tr>
      <w:tr>
        <w:tc>
          <w:tcPr>
            <w:tcW w:type="dxa" w:w="5083"/>
            <w:vAlign w:val="top"/>
          </w:tcPr>
          <w:p>
            <w:pPr>
              <w:spacing w:after="0"/>
            </w:pPr>
            <w:r>
              <w:rPr>
                <w:sz w:val="15"/>
              </w:rPr>
              <w:t>U.S. relationship map</w:t>
            </w:r>
          </w:p>
        </w:tc>
        <w:tc>
          <w:tcPr>
            <w:tcW w:type="dxa" w:w="5083"/>
            <w:vAlign w:val="top"/>
          </w:tcPr>
          <w:p>
            <w:pPr>
              <w:spacing w:after="0"/>
            </w:pPr>
            <w:r>
              <w:rPr>
                <w:sz w:val="15"/>
              </w:rPr>
              <w:t>Key states, governors, legislatures, customers, unions, chambers</w:t>
            </w:r>
          </w:p>
        </w:tc>
      </w:tr>
      <w:tr>
        <w:tc>
          <w:tcPr>
            <w:tcW w:type="dxa" w:w="5083"/>
            <w:vAlign w:val="top"/>
          </w:tcPr>
          <w:p>
            <w:pPr>
              <w:spacing w:after="0"/>
            </w:pPr>
            <w:r>
              <w:rPr>
                <w:sz w:val="15"/>
              </w:rPr>
              <w:t>Indigenous implications</w:t>
            </w:r>
          </w:p>
        </w:tc>
        <w:tc>
          <w:tcPr>
            <w:tcW w:type="dxa" w:w="5083"/>
            <w:vAlign w:val="top"/>
          </w:tcPr>
          <w:p>
            <w:pPr>
              <w:spacing w:after="0"/>
            </w:pPr>
            <w:r>
              <w:rPr>
                <w:sz w:val="15"/>
              </w:rPr>
              <w:t>Rights holders and economic partners requiring engagement</w:t>
            </w:r>
          </w:p>
        </w:tc>
      </w:tr>
    </w:tbl>
    <w:p>
      <w:pPr>
        <w:spacing w:after="20"/>
      </w:pPr>
    </w:p>
    <w:p>
      <w:r>
        <w:rPr>
          <w:b w:val="0"/>
          <w:i w:val="0"/>
        </w:rPr>
        <w:t>Mandate cards are inputs, not wish lists that automatically bind Canada. Their purpose is to make conflicts visible early enough to solve them.</w:t>
      </w:r>
    </w:p>
    <w:p>
      <w:r>
        <w:br w:type="page"/>
      </w:r>
    </w:p>
    <w:p>
      <w:pPr>
        <w:pStyle w:val="Heading1"/>
        <w:keepNext/>
        <w:spacing w:before="140" w:after="60"/>
      </w:pPr>
      <w:r>
        <w:t>10. Resource Measures and Provincial Co-Design</w:t>
      </w:r>
    </w:p>
    <w:p>
      <w:r>
        <w:rPr>
          <w:b w:val="0"/>
          <w:i w:val="0"/>
        </w:rPr>
        <w:t>Resource measures are a special category because they can carry enormous national leverage while falling deeply within provincial jurisdiction and regional economic identity. Section 92A of the Constitution Act, 1867 gives provinces exclusive legislative authority over important aspects of non-renewable resources, forestry resources and electrical-energy development. Any national strategy that treats producing provinces as mere delivery arms is strategically brittle and constitutionally unserious.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7F5"/>
          </w:tcPr>
          <w:p>
            <w:r>
              <w:rPr>
                <w:b/>
                <w:sz w:val="15"/>
              </w:rPr>
              <w:t>Gate</w:t>
            </w:r>
          </w:p>
        </w:tc>
        <w:tc>
          <w:tcPr>
            <w:tcW w:type="dxa" w:w="5083"/>
            <w:shd w:fill="D9E7F5"/>
          </w:tcPr>
          <w:p>
            <w:r>
              <w:rPr>
                <w:b/>
                <w:sz w:val="15"/>
              </w:rPr>
              <w:t>Required question</w:t>
            </w:r>
          </w:p>
        </w:tc>
      </w:tr>
      <w:tr>
        <w:tc>
          <w:tcPr>
            <w:tcW w:type="dxa" w:w="5083"/>
            <w:vAlign w:val="top"/>
          </w:tcPr>
          <w:p>
            <w:pPr>
              <w:spacing w:after="0"/>
            </w:pPr>
            <w:r>
              <w:rPr>
                <w:sz w:val="15"/>
              </w:rPr>
              <w:t>Jurisdiction</w:t>
            </w:r>
          </w:p>
        </w:tc>
        <w:tc>
          <w:tcPr>
            <w:tcW w:type="dxa" w:w="5083"/>
            <w:vAlign w:val="top"/>
          </w:tcPr>
          <w:p>
            <w:pPr>
              <w:spacing w:after="0"/>
            </w:pPr>
            <w:r>
              <w:rPr>
                <w:sz w:val="15"/>
              </w:rPr>
              <w:t>Which government actually possesses each needed authority?</w:t>
            </w:r>
          </w:p>
        </w:tc>
      </w:tr>
      <w:tr>
        <w:tc>
          <w:tcPr>
            <w:tcW w:type="dxa" w:w="5083"/>
            <w:vAlign w:val="top"/>
          </w:tcPr>
          <w:p>
            <w:pPr>
              <w:spacing w:after="0"/>
            </w:pPr>
            <w:r>
              <w:rPr>
                <w:sz w:val="15"/>
              </w:rPr>
              <w:t>Ownership / contracts</w:t>
            </w:r>
          </w:p>
        </w:tc>
        <w:tc>
          <w:tcPr>
            <w:tcW w:type="dxa" w:w="5083"/>
            <w:vAlign w:val="top"/>
          </w:tcPr>
          <w:p>
            <w:pPr>
              <w:spacing w:after="0"/>
            </w:pPr>
            <w:r>
              <w:rPr>
                <w:sz w:val="15"/>
              </w:rPr>
              <w:t>Are Crown, private, Indigenous or long-term contractual interests involved?</w:t>
            </w:r>
          </w:p>
        </w:tc>
      </w:tr>
      <w:tr>
        <w:tc>
          <w:tcPr>
            <w:tcW w:type="dxa" w:w="5083"/>
            <w:vAlign w:val="top"/>
          </w:tcPr>
          <w:p>
            <w:pPr>
              <w:spacing w:after="0"/>
            </w:pPr>
            <w:r>
              <w:rPr>
                <w:sz w:val="15"/>
              </w:rPr>
              <w:t>Infrastructure</w:t>
            </w:r>
          </w:p>
        </w:tc>
        <w:tc>
          <w:tcPr>
            <w:tcW w:type="dxa" w:w="5083"/>
            <w:vAlign w:val="top"/>
          </w:tcPr>
          <w:p>
            <w:pPr>
              <w:spacing w:after="0"/>
            </w:pPr>
            <w:r>
              <w:rPr>
                <w:sz w:val="15"/>
              </w:rPr>
              <w:t>Can the proposed volume move physically?</w:t>
            </w:r>
          </w:p>
        </w:tc>
      </w:tr>
      <w:tr>
        <w:tc>
          <w:tcPr>
            <w:tcW w:type="dxa" w:w="5083"/>
            <w:vAlign w:val="top"/>
          </w:tcPr>
          <w:p>
            <w:pPr>
              <w:spacing w:after="0"/>
            </w:pPr>
            <w:r>
              <w:rPr>
                <w:sz w:val="15"/>
              </w:rPr>
              <w:t>Domestic security</w:t>
            </w:r>
          </w:p>
        </w:tc>
        <w:tc>
          <w:tcPr>
            <w:tcW w:type="dxa" w:w="5083"/>
            <w:vAlign w:val="top"/>
          </w:tcPr>
          <w:p>
            <w:pPr>
              <w:spacing w:after="0"/>
            </w:pPr>
            <w:r>
              <w:rPr>
                <w:sz w:val="15"/>
              </w:rPr>
              <w:t>Would redirection threaten Canadian supply or reliability?</w:t>
            </w:r>
          </w:p>
        </w:tc>
      </w:tr>
      <w:tr>
        <w:tc>
          <w:tcPr>
            <w:tcW w:type="dxa" w:w="5083"/>
            <w:vAlign w:val="top"/>
          </w:tcPr>
          <w:p>
            <w:pPr>
              <w:spacing w:after="0"/>
            </w:pPr>
            <w:r>
              <w:rPr>
                <w:sz w:val="15"/>
              </w:rPr>
              <w:t>Revenue</w:t>
            </w:r>
          </w:p>
        </w:tc>
        <w:tc>
          <w:tcPr>
            <w:tcW w:type="dxa" w:w="5083"/>
            <w:vAlign w:val="top"/>
          </w:tcPr>
          <w:p>
            <w:pPr>
              <w:spacing w:after="0"/>
            </w:pPr>
            <w:r>
              <w:rPr>
                <w:sz w:val="15"/>
              </w:rPr>
              <w:t>Who loses royalties, taxes, rents or infrastructure utilization?</w:t>
            </w:r>
          </w:p>
        </w:tc>
      </w:tr>
      <w:tr>
        <w:tc>
          <w:tcPr>
            <w:tcW w:type="dxa" w:w="5083"/>
            <w:vAlign w:val="top"/>
          </w:tcPr>
          <w:p>
            <w:pPr>
              <w:spacing w:after="0"/>
            </w:pPr>
            <w:r>
              <w:rPr>
                <w:sz w:val="15"/>
              </w:rPr>
              <w:t>Indigenous rights</w:t>
            </w:r>
          </w:p>
        </w:tc>
        <w:tc>
          <w:tcPr>
            <w:tcW w:type="dxa" w:w="5083"/>
            <w:vAlign w:val="top"/>
          </w:tcPr>
          <w:p>
            <w:pPr>
              <w:spacing w:after="0"/>
            </w:pPr>
            <w:r>
              <w:rPr>
                <w:sz w:val="15"/>
              </w:rPr>
              <w:t>What consultation, consent, benefit or treaty considerations arise?</w:t>
            </w:r>
          </w:p>
        </w:tc>
      </w:tr>
      <w:tr>
        <w:tc>
          <w:tcPr>
            <w:tcW w:type="dxa" w:w="5083"/>
            <w:vAlign w:val="top"/>
          </w:tcPr>
          <w:p>
            <w:pPr>
              <w:spacing w:after="0"/>
            </w:pPr>
            <w:r>
              <w:rPr>
                <w:sz w:val="15"/>
              </w:rPr>
              <w:t>Producer economics</w:t>
            </w:r>
          </w:p>
        </w:tc>
        <w:tc>
          <w:tcPr>
            <w:tcW w:type="dxa" w:w="5083"/>
            <w:vAlign w:val="top"/>
          </w:tcPr>
          <w:p>
            <w:pPr>
              <w:spacing w:after="0"/>
            </w:pPr>
            <w:r>
              <w:rPr>
                <w:sz w:val="15"/>
              </w:rPr>
              <w:t>Can firms comply without stranded assets or breach?</w:t>
            </w:r>
          </w:p>
        </w:tc>
      </w:tr>
      <w:tr>
        <w:tc>
          <w:tcPr>
            <w:tcW w:type="dxa" w:w="5083"/>
            <w:vAlign w:val="top"/>
          </w:tcPr>
          <w:p>
            <w:pPr>
              <w:spacing w:after="0"/>
            </w:pPr>
            <w:r>
              <w:rPr>
                <w:sz w:val="15"/>
              </w:rPr>
              <w:t>Settlement value</w:t>
            </w:r>
          </w:p>
        </w:tc>
        <w:tc>
          <w:tcPr>
            <w:tcW w:type="dxa" w:w="5083"/>
            <w:vAlign w:val="top"/>
          </w:tcPr>
          <w:p>
            <w:pPr>
              <w:spacing w:after="0"/>
            </w:pPr>
            <w:r>
              <w:rPr>
                <w:sz w:val="15"/>
              </w:rPr>
              <w:t>What concrete reciprocal concession does Canada receive?</w:t>
            </w:r>
          </w:p>
        </w:tc>
      </w:tr>
    </w:tbl>
    <w:p>
      <w:pPr>
        <w:spacing w:after="20"/>
      </w:pPr>
    </w:p>
    <w:p>
      <w:pPr>
        <w:pStyle w:val="Heading2"/>
        <w:keepNext/>
        <w:spacing w:before="140" w:after="60"/>
      </w:pPr>
      <w:r>
        <w:t>Co-design rule</w:t>
      </w:r>
    </w:p>
    <w:p>
      <w:r>
        <w:rPr>
          <w:b w:val="0"/>
          <w:i w:val="0"/>
        </w:rPr>
        <w:t>A resource measure materially dependent on provincial action should not be tabled as a firm Canadian offer until the producing jurisdiction has participated in design and implementability review. Ottawa may explore concepts conditionally, but must label them as subject to domestic authority and consultation.</w:t>
      </w:r>
    </w:p>
    <w:p>
      <w:pPr>
        <w:spacing w:after="40"/>
      </w:pPr>
      <w:r>
        <w:rPr>
          <w:b/>
          <w:sz w:val="14"/>
        </w:rPr>
        <w:t xml:space="preserve">Constitution Act, 1867, s.92A: </w:t>
      </w:r>
      <w:r>
        <w:rPr>
          <w:sz w:val="14"/>
        </w:rPr>
        <w:t>https://laws-lois.justice.gc.ca/eng/const/section-92a.html</w:t>
      </w:r>
    </w:p>
    <w:p>
      <w:r>
        <w:br w:type="page"/>
      </w:r>
    </w:p>
    <w:p>
      <w:pPr>
        <w:pStyle w:val="Heading1"/>
        <w:keepNext/>
        <w:spacing w:before="140" w:after="60"/>
      </w:pPr>
      <w:r>
        <w:t>11. Agricultural and Food-Security Coordination</w:t>
      </w:r>
    </w:p>
    <w:p>
      <w:r>
        <w:rPr>
          <w:b w:val="0"/>
          <w:i w:val="0"/>
        </w:rPr>
        <w:t>Agriculture combines provincial production realities with federal trade, inspection, border and support instruments. The protocol therefore requires commodity-specific consultation before measures that could alter farm input costs, export access, processing economics or food affordability.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7F5"/>
          </w:tcPr>
          <w:p>
            <w:r>
              <w:rPr>
                <w:b/>
                <w:sz w:val="15"/>
              </w:rPr>
              <w:t>Issue</w:t>
            </w:r>
          </w:p>
        </w:tc>
        <w:tc>
          <w:tcPr>
            <w:tcW w:type="dxa" w:w="5083"/>
            <w:shd w:fill="D9E7F5"/>
          </w:tcPr>
          <w:p>
            <w:r>
              <w:rPr>
                <w:b/>
                <w:sz w:val="15"/>
              </w:rPr>
              <w:t>Lead questions</w:t>
            </w:r>
          </w:p>
        </w:tc>
      </w:tr>
      <w:tr>
        <w:tc>
          <w:tcPr>
            <w:tcW w:type="dxa" w:w="5083"/>
            <w:vAlign w:val="top"/>
          </w:tcPr>
          <w:p>
            <w:pPr>
              <w:spacing w:after="0"/>
            </w:pPr>
            <w:r>
              <w:rPr>
                <w:sz w:val="15"/>
              </w:rPr>
              <w:t>Grain / oilseeds</w:t>
            </w:r>
          </w:p>
        </w:tc>
        <w:tc>
          <w:tcPr>
            <w:tcW w:type="dxa" w:w="5083"/>
            <w:vAlign w:val="top"/>
          </w:tcPr>
          <w:p>
            <w:pPr>
              <w:spacing w:after="0"/>
            </w:pPr>
            <w:r>
              <w:rPr>
                <w:sz w:val="15"/>
              </w:rPr>
              <w:t>Market access, rail/port capacity, storage, crop-year timing, price support</w:t>
            </w:r>
          </w:p>
        </w:tc>
      </w:tr>
      <w:tr>
        <w:tc>
          <w:tcPr>
            <w:tcW w:type="dxa" w:w="5083"/>
            <w:vAlign w:val="top"/>
          </w:tcPr>
          <w:p>
            <w:pPr>
              <w:spacing w:after="0"/>
            </w:pPr>
            <w:r>
              <w:rPr>
                <w:sz w:val="15"/>
              </w:rPr>
              <w:t>Dairy / supply-managed sectors</w:t>
            </w:r>
          </w:p>
        </w:tc>
        <w:tc>
          <w:tcPr>
            <w:tcW w:type="dxa" w:w="5083"/>
            <w:vAlign w:val="top"/>
          </w:tcPr>
          <w:p>
            <w:pPr>
              <w:spacing w:after="0"/>
            </w:pPr>
            <w:r>
              <w:rPr>
                <w:sz w:val="15"/>
              </w:rPr>
              <w:t>Provincial quota systems, federal border measures, processor impacts, consumer effects</w:t>
            </w:r>
          </w:p>
        </w:tc>
      </w:tr>
      <w:tr>
        <w:tc>
          <w:tcPr>
            <w:tcW w:type="dxa" w:w="5083"/>
            <w:vAlign w:val="top"/>
          </w:tcPr>
          <w:p>
            <w:pPr>
              <w:spacing w:after="0"/>
            </w:pPr>
            <w:r>
              <w:rPr>
                <w:sz w:val="15"/>
              </w:rPr>
              <w:t>Livestock / meat</w:t>
            </w:r>
          </w:p>
        </w:tc>
        <w:tc>
          <w:tcPr>
            <w:tcW w:type="dxa" w:w="5083"/>
            <w:vAlign w:val="top"/>
          </w:tcPr>
          <w:p>
            <w:pPr>
              <w:spacing w:after="0"/>
            </w:pPr>
            <w:r>
              <w:rPr>
                <w:sz w:val="15"/>
              </w:rPr>
              <w:t>Border inspection, animal-health rules, feed costs, processing capacity</w:t>
            </w:r>
          </w:p>
        </w:tc>
      </w:tr>
      <w:tr>
        <w:tc>
          <w:tcPr>
            <w:tcW w:type="dxa" w:w="5083"/>
            <w:vAlign w:val="top"/>
          </w:tcPr>
          <w:p>
            <w:pPr>
              <w:spacing w:after="0"/>
            </w:pPr>
            <w:r>
              <w:rPr>
                <w:sz w:val="15"/>
              </w:rPr>
              <w:t>Fertilizer / potash</w:t>
            </w:r>
          </w:p>
        </w:tc>
        <w:tc>
          <w:tcPr>
            <w:tcW w:type="dxa" w:w="5083"/>
            <w:vAlign w:val="top"/>
          </w:tcPr>
          <w:p>
            <w:pPr>
              <w:spacing w:after="0"/>
            </w:pPr>
            <w:r>
              <w:rPr>
                <w:sz w:val="15"/>
              </w:rPr>
              <w:t>Producer province, farm affordability, export commitments, logistics</w:t>
            </w:r>
          </w:p>
        </w:tc>
      </w:tr>
      <w:tr>
        <w:tc>
          <w:tcPr>
            <w:tcW w:type="dxa" w:w="5083"/>
            <w:vAlign w:val="top"/>
          </w:tcPr>
          <w:p>
            <w:pPr>
              <w:spacing w:after="0"/>
            </w:pPr>
            <w:r>
              <w:rPr>
                <w:sz w:val="15"/>
              </w:rPr>
              <w:t>Horticulture / seasonal imports</w:t>
            </w:r>
          </w:p>
        </w:tc>
        <w:tc>
          <w:tcPr>
            <w:tcW w:type="dxa" w:w="5083"/>
            <w:vAlign w:val="top"/>
          </w:tcPr>
          <w:p>
            <w:pPr>
              <w:spacing w:after="0"/>
            </w:pPr>
            <w:r>
              <w:rPr>
                <w:sz w:val="15"/>
              </w:rPr>
              <w:t>Canadian substitution capacity and consumer price exposure</w:t>
            </w:r>
          </w:p>
        </w:tc>
      </w:tr>
    </w:tbl>
    <w:p>
      <w:pPr>
        <w:spacing w:after="20"/>
      </w:pPr>
    </w:p>
    <w:p>
      <w:r>
        <w:rPr>
          <w:b w:val="0"/>
          <w:i w:val="0"/>
        </w:rPr>
        <w:t>Food security firewall: governments should not deliberately use acute food shortages, crop failures or emergency scarcity as bargaining leverage. Essential food and farm-input risks trigger expedited exemption and mitigation review.</w:t>
      </w:r>
    </w:p>
    <w:p>
      <w:r>
        <w:br w:type="page"/>
      </w:r>
    </w:p>
    <w:p>
      <w:pPr>
        <w:pStyle w:val="Heading1"/>
        <w:keepNext/>
        <w:spacing w:before="140" w:after="60"/>
      </w:pPr>
      <w:r>
        <w:t>12. Manufacturing, Autos, Steel and Aluminum</w:t>
      </w:r>
    </w:p>
    <w:p>
      <w:r>
        <w:rPr>
          <w:b w:val="0"/>
          <w:i w:val="0"/>
        </w:rPr>
        <w:t>Integrated manufacturing creates a different regional problem: the province that hosts final assembly may not be the province bearing the upstream shock. Burden accounting must therefore follow supply chains, not just customs values.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7F5"/>
          </w:tcPr>
          <w:p>
            <w:r>
              <w:rPr>
                <w:b/>
                <w:sz w:val="15"/>
              </w:rPr>
              <w:t>Required map</w:t>
            </w:r>
          </w:p>
        </w:tc>
        <w:tc>
          <w:tcPr>
            <w:tcW w:type="dxa" w:w="5083"/>
            <w:shd w:fill="D9E7F5"/>
          </w:tcPr>
          <w:p>
            <w:r>
              <w:rPr>
                <w:b/>
                <w:sz w:val="15"/>
              </w:rPr>
              <w:t>Purpose</w:t>
            </w:r>
          </w:p>
        </w:tc>
      </w:tr>
      <w:tr>
        <w:tc>
          <w:tcPr>
            <w:tcW w:type="dxa" w:w="5083"/>
            <w:vAlign w:val="top"/>
          </w:tcPr>
          <w:p>
            <w:pPr>
              <w:spacing w:after="0"/>
            </w:pPr>
            <w:r>
              <w:rPr>
                <w:sz w:val="15"/>
              </w:rPr>
              <w:t>Plant / facility map</w:t>
            </w:r>
          </w:p>
        </w:tc>
        <w:tc>
          <w:tcPr>
            <w:tcW w:type="dxa" w:w="5083"/>
            <w:vAlign w:val="top"/>
          </w:tcPr>
          <w:p>
            <w:pPr>
              <w:spacing w:after="0"/>
            </w:pPr>
            <w:r>
              <w:rPr>
                <w:sz w:val="15"/>
              </w:rPr>
              <w:t>Locate immediate employment exposure</w:t>
            </w:r>
          </w:p>
        </w:tc>
      </w:tr>
      <w:tr>
        <w:tc>
          <w:tcPr>
            <w:tcW w:type="dxa" w:w="5083"/>
            <w:vAlign w:val="top"/>
          </w:tcPr>
          <w:p>
            <w:pPr>
              <w:spacing w:after="0"/>
            </w:pPr>
            <w:r>
              <w:rPr>
                <w:sz w:val="15"/>
              </w:rPr>
              <w:t>Tier 1-3 supplier map</w:t>
            </w:r>
          </w:p>
        </w:tc>
        <w:tc>
          <w:tcPr>
            <w:tcW w:type="dxa" w:w="5083"/>
            <w:vAlign w:val="top"/>
          </w:tcPr>
          <w:p>
            <w:pPr>
              <w:spacing w:after="0"/>
            </w:pPr>
            <w:r>
              <w:rPr>
                <w:sz w:val="15"/>
              </w:rPr>
              <w:t>Capture second-order provincial impacts</w:t>
            </w:r>
          </w:p>
        </w:tc>
      </w:tr>
      <w:tr>
        <w:tc>
          <w:tcPr>
            <w:tcW w:type="dxa" w:w="5083"/>
            <w:vAlign w:val="top"/>
          </w:tcPr>
          <w:p>
            <w:pPr>
              <w:spacing w:after="0"/>
            </w:pPr>
            <w:r>
              <w:rPr>
                <w:sz w:val="15"/>
              </w:rPr>
              <w:t>Cross-border movement count</w:t>
            </w:r>
          </w:p>
        </w:tc>
        <w:tc>
          <w:tcPr>
            <w:tcW w:type="dxa" w:w="5083"/>
            <w:vAlign w:val="top"/>
          </w:tcPr>
          <w:p>
            <w:pPr>
              <w:spacing w:after="0"/>
            </w:pPr>
            <w:r>
              <w:rPr>
                <w:sz w:val="15"/>
              </w:rPr>
              <w:t>Identify components that accumulate border exposure</w:t>
            </w:r>
          </w:p>
        </w:tc>
      </w:tr>
      <w:tr>
        <w:tc>
          <w:tcPr>
            <w:tcW w:type="dxa" w:w="5083"/>
            <w:vAlign w:val="top"/>
          </w:tcPr>
          <w:p>
            <w:pPr>
              <w:spacing w:after="0"/>
            </w:pPr>
            <w:r>
              <w:rPr>
                <w:sz w:val="15"/>
              </w:rPr>
              <w:t>Substitutability</w:t>
            </w:r>
          </w:p>
        </w:tc>
        <w:tc>
          <w:tcPr>
            <w:tcW w:type="dxa" w:w="5083"/>
            <w:vAlign w:val="top"/>
          </w:tcPr>
          <w:p>
            <w:pPr>
              <w:spacing w:after="0"/>
            </w:pPr>
            <w:r>
              <w:rPr>
                <w:sz w:val="15"/>
              </w:rPr>
              <w:t>Distinguish short-term impossibility from medium-term reshoring/diversification</w:t>
            </w:r>
          </w:p>
        </w:tc>
      </w:tr>
      <w:tr>
        <w:tc>
          <w:tcPr>
            <w:tcW w:type="dxa" w:w="5083"/>
            <w:vAlign w:val="top"/>
          </w:tcPr>
          <w:p>
            <w:pPr>
              <w:spacing w:after="0"/>
            </w:pPr>
            <w:r>
              <w:rPr>
                <w:sz w:val="15"/>
              </w:rPr>
              <w:t>Procurement demand</w:t>
            </w:r>
          </w:p>
        </w:tc>
        <w:tc>
          <w:tcPr>
            <w:tcW w:type="dxa" w:w="5083"/>
            <w:vAlign w:val="top"/>
          </w:tcPr>
          <w:p>
            <w:pPr>
              <w:spacing w:after="0"/>
            </w:pPr>
            <w:r>
              <w:rPr>
                <w:sz w:val="15"/>
              </w:rPr>
              <w:t>Use public purchasing where lawful to stabilize Canadian capacity</w:t>
            </w:r>
          </w:p>
        </w:tc>
      </w:tr>
      <w:tr>
        <w:tc>
          <w:tcPr>
            <w:tcW w:type="dxa" w:w="5083"/>
            <w:vAlign w:val="top"/>
          </w:tcPr>
          <w:p>
            <w:pPr>
              <w:spacing w:after="0"/>
            </w:pPr>
            <w:r>
              <w:rPr>
                <w:sz w:val="15"/>
              </w:rPr>
              <w:t>Adjustment lead time</w:t>
            </w:r>
          </w:p>
        </w:tc>
        <w:tc>
          <w:tcPr>
            <w:tcW w:type="dxa" w:w="5083"/>
            <w:vAlign w:val="top"/>
          </w:tcPr>
          <w:p>
            <w:pPr>
              <w:spacing w:after="0"/>
            </w:pPr>
            <w:r>
              <w:rPr>
                <w:sz w:val="15"/>
              </w:rPr>
              <w:t>Prevent policy effective dates that precede feasible operational changes</w:t>
            </w:r>
          </w:p>
        </w:tc>
      </w:tr>
    </w:tbl>
    <w:p>
      <w:pPr>
        <w:spacing w:after="20"/>
      </w:pPr>
    </w:p>
    <w:p>
      <w:r>
        <w:rPr>
          <w:b w:val="0"/>
          <w:i w:val="0"/>
        </w:rPr>
        <w:t>No assembly-province exceptionalism: a settlement that protects final assembly while abandoning upstream steel, aluminum, tooling, electronics or component communities must be evaluated as a national distributional choice, not reported as a clean sectoral win.</w:t>
      </w:r>
    </w:p>
    <w:p>
      <w:r>
        <w:br w:type="page"/>
      </w:r>
    </w:p>
    <w:p>
      <w:pPr>
        <w:pStyle w:val="Heading1"/>
        <w:keepNext/>
        <w:spacing w:before="140" w:after="60"/>
      </w:pPr>
      <w:r>
        <w:t>13. Energy, Electricity and Critical Infrastructure</w:t>
      </w:r>
    </w:p>
    <w:p>
      <w:r>
        <w:rPr>
          <w:b w:val="0"/>
          <w:i w:val="0"/>
        </w:rPr>
        <w:t>Energy bargaining can create outsized leverage and equally outsized Canadian risk. Reliability, affordability, treaty/contract commitments, infrastructure physics and provincial jurisdiction impose hard constraints.</w:t>
      </w:r>
    </w:p>
    <w:p>
      <w:pPr>
        <w:pStyle w:val="ListBullet"/>
      </w:pPr>
      <w:r>
        <w:t>No measure should intentionally create a foreseeable life-safety or grid-reliability emergency.</w:t>
      </w:r>
    </w:p>
    <w:p>
      <w:pPr>
        <w:pStyle w:val="ListBullet"/>
      </w:pPr>
      <w:r>
        <w:t>Cold snaps, heat emergencies, wildfires and major outages create restraint conditions, not bargaining opportunities.</w:t>
      </w:r>
    </w:p>
    <w:p>
      <w:pPr>
        <w:pStyle w:val="ListBullet"/>
      </w:pPr>
      <w:r>
        <w:t>Provincial utilities and regulators must participate where electricity flows or generation commitments are implicated.</w:t>
      </w:r>
    </w:p>
    <w:p>
      <w:pPr>
        <w:pStyle w:val="ListBullet"/>
      </w:pPr>
      <w:r>
        <w:t>Pipeline, transmission and port capacity must be treated as physical constraints, not political assumptions.</w:t>
      </w:r>
    </w:p>
    <w:p>
      <w:pPr>
        <w:pStyle w:val="ListBullet"/>
      </w:pPr>
      <w:r>
        <w:t>Any negotiated supply guarantee must specify duration, volume, pricing principle, force majeure, domestic-priority protection and termination.</w:t>
      </w:r>
    </w:p>
    <w:p>
      <w:pPr>
        <w:pStyle w:val="Heading2"/>
        <w:keepNext/>
        <w:spacing w:before="140" w:after="60"/>
      </w:pPr>
      <w:r>
        <w:t>Energy settlement test</w:t>
      </w:r>
    </w:p>
    <w:p>
      <w:r>
        <w:rPr>
          <w:b w:val="0"/>
          <w:i w:val="0"/>
        </w:rPr>
        <w:t>A province asked to assume a long-duration export, price or infrastructure commitment receives a clear statement of the reciprocal national benefit and the regional compensation/industrial opportunity attached to the bargain.</w:t>
      </w:r>
    </w:p>
    <w:p>
      <w:r>
        <w:br w:type="page"/>
      </w:r>
    </w:p>
    <w:p>
      <w:pPr>
        <w:pStyle w:val="Heading1"/>
        <w:keepNext/>
        <w:spacing w:before="140" w:after="60"/>
      </w:pPr>
      <w:r>
        <w:t>14. Forestry, Fisheries and Regional Export Sectors</w:t>
      </w:r>
    </w:p>
    <w:p>
      <w:r>
        <w:rPr>
          <w:b w:val="0"/>
          <w:i w:val="0"/>
        </w:rPr>
        <w:t>Some sectors are geographically concentrated enough that national averages conceal existential regional exposure. Softwood lumber, fisheries, seafood processing, mining services and other regionally clustered exports require tailored sector tables.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7F5"/>
          </w:tcPr>
          <w:p>
            <w:r>
              <w:rPr>
                <w:b/>
                <w:sz w:val="14"/>
              </w:rPr>
              <w:t>Safeguard</w:t>
            </w:r>
          </w:p>
        </w:tc>
        <w:tc>
          <w:tcPr>
            <w:tcW w:type="dxa" w:w="5083"/>
            <w:shd w:fill="D9E7F5"/>
          </w:tcPr>
          <w:p>
            <w:r>
              <w:rPr>
                <w:b/>
                <w:sz w:val="14"/>
              </w:rPr>
              <w:t>Application</w:t>
            </w:r>
          </w:p>
        </w:tc>
      </w:tr>
      <w:tr>
        <w:tc>
          <w:tcPr>
            <w:tcW w:type="dxa" w:w="5083"/>
            <w:vAlign w:val="top"/>
          </w:tcPr>
          <w:p>
            <w:pPr>
              <w:spacing w:after="0"/>
            </w:pPr>
            <w:r>
              <w:rPr>
                <w:sz w:val="14"/>
              </w:rPr>
              <w:t>Regional materiality threshold</w:t>
            </w:r>
          </w:p>
        </w:tc>
        <w:tc>
          <w:tcPr>
            <w:tcW w:type="dxa" w:w="5083"/>
            <w:vAlign w:val="top"/>
          </w:tcPr>
          <w:p>
            <w:pPr>
              <w:spacing w:after="0"/>
            </w:pPr>
            <w:r>
              <w:rPr>
                <w:sz w:val="14"/>
              </w:rPr>
              <w:t>Automatic sector table when one jurisdiction carries a dominant share of affected employment/value</w:t>
            </w:r>
          </w:p>
        </w:tc>
      </w:tr>
      <w:tr>
        <w:tc>
          <w:tcPr>
            <w:tcW w:type="dxa" w:w="5083"/>
            <w:vAlign w:val="top"/>
          </w:tcPr>
          <w:p>
            <w:pPr>
              <w:spacing w:after="0"/>
            </w:pPr>
            <w:r>
              <w:rPr>
                <w:sz w:val="14"/>
              </w:rPr>
              <w:t>Community concentration factor</w:t>
            </w:r>
          </w:p>
        </w:tc>
        <w:tc>
          <w:tcPr>
            <w:tcW w:type="dxa" w:w="5083"/>
            <w:vAlign w:val="top"/>
          </w:tcPr>
          <w:p>
            <w:pPr>
              <w:spacing w:after="0"/>
            </w:pPr>
            <w:r>
              <w:rPr>
                <w:sz w:val="14"/>
              </w:rPr>
              <w:t>Extra weight where a small number of communities depend heavily on one export</w:t>
            </w:r>
          </w:p>
        </w:tc>
      </w:tr>
      <w:tr>
        <w:tc>
          <w:tcPr>
            <w:tcW w:type="dxa" w:w="5083"/>
            <w:vAlign w:val="top"/>
          </w:tcPr>
          <w:p>
            <w:pPr>
              <w:spacing w:after="0"/>
            </w:pPr>
            <w:r>
              <w:rPr>
                <w:sz w:val="14"/>
              </w:rPr>
              <w:t>Seasonality factor</w:t>
            </w:r>
          </w:p>
        </w:tc>
        <w:tc>
          <w:tcPr>
            <w:tcW w:type="dxa" w:w="5083"/>
            <w:vAlign w:val="top"/>
          </w:tcPr>
          <w:p>
            <w:pPr>
              <w:spacing w:after="0"/>
            </w:pPr>
            <w:r>
              <w:rPr>
                <w:sz w:val="14"/>
              </w:rPr>
              <w:t>Account for fishing seasons, forestry operations, ice/port access and biological cycles</w:t>
            </w:r>
          </w:p>
        </w:tc>
      </w:tr>
      <w:tr>
        <w:tc>
          <w:tcPr>
            <w:tcW w:type="dxa" w:w="5083"/>
            <w:vAlign w:val="top"/>
          </w:tcPr>
          <w:p>
            <w:pPr>
              <w:spacing w:after="0"/>
            </w:pPr>
            <w:r>
              <w:rPr>
                <w:sz w:val="14"/>
              </w:rPr>
              <w:t>Processing-chain factor</w:t>
            </w:r>
          </w:p>
        </w:tc>
        <w:tc>
          <w:tcPr>
            <w:tcW w:type="dxa" w:w="5083"/>
            <w:vAlign w:val="top"/>
          </w:tcPr>
          <w:p>
            <w:pPr>
              <w:spacing w:after="0"/>
            </w:pPr>
            <w:r>
              <w:rPr>
                <w:sz w:val="14"/>
              </w:rPr>
              <w:t>Protect harvesters/producers and processors rather than only final exporter</w:t>
            </w:r>
          </w:p>
        </w:tc>
      </w:tr>
      <w:tr>
        <w:tc>
          <w:tcPr>
            <w:tcW w:type="dxa" w:w="5083"/>
            <w:vAlign w:val="top"/>
          </w:tcPr>
          <w:p>
            <w:pPr>
              <w:spacing w:after="0"/>
            </w:pPr>
            <w:r>
              <w:rPr>
                <w:sz w:val="14"/>
              </w:rPr>
              <w:t>Indigenous economic participation</w:t>
            </w:r>
          </w:p>
        </w:tc>
        <w:tc>
          <w:tcPr>
            <w:tcW w:type="dxa" w:w="5083"/>
            <w:vAlign w:val="top"/>
          </w:tcPr>
          <w:p>
            <w:pPr>
              <w:spacing w:after="0"/>
            </w:pPr>
            <w:r>
              <w:rPr>
                <w:sz w:val="14"/>
              </w:rPr>
              <w:t>Explicitly map Indigenous-owned or co-managed operations</w:t>
            </w:r>
          </w:p>
        </w:tc>
      </w:tr>
      <w:tr>
        <w:tc>
          <w:tcPr>
            <w:tcW w:type="dxa" w:w="5083"/>
            <w:vAlign w:val="top"/>
          </w:tcPr>
          <w:p>
            <w:pPr>
              <w:spacing w:after="0"/>
            </w:pPr>
            <w:r>
              <w:rPr>
                <w:sz w:val="14"/>
              </w:rPr>
              <w:t>Long dispute memory</w:t>
            </w:r>
          </w:p>
        </w:tc>
        <w:tc>
          <w:tcPr>
            <w:tcW w:type="dxa" w:w="5083"/>
            <w:vAlign w:val="top"/>
          </w:tcPr>
          <w:p>
            <w:pPr>
              <w:spacing w:after="0"/>
            </w:pPr>
            <w:r>
              <w:rPr>
                <w:sz w:val="14"/>
              </w:rPr>
              <w:t>In recurring disputes such as lumber, preserve institutional knowledge and litigation history</w:t>
            </w:r>
          </w:p>
        </w:tc>
      </w:tr>
    </w:tbl>
    <w:p>
      <w:pPr>
        <w:spacing w:after="20"/>
      </w:pPr>
    </w:p>
    <w:p>
      <w:r>
        <w:br w:type="page"/>
      </w:r>
    </w:p>
    <w:p>
      <w:pPr>
        <w:pStyle w:val="Heading1"/>
        <w:keepNext/>
        <w:spacing w:before="140" w:after="60"/>
      </w:pPr>
      <w:r>
        <w:t>15. Burden Measurement and Regional Impact Accounting</w:t>
      </w:r>
    </w:p>
    <w:p>
      <w:r>
        <w:rPr>
          <w:b w:val="0"/>
          <w:i w:val="0"/>
        </w:rPr>
        <w:t>The protocol cannot promise fairness without measuring who is paying. A common Regional Trade Conflict Account should be maintained by Finance Canada with provincial/territorial finance ministries and Statistics Canada support where appropriate.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7F5"/>
          </w:tcPr>
          <w:p>
            <w:r>
              <w:rPr>
                <w:b/>
                <w:sz w:val="14"/>
              </w:rPr>
              <w:t>Metric family</w:t>
            </w:r>
          </w:p>
        </w:tc>
        <w:tc>
          <w:tcPr>
            <w:tcW w:type="dxa" w:w="5083"/>
            <w:shd w:fill="D9E7F5"/>
          </w:tcPr>
          <w:p>
            <w:r>
              <w:rPr>
                <w:b/>
                <w:sz w:val="14"/>
              </w:rPr>
              <w:t>Illustrative indicators</w:t>
            </w:r>
          </w:p>
        </w:tc>
      </w:tr>
      <w:tr>
        <w:tc>
          <w:tcPr>
            <w:tcW w:type="dxa" w:w="5083"/>
            <w:vAlign w:val="top"/>
          </w:tcPr>
          <w:p>
            <w:pPr>
              <w:spacing w:after="0"/>
            </w:pPr>
            <w:r>
              <w:rPr>
                <w:sz w:val="14"/>
              </w:rPr>
              <w:t>Trade exposure</w:t>
            </w:r>
          </w:p>
        </w:tc>
        <w:tc>
          <w:tcPr>
            <w:tcW w:type="dxa" w:w="5083"/>
            <w:vAlign w:val="top"/>
          </w:tcPr>
          <w:p>
            <w:pPr>
              <w:spacing w:after="0"/>
            </w:pPr>
            <w:r>
              <w:rPr>
                <w:sz w:val="14"/>
              </w:rPr>
              <w:t>Tariffed export value; lost orders; border delays</w:t>
            </w:r>
          </w:p>
        </w:tc>
      </w:tr>
      <w:tr>
        <w:tc>
          <w:tcPr>
            <w:tcW w:type="dxa" w:w="5083"/>
            <w:vAlign w:val="top"/>
          </w:tcPr>
          <w:p>
            <w:pPr>
              <w:spacing w:after="0"/>
            </w:pPr>
            <w:r>
              <w:rPr>
                <w:sz w:val="14"/>
              </w:rPr>
              <w:t>Employment</w:t>
            </w:r>
          </w:p>
        </w:tc>
        <w:tc>
          <w:tcPr>
            <w:tcW w:type="dxa" w:w="5083"/>
            <w:vAlign w:val="top"/>
          </w:tcPr>
          <w:p>
            <w:pPr>
              <w:spacing w:after="0"/>
            </w:pPr>
            <w:r>
              <w:rPr>
                <w:sz w:val="14"/>
              </w:rPr>
              <w:t>Layoffs, hours, vacancies, EI claims, sector concentration</w:t>
            </w:r>
          </w:p>
        </w:tc>
      </w:tr>
      <w:tr>
        <w:tc>
          <w:tcPr>
            <w:tcW w:type="dxa" w:w="5083"/>
            <w:vAlign w:val="top"/>
          </w:tcPr>
          <w:p>
            <w:pPr>
              <w:spacing w:after="0"/>
            </w:pPr>
            <w:r>
              <w:rPr>
                <w:sz w:val="14"/>
              </w:rPr>
              <w:t>Business viability</w:t>
            </w:r>
          </w:p>
        </w:tc>
        <w:tc>
          <w:tcPr>
            <w:tcW w:type="dxa" w:w="5083"/>
            <w:vAlign w:val="top"/>
          </w:tcPr>
          <w:p>
            <w:pPr>
              <w:spacing w:after="0"/>
            </w:pPr>
            <w:r>
              <w:rPr>
                <w:sz w:val="14"/>
              </w:rPr>
              <w:t>Liquidity stress, insolvency, margin compression, cancelled investment</w:t>
            </w:r>
          </w:p>
        </w:tc>
      </w:tr>
      <w:tr>
        <w:tc>
          <w:tcPr>
            <w:tcW w:type="dxa" w:w="5083"/>
            <w:vAlign w:val="top"/>
          </w:tcPr>
          <w:p>
            <w:pPr>
              <w:spacing w:after="0"/>
            </w:pPr>
            <w:r>
              <w:rPr>
                <w:sz w:val="14"/>
              </w:rPr>
              <w:t>Households</w:t>
            </w:r>
          </w:p>
        </w:tc>
        <w:tc>
          <w:tcPr>
            <w:tcW w:type="dxa" w:w="5083"/>
            <w:vAlign w:val="top"/>
          </w:tcPr>
          <w:p>
            <w:pPr>
              <w:spacing w:after="0"/>
            </w:pPr>
            <w:r>
              <w:rPr>
                <w:sz w:val="14"/>
              </w:rPr>
              <w:t>Price pass-through, energy/food exposure, regional affordability</w:t>
            </w:r>
          </w:p>
        </w:tc>
      </w:tr>
      <w:tr>
        <w:tc>
          <w:tcPr>
            <w:tcW w:type="dxa" w:w="5083"/>
            <w:vAlign w:val="top"/>
          </w:tcPr>
          <w:p>
            <w:pPr>
              <w:spacing w:after="0"/>
            </w:pPr>
            <w:r>
              <w:rPr>
                <w:sz w:val="14"/>
              </w:rPr>
              <w:t>Fiscal</w:t>
            </w:r>
          </w:p>
        </w:tc>
        <w:tc>
          <w:tcPr>
            <w:tcW w:type="dxa" w:w="5083"/>
            <w:vAlign w:val="top"/>
          </w:tcPr>
          <w:p>
            <w:pPr>
              <w:spacing w:after="0"/>
            </w:pPr>
            <w:r>
              <w:rPr>
                <w:sz w:val="14"/>
              </w:rPr>
              <w:t>Lost provincial revenues, support spending, municipal impacts</w:t>
            </w:r>
          </w:p>
        </w:tc>
      </w:tr>
      <w:tr>
        <w:tc>
          <w:tcPr>
            <w:tcW w:type="dxa" w:w="5083"/>
            <w:vAlign w:val="top"/>
          </w:tcPr>
          <w:p>
            <w:pPr>
              <w:spacing w:after="0"/>
            </w:pPr>
            <w:r>
              <w:rPr>
                <w:sz w:val="14"/>
              </w:rPr>
              <w:t>Supply chains</w:t>
            </w:r>
          </w:p>
        </w:tc>
        <w:tc>
          <w:tcPr>
            <w:tcW w:type="dxa" w:w="5083"/>
            <w:vAlign w:val="top"/>
          </w:tcPr>
          <w:p>
            <w:pPr>
              <w:spacing w:after="0"/>
            </w:pPr>
            <w:r>
              <w:rPr>
                <w:sz w:val="14"/>
              </w:rPr>
              <w:t>Critical input shortages, substitute costs, inventory days</w:t>
            </w:r>
          </w:p>
        </w:tc>
      </w:tr>
      <w:tr>
        <w:tc>
          <w:tcPr>
            <w:tcW w:type="dxa" w:w="5083"/>
            <w:vAlign w:val="top"/>
          </w:tcPr>
          <w:p>
            <w:pPr>
              <w:spacing w:after="0"/>
            </w:pPr>
            <w:r>
              <w:rPr>
                <w:sz w:val="14"/>
              </w:rPr>
              <w:t>Community</w:t>
            </w:r>
          </w:p>
        </w:tc>
        <w:tc>
          <w:tcPr>
            <w:tcW w:type="dxa" w:w="5083"/>
            <w:vAlign w:val="top"/>
          </w:tcPr>
          <w:p>
            <w:pPr>
              <w:spacing w:after="0"/>
            </w:pPr>
            <w:r>
              <w:rPr>
                <w:sz w:val="14"/>
              </w:rPr>
              <w:t>Single-industry exposure, northern/remote impacts</w:t>
            </w:r>
          </w:p>
        </w:tc>
      </w:tr>
      <w:tr>
        <w:tc>
          <w:tcPr>
            <w:tcW w:type="dxa" w:w="5083"/>
            <w:vAlign w:val="top"/>
          </w:tcPr>
          <w:p>
            <w:pPr>
              <w:spacing w:after="0"/>
            </w:pPr>
            <w:r>
              <w:rPr>
                <w:sz w:val="14"/>
              </w:rPr>
              <w:t>Strategic value</w:t>
            </w:r>
          </w:p>
        </w:tc>
        <w:tc>
          <w:tcPr>
            <w:tcW w:type="dxa" w:w="5083"/>
            <w:vAlign w:val="top"/>
          </w:tcPr>
          <w:p>
            <w:pPr>
              <w:spacing w:after="0"/>
            </w:pPr>
            <w:r>
              <w:rPr>
                <w:sz w:val="14"/>
              </w:rPr>
              <w:t>Capacity Canada may need to preserve even if short-run economics deteriorate</w:t>
            </w:r>
          </w:p>
        </w:tc>
      </w:tr>
    </w:tbl>
    <w:p>
      <w:pPr>
        <w:spacing w:after="20"/>
      </w:pPr>
    </w:p>
    <w:p>
      <w:pPr>
        <w:pStyle w:val="Heading2"/>
        <w:keepNext/>
        <w:spacing w:before="140" w:after="60"/>
      </w:pPr>
      <w:r>
        <w:t>Burden Index</w:t>
      </w:r>
    </w:p>
    <w:p>
      <w:r>
        <w:rPr>
          <w:b w:val="0"/>
          <w:i w:val="0"/>
        </w:rPr>
        <w:t>A standardized burden index may be used for comparison, but it should never mechanically determine compensation. It is a decision aid that combines magnitude, duration, concentration, substitutability and fiscal capacity.</w:t>
      </w:r>
    </w:p>
    <w:p>
      <w:r>
        <w:br w:type="page"/>
      </w:r>
    </w:p>
    <w:p>
      <w:pPr>
        <w:pStyle w:val="Heading1"/>
        <w:keepNext/>
        <w:spacing w:before="140" w:after="60"/>
      </w:pPr>
      <w:r>
        <w:t>16. Compensation Architecture</w:t>
      </w:r>
    </w:p>
    <w:p>
      <w:r>
        <w:rPr>
          <w:b w:val="0"/>
          <w:i w:val="0"/>
        </w:rPr>
        <w:t>Compensation is not a reward for political loyalty. It is the mechanism that makes nationally chosen risk shareable across a federation.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7F5"/>
          </w:tcPr>
          <w:p>
            <w:r>
              <w:rPr>
                <w:b/>
                <w:sz w:val="14"/>
              </w:rPr>
              <w:t>Instrument</w:t>
            </w:r>
          </w:p>
        </w:tc>
        <w:tc>
          <w:tcPr>
            <w:tcW w:type="dxa" w:w="5083"/>
            <w:shd w:fill="D9E7F5"/>
          </w:tcPr>
          <w:p>
            <w:r>
              <w:rPr>
                <w:b/>
                <w:sz w:val="14"/>
              </w:rPr>
              <w:t>Best use</w:t>
            </w:r>
          </w:p>
        </w:tc>
      </w:tr>
      <w:tr>
        <w:tc>
          <w:tcPr>
            <w:tcW w:type="dxa" w:w="5083"/>
            <w:vAlign w:val="top"/>
          </w:tcPr>
          <w:p>
            <w:pPr>
              <w:spacing w:after="0"/>
            </w:pPr>
            <w:r>
              <w:rPr>
                <w:sz w:val="14"/>
              </w:rPr>
              <w:t>Immediate liquidity</w:t>
            </w:r>
          </w:p>
        </w:tc>
        <w:tc>
          <w:tcPr>
            <w:tcW w:type="dxa" w:w="5083"/>
            <w:vAlign w:val="top"/>
          </w:tcPr>
          <w:p>
            <w:pPr>
              <w:spacing w:after="0"/>
            </w:pPr>
            <w:r>
              <w:rPr>
                <w:sz w:val="14"/>
              </w:rPr>
              <w:t>Viable firms hit by sudden tariff cash-flow shocks</w:t>
            </w:r>
          </w:p>
        </w:tc>
      </w:tr>
      <w:tr>
        <w:tc>
          <w:tcPr>
            <w:tcW w:type="dxa" w:w="5083"/>
            <w:vAlign w:val="top"/>
          </w:tcPr>
          <w:p>
            <w:pPr>
              <w:spacing w:after="0"/>
            </w:pPr>
            <w:r>
              <w:rPr>
                <w:sz w:val="14"/>
              </w:rPr>
              <w:t>Worker income / training</w:t>
            </w:r>
          </w:p>
        </w:tc>
        <w:tc>
          <w:tcPr>
            <w:tcW w:type="dxa" w:w="5083"/>
            <w:vAlign w:val="top"/>
          </w:tcPr>
          <w:p>
            <w:pPr>
              <w:spacing w:after="0"/>
            </w:pPr>
            <w:r>
              <w:rPr>
                <w:sz w:val="14"/>
              </w:rPr>
              <w:t>Layoffs, reduced hours, occupational transition</w:t>
            </w:r>
          </w:p>
        </w:tc>
      </w:tr>
      <w:tr>
        <w:tc>
          <w:tcPr>
            <w:tcW w:type="dxa" w:w="5083"/>
            <w:vAlign w:val="top"/>
          </w:tcPr>
          <w:p>
            <w:pPr>
              <w:spacing w:after="0"/>
            </w:pPr>
            <w:r>
              <w:rPr>
                <w:sz w:val="14"/>
              </w:rPr>
              <w:t>Community stabilization</w:t>
            </w:r>
          </w:p>
        </w:tc>
        <w:tc>
          <w:tcPr>
            <w:tcW w:type="dxa" w:w="5083"/>
            <w:vAlign w:val="top"/>
          </w:tcPr>
          <w:p>
            <w:pPr>
              <w:spacing w:after="0"/>
            </w:pPr>
            <w:r>
              <w:rPr>
                <w:sz w:val="14"/>
              </w:rPr>
              <w:t>Concentrated local tax-base or employment losses</w:t>
            </w:r>
          </w:p>
        </w:tc>
      </w:tr>
      <w:tr>
        <w:tc>
          <w:tcPr>
            <w:tcW w:type="dxa" w:w="5083"/>
            <w:vAlign w:val="top"/>
          </w:tcPr>
          <w:p>
            <w:pPr>
              <w:spacing w:after="0"/>
            </w:pPr>
            <w:r>
              <w:rPr>
                <w:sz w:val="14"/>
              </w:rPr>
              <w:t>Provincial fiscal sharing</w:t>
            </w:r>
          </w:p>
        </w:tc>
        <w:tc>
          <w:tcPr>
            <w:tcW w:type="dxa" w:w="5083"/>
            <w:vAlign w:val="top"/>
          </w:tcPr>
          <w:p>
            <w:pPr>
              <w:spacing w:after="0"/>
            </w:pPr>
            <w:r>
              <w:rPr>
                <w:sz w:val="14"/>
              </w:rPr>
              <w:t>Large region-specific program burdens arising from national action</w:t>
            </w:r>
          </w:p>
        </w:tc>
      </w:tr>
      <w:tr>
        <w:tc>
          <w:tcPr>
            <w:tcW w:type="dxa" w:w="5083"/>
            <w:vAlign w:val="top"/>
          </w:tcPr>
          <w:p>
            <w:pPr>
              <w:spacing w:after="0"/>
            </w:pPr>
            <w:r>
              <w:rPr>
                <w:sz w:val="14"/>
              </w:rPr>
              <w:t>Investment conversion</w:t>
            </w:r>
          </w:p>
        </w:tc>
        <w:tc>
          <w:tcPr>
            <w:tcW w:type="dxa" w:w="5083"/>
            <w:vAlign w:val="top"/>
          </w:tcPr>
          <w:p>
            <w:pPr>
              <w:spacing w:after="0"/>
            </w:pPr>
            <w:r>
              <w:rPr>
                <w:sz w:val="14"/>
              </w:rPr>
              <w:t>Retooling toward Canadian or non-U.S. markets</w:t>
            </w:r>
          </w:p>
        </w:tc>
      </w:tr>
      <w:tr>
        <w:tc>
          <w:tcPr>
            <w:tcW w:type="dxa" w:w="5083"/>
            <w:vAlign w:val="top"/>
          </w:tcPr>
          <w:p>
            <w:pPr>
              <w:spacing w:after="0"/>
            </w:pPr>
            <w:r>
              <w:rPr>
                <w:sz w:val="14"/>
              </w:rPr>
              <w:t>Infrastructure acceleration</w:t>
            </w:r>
          </w:p>
        </w:tc>
        <w:tc>
          <w:tcPr>
            <w:tcW w:type="dxa" w:w="5083"/>
            <w:vAlign w:val="top"/>
          </w:tcPr>
          <w:p>
            <w:pPr>
              <w:spacing w:after="0"/>
            </w:pPr>
            <w:r>
              <w:rPr>
                <w:sz w:val="14"/>
              </w:rPr>
              <w:t>Ports, rail, transmission, processing needed for diversification</w:t>
            </w:r>
          </w:p>
        </w:tc>
      </w:tr>
      <w:tr>
        <w:tc>
          <w:tcPr>
            <w:tcW w:type="dxa" w:w="5083"/>
            <w:vAlign w:val="top"/>
          </w:tcPr>
          <w:p>
            <w:pPr>
              <w:spacing w:after="0"/>
            </w:pPr>
            <w:r>
              <w:rPr>
                <w:sz w:val="14"/>
              </w:rPr>
              <w:t>Procurement bridge</w:t>
            </w:r>
          </w:p>
        </w:tc>
        <w:tc>
          <w:tcPr>
            <w:tcW w:type="dxa" w:w="5083"/>
            <w:vAlign w:val="top"/>
          </w:tcPr>
          <w:p>
            <w:pPr>
              <w:spacing w:after="0"/>
            </w:pPr>
            <w:r>
              <w:rPr>
                <w:sz w:val="14"/>
              </w:rPr>
              <w:t>Temporary demand stabilization where lawful and value-for-money justified</w:t>
            </w:r>
          </w:p>
        </w:tc>
      </w:tr>
      <w:tr>
        <w:tc>
          <w:tcPr>
            <w:tcW w:type="dxa" w:w="5083"/>
            <w:vAlign w:val="top"/>
          </w:tcPr>
          <w:p>
            <w:pPr>
              <w:spacing w:after="0"/>
            </w:pPr>
            <w:r>
              <w:rPr>
                <w:sz w:val="14"/>
              </w:rPr>
              <w:t>Loan guarantees / insurance</w:t>
            </w:r>
          </w:p>
        </w:tc>
        <w:tc>
          <w:tcPr>
            <w:tcW w:type="dxa" w:w="5083"/>
            <w:vAlign w:val="top"/>
          </w:tcPr>
          <w:p>
            <w:pPr>
              <w:spacing w:after="0"/>
            </w:pPr>
            <w:r>
              <w:rPr>
                <w:sz w:val="14"/>
              </w:rPr>
              <w:t>Bankable firms facing extraordinary political risk</w:t>
            </w:r>
          </w:p>
        </w:tc>
      </w:tr>
    </w:tbl>
    <w:p>
      <w:pPr>
        <w:spacing w:after="20"/>
      </w:pPr>
    </w:p>
    <w:p>
      <w:pPr>
        <w:pStyle w:val="Heading2"/>
        <w:keepNext/>
        <w:spacing w:before="140" w:after="60"/>
      </w:pPr>
      <w:r>
        <w:t>Compensation principles</w:t>
      </w:r>
    </w:p>
    <w:p>
      <w:pPr>
        <w:pStyle w:val="ListBullet"/>
      </w:pPr>
      <w:r>
        <w:t>Additionality: compensate conflict-caused burdens, not ordinary structural decline.</w:t>
      </w:r>
    </w:p>
    <w:p>
      <w:pPr>
        <w:pStyle w:val="ListBullet"/>
      </w:pPr>
      <w:r>
        <w:t>Conditionality: support may require credible viability or transition plans.</w:t>
      </w:r>
    </w:p>
    <w:p>
      <w:pPr>
        <w:pStyle w:val="ListBullet"/>
      </w:pPr>
      <w:r>
        <w:t>Symmetry: comparable burdens receive comparable treatment, adjusted for circumstances.</w:t>
      </w:r>
    </w:p>
    <w:p>
      <w:pPr>
        <w:pStyle w:val="ListBullet"/>
      </w:pPr>
      <w:r>
        <w:t>Sunset: emergency aid expires or transitions into normal programs.</w:t>
      </w:r>
    </w:p>
    <w:p>
      <w:pPr>
        <w:pStyle w:val="ListBullet"/>
      </w:pPr>
      <w:r>
        <w:t>No ransom: compensation cannot be conditioned on a province surrendering constitutional jurisdiction.</w:t>
      </w:r>
    </w:p>
    <w:p>
      <w:r>
        <w:br w:type="page"/>
      </w:r>
    </w:p>
    <w:p>
      <w:pPr>
        <w:pStyle w:val="Heading1"/>
        <w:keepNext/>
        <w:spacing w:before="140" w:after="60"/>
      </w:pPr>
      <w:r>
        <w:t>17. No-Province-Sacrificed Safeguard</w:t>
      </w:r>
    </w:p>
    <w:p>
      <w:r>
        <w:rPr>
          <w:b w:val="0"/>
          <w:i w:val="0"/>
        </w:rPr>
        <w:t>This is the protocol’s political core. Canada may make trade-offs. It cannot promise that every jurisdiction wins every negotiation. It can promise that a materially harmed jurisdiction will not be treated as expendable or hidden inside a national headline.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7F5"/>
          </w:tcPr>
          <w:p>
            <w:r>
              <w:rPr>
                <w:b/>
                <w:sz w:val="14"/>
              </w:rPr>
              <w:t>Fairness gate</w:t>
            </w:r>
          </w:p>
        </w:tc>
        <w:tc>
          <w:tcPr>
            <w:tcW w:type="dxa" w:w="5083"/>
            <w:shd w:fill="D9E7F5"/>
          </w:tcPr>
          <w:p>
            <w:r>
              <w:rPr>
                <w:b/>
                <w:sz w:val="14"/>
              </w:rPr>
              <w:t>Requirement before final settlement</w:t>
            </w:r>
          </w:p>
        </w:tc>
      </w:tr>
      <w:tr>
        <w:tc>
          <w:tcPr>
            <w:tcW w:type="dxa" w:w="5083"/>
            <w:vAlign w:val="top"/>
          </w:tcPr>
          <w:p>
            <w:pPr>
              <w:spacing w:after="0"/>
            </w:pPr>
            <w:r>
              <w:rPr>
                <w:sz w:val="14"/>
              </w:rPr>
              <w:t>Material adverse effect</w:t>
            </w:r>
          </w:p>
        </w:tc>
        <w:tc>
          <w:tcPr>
            <w:tcW w:type="dxa" w:w="5083"/>
            <w:vAlign w:val="top"/>
          </w:tcPr>
          <w:p>
            <w:pPr>
              <w:spacing w:after="0"/>
            </w:pPr>
            <w:r>
              <w:rPr>
                <w:sz w:val="14"/>
              </w:rPr>
              <w:t>Identify any jurisdiction expected to bear concentrated new losses</w:t>
            </w:r>
          </w:p>
        </w:tc>
      </w:tr>
      <w:tr>
        <w:tc>
          <w:tcPr>
            <w:tcW w:type="dxa" w:w="5083"/>
            <w:vAlign w:val="top"/>
          </w:tcPr>
          <w:p>
            <w:pPr>
              <w:spacing w:after="0"/>
            </w:pPr>
            <w:r>
              <w:rPr>
                <w:sz w:val="14"/>
              </w:rPr>
              <w:t>Participation</w:t>
            </w:r>
          </w:p>
        </w:tc>
        <w:tc>
          <w:tcPr>
            <w:tcW w:type="dxa" w:w="5083"/>
            <w:vAlign w:val="top"/>
          </w:tcPr>
          <w:p>
            <w:pPr>
              <w:spacing w:after="0"/>
            </w:pPr>
            <w:r>
              <w:rPr>
                <w:sz w:val="14"/>
              </w:rPr>
              <w:t>Affected government receives relevant terms and opportunity to propose alternatives</w:t>
            </w:r>
          </w:p>
        </w:tc>
      </w:tr>
      <w:tr>
        <w:tc>
          <w:tcPr>
            <w:tcW w:type="dxa" w:w="5083"/>
            <w:vAlign w:val="top"/>
          </w:tcPr>
          <w:p>
            <w:pPr>
              <w:spacing w:after="0"/>
            </w:pPr>
            <w:r>
              <w:rPr>
                <w:sz w:val="14"/>
              </w:rPr>
              <w:t>Alternatives</w:t>
            </w:r>
          </w:p>
        </w:tc>
        <w:tc>
          <w:tcPr>
            <w:tcW w:type="dxa" w:w="5083"/>
            <w:vAlign w:val="top"/>
          </w:tcPr>
          <w:p>
            <w:pPr>
              <w:spacing w:after="0"/>
            </w:pPr>
            <w:r>
              <w:rPr>
                <w:sz w:val="14"/>
              </w:rPr>
              <w:t>Record whether less regionally concentrated options were considered</w:t>
            </w:r>
          </w:p>
        </w:tc>
      </w:tr>
      <w:tr>
        <w:tc>
          <w:tcPr>
            <w:tcW w:type="dxa" w:w="5083"/>
            <w:vAlign w:val="top"/>
          </w:tcPr>
          <w:p>
            <w:pPr>
              <w:spacing w:after="0"/>
            </w:pPr>
            <w:r>
              <w:rPr>
                <w:sz w:val="14"/>
              </w:rPr>
              <w:t>Reciprocal value</w:t>
            </w:r>
          </w:p>
        </w:tc>
        <w:tc>
          <w:tcPr>
            <w:tcW w:type="dxa" w:w="5083"/>
            <w:vAlign w:val="top"/>
          </w:tcPr>
          <w:p>
            <w:pPr>
              <w:spacing w:after="0"/>
            </w:pPr>
            <w:r>
              <w:rPr>
                <w:sz w:val="14"/>
              </w:rPr>
              <w:t>State what Canada receives in return for the burden</w:t>
            </w:r>
          </w:p>
        </w:tc>
      </w:tr>
      <w:tr>
        <w:tc>
          <w:tcPr>
            <w:tcW w:type="dxa" w:w="5083"/>
            <w:vAlign w:val="top"/>
          </w:tcPr>
          <w:p>
            <w:pPr>
              <w:spacing w:after="0"/>
            </w:pPr>
            <w:r>
              <w:rPr>
                <w:sz w:val="14"/>
              </w:rPr>
              <w:t>Mitigation</w:t>
            </w:r>
          </w:p>
        </w:tc>
        <w:tc>
          <w:tcPr>
            <w:tcW w:type="dxa" w:w="5083"/>
            <w:vAlign w:val="top"/>
          </w:tcPr>
          <w:p>
            <w:pPr>
              <w:spacing w:after="0"/>
            </w:pPr>
            <w:r>
              <w:rPr>
                <w:sz w:val="14"/>
              </w:rPr>
              <w:t>Define compensation, transition, carve-out, phase-in, infrastructure or diversification response</w:t>
            </w:r>
          </w:p>
        </w:tc>
      </w:tr>
      <w:tr>
        <w:tc>
          <w:tcPr>
            <w:tcW w:type="dxa" w:w="5083"/>
            <w:vAlign w:val="top"/>
          </w:tcPr>
          <w:p>
            <w:pPr>
              <w:spacing w:after="0"/>
            </w:pPr>
            <w:r>
              <w:rPr>
                <w:sz w:val="14"/>
              </w:rPr>
              <w:t>Duration</w:t>
            </w:r>
          </w:p>
        </w:tc>
        <w:tc>
          <w:tcPr>
            <w:tcW w:type="dxa" w:w="5083"/>
            <w:vAlign w:val="top"/>
          </w:tcPr>
          <w:p>
            <w:pPr>
              <w:spacing w:after="0"/>
            </w:pPr>
            <w:r>
              <w:rPr>
                <w:sz w:val="14"/>
              </w:rPr>
              <w:t>Avoid indefinite regional sacrifice for temporary national gain</w:t>
            </w:r>
          </w:p>
        </w:tc>
      </w:tr>
      <w:tr>
        <w:tc>
          <w:tcPr>
            <w:tcW w:type="dxa" w:w="5083"/>
            <w:vAlign w:val="top"/>
          </w:tcPr>
          <w:p>
            <w:pPr>
              <w:spacing w:after="0"/>
            </w:pPr>
            <w:r>
              <w:rPr>
                <w:sz w:val="14"/>
              </w:rPr>
              <w:t>Review</w:t>
            </w:r>
          </w:p>
        </w:tc>
        <w:tc>
          <w:tcPr>
            <w:tcW w:type="dxa" w:w="5083"/>
            <w:vAlign w:val="top"/>
          </w:tcPr>
          <w:p>
            <w:pPr>
              <w:spacing w:after="0"/>
            </w:pPr>
            <w:r>
              <w:rPr>
                <w:sz w:val="14"/>
              </w:rPr>
              <w:t>Set a date and objective metrics for reassessing the trade-off</w:t>
            </w:r>
          </w:p>
        </w:tc>
      </w:tr>
      <w:tr>
        <w:tc>
          <w:tcPr>
            <w:tcW w:type="dxa" w:w="5083"/>
            <w:vAlign w:val="top"/>
          </w:tcPr>
          <w:p>
            <w:pPr>
              <w:spacing w:after="0"/>
            </w:pPr>
            <w:r>
              <w:rPr>
                <w:sz w:val="14"/>
              </w:rPr>
              <w:t>Political record</w:t>
            </w:r>
          </w:p>
        </w:tc>
        <w:tc>
          <w:tcPr>
            <w:tcW w:type="dxa" w:w="5083"/>
            <w:vAlign w:val="top"/>
          </w:tcPr>
          <w:p>
            <w:pPr>
              <w:spacing w:after="0"/>
            </w:pPr>
            <w:r>
              <w:rPr>
                <w:sz w:val="14"/>
              </w:rPr>
              <w:t>If disagreement remains, record it accurately; do not manufacture consensus</w:t>
            </w:r>
          </w:p>
        </w:tc>
      </w:tr>
    </w:tbl>
    <w:p>
      <w:pPr>
        <w:spacing w:after="20"/>
      </w:pPr>
    </w:p>
    <w:p>
      <w:pPr>
        <w:pStyle w:val="Heading2"/>
        <w:keepNext/>
        <w:spacing w:before="140" w:after="60"/>
      </w:pPr>
      <w:r>
        <w:t>Anti-trade-off clause</w:t>
      </w:r>
    </w:p>
    <w:p>
      <w:r>
        <w:rPr>
          <w:b w:val="0"/>
          <w:i w:val="0"/>
        </w:rPr>
        <w:t>No Canadian government should seek or accept relief expressly conditioned on another Canadian province or territory receiving worse treatment, unless the affected jurisdiction has participated in the design and the national government determines that extraordinary circumstances justify proceeding with a transparent mitigation plan.</w:t>
      </w:r>
    </w:p>
    <w:p>
      <w:r>
        <w:br w:type="page"/>
      </w:r>
    </w:p>
    <w:p>
      <w:pPr>
        <w:pStyle w:val="Heading1"/>
        <w:keepNext/>
        <w:spacing w:before="140" w:after="60"/>
      </w:pPr>
      <w:r>
        <w:t>18. Federal Support and Adjustment Instruments</w:t>
      </w:r>
    </w:p>
    <w:p>
      <w:r>
        <w:rPr>
          <w:b w:val="0"/>
          <w:i w:val="0"/>
        </w:rPr>
        <w:t>The August 2026 federal response already combines counter-tariffs with worker and business supports. The protocol generalizes that practice: coercive response and domestic protection should be designed together, not in separate bureaucratic universes.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7F5"/>
          </w:tcPr>
          <w:p>
            <w:r>
              <w:rPr>
                <w:b/>
                <w:sz w:val="14"/>
              </w:rPr>
              <w:t>Federal lever</w:t>
            </w:r>
          </w:p>
        </w:tc>
        <w:tc>
          <w:tcPr>
            <w:tcW w:type="dxa" w:w="5083"/>
            <w:shd w:fill="D9E7F5"/>
          </w:tcPr>
          <w:p>
            <w:r>
              <w:rPr>
                <w:b/>
                <w:sz w:val="14"/>
              </w:rPr>
              <w:t>FPT coordination need</w:t>
            </w:r>
          </w:p>
        </w:tc>
      </w:tr>
      <w:tr>
        <w:tc>
          <w:tcPr>
            <w:tcW w:type="dxa" w:w="5083"/>
            <w:vAlign w:val="top"/>
          </w:tcPr>
          <w:p>
            <w:pPr>
              <w:spacing w:after="0"/>
            </w:pPr>
            <w:r>
              <w:rPr>
                <w:sz w:val="14"/>
              </w:rPr>
              <w:t>Tariff remission</w:t>
            </w:r>
          </w:p>
        </w:tc>
        <w:tc>
          <w:tcPr>
            <w:tcW w:type="dxa" w:w="5083"/>
            <w:vAlign w:val="top"/>
          </w:tcPr>
          <w:p>
            <w:pPr>
              <w:spacing w:after="0"/>
            </w:pPr>
            <w:r>
              <w:rPr>
                <w:sz w:val="14"/>
              </w:rPr>
              <w:t>Provincial evidence on unavailable inputs and regional harm</w:t>
            </w:r>
          </w:p>
        </w:tc>
      </w:tr>
      <w:tr>
        <w:tc>
          <w:tcPr>
            <w:tcW w:type="dxa" w:w="5083"/>
            <w:vAlign w:val="top"/>
          </w:tcPr>
          <w:p>
            <w:pPr>
              <w:spacing w:after="0"/>
            </w:pPr>
            <w:r>
              <w:rPr>
                <w:sz w:val="14"/>
              </w:rPr>
              <w:t>Regional development agencies</w:t>
            </w:r>
          </w:p>
        </w:tc>
        <w:tc>
          <w:tcPr>
            <w:tcW w:type="dxa" w:w="5083"/>
            <w:vAlign w:val="top"/>
          </w:tcPr>
          <w:p>
            <w:pPr>
              <w:spacing w:after="0"/>
            </w:pPr>
            <w:r>
              <w:rPr>
                <w:sz w:val="14"/>
              </w:rPr>
              <w:t>Local delivery and sector knowledge</w:t>
            </w:r>
          </w:p>
        </w:tc>
      </w:tr>
      <w:tr>
        <w:tc>
          <w:tcPr>
            <w:tcW w:type="dxa" w:w="5083"/>
            <w:vAlign w:val="top"/>
          </w:tcPr>
          <w:p>
            <w:pPr>
              <w:spacing w:after="0"/>
            </w:pPr>
            <w:r>
              <w:rPr>
                <w:sz w:val="14"/>
              </w:rPr>
              <w:t>EDC / BDC support</w:t>
            </w:r>
          </w:p>
        </w:tc>
        <w:tc>
          <w:tcPr>
            <w:tcW w:type="dxa" w:w="5083"/>
            <w:vAlign w:val="top"/>
          </w:tcPr>
          <w:p>
            <w:pPr>
              <w:spacing w:after="0"/>
            </w:pPr>
            <w:r>
              <w:rPr>
                <w:sz w:val="14"/>
              </w:rPr>
              <w:t>Firm viability, export diversification and liquidity</w:t>
            </w:r>
          </w:p>
        </w:tc>
      </w:tr>
      <w:tr>
        <w:tc>
          <w:tcPr>
            <w:tcW w:type="dxa" w:w="5083"/>
            <w:vAlign w:val="top"/>
          </w:tcPr>
          <w:p>
            <w:pPr>
              <w:spacing w:after="0"/>
            </w:pPr>
            <w:r>
              <w:rPr>
                <w:sz w:val="14"/>
              </w:rPr>
              <w:t>EI / training</w:t>
            </w:r>
          </w:p>
        </w:tc>
        <w:tc>
          <w:tcPr>
            <w:tcW w:type="dxa" w:w="5083"/>
            <w:vAlign w:val="top"/>
          </w:tcPr>
          <w:p>
            <w:pPr>
              <w:spacing w:after="0"/>
            </w:pPr>
            <w:r>
              <w:rPr>
                <w:sz w:val="14"/>
              </w:rPr>
              <w:t>Labour-market matching with provincial systems</w:t>
            </w:r>
          </w:p>
        </w:tc>
      </w:tr>
      <w:tr>
        <w:tc>
          <w:tcPr>
            <w:tcW w:type="dxa" w:w="5083"/>
            <w:vAlign w:val="top"/>
          </w:tcPr>
          <w:p>
            <w:pPr>
              <w:spacing w:after="0"/>
            </w:pPr>
            <w:r>
              <w:rPr>
                <w:sz w:val="14"/>
              </w:rPr>
              <w:t>Tax measures</w:t>
            </w:r>
          </w:p>
        </w:tc>
        <w:tc>
          <w:tcPr>
            <w:tcW w:type="dxa" w:w="5083"/>
            <w:vAlign w:val="top"/>
          </w:tcPr>
          <w:p>
            <w:pPr>
              <w:spacing w:after="0"/>
            </w:pPr>
            <w:r>
              <w:rPr>
                <w:sz w:val="14"/>
              </w:rPr>
              <w:t>Interaction with provincial tax bases and incentives</w:t>
            </w:r>
          </w:p>
        </w:tc>
      </w:tr>
      <w:tr>
        <w:tc>
          <w:tcPr>
            <w:tcW w:type="dxa" w:w="5083"/>
            <w:vAlign w:val="top"/>
          </w:tcPr>
          <w:p>
            <w:pPr>
              <w:spacing w:after="0"/>
            </w:pPr>
            <w:r>
              <w:rPr>
                <w:sz w:val="14"/>
              </w:rPr>
              <w:t>Infrastructure funding</w:t>
            </w:r>
          </w:p>
        </w:tc>
        <w:tc>
          <w:tcPr>
            <w:tcW w:type="dxa" w:w="5083"/>
            <w:vAlign w:val="top"/>
          </w:tcPr>
          <w:p>
            <w:pPr>
              <w:spacing w:after="0"/>
            </w:pPr>
            <w:r>
              <w:rPr>
                <w:sz w:val="14"/>
              </w:rPr>
              <w:t>Provincial approvals, ownership, procurement, timelines</w:t>
            </w:r>
          </w:p>
        </w:tc>
      </w:tr>
      <w:tr>
        <w:tc>
          <w:tcPr>
            <w:tcW w:type="dxa" w:w="5083"/>
            <w:vAlign w:val="top"/>
          </w:tcPr>
          <w:p>
            <w:pPr>
              <w:spacing w:after="0"/>
            </w:pPr>
            <w:r>
              <w:rPr>
                <w:sz w:val="14"/>
              </w:rPr>
              <w:t>Strategic procurement</w:t>
            </w:r>
          </w:p>
        </w:tc>
        <w:tc>
          <w:tcPr>
            <w:tcW w:type="dxa" w:w="5083"/>
            <w:vAlign w:val="top"/>
          </w:tcPr>
          <w:p>
            <w:pPr>
              <w:spacing w:after="0"/>
            </w:pPr>
            <w:r>
              <w:rPr>
                <w:sz w:val="14"/>
              </w:rPr>
              <w:t>Compatibility with trade commitments and provincial purchasing</w:t>
            </w:r>
          </w:p>
        </w:tc>
      </w:tr>
      <w:tr>
        <w:tc>
          <w:tcPr>
            <w:tcW w:type="dxa" w:w="5083"/>
            <w:vAlign w:val="top"/>
          </w:tcPr>
          <w:p>
            <w:pPr>
              <w:spacing w:after="0"/>
            </w:pPr>
            <w:r>
              <w:rPr>
                <w:sz w:val="14"/>
              </w:rPr>
              <w:t>Diversification funds</w:t>
            </w:r>
          </w:p>
        </w:tc>
        <w:tc>
          <w:tcPr>
            <w:tcW w:type="dxa" w:w="5083"/>
            <w:vAlign w:val="top"/>
          </w:tcPr>
          <w:p>
            <w:pPr>
              <w:spacing w:after="0"/>
            </w:pPr>
            <w:r>
              <w:rPr>
                <w:sz w:val="14"/>
              </w:rPr>
              <w:t>Project pipeline and partner-market readiness</w:t>
            </w:r>
          </w:p>
        </w:tc>
      </w:tr>
    </w:tbl>
    <w:p>
      <w:pPr>
        <w:spacing w:after="20"/>
      </w:pPr>
    </w:p>
    <w:p>
      <w:pPr>
        <w:spacing w:after="40"/>
      </w:pPr>
      <w:r>
        <w:rPr>
          <w:b/>
          <w:sz w:val="14"/>
        </w:rPr>
        <w:t xml:space="preserve">Current federal countermeasure/support model: </w:t>
      </w:r>
      <w:r>
        <w:rPr>
          <w:sz w:val="14"/>
        </w:rPr>
        <w:t>https://www.canada.ca/en/department-finance/news/2026/08/canada-announces-targeted-countermeasures-and-substantive-support-for-workers-and-businesses-in-response-to-us-tariffs.html</w:t>
      </w:r>
    </w:p>
    <w:p>
      <w:r>
        <w:br w:type="page"/>
      </w:r>
    </w:p>
    <w:p>
      <w:pPr>
        <w:pStyle w:val="Heading1"/>
        <w:keepNext/>
        <w:spacing w:before="140" w:after="60"/>
      </w:pPr>
      <w:r>
        <w:t>19. Internal Trade and Domestic Substitution</w:t>
      </w:r>
    </w:p>
    <w:p>
      <w:r>
        <w:rPr>
          <w:b w:val="0"/>
          <w:i w:val="0"/>
        </w:rPr>
        <w:t>A country fighting external trade friction while preserving unnecessary internal barriers is tying one shoelace to the other. Internal trade reform is therefore a solidarity instrument: it expands substitute suppliers, labour mobility and domestic market size before asking provinces to endure external disruption.</w:t>
      </w:r>
    </w:p>
    <w:p>
      <w:r>
        <w:rPr>
          <w:b w:val="0"/>
          <w:i w:val="0"/>
        </w:rPr>
        <w:t>The Canadian Free Trade Agreement already supplies useful machinery: notification, regulatory reconciliation, cooperation and dispute-resolution processes. The Committee on Internal Trade is an existing FPT ministerial forum and should be used rather than duplicated wherever possible.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7F5"/>
          </w:tcPr>
          <w:p>
            <w:r>
              <w:rPr>
                <w:b/>
                <w:sz w:val="14"/>
              </w:rPr>
              <w:t>Conflict use</w:t>
            </w:r>
          </w:p>
        </w:tc>
        <w:tc>
          <w:tcPr>
            <w:tcW w:type="dxa" w:w="5083"/>
            <w:shd w:fill="D9E7F5"/>
          </w:tcPr>
          <w:p>
            <w:r>
              <w:rPr>
                <w:b/>
                <w:sz w:val="14"/>
              </w:rPr>
              <w:t>Existing/internal mechanism</w:t>
            </w:r>
          </w:p>
        </w:tc>
      </w:tr>
      <w:tr>
        <w:tc>
          <w:tcPr>
            <w:tcW w:type="dxa" w:w="5083"/>
            <w:vAlign w:val="top"/>
          </w:tcPr>
          <w:p>
            <w:pPr>
              <w:spacing w:after="0"/>
            </w:pPr>
            <w:r>
              <w:rPr>
                <w:sz w:val="14"/>
              </w:rPr>
              <w:t>Find domestic substitute suppliers</w:t>
            </w:r>
          </w:p>
        </w:tc>
        <w:tc>
          <w:tcPr>
            <w:tcW w:type="dxa" w:w="5083"/>
            <w:vAlign w:val="top"/>
          </w:tcPr>
          <w:p>
            <w:pPr>
              <w:spacing w:after="0"/>
            </w:pPr>
            <w:r>
              <w:rPr>
                <w:sz w:val="14"/>
              </w:rPr>
              <w:t>Internal trade data + business matching</w:t>
            </w:r>
          </w:p>
        </w:tc>
      </w:tr>
      <w:tr>
        <w:tc>
          <w:tcPr>
            <w:tcW w:type="dxa" w:w="5083"/>
            <w:vAlign w:val="top"/>
          </w:tcPr>
          <w:p>
            <w:pPr>
              <w:spacing w:after="0"/>
            </w:pPr>
            <w:r>
              <w:rPr>
                <w:sz w:val="14"/>
              </w:rPr>
              <w:t>Remove emergency regulatory friction</w:t>
            </w:r>
          </w:p>
        </w:tc>
        <w:tc>
          <w:tcPr>
            <w:tcW w:type="dxa" w:w="5083"/>
            <w:vAlign w:val="top"/>
          </w:tcPr>
          <w:p>
            <w:pPr>
              <w:spacing w:after="0"/>
            </w:pPr>
            <w:r>
              <w:rPr>
                <w:sz w:val="14"/>
              </w:rPr>
              <w:t>CFTA regulatory cooperation / reconciliation</w:t>
            </w:r>
          </w:p>
        </w:tc>
      </w:tr>
      <w:tr>
        <w:tc>
          <w:tcPr>
            <w:tcW w:type="dxa" w:w="5083"/>
            <w:vAlign w:val="top"/>
          </w:tcPr>
          <w:p>
            <w:pPr>
              <w:spacing w:after="0"/>
            </w:pPr>
            <w:r>
              <w:rPr>
                <w:sz w:val="14"/>
              </w:rPr>
              <w:t>Move workers to affected regions/sectors</w:t>
            </w:r>
          </w:p>
        </w:tc>
        <w:tc>
          <w:tcPr>
            <w:tcW w:type="dxa" w:w="5083"/>
            <w:vAlign w:val="top"/>
          </w:tcPr>
          <w:p>
            <w:pPr>
              <w:spacing w:after="0"/>
            </w:pPr>
            <w:r>
              <w:rPr>
                <w:sz w:val="14"/>
              </w:rPr>
              <w:t>Labour mobility initiatives</w:t>
            </w:r>
          </w:p>
        </w:tc>
      </w:tr>
      <w:tr>
        <w:tc>
          <w:tcPr>
            <w:tcW w:type="dxa" w:w="5083"/>
            <w:vAlign w:val="top"/>
          </w:tcPr>
          <w:p>
            <w:pPr>
              <w:spacing w:after="0"/>
            </w:pPr>
            <w:r>
              <w:rPr>
                <w:sz w:val="14"/>
              </w:rPr>
              <w:t>Coordinate procurement specifications</w:t>
            </w:r>
          </w:p>
        </w:tc>
        <w:tc>
          <w:tcPr>
            <w:tcW w:type="dxa" w:w="5083"/>
            <w:vAlign w:val="top"/>
          </w:tcPr>
          <w:p>
            <w:pPr>
              <w:spacing w:after="0"/>
            </w:pPr>
            <w:r>
              <w:rPr>
                <w:sz w:val="14"/>
              </w:rPr>
              <w:t>Mutual recognition / common standards where feasible</w:t>
            </w:r>
          </w:p>
        </w:tc>
      </w:tr>
      <w:tr>
        <w:tc>
          <w:tcPr>
            <w:tcW w:type="dxa" w:w="5083"/>
            <w:vAlign w:val="top"/>
          </w:tcPr>
          <w:p>
            <w:pPr>
              <w:spacing w:after="0"/>
            </w:pPr>
            <w:r>
              <w:rPr>
                <w:sz w:val="14"/>
              </w:rPr>
              <w:t>Resolve interprovincial barriers</w:t>
            </w:r>
          </w:p>
        </w:tc>
        <w:tc>
          <w:tcPr>
            <w:tcW w:type="dxa" w:w="5083"/>
            <w:vAlign w:val="top"/>
          </w:tcPr>
          <w:p>
            <w:pPr>
              <w:spacing w:after="0"/>
            </w:pPr>
            <w:r>
              <w:rPr>
                <w:sz w:val="14"/>
              </w:rPr>
              <w:t>CFTA consultations and dispute avoidance</w:t>
            </w:r>
          </w:p>
        </w:tc>
      </w:tr>
    </w:tbl>
    <w:p>
      <w:pPr>
        <w:spacing w:after="20"/>
      </w:pPr>
    </w:p>
    <w:p>
      <w:pPr>
        <w:spacing w:after="40"/>
      </w:pPr>
      <w:r>
        <w:rPr>
          <w:b/>
          <w:sz w:val="14"/>
        </w:rPr>
        <w:t xml:space="preserve">Internal trade and CIT: </w:t>
      </w:r>
      <w:r>
        <w:rPr>
          <w:sz w:val="14"/>
        </w:rPr>
        <w:t>https://www.canada.ca/en/intergovernmental-affairs/services/internal-trade/canadian-free-trade-agreement.html</w:t>
      </w:r>
    </w:p>
    <w:p>
      <w:pPr>
        <w:spacing w:after="40"/>
      </w:pPr>
      <w:r>
        <w:rPr>
          <w:b/>
          <w:sz w:val="14"/>
        </w:rPr>
        <w:t xml:space="preserve">CFTA regulatory cooperation: </w:t>
      </w:r>
      <w:r>
        <w:rPr>
          <w:sz w:val="14"/>
        </w:rPr>
        <w:t>https://www.cfta-alec.ca/cfta-agreement/chapter-four-regulatory-notification-reconciliation-and-cooperation</w:t>
      </w:r>
    </w:p>
    <w:p>
      <w:r>
        <w:br w:type="page"/>
      </w:r>
    </w:p>
    <w:p>
      <w:pPr>
        <w:pStyle w:val="Heading1"/>
        <w:keepNext/>
        <w:spacing w:before="140" w:after="60"/>
      </w:pPr>
      <w:r>
        <w:t>20. Indigenous Rights, Interests and Participation</w:t>
      </w:r>
    </w:p>
    <w:p>
      <w:r>
        <w:rPr>
          <w:b w:val="0"/>
          <w:i w:val="0"/>
        </w:rPr>
        <w:t>Federal-provincial solidarity cannot be achieved by treating Indigenous governments and rights holders as an afterthought, particularly where resource projects, corridors, ports, energy systems, fisheries or northern supply chains are involved.</w:t>
      </w:r>
    </w:p>
    <w:p>
      <w:pPr>
        <w:pStyle w:val="ListBullet"/>
      </w:pPr>
      <w:r>
        <w:t>Map potentially affected rights holders at the option-design stage, not after announcement.</w:t>
      </w:r>
    </w:p>
    <w:p>
      <w:pPr>
        <w:pStyle w:val="ListBullet"/>
      </w:pPr>
      <w:r>
        <w:t>Respect Crown consultation and other legal duties according to applicable law and facts.</w:t>
      </w:r>
    </w:p>
    <w:p>
      <w:pPr>
        <w:pStyle w:val="ListBullet"/>
      </w:pPr>
      <w:r>
        <w:t>Where Indigenous governments or enterprises are economic partners, include commercial effects in the burden account.</w:t>
      </w:r>
    </w:p>
    <w:p>
      <w:pPr>
        <w:pStyle w:val="ListBullet"/>
      </w:pPr>
      <w:r>
        <w:t>Build opportunities for equity participation, procurement, revenue sharing and capacity where appropriate rather than limiting engagement to risk mitigation.</w:t>
      </w:r>
    </w:p>
    <w:p>
      <w:pPr>
        <w:pStyle w:val="ListBullet"/>
      </w:pPr>
      <w:r>
        <w:t>Do not use the FPT protocol to prejudge Indigenous jurisdiction, rights or treaty interpretation.</w:t>
      </w:r>
    </w:p>
    <w:p>
      <w:pPr>
        <w:pStyle w:val="Heading2"/>
        <w:keepNext/>
        <w:spacing w:before="140" w:after="60"/>
      </w:pPr>
      <w:r>
        <w:t>First Ministers interface</w:t>
      </w:r>
    </w:p>
    <w:p>
      <w:r>
        <w:rPr>
          <w:b w:val="0"/>
          <w:i w:val="0"/>
        </w:rPr>
        <w:t>Existing Canadian intergovernmental practice increasingly includes engagement with National Indigenous leaders around First Ministers discussions. The protocol should use that practice where national trade measures intersect materially with Indigenous interests.</w:t>
      </w:r>
    </w:p>
    <w:p>
      <w:pPr>
        <w:spacing w:after="40"/>
      </w:pPr>
      <w:r>
        <w:rPr>
          <w:b/>
          <w:sz w:val="14"/>
        </w:rPr>
        <w:t xml:space="preserve">Intergovernmental context: </w:t>
      </w:r>
      <w:r>
        <w:rPr>
          <w:sz w:val="14"/>
        </w:rPr>
        <w:t>https://www.canada.ca/en/intergovernmental-affairs/services/relations-canadian-context.html</w:t>
      </w:r>
    </w:p>
    <w:p>
      <w:r>
        <w:br w:type="page"/>
      </w:r>
    </w:p>
    <w:p>
      <w:pPr>
        <w:pStyle w:val="Heading1"/>
        <w:keepNext/>
        <w:spacing w:before="140" w:after="60"/>
      </w:pPr>
      <w:r>
        <w:t>21. Municipal, Border and Community Coordination</w:t>
      </w:r>
    </w:p>
    <w:p>
      <w:r>
        <w:rPr>
          <w:b w:val="0"/>
          <w:i w:val="0"/>
        </w:rPr>
        <w:t>Municipalities do not negotiate Canada’s trade agreements, but border cities, ports, industrial municipalities and single-industry communities often experience consequences first. Their information is operationally valuable.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7F5"/>
          </w:tcPr>
          <w:p>
            <w:r>
              <w:rPr>
                <w:b/>
                <w:sz w:val="15"/>
              </w:rPr>
              <w:t>Community type</w:t>
            </w:r>
          </w:p>
        </w:tc>
        <w:tc>
          <w:tcPr>
            <w:tcW w:type="dxa" w:w="5083"/>
            <w:shd w:fill="D9E7F5"/>
          </w:tcPr>
          <w:p>
            <w:r>
              <w:rPr>
                <w:b/>
                <w:sz w:val="15"/>
              </w:rPr>
              <w:t>Input to collect</w:t>
            </w:r>
          </w:p>
        </w:tc>
      </w:tr>
      <w:tr>
        <w:tc>
          <w:tcPr>
            <w:tcW w:type="dxa" w:w="5083"/>
            <w:vAlign w:val="top"/>
          </w:tcPr>
          <w:p>
            <w:pPr>
              <w:spacing w:after="0"/>
            </w:pPr>
            <w:r>
              <w:rPr>
                <w:sz w:val="15"/>
              </w:rPr>
              <w:t>Border municipalities</w:t>
            </w:r>
          </w:p>
        </w:tc>
        <w:tc>
          <w:tcPr>
            <w:tcW w:type="dxa" w:w="5083"/>
            <w:vAlign w:val="top"/>
          </w:tcPr>
          <w:p>
            <w:pPr>
              <w:spacing w:after="0"/>
            </w:pPr>
            <w:r>
              <w:rPr>
                <w:sz w:val="15"/>
              </w:rPr>
              <w:t>Traffic, customs queues, cross-border workforce, tourism/retail</w:t>
            </w:r>
          </w:p>
        </w:tc>
      </w:tr>
      <w:tr>
        <w:tc>
          <w:tcPr>
            <w:tcW w:type="dxa" w:w="5083"/>
            <w:vAlign w:val="top"/>
          </w:tcPr>
          <w:p>
            <w:pPr>
              <w:spacing w:after="0"/>
            </w:pPr>
            <w:r>
              <w:rPr>
                <w:sz w:val="15"/>
              </w:rPr>
              <w:t>Port cities</w:t>
            </w:r>
          </w:p>
        </w:tc>
        <w:tc>
          <w:tcPr>
            <w:tcW w:type="dxa" w:w="5083"/>
            <w:vAlign w:val="top"/>
          </w:tcPr>
          <w:p>
            <w:pPr>
              <w:spacing w:after="0"/>
            </w:pPr>
            <w:r>
              <w:rPr>
                <w:sz w:val="15"/>
              </w:rPr>
              <w:t>Capacity, congestion, storage, labour, new-route readiness</w:t>
            </w:r>
          </w:p>
        </w:tc>
      </w:tr>
      <w:tr>
        <w:tc>
          <w:tcPr>
            <w:tcW w:type="dxa" w:w="5083"/>
            <w:vAlign w:val="top"/>
          </w:tcPr>
          <w:p>
            <w:pPr>
              <w:spacing w:after="0"/>
            </w:pPr>
            <w:r>
              <w:rPr>
                <w:sz w:val="15"/>
              </w:rPr>
              <w:t>Industrial towns</w:t>
            </w:r>
          </w:p>
        </w:tc>
        <w:tc>
          <w:tcPr>
            <w:tcW w:type="dxa" w:w="5083"/>
            <w:vAlign w:val="top"/>
          </w:tcPr>
          <w:p>
            <w:pPr>
              <w:spacing w:after="0"/>
            </w:pPr>
            <w:r>
              <w:rPr>
                <w:sz w:val="15"/>
              </w:rPr>
              <w:t>Plant utilization, supplier stress, municipal revenue</w:t>
            </w:r>
          </w:p>
        </w:tc>
      </w:tr>
      <w:tr>
        <w:tc>
          <w:tcPr>
            <w:tcW w:type="dxa" w:w="5083"/>
            <w:vAlign w:val="top"/>
          </w:tcPr>
          <w:p>
            <w:pPr>
              <w:spacing w:after="0"/>
            </w:pPr>
            <w:r>
              <w:rPr>
                <w:sz w:val="15"/>
              </w:rPr>
              <w:t>Resource communities</w:t>
            </w:r>
          </w:p>
        </w:tc>
        <w:tc>
          <w:tcPr>
            <w:tcW w:type="dxa" w:w="5083"/>
            <w:vAlign w:val="top"/>
          </w:tcPr>
          <w:p>
            <w:pPr>
              <w:spacing w:after="0"/>
            </w:pPr>
            <w:r>
              <w:rPr>
                <w:sz w:val="15"/>
              </w:rPr>
              <w:t>Transport bottlenecks, workforce, Indigenous partnerships</w:t>
            </w:r>
          </w:p>
        </w:tc>
      </w:tr>
      <w:tr>
        <w:tc>
          <w:tcPr>
            <w:tcW w:type="dxa" w:w="5083"/>
            <w:vAlign w:val="top"/>
          </w:tcPr>
          <w:p>
            <w:pPr>
              <w:spacing w:after="0"/>
            </w:pPr>
            <w:r>
              <w:rPr>
                <w:sz w:val="15"/>
              </w:rPr>
              <w:t>Northern/remote communities</w:t>
            </w:r>
          </w:p>
        </w:tc>
        <w:tc>
          <w:tcPr>
            <w:tcW w:type="dxa" w:w="5083"/>
            <w:vAlign w:val="top"/>
          </w:tcPr>
          <w:p>
            <w:pPr>
              <w:spacing w:after="0"/>
            </w:pPr>
            <w:r>
              <w:rPr>
                <w:sz w:val="15"/>
              </w:rPr>
              <w:t>Essential-goods costs, seasonal access, limited substitutes</w:t>
            </w:r>
          </w:p>
        </w:tc>
      </w:tr>
      <w:tr>
        <w:tc>
          <w:tcPr>
            <w:tcW w:type="dxa" w:w="5083"/>
            <w:vAlign w:val="top"/>
          </w:tcPr>
          <w:p>
            <w:pPr>
              <w:spacing w:after="0"/>
            </w:pPr>
            <w:r>
              <w:rPr>
                <w:sz w:val="15"/>
              </w:rPr>
              <w:t>Major metros</w:t>
            </w:r>
          </w:p>
        </w:tc>
        <w:tc>
          <w:tcPr>
            <w:tcW w:type="dxa" w:w="5083"/>
            <w:vAlign w:val="top"/>
          </w:tcPr>
          <w:p>
            <w:pPr>
              <w:spacing w:after="0"/>
            </w:pPr>
            <w:r>
              <w:rPr>
                <w:sz w:val="15"/>
              </w:rPr>
              <w:t>Finance, services, airports, corporate headquarters, newcomer labour</w:t>
            </w:r>
          </w:p>
        </w:tc>
      </w:tr>
    </w:tbl>
    <w:p>
      <w:pPr>
        <w:spacing w:after="20"/>
      </w:pPr>
    </w:p>
    <w:p>
      <w:r>
        <w:rPr>
          <w:b w:val="0"/>
          <w:i w:val="0"/>
        </w:rPr>
        <w:t>Municipal consultation is advisory and targeted. It should not create a parallel negotiating hierarchy.</w:t>
      </w:r>
    </w:p>
    <w:p>
      <w:r>
        <w:br w:type="page"/>
      </w:r>
    </w:p>
    <w:p>
      <w:pPr>
        <w:pStyle w:val="Heading1"/>
        <w:keepNext/>
        <w:spacing w:before="140" w:after="60"/>
      </w:pPr>
      <w:r>
        <w:t>22. Information Sharing and Common Operating Picture</w:t>
      </w:r>
    </w:p>
    <w:p>
      <w:r>
        <w:rPr>
          <w:b w:val="0"/>
          <w:i w:val="0"/>
        </w:rPr>
        <w:t>Cohesion depends on governments arguing from the same factual floor even when they reach different political conclusions.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7F5"/>
          </w:tcPr>
          <w:p>
            <w:r>
              <w:rPr>
                <w:b/>
                <w:sz w:val="15"/>
              </w:rPr>
              <w:t>Dashboard block</w:t>
            </w:r>
          </w:p>
        </w:tc>
        <w:tc>
          <w:tcPr>
            <w:tcW w:type="dxa" w:w="5083"/>
            <w:shd w:fill="D9E7F5"/>
          </w:tcPr>
          <w:p>
            <w:r>
              <w:rPr>
                <w:b/>
                <w:sz w:val="15"/>
              </w:rPr>
              <w:t>Contents</w:t>
            </w:r>
          </w:p>
        </w:tc>
      </w:tr>
      <w:tr>
        <w:tc>
          <w:tcPr>
            <w:tcW w:type="dxa" w:w="5083"/>
            <w:vAlign w:val="top"/>
          </w:tcPr>
          <w:p>
            <w:pPr>
              <w:spacing w:after="0"/>
            </w:pPr>
            <w:r>
              <w:rPr>
                <w:sz w:val="15"/>
              </w:rPr>
              <w:t>External measures</w:t>
            </w:r>
          </w:p>
        </w:tc>
        <w:tc>
          <w:tcPr>
            <w:tcW w:type="dxa" w:w="5083"/>
            <w:vAlign w:val="top"/>
          </w:tcPr>
          <w:p>
            <w:pPr>
              <w:spacing w:after="0"/>
            </w:pPr>
            <w:r>
              <w:rPr>
                <w:sz w:val="15"/>
              </w:rPr>
              <w:t>Tariffs, quotas, exemptions, implementation dates, legal status</w:t>
            </w:r>
          </w:p>
        </w:tc>
      </w:tr>
      <w:tr>
        <w:tc>
          <w:tcPr>
            <w:tcW w:type="dxa" w:w="5083"/>
            <w:vAlign w:val="top"/>
          </w:tcPr>
          <w:p>
            <w:pPr>
              <w:spacing w:after="0"/>
            </w:pPr>
            <w:r>
              <w:rPr>
                <w:sz w:val="15"/>
              </w:rPr>
              <w:t>Negotiations</w:t>
            </w:r>
          </w:p>
        </w:tc>
        <w:tc>
          <w:tcPr>
            <w:tcW w:type="dxa" w:w="5083"/>
            <w:vAlign w:val="top"/>
          </w:tcPr>
          <w:p>
            <w:pPr>
              <w:spacing w:after="0"/>
            </w:pPr>
            <w:r>
              <w:rPr>
                <w:sz w:val="15"/>
              </w:rPr>
              <w:t>Confirmed asks/offers, unresolved issues, next decision window</w:t>
            </w:r>
          </w:p>
        </w:tc>
      </w:tr>
      <w:tr>
        <w:tc>
          <w:tcPr>
            <w:tcW w:type="dxa" w:w="5083"/>
            <w:vAlign w:val="top"/>
          </w:tcPr>
          <w:p>
            <w:pPr>
              <w:spacing w:after="0"/>
            </w:pPr>
            <w:r>
              <w:rPr>
                <w:sz w:val="15"/>
              </w:rPr>
              <w:t>Regional exposure</w:t>
            </w:r>
          </w:p>
        </w:tc>
        <w:tc>
          <w:tcPr>
            <w:tcW w:type="dxa" w:w="5083"/>
            <w:vAlign w:val="top"/>
          </w:tcPr>
          <w:p>
            <w:pPr>
              <w:spacing w:after="0"/>
            </w:pPr>
            <w:r>
              <w:rPr>
                <w:sz w:val="15"/>
              </w:rPr>
              <w:t>Province/territory sector map and burden index</w:t>
            </w:r>
          </w:p>
        </w:tc>
      </w:tr>
      <w:tr>
        <w:tc>
          <w:tcPr>
            <w:tcW w:type="dxa" w:w="5083"/>
            <w:vAlign w:val="top"/>
          </w:tcPr>
          <w:p>
            <w:pPr>
              <w:spacing w:after="0"/>
            </w:pPr>
            <w:r>
              <w:rPr>
                <w:sz w:val="15"/>
              </w:rPr>
              <w:t>Support</w:t>
            </w:r>
          </w:p>
        </w:tc>
        <w:tc>
          <w:tcPr>
            <w:tcW w:type="dxa" w:w="5083"/>
            <w:vAlign w:val="top"/>
          </w:tcPr>
          <w:p>
            <w:pPr>
              <w:spacing w:after="0"/>
            </w:pPr>
            <w:r>
              <w:rPr>
                <w:sz w:val="15"/>
              </w:rPr>
              <w:t>Programs committed, uptake, gaps, approval times</w:t>
            </w:r>
          </w:p>
        </w:tc>
      </w:tr>
      <w:tr>
        <w:tc>
          <w:tcPr>
            <w:tcW w:type="dxa" w:w="5083"/>
            <w:vAlign w:val="top"/>
          </w:tcPr>
          <w:p>
            <w:pPr>
              <w:spacing w:after="0"/>
            </w:pPr>
            <w:r>
              <w:rPr>
                <w:sz w:val="15"/>
              </w:rPr>
              <w:t>Supply chains</w:t>
            </w:r>
          </w:p>
        </w:tc>
        <w:tc>
          <w:tcPr>
            <w:tcW w:type="dxa" w:w="5083"/>
            <w:vAlign w:val="top"/>
          </w:tcPr>
          <w:p>
            <w:pPr>
              <w:spacing w:after="0"/>
            </w:pPr>
            <w:r>
              <w:rPr>
                <w:sz w:val="15"/>
              </w:rPr>
              <w:t>Critical inputs, inventories, substitutes, transport</w:t>
            </w:r>
          </w:p>
        </w:tc>
      </w:tr>
      <w:tr>
        <w:tc>
          <w:tcPr>
            <w:tcW w:type="dxa" w:w="5083"/>
            <w:vAlign w:val="top"/>
          </w:tcPr>
          <w:p>
            <w:pPr>
              <w:spacing w:after="0"/>
            </w:pPr>
            <w:r>
              <w:rPr>
                <w:sz w:val="15"/>
              </w:rPr>
              <w:t>U.S. subnational</w:t>
            </w:r>
          </w:p>
        </w:tc>
        <w:tc>
          <w:tcPr>
            <w:tcW w:type="dxa" w:w="5083"/>
            <w:vAlign w:val="top"/>
          </w:tcPr>
          <w:p>
            <w:pPr>
              <w:spacing w:after="0"/>
            </w:pPr>
            <w:r>
              <w:rPr>
                <w:sz w:val="15"/>
              </w:rPr>
              <w:t>State-level economic relationships and material outreach</w:t>
            </w:r>
          </w:p>
        </w:tc>
      </w:tr>
      <w:tr>
        <w:tc>
          <w:tcPr>
            <w:tcW w:type="dxa" w:w="5083"/>
            <w:vAlign w:val="top"/>
          </w:tcPr>
          <w:p>
            <w:pPr>
              <w:spacing w:after="0"/>
            </w:pPr>
            <w:r>
              <w:rPr>
                <w:sz w:val="15"/>
              </w:rPr>
              <w:t>Legal</w:t>
            </w:r>
          </w:p>
        </w:tc>
        <w:tc>
          <w:tcPr>
            <w:tcW w:type="dxa" w:w="5083"/>
            <w:vAlign w:val="top"/>
          </w:tcPr>
          <w:p>
            <w:pPr>
              <w:spacing w:after="0"/>
            </w:pPr>
            <w:r>
              <w:rPr>
                <w:sz w:val="15"/>
              </w:rPr>
              <w:t>CUSMA/WTO/domestic proceedings and decisions</w:t>
            </w:r>
          </w:p>
        </w:tc>
      </w:tr>
      <w:tr>
        <w:tc>
          <w:tcPr>
            <w:tcW w:type="dxa" w:w="5083"/>
            <w:vAlign w:val="top"/>
          </w:tcPr>
          <w:p>
            <w:pPr>
              <w:spacing w:after="0"/>
            </w:pPr>
            <w:r>
              <w:rPr>
                <w:sz w:val="15"/>
              </w:rPr>
              <w:t>De-escalation</w:t>
            </w:r>
          </w:p>
        </w:tc>
        <w:tc>
          <w:tcPr>
            <w:tcW w:type="dxa" w:w="5083"/>
            <w:vAlign w:val="top"/>
          </w:tcPr>
          <w:p>
            <w:pPr>
              <w:spacing w:after="0"/>
            </w:pPr>
            <w:r>
              <w:rPr>
                <w:sz w:val="15"/>
              </w:rPr>
              <w:t>Signals, settlement options, off-ramp readiness</w:t>
            </w:r>
          </w:p>
        </w:tc>
      </w:tr>
    </w:tbl>
    <w:p>
      <w:pPr>
        <w:spacing w:after="20"/>
      </w:pPr>
    </w:p>
    <w:p>
      <w:pPr>
        <w:pStyle w:val="Heading2"/>
        <w:keepNext/>
        <w:spacing w:before="140" w:after="60"/>
      </w:pPr>
      <w:r>
        <w:t>Information integrity rule</w:t>
      </w:r>
    </w:p>
    <w:p>
      <w:r>
        <w:rPr>
          <w:b w:val="0"/>
          <w:i w:val="0"/>
        </w:rPr>
        <w:t>Separate confirmed facts, government positions, estimates, forecasts and intelligence assessments. A province should be able to challenge a federal impact estimate, and Ottawa should be able to challenge a provincial one, without the disagreement becoming a loyalty test.</w:t>
      </w:r>
    </w:p>
    <w:p>
      <w:r>
        <w:br w:type="page"/>
      </w:r>
    </w:p>
    <w:p>
      <w:pPr>
        <w:pStyle w:val="Heading1"/>
        <w:keepNext/>
        <w:spacing w:before="140" w:after="60"/>
      </w:pPr>
      <w:r>
        <w:t>23. Communications Discipline</w:t>
      </w:r>
    </w:p>
    <w:p>
      <w:r>
        <w:rPr>
          <w:b w:val="0"/>
          <w:i w:val="0"/>
        </w:rPr>
        <w:t>The protocol does not require identical talking points. It requires governments to avoid communications that needlessly weaken Canada’s collective position or poison domestic cohesion.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7F5"/>
          </w:tcPr>
          <w:p>
            <w:r>
              <w:rPr>
                <w:b/>
                <w:sz w:val="14"/>
              </w:rPr>
              <w:t>Protected freedom</w:t>
            </w:r>
          </w:p>
        </w:tc>
        <w:tc>
          <w:tcPr>
            <w:tcW w:type="dxa" w:w="5083"/>
            <w:shd w:fill="D9E7F5"/>
          </w:tcPr>
          <w:p>
            <w:r>
              <w:rPr>
                <w:b/>
                <w:sz w:val="14"/>
              </w:rPr>
              <w:t>Solidarity expectation</w:t>
            </w:r>
          </w:p>
        </w:tc>
      </w:tr>
      <w:tr>
        <w:tc>
          <w:tcPr>
            <w:tcW w:type="dxa" w:w="5083"/>
            <w:vAlign w:val="top"/>
          </w:tcPr>
          <w:p>
            <w:pPr>
              <w:spacing w:after="0"/>
            </w:pPr>
            <w:r>
              <w:rPr>
                <w:sz w:val="14"/>
              </w:rPr>
              <w:t>Province may criticize federal policy</w:t>
            </w:r>
          </w:p>
        </w:tc>
        <w:tc>
          <w:tcPr>
            <w:tcW w:type="dxa" w:w="5083"/>
            <w:vAlign w:val="top"/>
          </w:tcPr>
          <w:p>
            <w:pPr>
              <w:spacing w:after="0"/>
            </w:pPr>
            <w:r>
              <w:rPr>
                <w:sz w:val="14"/>
              </w:rPr>
              <w:t>Critique the policy, cost, process or alternative; avoid depicting other Canadians as enemies</w:t>
            </w:r>
          </w:p>
        </w:tc>
      </w:tr>
      <w:tr>
        <w:tc>
          <w:tcPr>
            <w:tcW w:type="dxa" w:w="5083"/>
            <w:vAlign w:val="top"/>
          </w:tcPr>
          <w:p>
            <w:pPr>
              <w:spacing w:after="0"/>
            </w:pPr>
            <w:r>
              <w:rPr>
                <w:sz w:val="14"/>
              </w:rPr>
              <w:t>Ottawa may reject provincial proposal</w:t>
            </w:r>
          </w:p>
        </w:tc>
        <w:tc>
          <w:tcPr>
            <w:tcW w:type="dxa" w:w="5083"/>
            <w:vAlign w:val="top"/>
          </w:tcPr>
          <w:p>
            <w:pPr>
              <w:spacing w:after="0"/>
            </w:pPr>
            <w:r>
              <w:rPr>
                <w:sz w:val="14"/>
              </w:rPr>
              <w:t>Explain national/legal/economic rationale; do not threaten unrelated transfers as punishment</w:t>
            </w:r>
          </w:p>
        </w:tc>
      </w:tr>
      <w:tr>
        <w:tc>
          <w:tcPr>
            <w:tcW w:type="dxa" w:w="5083"/>
            <w:vAlign w:val="top"/>
          </w:tcPr>
          <w:p>
            <w:pPr>
              <w:spacing w:after="0"/>
            </w:pPr>
            <w:r>
              <w:rPr>
                <w:sz w:val="14"/>
              </w:rPr>
              <w:t>Province may advocate its sector in U.S.</w:t>
            </w:r>
          </w:p>
        </w:tc>
        <w:tc>
          <w:tcPr>
            <w:tcW w:type="dxa" w:w="5083"/>
            <w:vAlign w:val="top"/>
          </w:tcPr>
          <w:p>
            <w:pPr>
              <w:spacing w:after="0"/>
            </w:pPr>
            <w:r>
              <w:rPr>
                <w:sz w:val="14"/>
              </w:rPr>
              <w:t>Do not imply authority to trade away another province’s interests</w:t>
            </w:r>
          </w:p>
        </w:tc>
      </w:tr>
      <w:tr>
        <w:tc>
          <w:tcPr>
            <w:tcW w:type="dxa" w:w="5083"/>
            <w:vAlign w:val="top"/>
          </w:tcPr>
          <w:p>
            <w:pPr>
              <w:spacing w:after="0"/>
            </w:pPr>
            <w:r>
              <w:rPr>
                <w:sz w:val="14"/>
              </w:rPr>
              <w:t>Governments may disclose dissent</w:t>
            </w:r>
          </w:p>
        </w:tc>
        <w:tc>
          <w:tcPr>
            <w:tcW w:type="dxa" w:w="5083"/>
            <w:vAlign w:val="top"/>
          </w:tcPr>
          <w:p>
            <w:pPr>
              <w:spacing w:after="0"/>
            </w:pPr>
            <w:r>
              <w:rPr>
                <w:sz w:val="14"/>
              </w:rPr>
              <w:t>Respect negotiating confidentiality and timing where disclosure would materially damage Canada</w:t>
            </w:r>
          </w:p>
        </w:tc>
      </w:tr>
      <w:tr>
        <w:tc>
          <w:tcPr>
            <w:tcW w:type="dxa" w:w="5083"/>
            <w:vAlign w:val="top"/>
          </w:tcPr>
          <w:p>
            <w:pPr>
              <w:spacing w:after="0"/>
            </w:pPr>
            <w:r>
              <w:rPr>
                <w:sz w:val="14"/>
              </w:rPr>
              <w:t>All governments</w:t>
            </w:r>
          </w:p>
        </w:tc>
        <w:tc>
          <w:tcPr>
            <w:tcW w:type="dxa" w:w="5083"/>
            <w:vAlign w:val="top"/>
          </w:tcPr>
          <w:p>
            <w:pPr>
              <w:spacing w:after="0"/>
            </w:pPr>
            <w:r>
              <w:rPr>
                <w:sz w:val="14"/>
              </w:rPr>
              <w:t>Correct false claims about another jurisdiction before amplifying them</w:t>
            </w:r>
          </w:p>
        </w:tc>
      </w:tr>
    </w:tbl>
    <w:p>
      <w:pPr>
        <w:spacing w:after="20"/>
      </w:pPr>
    </w:p>
    <w:p>
      <w:pPr>
        <w:pStyle w:val="Heading2"/>
        <w:keepNext/>
        <w:spacing w:before="140" w:after="60"/>
      </w:pPr>
      <w:r>
        <w:t>Shared public line</w:t>
      </w:r>
    </w:p>
    <w:p>
      <w:r>
        <w:rPr>
          <w:b w:val="0"/>
          <w:i w:val="0"/>
        </w:rPr>
        <w:t>Canada is a federation. Governments will sometimes disagree. The protocol’s success is not measured by theatrical unanimity; it is measured by whether disagreements are surfaced early, managed fairly and prevented from becoming strategic vulnerabilities.</w:t>
      </w:r>
    </w:p>
    <w:p>
      <w:r>
        <w:br w:type="page"/>
      </w:r>
    </w:p>
    <w:p>
      <w:pPr>
        <w:pStyle w:val="Heading1"/>
        <w:keepNext/>
        <w:spacing w:before="140" w:after="60"/>
      </w:pPr>
      <w:r>
        <w:t>24. Dispute Prevention and Resolution</w:t>
      </w:r>
    </w:p>
    <w:p>
      <w:r>
        <w:rPr>
          <w:b w:val="0"/>
          <w:i w:val="0"/>
        </w:rPr>
        <w:t>The protocol borrows the spirit, not the jurisdiction, of the Canadian Free Trade Agreement’s cooperative dispute philosophy: consultation first, formal escalation later. The CFTA itself emphasizes conciliatory, cooperative resolution and mutually satisfactory outcomes.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9E7F5"/>
          </w:tcPr>
          <w:p>
            <w:r>
              <w:rPr>
                <w:b/>
                <w:sz w:val="14"/>
              </w:rPr>
              <w:t>Rung</w:t>
            </w:r>
          </w:p>
        </w:tc>
        <w:tc>
          <w:tcPr>
            <w:tcW w:type="dxa" w:w="3389"/>
            <w:shd w:fill="D9E7F5"/>
          </w:tcPr>
          <w:p>
            <w:r>
              <w:rPr>
                <w:b/>
                <w:sz w:val="14"/>
              </w:rPr>
              <w:t>Time target</w:t>
            </w:r>
          </w:p>
        </w:tc>
        <w:tc>
          <w:tcPr>
            <w:tcW w:type="dxa" w:w="3389"/>
            <w:shd w:fill="D9E7F5"/>
          </w:tcPr>
          <w:p>
            <w:r>
              <w:rPr>
                <w:b/>
                <w:sz w:val="14"/>
              </w:rPr>
              <w:t>Process</w:t>
            </w:r>
          </w:p>
        </w:tc>
      </w:tr>
      <w:tr>
        <w:tc>
          <w:tcPr>
            <w:tcW w:type="dxa" w:w="3389"/>
            <w:vAlign w:val="top"/>
          </w:tcPr>
          <w:p>
            <w:pPr>
              <w:spacing w:after="0"/>
            </w:pPr>
            <w:r>
              <w:rPr>
                <w:sz w:val="14"/>
              </w:rPr>
              <w:t>0 — Officials</w:t>
            </w:r>
          </w:p>
        </w:tc>
        <w:tc>
          <w:tcPr>
            <w:tcW w:type="dxa" w:w="3389"/>
            <w:vAlign w:val="top"/>
          </w:tcPr>
          <w:p>
            <w:pPr>
              <w:spacing w:after="0"/>
            </w:pPr>
            <w:r>
              <w:rPr>
                <w:sz w:val="14"/>
              </w:rPr>
              <w:t>24–48h</w:t>
            </w:r>
          </w:p>
        </w:tc>
        <w:tc>
          <w:tcPr>
            <w:tcW w:type="dxa" w:w="3389"/>
            <w:vAlign w:val="top"/>
          </w:tcPr>
          <w:p>
            <w:pPr>
              <w:spacing w:after="0"/>
            </w:pPr>
            <w:r>
              <w:rPr>
                <w:sz w:val="14"/>
              </w:rPr>
              <w:t>Clarify facts; correct misunderstanding; identify authority</w:t>
            </w:r>
          </w:p>
        </w:tc>
      </w:tr>
      <w:tr>
        <w:tc>
          <w:tcPr>
            <w:tcW w:type="dxa" w:w="3389"/>
            <w:vAlign w:val="top"/>
          </w:tcPr>
          <w:p>
            <w:pPr>
              <w:spacing w:after="0"/>
            </w:pPr>
            <w:r>
              <w:rPr>
                <w:sz w:val="14"/>
              </w:rPr>
              <w:t>1 — Senior officials / DMs</w:t>
            </w:r>
          </w:p>
        </w:tc>
        <w:tc>
          <w:tcPr>
            <w:tcW w:type="dxa" w:w="3389"/>
            <w:vAlign w:val="top"/>
          </w:tcPr>
          <w:p>
            <w:pPr>
              <w:spacing w:after="0"/>
            </w:pPr>
            <w:r>
              <w:rPr>
                <w:sz w:val="14"/>
              </w:rPr>
              <w:t>48–72h</w:t>
            </w:r>
          </w:p>
        </w:tc>
        <w:tc>
          <w:tcPr>
            <w:tcW w:type="dxa" w:w="3389"/>
            <w:vAlign w:val="top"/>
          </w:tcPr>
          <w:p>
            <w:pPr>
              <w:spacing w:after="0"/>
            </w:pPr>
            <w:r>
              <w:rPr>
                <w:sz w:val="14"/>
              </w:rPr>
              <w:t>Option exchange; written issue statement</w:t>
            </w:r>
          </w:p>
        </w:tc>
      </w:tr>
      <w:tr>
        <w:tc>
          <w:tcPr>
            <w:tcW w:type="dxa" w:w="3389"/>
            <w:vAlign w:val="top"/>
          </w:tcPr>
          <w:p>
            <w:pPr>
              <w:spacing w:after="0"/>
            </w:pPr>
            <w:r>
              <w:rPr>
                <w:sz w:val="14"/>
              </w:rPr>
              <w:t>2 — Ministers</w:t>
            </w:r>
          </w:p>
        </w:tc>
        <w:tc>
          <w:tcPr>
            <w:tcW w:type="dxa" w:w="3389"/>
            <w:vAlign w:val="top"/>
          </w:tcPr>
          <w:p>
            <w:pPr>
              <w:spacing w:after="0"/>
            </w:pPr>
            <w:r>
              <w:rPr>
                <w:sz w:val="14"/>
              </w:rPr>
              <w:t>Within 5 days</w:t>
            </w:r>
          </w:p>
        </w:tc>
        <w:tc>
          <w:tcPr>
            <w:tcW w:type="dxa" w:w="3389"/>
            <w:vAlign w:val="top"/>
          </w:tcPr>
          <w:p>
            <w:pPr>
              <w:spacing w:after="0"/>
            </w:pPr>
            <w:r>
              <w:rPr>
                <w:sz w:val="14"/>
              </w:rPr>
              <w:t>Trade/IGA/sector ministers seek compromise</w:t>
            </w:r>
          </w:p>
        </w:tc>
      </w:tr>
      <w:tr>
        <w:tc>
          <w:tcPr>
            <w:tcW w:type="dxa" w:w="3389"/>
            <w:vAlign w:val="top"/>
          </w:tcPr>
          <w:p>
            <w:pPr>
              <w:spacing w:after="0"/>
            </w:pPr>
            <w:r>
              <w:rPr>
                <w:sz w:val="14"/>
              </w:rPr>
              <w:t>3 — Independent facilitation</w:t>
            </w:r>
          </w:p>
        </w:tc>
        <w:tc>
          <w:tcPr>
            <w:tcW w:type="dxa" w:w="3389"/>
            <w:vAlign w:val="top"/>
          </w:tcPr>
          <w:p>
            <w:pPr>
              <w:spacing w:after="0"/>
            </w:pPr>
            <w:r>
              <w:rPr>
                <w:sz w:val="14"/>
              </w:rPr>
              <w:t>Within 7–10 days</w:t>
            </w:r>
          </w:p>
        </w:tc>
        <w:tc>
          <w:tcPr>
            <w:tcW w:type="dxa" w:w="3389"/>
            <w:vAlign w:val="top"/>
          </w:tcPr>
          <w:p>
            <w:pPr>
              <w:spacing w:after="0"/>
            </w:pPr>
            <w:r>
              <w:rPr>
                <w:sz w:val="14"/>
              </w:rPr>
              <w:t>Mutually acceptable facilitator; non-binding recommendation</w:t>
            </w:r>
          </w:p>
        </w:tc>
      </w:tr>
      <w:tr>
        <w:tc>
          <w:tcPr>
            <w:tcW w:type="dxa" w:w="3389"/>
            <w:vAlign w:val="top"/>
          </w:tcPr>
          <w:p>
            <w:pPr>
              <w:spacing w:after="0"/>
            </w:pPr>
            <w:r>
              <w:rPr>
                <w:sz w:val="14"/>
              </w:rPr>
              <w:t>4 — First Ministers</w:t>
            </w:r>
          </w:p>
        </w:tc>
        <w:tc>
          <w:tcPr>
            <w:tcW w:type="dxa" w:w="3389"/>
            <w:vAlign w:val="top"/>
          </w:tcPr>
          <w:p>
            <w:pPr>
              <w:spacing w:after="0"/>
            </w:pPr>
            <w:r>
              <w:rPr>
                <w:sz w:val="14"/>
              </w:rPr>
              <w:t>Urgent / strategic</w:t>
            </w:r>
          </w:p>
        </w:tc>
        <w:tc>
          <w:tcPr>
            <w:tcW w:type="dxa" w:w="3389"/>
            <w:vAlign w:val="top"/>
          </w:tcPr>
          <w:p>
            <w:pPr>
              <w:spacing w:after="0"/>
            </w:pPr>
            <w:r>
              <w:rPr>
                <w:sz w:val="14"/>
              </w:rPr>
              <w:t>Political resolution; recorded consensus or dissent</w:t>
            </w:r>
          </w:p>
        </w:tc>
      </w:tr>
      <w:tr>
        <w:tc>
          <w:tcPr>
            <w:tcW w:type="dxa" w:w="3389"/>
            <w:vAlign w:val="top"/>
          </w:tcPr>
          <w:p>
            <w:pPr>
              <w:spacing w:after="0"/>
            </w:pPr>
            <w:r>
              <w:rPr>
                <w:sz w:val="14"/>
              </w:rPr>
              <w:t>5 — Legal channels</w:t>
            </w:r>
          </w:p>
        </w:tc>
        <w:tc>
          <w:tcPr>
            <w:tcW w:type="dxa" w:w="3389"/>
            <w:vAlign w:val="top"/>
          </w:tcPr>
          <w:p>
            <w:pPr>
              <w:spacing w:after="0"/>
            </w:pPr>
            <w:r>
              <w:rPr>
                <w:sz w:val="14"/>
              </w:rPr>
              <w:t>As required</w:t>
            </w:r>
          </w:p>
        </w:tc>
        <w:tc>
          <w:tcPr>
            <w:tcW w:type="dxa" w:w="3389"/>
            <w:vAlign w:val="top"/>
          </w:tcPr>
          <w:p>
            <w:pPr>
              <w:spacing w:after="0"/>
            </w:pPr>
            <w:r>
              <w:rPr>
                <w:sz w:val="14"/>
              </w:rPr>
              <w:t>Courts, statutory/treaty processes remain available; protocol does not displace them</w:t>
            </w:r>
          </w:p>
        </w:tc>
      </w:tr>
    </w:tbl>
    <w:p>
      <w:pPr>
        <w:spacing w:after="20"/>
      </w:pPr>
    </w:p>
    <w:p>
      <w:pPr>
        <w:pStyle w:val="Heading2"/>
        <w:keepNext/>
        <w:spacing w:before="140" w:after="60"/>
      </w:pPr>
      <w:r>
        <w:t>Cooling-off rule</w:t>
      </w:r>
    </w:p>
    <w:p>
      <w:r>
        <w:rPr>
          <w:b w:val="0"/>
          <w:i w:val="0"/>
        </w:rPr>
        <w:t>Except where legal deadlines, safety or irreversible economic harm require action, disputing governments should avoid punitive new measures against each other while a protocol dispute is in Rungs 1–4.</w:t>
      </w:r>
    </w:p>
    <w:p>
      <w:pPr>
        <w:spacing w:after="40"/>
      </w:pPr>
      <w:r>
        <w:rPr>
          <w:b/>
          <w:sz w:val="14"/>
        </w:rPr>
        <w:t xml:space="preserve">CFTA dispute philosophy: </w:t>
      </w:r>
      <w:r>
        <w:rPr>
          <w:sz w:val="14"/>
        </w:rPr>
        <w:t>https://www.cfta-alec.ca/cfta-agreement/chapter-ten-dispute-resolution</w:t>
      </w:r>
    </w:p>
    <w:p>
      <w:r>
        <w:br w:type="page"/>
      </w:r>
    </w:p>
    <w:p>
      <w:pPr>
        <w:pStyle w:val="Heading1"/>
        <w:keepNext/>
        <w:spacing w:before="140" w:after="60"/>
      </w:pPr>
      <w:r>
        <w:t>25. Emergency and Fast-Track Procedures</w:t>
      </w:r>
    </w:p>
    <w:p>
      <w:r>
        <w:rPr>
          <w:b w:val="0"/>
          <w:i w:val="0"/>
        </w:rPr>
        <w:t>External trade measures can move faster than normal FPT machinery. The answer is a pre-agreed fast lane, not abandonment of consultation.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7F5"/>
          </w:tcPr>
          <w:p>
            <w:r>
              <w:rPr>
                <w:b/>
                <w:sz w:val="15"/>
              </w:rPr>
              <w:t>Clock</w:t>
            </w:r>
          </w:p>
        </w:tc>
        <w:tc>
          <w:tcPr>
            <w:tcW w:type="dxa" w:w="5083"/>
            <w:shd w:fill="D9E7F5"/>
          </w:tcPr>
          <w:p>
            <w:r>
              <w:rPr>
                <w:b/>
                <w:sz w:val="15"/>
              </w:rPr>
              <w:t>Action</w:t>
            </w:r>
          </w:p>
        </w:tc>
      </w:tr>
      <w:tr>
        <w:tc>
          <w:tcPr>
            <w:tcW w:type="dxa" w:w="5083"/>
            <w:vAlign w:val="top"/>
          </w:tcPr>
          <w:p>
            <w:pPr>
              <w:spacing w:after="0"/>
            </w:pPr>
            <w:r>
              <w:rPr>
                <w:sz w:val="15"/>
              </w:rPr>
              <w:t>0–2 hours</w:t>
            </w:r>
          </w:p>
        </w:tc>
        <w:tc>
          <w:tcPr>
            <w:tcW w:type="dxa" w:w="5083"/>
            <w:vAlign w:val="top"/>
          </w:tcPr>
          <w:p>
            <w:pPr>
              <w:spacing w:after="0"/>
            </w:pPr>
            <w:r>
              <w:rPr>
                <w:sz w:val="15"/>
              </w:rPr>
              <w:t>Federal or provincial duty office alerts protocol secretariat</w:t>
            </w:r>
          </w:p>
        </w:tc>
      </w:tr>
      <w:tr>
        <w:tc>
          <w:tcPr>
            <w:tcW w:type="dxa" w:w="5083"/>
            <w:vAlign w:val="top"/>
          </w:tcPr>
          <w:p>
            <w:pPr>
              <w:spacing w:after="0"/>
            </w:pPr>
            <w:r>
              <w:rPr>
                <w:sz w:val="15"/>
              </w:rPr>
              <w:t>2–6 hours</w:t>
            </w:r>
          </w:p>
        </w:tc>
        <w:tc>
          <w:tcPr>
            <w:tcW w:type="dxa" w:w="5083"/>
            <w:vAlign w:val="top"/>
          </w:tcPr>
          <w:p>
            <w:pPr>
              <w:spacing w:after="0"/>
            </w:pPr>
            <w:r>
              <w:rPr>
                <w:sz w:val="15"/>
              </w:rPr>
              <w:t>Affected jurisdictions identified; secure call convened</w:t>
            </w:r>
          </w:p>
        </w:tc>
      </w:tr>
      <w:tr>
        <w:tc>
          <w:tcPr>
            <w:tcW w:type="dxa" w:w="5083"/>
            <w:vAlign w:val="top"/>
          </w:tcPr>
          <w:p>
            <w:pPr>
              <w:spacing w:after="0"/>
            </w:pPr>
            <w:r>
              <w:rPr>
                <w:sz w:val="15"/>
              </w:rPr>
              <w:t>6–12 hours</w:t>
            </w:r>
          </w:p>
        </w:tc>
        <w:tc>
          <w:tcPr>
            <w:tcW w:type="dxa" w:w="5083"/>
            <w:vAlign w:val="top"/>
          </w:tcPr>
          <w:p>
            <w:pPr>
              <w:spacing w:after="0"/>
            </w:pPr>
            <w:r>
              <w:rPr>
                <w:sz w:val="15"/>
              </w:rPr>
              <w:t>Initial legal/economic/regional impact note</w:t>
            </w:r>
          </w:p>
        </w:tc>
      </w:tr>
      <w:tr>
        <w:tc>
          <w:tcPr>
            <w:tcW w:type="dxa" w:w="5083"/>
            <w:vAlign w:val="top"/>
          </w:tcPr>
          <w:p>
            <w:pPr>
              <w:spacing w:after="0"/>
            </w:pPr>
            <w:r>
              <w:rPr>
                <w:sz w:val="15"/>
              </w:rPr>
              <w:t>12–24 hours</w:t>
            </w:r>
          </w:p>
        </w:tc>
        <w:tc>
          <w:tcPr>
            <w:tcW w:type="dxa" w:w="5083"/>
            <w:vAlign w:val="top"/>
          </w:tcPr>
          <w:p>
            <w:pPr>
              <w:spacing w:after="0"/>
            </w:pPr>
            <w:r>
              <w:rPr>
                <w:sz w:val="15"/>
              </w:rPr>
              <w:t>Ministers receive options and preliminary burden map</w:t>
            </w:r>
          </w:p>
        </w:tc>
      </w:tr>
      <w:tr>
        <w:tc>
          <w:tcPr>
            <w:tcW w:type="dxa" w:w="5083"/>
            <w:vAlign w:val="top"/>
          </w:tcPr>
          <w:p>
            <w:pPr>
              <w:spacing w:after="0"/>
            </w:pPr>
            <w:r>
              <w:rPr>
                <w:sz w:val="15"/>
              </w:rPr>
              <w:t>24–48 hours</w:t>
            </w:r>
          </w:p>
        </w:tc>
        <w:tc>
          <w:tcPr>
            <w:tcW w:type="dxa" w:w="5083"/>
            <w:vAlign w:val="top"/>
          </w:tcPr>
          <w:p>
            <w:pPr>
              <w:spacing w:after="0"/>
            </w:pPr>
            <w:r>
              <w:rPr>
                <w:sz w:val="15"/>
              </w:rPr>
              <w:t>Decision, public line, implementation instructions, support trigger</w:t>
            </w:r>
          </w:p>
        </w:tc>
      </w:tr>
      <w:tr>
        <w:tc>
          <w:tcPr>
            <w:tcW w:type="dxa" w:w="5083"/>
            <w:vAlign w:val="top"/>
          </w:tcPr>
          <w:p>
            <w:pPr>
              <w:spacing w:after="0"/>
            </w:pPr>
            <w:r>
              <w:rPr>
                <w:sz w:val="15"/>
              </w:rPr>
              <w:t>48–72 hours</w:t>
            </w:r>
          </w:p>
        </w:tc>
        <w:tc>
          <w:tcPr>
            <w:tcW w:type="dxa" w:w="5083"/>
            <w:vAlign w:val="top"/>
          </w:tcPr>
          <w:p>
            <w:pPr>
              <w:spacing w:after="0"/>
            </w:pPr>
            <w:r>
              <w:rPr>
                <w:sz w:val="15"/>
              </w:rPr>
              <w:t>Fuller impact model and correction of provisional assumptions</w:t>
            </w:r>
          </w:p>
        </w:tc>
      </w:tr>
      <w:tr>
        <w:tc>
          <w:tcPr>
            <w:tcW w:type="dxa" w:w="5083"/>
            <w:vAlign w:val="top"/>
          </w:tcPr>
          <w:p>
            <w:pPr>
              <w:spacing w:after="0"/>
            </w:pPr>
            <w:r>
              <w:rPr>
                <w:sz w:val="15"/>
              </w:rPr>
              <w:t>Day 7</w:t>
            </w:r>
          </w:p>
        </w:tc>
        <w:tc>
          <w:tcPr>
            <w:tcW w:type="dxa" w:w="5083"/>
            <w:vAlign w:val="top"/>
          </w:tcPr>
          <w:p>
            <w:pPr>
              <w:spacing w:after="0"/>
            </w:pPr>
            <w:r>
              <w:rPr>
                <w:sz w:val="15"/>
              </w:rPr>
              <w:t>Mandatory review of emergency decision</w:t>
            </w:r>
          </w:p>
        </w:tc>
      </w:tr>
    </w:tbl>
    <w:p>
      <w:pPr>
        <w:spacing w:after="20"/>
      </w:pPr>
    </w:p>
    <w:p>
      <w:r>
        <w:rPr>
          <w:b w:val="0"/>
          <w:i w:val="0"/>
        </w:rPr>
        <w:t>Emergency decisions are provisional where possible. Urgency lowers the amount of information available; it does not lower the obligation to revisit the choice.</w:t>
      </w:r>
    </w:p>
    <w:p>
      <w:r>
        <w:br w:type="page"/>
      </w:r>
    </w:p>
    <w:p>
      <w:pPr>
        <w:pStyle w:val="Heading1"/>
        <w:keepNext/>
        <w:spacing w:before="140" w:after="60"/>
      </w:pPr>
      <w:r>
        <w:t>26. Settlement Approval and Ratification Process</w:t>
      </w:r>
    </w:p>
    <w:p>
      <w:r>
        <w:rPr>
          <w:b w:val="0"/>
          <w:i w:val="0"/>
        </w:rPr>
        <w:t>A trade conflict often fractures a coalition at the moment a settlement becomes possible because benefits and concessions are uneven. The protocol therefore makes domestic settlement review a defined process rather than an improvisation.</w:t>
      </w:r>
    </w:p>
    <w:p>
      <w:pPr>
        <w:pStyle w:val="ListBullet"/>
      </w:pPr>
      <w:r>
        <w:t>Federal negotiators prepare a Settlement Distribution Statement identifying material gains and losses by region and sector.</w:t>
      </w:r>
    </w:p>
    <w:p>
      <w:pPr>
        <w:pStyle w:val="ListBullet"/>
      </w:pPr>
      <w:r>
        <w:t>Affected provinces receive confidential terms early enough to test implementation and mitigation.</w:t>
      </w:r>
    </w:p>
    <w:p>
      <w:pPr>
        <w:pStyle w:val="ListBullet"/>
      </w:pPr>
      <w:r>
        <w:t>Required provincial legislative, regulatory, procurement or resource actions are clearly distinguished from federal commitments.</w:t>
      </w:r>
    </w:p>
    <w:p>
      <w:pPr>
        <w:pStyle w:val="ListBullet"/>
      </w:pPr>
      <w:r>
        <w:t>No federal public announcement should imply provincial agreement where a required provincial commitment remains unresolved.</w:t>
      </w:r>
    </w:p>
    <w:p>
      <w:pPr>
        <w:pStyle w:val="ListBullet"/>
      </w:pPr>
      <w:r>
        <w:t>Where a province dissents but federal authority permits proceeding, the federal decision record explains the national rationale and mitigation plan.</w:t>
      </w:r>
    </w:p>
    <w:p>
      <w:pPr>
        <w:pStyle w:val="ListBullet"/>
      </w:pPr>
      <w:r>
        <w:t>Where provincial action is legally necessary, the settlement is made conditional on that action rather than pretending Canada can guarantee it.</w:t>
      </w:r>
    </w:p>
    <w:p>
      <w:pPr>
        <w:pStyle w:val="Heading2"/>
        <w:keepNext/>
        <w:spacing w:before="140" w:after="60"/>
      </w:pPr>
      <w:r>
        <w:t>Settlement fairness threshold</w:t>
      </w:r>
    </w:p>
    <w:p>
      <w:r>
        <w:rPr>
          <w:b w:val="0"/>
          <w:i w:val="0"/>
        </w:rPr>
        <w:t>A settlement is not automatically unfair because benefits differ by province. It becomes strategically dangerous when concentrated regional losses are concealed, uncompensated, indefinite, unnecessary, or imposed without meaningful participation.</w:t>
      </w:r>
    </w:p>
    <w:p>
      <w:r>
        <w:br w:type="page"/>
      </w:r>
    </w:p>
    <w:p>
      <w:pPr>
        <w:pStyle w:val="Heading1"/>
        <w:keepNext/>
        <w:spacing w:before="140" w:after="60"/>
      </w:pPr>
      <w:r>
        <w:t>27. Off-Ramps, Suspension and Restoration</w:t>
      </w:r>
    </w:p>
    <w:p>
      <w:r>
        <w:rPr>
          <w:b w:val="0"/>
          <w:i w:val="0"/>
        </w:rPr>
        <w:t>Intergovernmental solidarity should make de-escalation faster. Ottawa and provinces should pre-clear the domestic steps needed to suspend countermeasures, restore procurement access, unwind emergency programs, or convert temporary supports into adjustment policy.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7F5"/>
          </w:tcPr>
          <w:p>
            <w:r>
              <w:rPr>
                <w:b/>
                <w:sz w:val="15"/>
              </w:rPr>
              <w:t>External event</w:t>
            </w:r>
          </w:p>
        </w:tc>
        <w:tc>
          <w:tcPr>
            <w:tcW w:type="dxa" w:w="5083"/>
            <w:shd w:fill="D9E7F5"/>
          </w:tcPr>
          <w:p>
            <w:r>
              <w:rPr>
                <w:b/>
                <w:sz w:val="15"/>
              </w:rPr>
              <w:t>Domestic response</w:t>
            </w:r>
          </w:p>
        </w:tc>
      </w:tr>
      <w:tr>
        <w:tc>
          <w:tcPr>
            <w:tcW w:type="dxa" w:w="5083"/>
            <w:vAlign w:val="top"/>
          </w:tcPr>
          <w:p>
            <w:pPr>
              <w:spacing w:after="0"/>
            </w:pPr>
            <w:r>
              <w:rPr>
                <w:sz w:val="15"/>
              </w:rPr>
              <w:t>Verified tariff removal</w:t>
            </w:r>
          </w:p>
        </w:tc>
        <w:tc>
          <w:tcPr>
            <w:tcW w:type="dxa" w:w="5083"/>
            <w:vAlign w:val="top"/>
          </w:tcPr>
          <w:p>
            <w:pPr>
              <w:spacing w:after="0"/>
            </w:pPr>
            <w:r>
              <w:rPr>
                <w:sz w:val="15"/>
              </w:rPr>
              <w:t>Matched suspension/removal where policy calls for reciprocity</w:t>
            </w:r>
          </w:p>
        </w:tc>
      </w:tr>
      <w:tr>
        <w:tc>
          <w:tcPr>
            <w:tcW w:type="dxa" w:w="5083"/>
            <w:vAlign w:val="top"/>
          </w:tcPr>
          <w:p>
            <w:pPr>
              <w:spacing w:after="0"/>
            </w:pPr>
            <w:r>
              <w:rPr>
                <w:sz w:val="15"/>
              </w:rPr>
              <w:t>Temporary foreign pause</w:t>
            </w:r>
          </w:p>
        </w:tc>
        <w:tc>
          <w:tcPr>
            <w:tcW w:type="dxa" w:w="5083"/>
            <w:vAlign w:val="top"/>
          </w:tcPr>
          <w:p>
            <w:pPr>
              <w:spacing w:after="0"/>
            </w:pPr>
            <w:r>
              <w:rPr>
                <w:sz w:val="15"/>
              </w:rPr>
              <w:t>Temporary Canadian pause with restoration clause</w:t>
            </w:r>
          </w:p>
        </w:tc>
      </w:tr>
      <w:tr>
        <w:tc>
          <w:tcPr>
            <w:tcW w:type="dxa" w:w="5083"/>
            <w:vAlign w:val="top"/>
          </w:tcPr>
          <w:p>
            <w:pPr>
              <w:spacing w:after="0"/>
            </w:pPr>
            <w:r>
              <w:rPr>
                <w:sz w:val="15"/>
              </w:rPr>
              <w:t>Sector cure</w:t>
            </w:r>
          </w:p>
        </w:tc>
        <w:tc>
          <w:tcPr>
            <w:tcW w:type="dxa" w:w="5083"/>
            <w:vAlign w:val="top"/>
          </w:tcPr>
          <w:p>
            <w:pPr>
              <w:spacing w:after="0"/>
            </w:pPr>
            <w:r>
              <w:rPr>
                <w:sz w:val="15"/>
              </w:rPr>
              <w:t>Narrow corresponding measures and supports</w:t>
            </w:r>
          </w:p>
        </w:tc>
      </w:tr>
      <w:tr>
        <w:tc>
          <w:tcPr>
            <w:tcW w:type="dxa" w:w="5083"/>
            <w:vAlign w:val="top"/>
          </w:tcPr>
          <w:p>
            <w:pPr>
              <w:spacing w:after="0"/>
            </w:pPr>
            <w:r>
              <w:rPr>
                <w:sz w:val="15"/>
              </w:rPr>
              <w:t>Negotiating standstill</w:t>
            </w:r>
          </w:p>
        </w:tc>
        <w:tc>
          <w:tcPr>
            <w:tcW w:type="dxa" w:w="5083"/>
            <w:vAlign w:val="top"/>
          </w:tcPr>
          <w:p>
            <w:pPr>
              <w:spacing w:after="0"/>
            </w:pPr>
            <w:r>
              <w:rPr>
                <w:sz w:val="15"/>
              </w:rPr>
              <w:t>Freeze new escalation; continue monitoring</w:t>
            </w:r>
          </w:p>
        </w:tc>
      </w:tr>
      <w:tr>
        <w:tc>
          <w:tcPr>
            <w:tcW w:type="dxa" w:w="5083"/>
            <w:vAlign w:val="top"/>
          </w:tcPr>
          <w:p>
            <w:pPr>
              <w:spacing w:after="0"/>
            </w:pPr>
            <w:r>
              <w:rPr>
                <w:sz w:val="15"/>
              </w:rPr>
              <w:t>Whipsaw re-imposition</w:t>
            </w:r>
          </w:p>
        </w:tc>
        <w:tc>
          <w:tcPr>
            <w:tcW w:type="dxa" w:w="5083"/>
            <w:vAlign w:val="top"/>
          </w:tcPr>
          <w:p>
            <w:pPr>
              <w:spacing w:after="0"/>
            </w:pPr>
            <w:r>
              <w:rPr>
                <w:sz w:val="15"/>
              </w:rPr>
              <w:t>Use pre-agreed restoration process; reassess Canadian harm</w:t>
            </w:r>
          </w:p>
        </w:tc>
      </w:tr>
      <w:tr>
        <w:tc>
          <w:tcPr>
            <w:tcW w:type="dxa" w:w="5083"/>
            <w:vAlign w:val="top"/>
          </w:tcPr>
          <w:p>
            <w:pPr>
              <w:spacing w:after="0"/>
            </w:pPr>
            <w:r>
              <w:rPr>
                <w:sz w:val="15"/>
              </w:rPr>
              <w:t>Final settlement</w:t>
            </w:r>
          </w:p>
        </w:tc>
        <w:tc>
          <w:tcPr>
            <w:tcW w:type="dxa" w:w="5083"/>
            <w:vAlign w:val="top"/>
          </w:tcPr>
          <w:p>
            <w:pPr>
              <w:spacing w:after="0"/>
            </w:pPr>
            <w:r>
              <w:rPr>
                <w:sz w:val="15"/>
              </w:rPr>
              <w:t>Transition from conflict governance to recovery and diversification governance</w:t>
            </w:r>
          </w:p>
        </w:tc>
      </w:tr>
    </w:tbl>
    <w:p>
      <w:pPr>
        <w:spacing w:after="20"/>
      </w:pPr>
    </w:p>
    <w:p>
      <w:pPr>
        <w:pStyle w:val="Heading2"/>
        <w:keepNext/>
        <w:spacing w:before="140" w:after="60"/>
      </w:pPr>
      <w:r>
        <w:t>No victory tax</w:t>
      </w:r>
    </w:p>
    <w:p>
      <w:r>
        <w:rPr>
          <w:b w:val="0"/>
          <w:i w:val="0"/>
        </w:rPr>
        <w:t>A province should not lose previously committed transition support overnight merely because a settlement is announced. Adjustment programs should follow economic need and program rules, with orderly wind-down periods.</w:t>
      </w:r>
    </w:p>
    <w:p>
      <w:r>
        <w:br w:type="page"/>
      </w:r>
    </w:p>
    <w:p>
      <w:pPr>
        <w:pStyle w:val="Heading1"/>
        <w:keepNext/>
        <w:spacing w:before="140" w:after="60"/>
      </w:pPr>
      <w:r>
        <w:t>28. Compliance, Review and Transparency</w:t>
      </w:r>
    </w:p>
    <w:p>
      <w:r>
        <w:rPr>
          <w:b w:val="0"/>
          <w:i w:val="0"/>
        </w:rPr>
        <w:t>Because the protocol is principally political and intergovernmental, compliance should rely first on visible procedure, recorded obligations and reputational accountability rather than pseudo-legal penalties.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7F5"/>
          </w:tcPr>
          <w:p>
            <w:r>
              <w:rPr>
                <w:b/>
                <w:sz w:val="15"/>
              </w:rPr>
              <w:t>Review</w:t>
            </w:r>
          </w:p>
        </w:tc>
        <w:tc>
          <w:tcPr>
            <w:tcW w:type="dxa" w:w="5083"/>
            <w:shd w:fill="D9E7F5"/>
          </w:tcPr>
          <w:p>
            <w:r>
              <w:rPr>
                <w:b/>
                <w:sz w:val="15"/>
              </w:rPr>
              <w:t>Cadence</w:t>
            </w:r>
          </w:p>
        </w:tc>
      </w:tr>
      <w:tr>
        <w:tc>
          <w:tcPr>
            <w:tcW w:type="dxa" w:w="5083"/>
            <w:vAlign w:val="top"/>
          </w:tcPr>
          <w:p>
            <w:pPr>
              <w:spacing w:after="0"/>
            </w:pPr>
            <w:r>
              <w:rPr>
                <w:sz w:val="15"/>
              </w:rPr>
              <w:t>Operational dashboard</w:t>
            </w:r>
          </w:p>
        </w:tc>
        <w:tc>
          <w:tcPr>
            <w:tcW w:type="dxa" w:w="5083"/>
            <w:vAlign w:val="top"/>
          </w:tcPr>
          <w:p>
            <w:pPr>
              <w:spacing w:after="0"/>
            </w:pPr>
            <w:r>
              <w:rPr>
                <w:sz w:val="15"/>
              </w:rPr>
              <w:t>Weekly during acute activation</w:t>
            </w:r>
          </w:p>
        </w:tc>
      </w:tr>
      <w:tr>
        <w:tc>
          <w:tcPr>
            <w:tcW w:type="dxa" w:w="5083"/>
            <w:vAlign w:val="top"/>
          </w:tcPr>
          <w:p>
            <w:pPr>
              <w:spacing w:after="0"/>
            </w:pPr>
            <w:r>
              <w:rPr>
                <w:sz w:val="15"/>
              </w:rPr>
              <w:t>Ministerial compliance review</w:t>
            </w:r>
          </w:p>
        </w:tc>
        <w:tc>
          <w:tcPr>
            <w:tcW w:type="dxa" w:w="5083"/>
            <w:vAlign w:val="top"/>
          </w:tcPr>
          <w:p>
            <w:pPr>
              <w:spacing w:after="0"/>
            </w:pPr>
            <w:r>
              <w:rPr>
                <w:sz w:val="15"/>
              </w:rPr>
              <w:t>Monthly</w:t>
            </w:r>
          </w:p>
        </w:tc>
      </w:tr>
      <w:tr>
        <w:tc>
          <w:tcPr>
            <w:tcW w:type="dxa" w:w="5083"/>
            <w:vAlign w:val="top"/>
          </w:tcPr>
          <w:p>
            <w:pPr>
              <w:spacing w:after="0"/>
            </w:pPr>
            <w:r>
              <w:rPr>
                <w:sz w:val="15"/>
              </w:rPr>
              <w:t>First Ministers strategic review</w:t>
            </w:r>
          </w:p>
        </w:tc>
        <w:tc>
          <w:tcPr>
            <w:tcW w:type="dxa" w:w="5083"/>
            <w:vAlign w:val="top"/>
          </w:tcPr>
          <w:p>
            <w:pPr>
              <w:spacing w:after="0"/>
            </w:pPr>
            <w:r>
              <w:rPr>
                <w:sz w:val="15"/>
              </w:rPr>
              <w:t>Quarterly or on major escalation</w:t>
            </w:r>
          </w:p>
        </w:tc>
      </w:tr>
      <w:tr>
        <w:tc>
          <w:tcPr>
            <w:tcW w:type="dxa" w:w="5083"/>
            <w:vAlign w:val="top"/>
          </w:tcPr>
          <w:p>
            <w:pPr>
              <w:spacing w:after="0"/>
            </w:pPr>
            <w:r>
              <w:rPr>
                <w:sz w:val="15"/>
              </w:rPr>
              <w:t>Burden/compensation audit</w:t>
            </w:r>
          </w:p>
        </w:tc>
        <w:tc>
          <w:tcPr>
            <w:tcW w:type="dxa" w:w="5083"/>
            <w:vAlign w:val="top"/>
          </w:tcPr>
          <w:p>
            <w:pPr>
              <w:spacing w:after="0"/>
            </w:pPr>
            <w:r>
              <w:rPr>
                <w:sz w:val="15"/>
              </w:rPr>
              <w:t>Quarterly</w:t>
            </w:r>
          </w:p>
        </w:tc>
      </w:tr>
      <w:tr>
        <w:tc>
          <w:tcPr>
            <w:tcW w:type="dxa" w:w="5083"/>
            <w:vAlign w:val="top"/>
          </w:tcPr>
          <w:p>
            <w:pPr>
              <w:spacing w:after="0"/>
            </w:pPr>
            <w:r>
              <w:rPr>
                <w:sz w:val="15"/>
              </w:rPr>
              <w:t>Protocol effectiveness review</w:t>
            </w:r>
          </w:p>
        </w:tc>
        <w:tc>
          <w:tcPr>
            <w:tcW w:type="dxa" w:w="5083"/>
            <w:vAlign w:val="top"/>
          </w:tcPr>
          <w:p>
            <w:pPr>
              <w:spacing w:after="0"/>
            </w:pPr>
            <w:r>
              <w:rPr>
                <w:sz w:val="15"/>
              </w:rPr>
              <w:t>Every 12 months after first activation</w:t>
            </w:r>
          </w:p>
        </w:tc>
      </w:tr>
      <w:tr>
        <w:tc>
          <w:tcPr>
            <w:tcW w:type="dxa" w:w="5083"/>
            <w:vAlign w:val="top"/>
          </w:tcPr>
          <w:p>
            <w:pPr>
              <w:spacing w:after="0"/>
            </w:pPr>
            <w:r>
              <w:rPr>
                <w:sz w:val="15"/>
              </w:rPr>
              <w:t>Post-conflict after-action review</w:t>
            </w:r>
          </w:p>
        </w:tc>
        <w:tc>
          <w:tcPr>
            <w:tcW w:type="dxa" w:w="5083"/>
            <w:vAlign w:val="top"/>
          </w:tcPr>
          <w:p>
            <w:pPr>
              <w:spacing w:after="0"/>
            </w:pPr>
            <w:r>
              <w:rPr>
                <w:sz w:val="15"/>
              </w:rPr>
              <w:t>Within 90 days of deactivation</w:t>
            </w:r>
          </w:p>
        </w:tc>
      </w:tr>
    </w:tbl>
    <w:p>
      <w:pPr>
        <w:spacing w:after="20"/>
      </w:pPr>
    </w:p>
    <w:p>
      <w:pPr>
        <w:pStyle w:val="Heading2"/>
        <w:keepNext/>
        <w:spacing w:before="140" w:after="60"/>
      </w:pPr>
      <w:r>
        <w:t>Public transparency</w:t>
      </w:r>
    </w:p>
    <w:p>
      <w:r>
        <w:rPr>
          <w:b w:val="0"/>
          <w:i w:val="0"/>
        </w:rPr>
        <w:t>Publish the protocol, high-level meeting cadence, major support principles and non-sensitive after-action findings. Keep negotiating offers, privileged legal advice, protected commercial data and sensitive diplomatic information confidential.</w:t>
      </w:r>
    </w:p>
    <w:p>
      <w:r>
        <w:br w:type="page"/>
      </w:r>
    </w:p>
    <w:p>
      <w:pPr>
        <w:pStyle w:val="Heading1"/>
        <w:keepNext/>
        <w:spacing w:before="140" w:after="60"/>
      </w:pPr>
      <w:r>
        <w:t>29. Scenario Playbooks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7F5"/>
          </w:tcPr>
          <w:p>
            <w:r>
              <w:rPr>
                <w:b/>
                <w:sz w:val="14"/>
              </w:rPr>
              <w:t>Scenario</w:t>
            </w:r>
          </w:p>
        </w:tc>
        <w:tc>
          <w:tcPr>
            <w:tcW w:type="dxa" w:w="5083"/>
            <w:shd w:fill="D9E7F5"/>
          </w:tcPr>
          <w:p>
            <w:r>
              <w:rPr>
                <w:b/>
                <w:sz w:val="14"/>
              </w:rPr>
              <w:t>Solidarity response</w:t>
            </w:r>
          </w:p>
        </w:tc>
      </w:tr>
      <w:tr>
        <w:tc>
          <w:tcPr>
            <w:tcW w:type="dxa" w:w="5083"/>
            <w:vAlign w:val="top"/>
          </w:tcPr>
          <w:p>
            <w:pPr>
              <w:spacing w:after="0"/>
            </w:pPr>
            <w:r>
              <w:rPr>
                <w:sz w:val="14"/>
              </w:rPr>
              <w:t>U.S. offers one province unilateral relief</w:t>
            </w:r>
          </w:p>
        </w:tc>
        <w:tc>
          <w:tcPr>
            <w:tcW w:type="dxa" w:w="5083"/>
            <w:vAlign w:val="top"/>
          </w:tcPr>
          <w:p>
            <w:pPr>
              <w:spacing w:after="0"/>
            </w:pPr>
            <w:r>
              <w:rPr>
                <w:sz w:val="14"/>
              </w:rPr>
              <w:t>Province notifies Ottawa; rapid spillover review; explore converting offer into broader sector/national relief; reject explicit sacrifice of another province</w:t>
            </w:r>
          </w:p>
        </w:tc>
      </w:tr>
      <w:tr>
        <w:tc>
          <w:tcPr>
            <w:tcW w:type="dxa" w:w="5083"/>
            <w:vAlign w:val="top"/>
          </w:tcPr>
          <w:p>
            <w:pPr>
              <w:spacing w:after="0"/>
            </w:pPr>
            <w:r>
              <w:rPr>
                <w:sz w:val="14"/>
              </w:rPr>
              <w:t>Federal settlement threatens resource province</w:t>
            </w:r>
          </w:p>
        </w:tc>
        <w:tc>
          <w:tcPr>
            <w:tcW w:type="dxa" w:w="5083"/>
            <w:vAlign w:val="top"/>
          </w:tcPr>
          <w:p>
            <w:pPr>
              <w:spacing w:after="0"/>
            </w:pPr>
            <w:r>
              <w:rPr>
                <w:sz w:val="14"/>
              </w:rPr>
              <w:t>Activate resource co-design + no-sacrifice gate + mitigation statement before finalization</w:t>
            </w:r>
          </w:p>
        </w:tc>
      </w:tr>
      <w:tr>
        <w:tc>
          <w:tcPr>
            <w:tcW w:type="dxa" w:w="5083"/>
            <w:vAlign w:val="top"/>
          </w:tcPr>
          <w:p>
            <w:pPr>
              <w:spacing w:after="0"/>
            </w:pPr>
            <w:r>
              <w:rPr>
                <w:sz w:val="14"/>
              </w:rPr>
              <w:t>Province publicly rejects federal countermeasure</w:t>
            </w:r>
          </w:p>
        </w:tc>
        <w:tc>
          <w:tcPr>
            <w:tcW w:type="dxa" w:w="5083"/>
            <w:vAlign w:val="top"/>
          </w:tcPr>
          <w:p>
            <w:pPr>
              <w:spacing w:after="0"/>
            </w:pPr>
            <w:r>
              <w:rPr>
                <w:sz w:val="14"/>
              </w:rPr>
              <w:t>Keep province inside information system; document dissent; assess carve-out or compensation rather than punitive retaliation</w:t>
            </w:r>
          </w:p>
        </w:tc>
      </w:tr>
      <w:tr>
        <w:tc>
          <w:tcPr>
            <w:tcW w:type="dxa" w:w="5083"/>
            <w:vAlign w:val="top"/>
          </w:tcPr>
          <w:p>
            <w:pPr>
              <w:spacing w:after="0"/>
            </w:pPr>
            <w:r>
              <w:rPr>
                <w:sz w:val="14"/>
              </w:rPr>
              <w:t>Tariff shock hits single-industry town</w:t>
            </w:r>
          </w:p>
        </w:tc>
        <w:tc>
          <w:tcPr>
            <w:tcW w:type="dxa" w:w="5083"/>
            <w:vAlign w:val="top"/>
          </w:tcPr>
          <w:p>
            <w:pPr>
              <w:spacing w:after="0"/>
            </w:pPr>
            <w:r>
              <w:rPr>
                <w:sz w:val="14"/>
              </w:rPr>
              <w:t>Immediate burden trigger; liquidity/worker/community package; diversification cell</w:t>
            </w:r>
          </w:p>
        </w:tc>
      </w:tr>
      <w:tr>
        <w:tc>
          <w:tcPr>
            <w:tcW w:type="dxa" w:w="5083"/>
            <w:vAlign w:val="top"/>
          </w:tcPr>
          <w:p>
            <w:pPr>
              <w:spacing w:after="0"/>
            </w:pPr>
            <w:r>
              <w:rPr>
                <w:sz w:val="14"/>
              </w:rPr>
              <w:t>U.S. demands province-specific procurement concession</w:t>
            </w:r>
          </w:p>
        </w:tc>
        <w:tc>
          <w:tcPr>
            <w:tcW w:type="dxa" w:w="5083"/>
            <w:vAlign w:val="top"/>
          </w:tcPr>
          <w:p>
            <w:pPr>
              <w:spacing w:after="0"/>
            </w:pPr>
            <w:r>
              <w:rPr>
                <w:sz w:val="14"/>
              </w:rPr>
              <w:t>Jurisdiction mapping; province determines its authority/policy; Ottawa assesses trade reciprocity</w:t>
            </w:r>
          </w:p>
        </w:tc>
      </w:tr>
      <w:tr>
        <w:tc>
          <w:tcPr>
            <w:tcW w:type="dxa" w:w="5083"/>
            <w:vAlign w:val="top"/>
          </w:tcPr>
          <w:p>
            <w:pPr>
              <w:spacing w:after="0"/>
            </w:pPr>
            <w:r>
              <w:rPr>
                <w:sz w:val="14"/>
              </w:rPr>
              <w:t>Severe weather overlaps energy dispute</w:t>
            </w:r>
          </w:p>
        </w:tc>
        <w:tc>
          <w:tcPr>
            <w:tcW w:type="dxa" w:w="5083"/>
            <w:vAlign w:val="top"/>
          </w:tcPr>
          <w:p>
            <w:pPr>
              <w:spacing w:after="0"/>
            </w:pPr>
            <w:r>
              <w:rPr>
                <w:sz w:val="14"/>
              </w:rPr>
              <w:t>Reliability firewall; suspend actions that compound emergency; keep negotiation separate</w:t>
            </w:r>
          </w:p>
        </w:tc>
      </w:tr>
      <w:tr>
        <w:tc>
          <w:tcPr>
            <w:tcW w:type="dxa" w:w="5083"/>
            <w:vAlign w:val="top"/>
          </w:tcPr>
          <w:p>
            <w:pPr>
              <w:spacing w:after="0"/>
            </w:pPr>
            <w:r>
              <w:rPr>
                <w:sz w:val="14"/>
              </w:rPr>
              <w:t>Two provinces compete for relief</w:t>
            </w:r>
          </w:p>
        </w:tc>
        <w:tc>
          <w:tcPr>
            <w:tcW w:type="dxa" w:w="5083"/>
            <w:vAlign w:val="top"/>
          </w:tcPr>
          <w:p>
            <w:pPr>
              <w:spacing w:after="0"/>
            </w:pPr>
            <w:r>
              <w:rPr>
                <w:sz w:val="14"/>
              </w:rPr>
              <w:t>Common fairness test; no hidden bidding war; seek sector-wide solution</w:t>
            </w:r>
          </w:p>
        </w:tc>
      </w:tr>
      <w:tr>
        <w:tc>
          <w:tcPr>
            <w:tcW w:type="dxa" w:w="5083"/>
            <w:vAlign w:val="top"/>
          </w:tcPr>
          <w:p>
            <w:pPr>
              <w:spacing w:after="0"/>
            </w:pPr>
            <w:r>
              <w:rPr>
                <w:sz w:val="14"/>
              </w:rPr>
              <w:t>Constitutional disagreement</w:t>
            </w:r>
          </w:p>
        </w:tc>
        <w:tc>
          <w:tcPr>
            <w:tcW w:type="dxa" w:w="5083"/>
            <w:vAlign w:val="top"/>
          </w:tcPr>
          <w:p>
            <w:pPr>
              <w:spacing w:after="0"/>
            </w:pPr>
            <w:r>
              <w:rPr>
                <w:sz w:val="14"/>
              </w:rPr>
              <w:t>Separate legal question from political coordination; obtain independent legal opinions; preserve court access</w:t>
            </w:r>
          </w:p>
        </w:tc>
      </w:tr>
    </w:tbl>
    <w:p>
      <w:pPr>
        <w:spacing w:after="20"/>
      </w:pPr>
    </w:p>
    <w:p>
      <w:r>
        <w:br w:type="page"/>
      </w:r>
    </w:p>
    <w:p>
      <w:pPr>
        <w:pStyle w:val="Heading1"/>
        <w:keepNext/>
        <w:spacing w:before="140" w:after="60"/>
      </w:pPr>
      <w:r>
        <w:t>30. Implementation Roadmap</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9E7F5"/>
          </w:tcPr>
          <w:p>
            <w:r>
              <w:rPr>
                <w:b/>
                <w:sz w:val="14"/>
              </w:rPr>
              <w:t>Phase</w:t>
            </w:r>
          </w:p>
        </w:tc>
        <w:tc>
          <w:tcPr>
            <w:tcW w:type="dxa" w:w="3389"/>
            <w:shd w:fill="D9E7F5"/>
          </w:tcPr>
          <w:p>
            <w:r>
              <w:rPr>
                <w:b/>
                <w:sz w:val="14"/>
              </w:rPr>
              <w:t>Timing</w:t>
            </w:r>
          </w:p>
        </w:tc>
        <w:tc>
          <w:tcPr>
            <w:tcW w:type="dxa" w:w="3389"/>
            <w:shd w:fill="D9E7F5"/>
          </w:tcPr>
          <w:p>
            <w:r>
              <w:rPr>
                <w:b/>
                <w:sz w:val="14"/>
              </w:rPr>
              <w:t>Deliverable</w:t>
            </w:r>
          </w:p>
        </w:tc>
      </w:tr>
      <w:tr>
        <w:tc>
          <w:tcPr>
            <w:tcW w:type="dxa" w:w="3389"/>
            <w:vAlign w:val="top"/>
          </w:tcPr>
          <w:p>
            <w:pPr>
              <w:spacing w:after="0"/>
            </w:pPr>
            <w:r>
              <w:rPr>
                <w:sz w:val="14"/>
              </w:rPr>
              <w:t>I — Political adoption</w:t>
            </w:r>
          </w:p>
        </w:tc>
        <w:tc>
          <w:tcPr>
            <w:tcW w:type="dxa" w:w="3389"/>
            <w:vAlign w:val="top"/>
          </w:tcPr>
          <w:p>
            <w:pPr>
              <w:spacing w:after="0"/>
            </w:pPr>
            <w:r>
              <w:rPr>
                <w:sz w:val="14"/>
              </w:rPr>
              <w:t>0–30 days</w:t>
            </w:r>
          </w:p>
        </w:tc>
        <w:tc>
          <w:tcPr>
            <w:tcW w:type="dxa" w:w="3389"/>
            <w:vAlign w:val="top"/>
          </w:tcPr>
          <w:p>
            <w:pPr>
              <w:spacing w:after="0"/>
            </w:pPr>
            <w:r>
              <w:rPr>
                <w:sz w:val="14"/>
              </w:rPr>
              <w:t>First Ministers statement; designate ministers/officials; adopt principles</w:t>
            </w:r>
          </w:p>
        </w:tc>
      </w:tr>
      <w:tr>
        <w:tc>
          <w:tcPr>
            <w:tcW w:type="dxa" w:w="3389"/>
            <w:vAlign w:val="top"/>
          </w:tcPr>
          <w:p>
            <w:pPr>
              <w:spacing w:after="0"/>
            </w:pPr>
            <w:r>
              <w:rPr>
                <w:sz w:val="14"/>
              </w:rPr>
              <w:t>II — Machinery</w:t>
            </w:r>
          </w:p>
        </w:tc>
        <w:tc>
          <w:tcPr>
            <w:tcW w:type="dxa" w:w="3389"/>
            <w:vAlign w:val="top"/>
          </w:tcPr>
          <w:p>
            <w:pPr>
              <w:spacing w:after="0"/>
            </w:pPr>
            <w:r>
              <w:rPr>
                <w:sz w:val="14"/>
              </w:rPr>
              <w:t>30–60 days</w:t>
            </w:r>
          </w:p>
        </w:tc>
        <w:tc>
          <w:tcPr>
            <w:tcW w:type="dxa" w:w="3389"/>
            <w:vAlign w:val="top"/>
          </w:tcPr>
          <w:p>
            <w:pPr>
              <w:spacing w:after="0"/>
            </w:pPr>
            <w:r>
              <w:rPr>
                <w:sz w:val="14"/>
              </w:rPr>
              <w:t>Secretariat, contact tree, secure distribution lists, common templates</w:t>
            </w:r>
          </w:p>
        </w:tc>
      </w:tr>
      <w:tr>
        <w:tc>
          <w:tcPr>
            <w:tcW w:type="dxa" w:w="3389"/>
            <w:vAlign w:val="top"/>
          </w:tcPr>
          <w:p>
            <w:pPr>
              <w:spacing w:after="0"/>
            </w:pPr>
            <w:r>
              <w:rPr>
                <w:sz w:val="14"/>
              </w:rPr>
              <w:t>III — Data</w:t>
            </w:r>
          </w:p>
        </w:tc>
        <w:tc>
          <w:tcPr>
            <w:tcW w:type="dxa" w:w="3389"/>
            <w:vAlign w:val="top"/>
          </w:tcPr>
          <w:p>
            <w:pPr>
              <w:spacing w:after="0"/>
            </w:pPr>
            <w:r>
              <w:rPr>
                <w:sz w:val="14"/>
              </w:rPr>
              <w:t>30–90 days</w:t>
            </w:r>
          </w:p>
        </w:tc>
        <w:tc>
          <w:tcPr>
            <w:tcW w:type="dxa" w:w="3389"/>
            <w:vAlign w:val="top"/>
          </w:tcPr>
          <w:p>
            <w:pPr>
              <w:spacing w:after="0"/>
            </w:pPr>
            <w:r>
              <w:rPr>
                <w:sz w:val="14"/>
              </w:rPr>
              <w:t>Regional exposure baseline; critical-input map; support inventory</w:t>
            </w:r>
          </w:p>
        </w:tc>
      </w:tr>
      <w:tr>
        <w:tc>
          <w:tcPr>
            <w:tcW w:type="dxa" w:w="3389"/>
            <w:vAlign w:val="top"/>
          </w:tcPr>
          <w:p>
            <w:pPr>
              <w:spacing w:after="0"/>
            </w:pPr>
            <w:r>
              <w:rPr>
                <w:sz w:val="14"/>
              </w:rPr>
              <w:t>IV — Exercises</w:t>
            </w:r>
          </w:p>
        </w:tc>
        <w:tc>
          <w:tcPr>
            <w:tcW w:type="dxa" w:w="3389"/>
            <w:vAlign w:val="top"/>
          </w:tcPr>
          <w:p>
            <w:pPr>
              <w:spacing w:after="0"/>
            </w:pPr>
            <w:r>
              <w:rPr>
                <w:sz w:val="14"/>
              </w:rPr>
              <w:t>60–120 days</w:t>
            </w:r>
          </w:p>
        </w:tc>
        <w:tc>
          <w:tcPr>
            <w:tcW w:type="dxa" w:w="3389"/>
            <w:vAlign w:val="top"/>
          </w:tcPr>
          <w:p>
            <w:pPr>
              <w:spacing w:after="0"/>
            </w:pPr>
            <w:r>
              <w:rPr>
                <w:sz w:val="14"/>
              </w:rPr>
              <w:t>Tabletop scenarios for unilateral province offer, resource demand, sudden tariff</w:t>
            </w:r>
          </w:p>
        </w:tc>
      </w:tr>
      <w:tr>
        <w:tc>
          <w:tcPr>
            <w:tcW w:type="dxa" w:w="3389"/>
            <w:vAlign w:val="top"/>
          </w:tcPr>
          <w:p>
            <w:pPr>
              <w:spacing w:after="0"/>
            </w:pPr>
            <w:r>
              <w:rPr>
                <w:sz w:val="14"/>
              </w:rPr>
              <w:t>V — Integration</w:t>
            </w:r>
          </w:p>
        </w:tc>
        <w:tc>
          <w:tcPr>
            <w:tcW w:type="dxa" w:w="3389"/>
            <w:vAlign w:val="top"/>
          </w:tcPr>
          <w:p>
            <w:pPr>
              <w:spacing w:after="0"/>
            </w:pPr>
            <w:r>
              <w:rPr>
                <w:sz w:val="14"/>
              </w:rPr>
              <w:t>90–180 days</w:t>
            </w:r>
          </w:p>
        </w:tc>
        <w:tc>
          <w:tcPr>
            <w:tcW w:type="dxa" w:w="3389"/>
            <w:vAlign w:val="top"/>
          </w:tcPr>
          <w:p>
            <w:pPr>
              <w:spacing w:after="0"/>
            </w:pPr>
            <w:r>
              <w:rPr>
                <w:sz w:val="14"/>
              </w:rPr>
              <w:t>Link with internal trade, diversification, tariff and support frameworks</w:t>
            </w:r>
          </w:p>
        </w:tc>
      </w:tr>
      <w:tr>
        <w:tc>
          <w:tcPr>
            <w:tcW w:type="dxa" w:w="3389"/>
            <w:vAlign w:val="top"/>
          </w:tcPr>
          <w:p>
            <w:pPr>
              <w:spacing w:after="0"/>
            </w:pPr>
            <w:r>
              <w:rPr>
                <w:sz w:val="14"/>
              </w:rPr>
              <w:t>VI — Review</w:t>
            </w:r>
          </w:p>
        </w:tc>
        <w:tc>
          <w:tcPr>
            <w:tcW w:type="dxa" w:w="3389"/>
            <w:vAlign w:val="top"/>
          </w:tcPr>
          <w:p>
            <w:pPr>
              <w:spacing w:after="0"/>
            </w:pPr>
            <w:r>
              <w:rPr>
                <w:sz w:val="14"/>
              </w:rPr>
              <w:t>12 months</w:t>
            </w:r>
          </w:p>
        </w:tc>
        <w:tc>
          <w:tcPr>
            <w:tcW w:type="dxa" w:w="3389"/>
            <w:vAlign w:val="top"/>
          </w:tcPr>
          <w:p>
            <w:pPr>
              <w:spacing w:after="0"/>
            </w:pPr>
            <w:r>
              <w:rPr>
                <w:sz w:val="14"/>
              </w:rPr>
              <w:t>After-action review; eliminate unused bureaucracy; strengthen weak gates</w:t>
            </w:r>
          </w:p>
        </w:tc>
      </w:tr>
    </w:tbl>
    <w:p>
      <w:pPr>
        <w:spacing w:after="20"/>
      </w:pPr>
    </w:p>
    <w:p>
      <w:pPr>
        <w:pStyle w:val="Heading2"/>
        <w:keepNext/>
        <w:spacing w:before="140" w:after="60"/>
      </w:pPr>
      <w:r>
        <w:t>First 30-day checklist</w:t>
      </w:r>
    </w:p>
    <w:p>
      <w:pPr>
        <w:pStyle w:val="ListBullet"/>
      </w:pPr>
      <w:r>
        <w:t>Name one political and one senior-official contact per jurisdiction.</w:t>
      </w:r>
    </w:p>
    <w:p>
      <w:pPr>
        <w:pStyle w:val="ListBullet"/>
      </w:pPr>
      <w:r>
        <w:t>Approve 24-hour notification template.</w:t>
      </w:r>
    </w:p>
    <w:p>
      <w:pPr>
        <w:pStyle w:val="ListBullet"/>
      </w:pPr>
      <w:r>
        <w:t>Create confidential U.S.-province material-contact log.</w:t>
      </w:r>
    </w:p>
    <w:p>
      <w:pPr>
        <w:pStyle w:val="ListBullet"/>
      </w:pPr>
      <w:r>
        <w:t>Agree burden metrics and data custodians.</w:t>
      </w:r>
    </w:p>
    <w:p>
      <w:pPr>
        <w:pStyle w:val="ListBullet"/>
      </w:pPr>
      <w:r>
        <w:t>Identify top five sector cells that can be activated without new institutions.</w:t>
      </w:r>
    </w:p>
    <w:p>
      <w:pPr>
        <w:pStyle w:val="ListBullet"/>
      </w:pPr>
      <w:r>
        <w:t>Pre-select mediation/facilitation roster.</w:t>
      </w:r>
    </w:p>
    <w:p>
      <w:pPr>
        <w:pStyle w:val="ListBullet"/>
      </w:pPr>
      <w:r>
        <w:t>Complete first resource-jurisdiction map.</w:t>
      </w:r>
    </w:p>
    <w:p>
      <w:pPr>
        <w:pStyle w:val="ListBullet"/>
      </w:pPr>
      <w:r>
        <w:t>Run one 90-minute no-surprise simulation.</w:t>
      </w:r>
    </w:p>
    <w:p>
      <w:r>
        <w:br w:type="page"/>
      </w:r>
    </w:p>
    <w:p>
      <w:pPr>
        <w:pStyle w:val="Heading1"/>
        <w:keepNext/>
        <w:spacing w:before="140" w:after="60"/>
      </w:pPr>
      <w:r>
        <w:t>Annex A — 24-Hour No-Surprise Notice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7F5"/>
          </w:tcPr>
          <w:p>
            <w:r>
              <w:rPr>
                <w:b/>
                <w:sz w:val="16"/>
              </w:rPr>
              <w:t>Field</w:t>
            </w:r>
          </w:p>
        </w:tc>
        <w:tc>
          <w:tcPr>
            <w:tcW w:type="dxa" w:w="5083"/>
            <w:shd w:fill="D9E7F5"/>
          </w:tcPr>
          <w:p>
            <w:r>
              <w:rPr>
                <w:b/>
                <w:sz w:val="16"/>
              </w:rPr>
              <w:t>Entry</w:t>
            </w:r>
          </w:p>
        </w:tc>
      </w:tr>
      <w:tr>
        <w:tc>
          <w:tcPr>
            <w:tcW w:type="dxa" w:w="5083"/>
            <w:vAlign w:val="top"/>
          </w:tcPr>
          <w:p>
            <w:pPr>
              <w:spacing w:after="0"/>
            </w:pPr>
            <w:r>
              <w:rPr>
                <w:sz w:val="16"/>
              </w:rPr>
              <w:t>Initiating government</w:t>
            </w:r>
          </w:p>
        </w:tc>
        <w:tc>
          <w:tcPr>
            <w:tcW w:type="dxa" w:w="5083"/>
            <w:vAlign w:val="top"/>
          </w:tcPr>
          <w:p>
            <w:pPr>
              <w:spacing w:after="0"/>
            </w:pPr>
            <w:r>
              <w:rPr>
                <w:sz w:val="16"/>
              </w:rPr>
            </w:r>
          </w:p>
        </w:tc>
      </w:tr>
      <w:tr>
        <w:tc>
          <w:tcPr>
            <w:tcW w:type="dxa" w:w="5083"/>
            <w:vAlign w:val="top"/>
          </w:tcPr>
          <w:p>
            <w:pPr>
              <w:spacing w:after="0"/>
            </w:pPr>
            <w:r>
              <w:rPr>
                <w:sz w:val="16"/>
              </w:rPr>
              <w:t>Date/time of event</w:t>
            </w:r>
          </w:p>
        </w:tc>
        <w:tc>
          <w:tcPr>
            <w:tcW w:type="dxa" w:w="5083"/>
            <w:vAlign w:val="top"/>
          </w:tcPr>
          <w:p>
            <w:pPr>
              <w:spacing w:after="0"/>
            </w:pPr>
            <w:r>
              <w:rPr>
                <w:sz w:val="16"/>
              </w:rPr>
            </w:r>
          </w:p>
        </w:tc>
      </w:tr>
      <w:tr>
        <w:tc>
          <w:tcPr>
            <w:tcW w:type="dxa" w:w="5083"/>
            <w:vAlign w:val="top"/>
          </w:tcPr>
          <w:p>
            <w:pPr>
              <w:spacing w:after="0"/>
            </w:pPr>
            <w:r>
              <w:rPr>
                <w:sz w:val="16"/>
              </w:rPr>
              <w:t>External actor / institution</w:t>
            </w:r>
          </w:p>
        </w:tc>
        <w:tc>
          <w:tcPr>
            <w:tcW w:type="dxa" w:w="5083"/>
            <w:vAlign w:val="top"/>
          </w:tcPr>
          <w:p>
            <w:pPr>
              <w:spacing w:after="0"/>
            </w:pPr>
            <w:r>
              <w:rPr>
                <w:sz w:val="16"/>
              </w:rPr>
            </w:r>
          </w:p>
        </w:tc>
      </w:tr>
      <w:tr>
        <w:tc>
          <w:tcPr>
            <w:tcW w:type="dxa" w:w="5083"/>
            <w:vAlign w:val="top"/>
          </w:tcPr>
          <w:p>
            <w:pPr>
              <w:spacing w:after="0"/>
            </w:pPr>
            <w:r>
              <w:rPr>
                <w:sz w:val="16"/>
              </w:rPr>
              <w:t>Nature of measure, request or offer</w:t>
            </w:r>
          </w:p>
        </w:tc>
        <w:tc>
          <w:tcPr>
            <w:tcW w:type="dxa" w:w="5083"/>
            <w:vAlign w:val="top"/>
          </w:tcPr>
          <w:p>
            <w:pPr>
              <w:spacing w:after="0"/>
            </w:pPr>
            <w:r>
              <w:rPr>
                <w:sz w:val="16"/>
              </w:rPr>
            </w:r>
          </w:p>
        </w:tc>
      </w:tr>
      <w:tr>
        <w:tc>
          <w:tcPr>
            <w:tcW w:type="dxa" w:w="5083"/>
            <w:vAlign w:val="top"/>
          </w:tcPr>
          <w:p>
            <w:pPr>
              <w:spacing w:after="0"/>
            </w:pPr>
            <w:r>
              <w:rPr>
                <w:sz w:val="16"/>
              </w:rPr>
              <w:t>Affected Canadian jurisdictions</w:t>
            </w:r>
          </w:p>
        </w:tc>
        <w:tc>
          <w:tcPr>
            <w:tcW w:type="dxa" w:w="5083"/>
            <w:vAlign w:val="top"/>
          </w:tcPr>
          <w:p>
            <w:pPr>
              <w:spacing w:after="0"/>
            </w:pPr>
            <w:r>
              <w:rPr>
                <w:sz w:val="16"/>
              </w:rPr>
            </w:r>
          </w:p>
        </w:tc>
      </w:tr>
      <w:tr>
        <w:tc>
          <w:tcPr>
            <w:tcW w:type="dxa" w:w="5083"/>
            <w:vAlign w:val="top"/>
          </w:tcPr>
          <w:p>
            <w:pPr>
              <w:spacing w:after="0"/>
            </w:pPr>
            <w:r>
              <w:rPr>
                <w:sz w:val="16"/>
              </w:rPr>
              <w:t>Affected sectors / communities</w:t>
            </w:r>
          </w:p>
        </w:tc>
        <w:tc>
          <w:tcPr>
            <w:tcW w:type="dxa" w:w="5083"/>
            <w:vAlign w:val="top"/>
          </w:tcPr>
          <w:p>
            <w:pPr>
              <w:spacing w:after="0"/>
            </w:pPr>
            <w:r>
              <w:rPr>
                <w:sz w:val="16"/>
              </w:rPr>
            </w:r>
          </w:p>
        </w:tc>
      </w:tr>
      <w:tr>
        <w:tc>
          <w:tcPr>
            <w:tcW w:type="dxa" w:w="5083"/>
            <w:vAlign w:val="top"/>
          </w:tcPr>
          <w:p>
            <w:pPr>
              <w:spacing w:after="0"/>
            </w:pPr>
            <w:r>
              <w:rPr>
                <w:sz w:val="16"/>
              </w:rPr>
              <w:t>Known legal / jurisdictional issues</w:t>
            </w:r>
          </w:p>
        </w:tc>
        <w:tc>
          <w:tcPr>
            <w:tcW w:type="dxa" w:w="5083"/>
            <w:vAlign w:val="top"/>
          </w:tcPr>
          <w:p>
            <w:pPr>
              <w:spacing w:after="0"/>
            </w:pPr>
            <w:r>
              <w:rPr>
                <w:sz w:val="16"/>
              </w:rPr>
            </w:r>
          </w:p>
        </w:tc>
      </w:tr>
      <w:tr>
        <w:tc>
          <w:tcPr>
            <w:tcW w:type="dxa" w:w="5083"/>
            <w:vAlign w:val="top"/>
          </w:tcPr>
          <w:p>
            <w:pPr>
              <w:spacing w:after="0"/>
            </w:pPr>
            <w:r>
              <w:rPr>
                <w:sz w:val="16"/>
              </w:rPr>
              <w:t>Confidentiality classification</w:t>
            </w:r>
          </w:p>
        </w:tc>
        <w:tc>
          <w:tcPr>
            <w:tcW w:type="dxa" w:w="5083"/>
            <w:vAlign w:val="top"/>
          </w:tcPr>
          <w:p>
            <w:pPr>
              <w:spacing w:after="0"/>
            </w:pPr>
            <w:r>
              <w:rPr>
                <w:sz w:val="16"/>
              </w:rPr>
            </w:r>
          </w:p>
        </w:tc>
      </w:tr>
      <w:tr>
        <w:tc>
          <w:tcPr>
            <w:tcW w:type="dxa" w:w="5083"/>
            <w:vAlign w:val="top"/>
          </w:tcPr>
          <w:p>
            <w:pPr>
              <w:spacing w:after="0"/>
            </w:pPr>
            <w:r>
              <w:rPr>
                <w:sz w:val="16"/>
              </w:rPr>
              <w:t>Action already taken</w:t>
            </w:r>
          </w:p>
        </w:tc>
        <w:tc>
          <w:tcPr>
            <w:tcW w:type="dxa" w:w="5083"/>
            <w:vAlign w:val="top"/>
          </w:tcPr>
          <w:p>
            <w:pPr>
              <w:spacing w:after="0"/>
            </w:pPr>
            <w:r>
              <w:rPr>
                <w:sz w:val="16"/>
              </w:rPr>
            </w:r>
          </w:p>
        </w:tc>
      </w:tr>
      <w:tr>
        <w:tc>
          <w:tcPr>
            <w:tcW w:type="dxa" w:w="5083"/>
            <w:vAlign w:val="top"/>
          </w:tcPr>
          <w:p>
            <w:pPr>
              <w:spacing w:after="0"/>
            </w:pPr>
            <w:r>
              <w:rPr>
                <w:sz w:val="16"/>
              </w:rPr>
              <w:t>Next deadline</w:t>
            </w:r>
          </w:p>
        </w:tc>
        <w:tc>
          <w:tcPr>
            <w:tcW w:type="dxa" w:w="5083"/>
            <w:vAlign w:val="top"/>
          </w:tcPr>
          <w:p>
            <w:pPr>
              <w:spacing w:after="0"/>
            </w:pPr>
            <w:r>
              <w:rPr>
                <w:sz w:val="16"/>
              </w:rPr>
            </w:r>
          </w:p>
        </w:tc>
      </w:tr>
      <w:tr>
        <w:tc>
          <w:tcPr>
            <w:tcW w:type="dxa" w:w="5083"/>
            <w:vAlign w:val="top"/>
          </w:tcPr>
          <w:p>
            <w:pPr>
              <w:spacing w:after="0"/>
            </w:pPr>
            <w:r>
              <w:rPr>
                <w:sz w:val="16"/>
              </w:rPr>
              <w:t>Requested FPT consultation</w:t>
            </w:r>
          </w:p>
        </w:tc>
        <w:tc>
          <w:tcPr>
            <w:tcW w:type="dxa" w:w="5083"/>
            <w:vAlign w:val="top"/>
          </w:tcPr>
          <w:p>
            <w:pPr>
              <w:spacing w:after="0"/>
            </w:pPr>
            <w:r>
              <w:rPr>
                <w:sz w:val="16"/>
              </w:rPr>
            </w:r>
          </w:p>
        </w:tc>
      </w:tr>
      <w:tr>
        <w:tc>
          <w:tcPr>
            <w:tcW w:type="dxa" w:w="5083"/>
            <w:vAlign w:val="top"/>
          </w:tcPr>
          <w:p>
            <w:pPr>
              <w:spacing w:after="0"/>
            </w:pPr>
            <w:r>
              <w:rPr>
                <w:sz w:val="16"/>
              </w:rPr>
              <w:t>Contact official</w:t>
            </w:r>
          </w:p>
        </w:tc>
        <w:tc>
          <w:tcPr>
            <w:tcW w:type="dxa" w:w="5083"/>
            <w:vAlign w:val="top"/>
          </w:tcPr>
          <w:p>
            <w:pPr>
              <w:spacing w:after="0"/>
            </w:pPr>
            <w:r>
              <w:rPr>
                <w:sz w:val="16"/>
              </w:rPr>
            </w:r>
          </w:p>
        </w:tc>
      </w:tr>
    </w:tbl>
    <w:p>
      <w:pPr>
        <w:spacing w:after="20"/>
      </w:pPr>
    </w:p>
    <w:p>
      <w:r>
        <w:rPr>
          <w:b w:val="0"/>
          <w:i w:val="0"/>
        </w:rPr>
        <w:t>Rule: brevity beats delay. A provisional notice can be corrected. Silence cannot be retroactively made into consultation.</w:t>
      </w:r>
    </w:p>
    <w:p>
      <w:r>
        <w:br w:type="page"/>
      </w:r>
    </w:p>
    <w:p>
      <w:pPr>
        <w:pStyle w:val="Heading1"/>
        <w:keepNext/>
        <w:spacing w:before="140" w:after="60"/>
      </w:pPr>
      <w:r>
        <w:t>Annex B — Provincial / Territorial Impact Statement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7F5"/>
          </w:tcPr>
          <w:p>
            <w:r>
              <w:rPr>
                <w:b/>
                <w:sz w:val="15"/>
              </w:rPr>
              <w:t>Category</w:t>
            </w:r>
          </w:p>
        </w:tc>
        <w:tc>
          <w:tcPr>
            <w:tcW w:type="dxa" w:w="5083"/>
            <w:shd w:fill="D9E7F5"/>
          </w:tcPr>
          <w:p>
            <w:r>
              <w:rPr>
                <w:b/>
                <w:sz w:val="15"/>
              </w:rPr>
              <w:t>Assessment prompt</w:t>
            </w:r>
          </w:p>
        </w:tc>
      </w:tr>
      <w:tr>
        <w:tc>
          <w:tcPr>
            <w:tcW w:type="dxa" w:w="5083"/>
            <w:vAlign w:val="top"/>
          </w:tcPr>
          <w:p>
            <w:pPr>
              <w:spacing w:after="0"/>
            </w:pPr>
            <w:r>
              <w:rPr>
                <w:sz w:val="15"/>
              </w:rPr>
              <w:t>Direct trade</w:t>
            </w:r>
          </w:p>
        </w:tc>
        <w:tc>
          <w:tcPr>
            <w:tcW w:type="dxa" w:w="5083"/>
            <w:vAlign w:val="top"/>
          </w:tcPr>
          <w:p>
            <w:pPr>
              <w:spacing w:after="0"/>
            </w:pPr>
            <w:r>
              <w:rPr>
                <w:sz w:val="15"/>
              </w:rPr>
              <w:t>Value and products directly affected</w:t>
            </w:r>
          </w:p>
        </w:tc>
      </w:tr>
      <w:tr>
        <w:tc>
          <w:tcPr>
            <w:tcW w:type="dxa" w:w="5083"/>
            <w:vAlign w:val="top"/>
          </w:tcPr>
          <w:p>
            <w:pPr>
              <w:spacing w:after="0"/>
            </w:pPr>
            <w:r>
              <w:rPr>
                <w:sz w:val="15"/>
              </w:rPr>
              <w:t>Employment</w:t>
            </w:r>
          </w:p>
        </w:tc>
        <w:tc>
          <w:tcPr>
            <w:tcW w:type="dxa" w:w="5083"/>
            <w:vAlign w:val="top"/>
          </w:tcPr>
          <w:p>
            <w:pPr>
              <w:spacing w:after="0"/>
            </w:pPr>
            <w:r>
              <w:rPr>
                <w:sz w:val="15"/>
              </w:rPr>
              <w:t>Jobs/hours/communities exposed</w:t>
            </w:r>
          </w:p>
        </w:tc>
      </w:tr>
      <w:tr>
        <w:tc>
          <w:tcPr>
            <w:tcW w:type="dxa" w:w="5083"/>
            <w:vAlign w:val="top"/>
          </w:tcPr>
          <w:p>
            <w:pPr>
              <w:spacing w:after="0"/>
            </w:pPr>
            <w:r>
              <w:rPr>
                <w:sz w:val="15"/>
              </w:rPr>
              <w:t>Supply chain</w:t>
            </w:r>
          </w:p>
        </w:tc>
        <w:tc>
          <w:tcPr>
            <w:tcW w:type="dxa" w:w="5083"/>
            <w:vAlign w:val="top"/>
          </w:tcPr>
          <w:p>
            <w:pPr>
              <w:spacing w:after="0"/>
            </w:pPr>
            <w:r>
              <w:rPr>
                <w:sz w:val="15"/>
              </w:rPr>
              <w:t>Upstream/downstream firms and inputs</w:t>
            </w:r>
          </w:p>
        </w:tc>
      </w:tr>
      <w:tr>
        <w:tc>
          <w:tcPr>
            <w:tcW w:type="dxa" w:w="5083"/>
            <w:vAlign w:val="top"/>
          </w:tcPr>
          <w:p>
            <w:pPr>
              <w:spacing w:after="0"/>
            </w:pPr>
            <w:r>
              <w:rPr>
                <w:sz w:val="15"/>
              </w:rPr>
              <w:t>Households</w:t>
            </w:r>
          </w:p>
        </w:tc>
        <w:tc>
          <w:tcPr>
            <w:tcW w:type="dxa" w:w="5083"/>
            <w:vAlign w:val="top"/>
          </w:tcPr>
          <w:p>
            <w:pPr>
              <w:spacing w:after="0"/>
            </w:pPr>
            <w:r>
              <w:rPr>
                <w:sz w:val="15"/>
              </w:rPr>
              <w:t>Consumer/energy/food affordability</w:t>
            </w:r>
          </w:p>
        </w:tc>
      </w:tr>
      <w:tr>
        <w:tc>
          <w:tcPr>
            <w:tcW w:type="dxa" w:w="5083"/>
            <w:vAlign w:val="top"/>
          </w:tcPr>
          <w:p>
            <w:pPr>
              <w:spacing w:after="0"/>
            </w:pPr>
            <w:r>
              <w:rPr>
                <w:sz w:val="15"/>
              </w:rPr>
              <w:t>Fiscal</w:t>
            </w:r>
          </w:p>
        </w:tc>
        <w:tc>
          <w:tcPr>
            <w:tcW w:type="dxa" w:w="5083"/>
            <w:vAlign w:val="top"/>
          </w:tcPr>
          <w:p>
            <w:pPr>
              <w:spacing w:after="0"/>
            </w:pPr>
            <w:r>
              <w:rPr>
                <w:sz w:val="15"/>
              </w:rPr>
              <w:t>Revenue loss and extraordinary spending</w:t>
            </w:r>
          </w:p>
        </w:tc>
      </w:tr>
      <w:tr>
        <w:tc>
          <w:tcPr>
            <w:tcW w:type="dxa" w:w="5083"/>
            <w:vAlign w:val="top"/>
          </w:tcPr>
          <w:p>
            <w:pPr>
              <w:spacing w:after="0"/>
            </w:pPr>
            <w:r>
              <w:rPr>
                <w:sz w:val="15"/>
              </w:rPr>
              <w:t>Infrastructure</w:t>
            </w:r>
          </w:p>
        </w:tc>
        <w:tc>
          <w:tcPr>
            <w:tcW w:type="dxa" w:w="5083"/>
            <w:vAlign w:val="top"/>
          </w:tcPr>
          <w:p>
            <w:pPr>
              <w:spacing w:after="0"/>
            </w:pPr>
            <w:r>
              <w:rPr>
                <w:sz w:val="15"/>
              </w:rPr>
              <w:t>Ports, rail, roads, grid, pipelines, processing</w:t>
            </w:r>
          </w:p>
        </w:tc>
      </w:tr>
      <w:tr>
        <w:tc>
          <w:tcPr>
            <w:tcW w:type="dxa" w:w="5083"/>
            <w:vAlign w:val="top"/>
          </w:tcPr>
          <w:p>
            <w:pPr>
              <w:spacing w:after="0"/>
            </w:pPr>
            <w:r>
              <w:rPr>
                <w:sz w:val="15"/>
              </w:rPr>
              <w:t>Indigenous</w:t>
            </w:r>
          </w:p>
        </w:tc>
        <w:tc>
          <w:tcPr>
            <w:tcW w:type="dxa" w:w="5083"/>
            <w:vAlign w:val="top"/>
          </w:tcPr>
          <w:p>
            <w:pPr>
              <w:spacing w:after="0"/>
            </w:pPr>
            <w:r>
              <w:rPr>
                <w:sz w:val="15"/>
              </w:rPr>
              <w:t>Rights holders and Indigenous enterprises</w:t>
            </w:r>
          </w:p>
        </w:tc>
      </w:tr>
      <w:tr>
        <w:tc>
          <w:tcPr>
            <w:tcW w:type="dxa" w:w="5083"/>
            <w:vAlign w:val="top"/>
          </w:tcPr>
          <w:p>
            <w:pPr>
              <w:spacing w:after="0"/>
            </w:pPr>
            <w:r>
              <w:rPr>
                <w:sz w:val="15"/>
              </w:rPr>
              <w:t>Substitution</w:t>
            </w:r>
          </w:p>
        </w:tc>
        <w:tc>
          <w:tcPr>
            <w:tcW w:type="dxa" w:w="5083"/>
            <w:vAlign w:val="top"/>
          </w:tcPr>
          <w:p>
            <w:pPr>
              <w:spacing w:after="0"/>
            </w:pPr>
            <w:r>
              <w:rPr>
                <w:sz w:val="15"/>
              </w:rPr>
              <w:t>Domestic/non-U.S. alternatives and lead time</w:t>
            </w:r>
          </w:p>
        </w:tc>
      </w:tr>
      <w:tr>
        <w:tc>
          <w:tcPr>
            <w:tcW w:type="dxa" w:w="5083"/>
            <w:vAlign w:val="top"/>
          </w:tcPr>
          <w:p>
            <w:pPr>
              <w:spacing w:after="0"/>
            </w:pPr>
            <w:r>
              <w:rPr>
                <w:sz w:val="15"/>
              </w:rPr>
              <w:t>Support</w:t>
            </w:r>
          </w:p>
        </w:tc>
        <w:tc>
          <w:tcPr>
            <w:tcW w:type="dxa" w:w="5083"/>
            <w:vAlign w:val="top"/>
          </w:tcPr>
          <w:p>
            <w:pPr>
              <w:spacing w:after="0"/>
            </w:pPr>
            <w:r>
              <w:rPr>
                <w:sz w:val="15"/>
              </w:rPr>
              <w:t>Immediate, transition and investment needs</w:t>
            </w:r>
          </w:p>
        </w:tc>
      </w:tr>
      <w:tr>
        <w:tc>
          <w:tcPr>
            <w:tcW w:type="dxa" w:w="5083"/>
            <w:vAlign w:val="top"/>
          </w:tcPr>
          <w:p>
            <w:pPr>
              <w:spacing w:after="0"/>
            </w:pPr>
            <w:r>
              <w:rPr>
                <w:sz w:val="15"/>
              </w:rPr>
              <w:t>Preferred national response</w:t>
            </w:r>
          </w:p>
        </w:tc>
        <w:tc>
          <w:tcPr>
            <w:tcW w:type="dxa" w:w="5083"/>
            <w:vAlign w:val="top"/>
          </w:tcPr>
          <w:p>
            <w:pPr>
              <w:spacing w:after="0"/>
            </w:pPr>
            <w:r>
              <w:rPr>
                <w:sz w:val="15"/>
              </w:rPr>
              <w:t>Countermeasure / offer / exemption / support / wait</w:t>
            </w:r>
          </w:p>
        </w:tc>
      </w:tr>
      <w:tr>
        <w:tc>
          <w:tcPr>
            <w:tcW w:type="dxa" w:w="5083"/>
            <w:vAlign w:val="top"/>
          </w:tcPr>
          <w:p>
            <w:pPr>
              <w:spacing w:after="0"/>
            </w:pPr>
            <w:r>
              <w:rPr>
                <w:sz w:val="15"/>
              </w:rPr>
              <w:t>Red lines</w:t>
            </w:r>
          </w:p>
        </w:tc>
        <w:tc>
          <w:tcPr>
            <w:tcW w:type="dxa" w:w="5083"/>
            <w:vAlign w:val="top"/>
          </w:tcPr>
          <w:p>
            <w:pPr>
              <w:spacing w:after="0"/>
            </w:pPr>
            <w:r>
              <w:rPr>
                <w:sz w:val="15"/>
              </w:rPr>
              <w:t>Legal, economic or political constraints</w:t>
            </w:r>
          </w:p>
        </w:tc>
      </w:tr>
      <w:tr>
        <w:tc>
          <w:tcPr>
            <w:tcW w:type="dxa" w:w="5083"/>
            <w:vAlign w:val="top"/>
          </w:tcPr>
          <w:p>
            <w:pPr>
              <w:spacing w:after="0"/>
            </w:pPr>
            <w:r>
              <w:rPr>
                <w:sz w:val="15"/>
              </w:rPr>
              <w:t>Review date</w:t>
            </w:r>
          </w:p>
        </w:tc>
        <w:tc>
          <w:tcPr>
            <w:tcW w:type="dxa" w:w="5083"/>
            <w:vAlign w:val="top"/>
          </w:tcPr>
          <w:p>
            <w:pPr>
              <w:spacing w:after="0"/>
            </w:pPr>
            <w:r>
              <w:rPr>
                <w:sz w:val="15"/>
              </w:rPr>
              <w:t>When assumptions should be refreshed</w:t>
            </w:r>
          </w:p>
        </w:tc>
      </w:tr>
    </w:tbl>
    <w:p>
      <w:pPr>
        <w:spacing w:after="20"/>
      </w:pPr>
    </w:p>
    <w:p>
      <w:r>
        <w:br w:type="page"/>
      </w:r>
    </w:p>
    <w:p>
      <w:pPr>
        <w:pStyle w:val="Heading1"/>
        <w:keepNext/>
        <w:spacing w:before="140" w:after="60"/>
      </w:pPr>
      <w:r>
        <w:t>Annex C — Bilateral U.S. Contact Record</w:t>
      </w:r>
    </w:p>
    <w:p>
      <w:r>
        <w:rPr>
          <w:b w:val="0"/>
          <w:i w:val="0"/>
        </w:rPr>
        <w:t>This record is not designed to surveil routine provincial diplomacy. It applies to contacts that produce or communicate a material trade-conflict request, offer, threat or prospective commitment.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7F5"/>
          </w:tcPr>
          <w:p>
            <w:r>
              <w:rPr>
                <w:b/>
                <w:sz w:val="16"/>
              </w:rPr>
              <w:t>Field</w:t>
            </w:r>
          </w:p>
        </w:tc>
        <w:tc>
          <w:tcPr>
            <w:tcW w:type="dxa" w:w="5083"/>
            <w:shd w:fill="D9E7F5"/>
          </w:tcPr>
          <w:p>
            <w:r>
              <w:rPr>
                <w:b/>
                <w:sz w:val="16"/>
              </w:rPr>
              <w:t>Entry</w:t>
            </w:r>
          </w:p>
        </w:tc>
      </w:tr>
      <w:tr>
        <w:tc>
          <w:tcPr>
            <w:tcW w:type="dxa" w:w="5083"/>
            <w:vAlign w:val="top"/>
          </w:tcPr>
          <w:p>
            <w:pPr>
              <w:spacing w:after="0"/>
            </w:pPr>
            <w:r>
              <w:rPr>
                <w:sz w:val="16"/>
              </w:rPr>
              <w:t>Province / territory</w:t>
            </w:r>
          </w:p>
        </w:tc>
        <w:tc>
          <w:tcPr>
            <w:tcW w:type="dxa" w:w="5083"/>
            <w:vAlign w:val="top"/>
          </w:tcPr>
          <w:p>
            <w:pPr>
              <w:spacing w:after="0"/>
            </w:pPr>
            <w:r>
              <w:rPr>
                <w:sz w:val="16"/>
              </w:rPr>
            </w:r>
          </w:p>
        </w:tc>
      </w:tr>
      <w:tr>
        <w:tc>
          <w:tcPr>
            <w:tcW w:type="dxa" w:w="5083"/>
            <w:vAlign w:val="top"/>
          </w:tcPr>
          <w:p>
            <w:pPr>
              <w:spacing w:after="0"/>
            </w:pPr>
            <w:r>
              <w:rPr>
                <w:sz w:val="16"/>
              </w:rPr>
              <w:t>U.S. counterpart</w:t>
            </w:r>
          </w:p>
        </w:tc>
        <w:tc>
          <w:tcPr>
            <w:tcW w:type="dxa" w:w="5083"/>
            <w:vAlign w:val="top"/>
          </w:tcPr>
          <w:p>
            <w:pPr>
              <w:spacing w:after="0"/>
            </w:pPr>
            <w:r>
              <w:rPr>
                <w:sz w:val="16"/>
              </w:rPr>
            </w:r>
          </w:p>
        </w:tc>
      </w:tr>
      <w:tr>
        <w:tc>
          <w:tcPr>
            <w:tcW w:type="dxa" w:w="5083"/>
            <w:vAlign w:val="top"/>
          </w:tcPr>
          <w:p>
            <w:pPr>
              <w:spacing w:after="0"/>
            </w:pPr>
            <w:r>
              <w:rPr>
                <w:sz w:val="16"/>
              </w:rPr>
              <w:t>Date / channel</w:t>
            </w:r>
          </w:p>
        </w:tc>
        <w:tc>
          <w:tcPr>
            <w:tcW w:type="dxa" w:w="5083"/>
            <w:vAlign w:val="top"/>
          </w:tcPr>
          <w:p>
            <w:pPr>
              <w:spacing w:after="0"/>
            </w:pPr>
            <w:r>
              <w:rPr>
                <w:sz w:val="16"/>
              </w:rPr>
            </w:r>
          </w:p>
        </w:tc>
      </w:tr>
      <w:tr>
        <w:tc>
          <w:tcPr>
            <w:tcW w:type="dxa" w:w="5083"/>
            <w:vAlign w:val="top"/>
          </w:tcPr>
          <w:p>
            <w:pPr>
              <w:spacing w:after="0"/>
            </w:pPr>
            <w:r>
              <w:rPr>
                <w:sz w:val="16"/>
              </w:rPr>
              <w:t>Canadian participants</w:t>
            </w:r>
          </w:p>
        </w:tc>
        <w:tc>
          <w:tcPr>
            <w:tcW w:type="dxa" w:w="5083"/>
            <w:vAlign w:val="top"/>
          </w:tcPr>
          <w:p>
            <w:pPr>
              <w:spacing w:after="0"/>
            </w:pPr>
            <w:r>
              <w:rPr>
                <w:sz w:val="16"/>
              </w:rPr>
            </w:r>
          </w:p>
        </w:tc>
      </w:tr>
      <w:tr>
        <w:tc>
          <w:tcPr>
            <w:tcW w:type="dxa" w:w="5083"/>
            <w:vAlign w:val="top"/>
          </w:tcPr>
          <w:p>
            <w:pPr>
              <w:spacing w:after="0"/>
            </w:pPr>
            <w:r>
              <w:rPr>
                <w:sz w:val="16"/>
              </w:rPr>
              <w:t>Substance</w:t>
            </w:r>
          </w:p>
        </w:tc>
        <w:tc>
          <w:tcPr>
            <w:tcW w:type="dxa" w:w="5083"/>
            <w:vAlign w:val="top"/>
          </w:tcPr>
          <w:p>
            <w:pPr>
              <w:spacing w:after="0"/>
            </w:pPr>
            <w:r>
              <w:rPr>
                <w:sz w:val="16"/>
              </w:rPr>
            </w:r>
          </w:p>
        </w:tc>
      </w:tr>
      <w:tr>
        <w:tc>
          <w:tcPr>
            <w:tcW w:type="dxa" w:w="5083"/>
            <w:vAlign w:val="top"/>
          </w:tcPr>
          <w:p>
            <w:pPr>
              <w:spacing w:after="0"/>
            </w:pPr>
            <w:r>
              <w:rPr>
                <w:sz w:val="16"/>
              </w:rPr>
              <w:t>Was relief offered?</w:t>
            </w:r>
          </w:p>
        </w:tc>
        <w:tc>
          <w:tcPr>
            <w:tcW w:type="dxa" w:w="5083"/>
            <w:vAlign w:val="top"/>
          </w:tcPr>
          <w:p>
            <w:pPr>
              <w:spacing w:after="0"/>
            </w:pPr>
            <w:r>
              <w:rPr>
                <w:sz w:val="16"/>
              </w:rPr>
            </w:r>
          </w:p>
        </w:tc>
      </w:tr>
      <w:tr>
        <w:tc>
          <w:tcPr>
            <w:tcW w:type="dxa" w:w="5083"/>
            <w:vAlign w:val="top"/>
          </w:tcPr>
          <w:p>
            <w:pPr>
              <w:spacing w:after="0"/>
            </w:pPr>
            <w:r>
              <w:rPr>
                <w:sz w:val="16"/>
              </w:rPr>
              <w:t>Was a Canadian action requested?</w:t>
            </w:r>
          </w:p>
        </w:tc>
        <w:tc>
          <w:tcPr>
            <w:tcW w:type="dxa" w:w="5083"/>
            <w:vAlign w:val="top"/>
          </w:tcPr>
          <w:p>
            <w:pPr>
              <w:spacing w:after="0"/>
            </w:pPr>
            <w:r>
              <w:rPr>
                <w:sz w:val="16"/>
              </w:rPr>
            </w:r>
          </w:p>
        </w:tc>
      </w:tr>
      <w:tr>
        <w:tc>
          <w:tcPr>
            <w:tcW w:type="dxa" w:w="5083"/>
            <w:vAlign w:val="top"/>
          </w:tcPr>
          <w:p>
            <w:pPr>
              <w:spacing w:after="0"/>
            </w:pPr>
            <w:r>
              <w:rPr>
                <w:sz w:val="16"/>
              </w:rPr>
              <w:t>Potential national spillover</w:t>
            </w:r>
          </w:p>
        </w:tc>
        <w:tc>
          <w:tcPr>
            <w:tcW w:type="dxa" w:w="5083"/>
            <w:vAlign w:val="top"/>
          </w:tcPr>
          <w:p>
            <w:pPr>
              <w:spacing w:after="0"/>
            </w:pPr>
            <w:r>
              <w:rPr>
                <w:sz w:val="16"/>
              </w:rPr>
            </w:r>
          </w:p>
        </w:tc>
      </w:tr>
      <w:tr>
        <w:tc>
          <w:tcPr>
            <w:tcW w:type="dxa" w:w="5083"/>
            <w:vAlign w:val="top"/>
          </w:tcPr>
          <w:p>
            <w:pPr>
              <w:spacing w:after="0"/>
            </w:pPr>
            <w:r>
              <w:rPr>
                <w:sz w:val="16"/>
              </w:rPr>
              <w:t>Other provinces affected</w:t>
            </w:r>
          </w:p>
        </w:tc>
        <w:tc>
          <w:tcPr>
            <w:tcW w:type="dxa" w:w="5083"/>
            <w:vAlign w:val="top"/>
          </w:tcPr>
          <w:p>
            <w:pPr>
              <w:spacing w:after="0"/>
            </w:pPr>
            <w:r>
              <w:rPr>
                <w:sz w:val="16"/>
              </w:rPr>
            </w:r>
          </w:p>
        </w:tc>
      </w:tr>
      <w:tr>
        <w:tc>
          <w:tcPr>
            <w:tcW w:type="dxa" w:w="5083"/>
            <w:vAlign w:val="top"/>
          </w:tcPr>
          <w:p>
            <w:pPr>
              <w:spacing w:after="0"/>
            </w:pPr>
            <w:r>
              <w:rPr>
                <w:sz w:val="16"/>
              </w:rPr>
              <w:t>Follow-up promised</w:t>
            </w:r>
          </w:p>
        </w:tc>
        <w:tc>
          <w:tcPr>
            <w:tcW w:type="dxa" w:w="5083"/>
            <w:vAlign w:val="top"/>
          </w:tcPr>
          <w:p>
            <w:pPr>
              <w:spacing w:after="0"/>
            </w:pPr>
            <w:r>
              <w:rPr>
                <w:sz w:val="16"/>
              </w:rPr>
            </w:r>
          </w:p>
        </w:tc>
      </w:tr>
      <w:tr>
        <w:tc>
          <w:tcPr>
            <w:tcW w:type="dxa" w:w="5083"/>
            <w:vAlign w:val="top"/>
          </w:tcPr>
          <w:p>
            <w:pPr>
              <w:spacing w:after="0"/>
            </w:pPr>
            <w:r>
              <w:rPr>
                <w:sz w:val="16"/>
              </w:rPr>
              <w:t>Federal notification time</w:t>
            </w:r>
          </w:p>
        </w:tc>
        <w:tc>
          <w:tcPr>
            <w:tcW w:type="dxa" w:w="5083"/>
            <w:vAlign w:val="top"/>
          </w:tcPr>
          <w:p>
            <w:pPr>
              <w:spacing w:after="0"/>
            </w:pPr>
            <w:r>
              <w:rPr>
                <w:sz w:val="16"/>
              </w:rPr>
            </w:r>
          </w:p>
        </w:tc>
      </w:tr>
      <w:tr>
        <w:tc>
          <w:tcPr>
            <w:tcW w:type="dxa" w:w="5083"/>
            <w:vAlign w:val="top"/>
          </w:tcPr>
          <w:p>
            <w:pPr>
              <w:spacing w:after="0"/>
            </w:pPr>
            <w:r>
              <w:rPr>
                <w:sz w:val="16"/>
              </w:rPr>
              <w:t>Confidentiality constraints</w:t>
            </w:r>
          </w:p>
        </w:tc>
        <w:tc>
          <w:tcPr>
            <w:tcW w:type="dxa" w:w="5083"/>
            <w:vAlign w:val="top"/>
          </w:tcPr>
          <w:p>
            <w:pPr>
              <w:spacing w:after="0"/>
            </w:pPr>
            <w:r>
              <w:rPr>
                <w:sz w:val="16"/>
              </w:rPr>
            </w:r>
          </w:p>
        </w:tc>
      </w:tr>
    </w:tbl>
    <w:p>
      <w:pPr>
        <w:spacing w:after="20"/>
      </w:pPr>
    </w:p>
    <w:p>
      <w:r>
        <w:br w:type="page"/>
      </w:r>
    </w:p>
    <w:p>
      <w:pPr>
        <w:pStyle w:val="Heading1"/>
        <w:keepNext/>
        <w:spacing w:before="140" w:after="60"/>
      </w:pPr>
      <w:r>
        <w:t>Annex D — Illustrative Burden-Sharing Formula</w:t>
      </w:r>
    </w:p>
    <w:p>
      <w:r>
        <w:rPr>
          <w:b w:val="0"/>
          <w:i w:val="0"/>
        </w:rPr>
        <w:t>This formula is an analytical starting point only. It should not create an automatic entitlement or substitute for Cabinet, legislative or program decisions.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9E7F5"/>
          </w:tcPr>
          <w:p>
            <w:r>
              <w:rPr>
                <w:b/>
                <w:sz w:val="15"/>
              </w:rPr>
              <w:t>Factor</w:t>
            </w:r>
          </w:p>
        </w:tc>
        <w:tc>
          <w:tcPr>
            <w:tcW w:type="dxa" w:w="3389"/>
            <w:shd w:fill="D9E7F5"/>
          </w:tcPr>
          <w:p>
            <w:r>
              <w:rPr>
                <w:b/>
                <w:sz w:val="15"/>
              </w:rPr>
              <w:t>Illustrative weight</w:t>
            </w:r>
          </w:p>
        </w:tc>
        <w:tc>
          <w:tcPr>
            <w:tcW w:type="dxa" w:w="3389"/>
            <w:shd w:fill="D9E7F5"/>
          </w:tcPr>
          <w:p>
            <w:r>
              <w:rPr>
                <w:b/>
                <w:sz w:val="15"/>
              </w:rPr>
              <w:t>Rationale</w:t>
            </w:r>
          </w:p>
        </w:tc>
      </w:tr>
      <w:tr>
        <w:tc>
          <w:tcPr>
            <w:tcW w:type="dxa" w:w="3389"/>
            <w:vAlign w:val="top"/>
          </w:tcPr>
          <w:p>
            <w:pPr>
              <w:spacing w:after="0"/>
            </w:pPr>
            <w:r>
              <w:rPr>
                <w:sz w:val="15"/>
              </w:rPr>
              <w:t>Direct tariff/trade loss</w:t>
            </w:r>
          </w:p>
        </w:tc>
        <w:tc>
          <w:tcPr>
            <w:tcW w:type="dxa" w:w="3389"/>
            <w:vAlign w:val="top"/>
          </w:tcPr>
          <w:p>
            <w:pPr>
              <w:spacing w:after="0"/>
            </w:pPr>
            <w:r>
              <w:rPr>
                <w:sz w:val="15"/>
              </w:rPr>
              <w:t>25%</w:t>
            </w:r>
          </w:p>
        </w:tc>
        <w:tc>
          <w:tcPr>
            <w:tcW w:type="dxa" w:w="3389"/>
            <w:vAlign w:val="top"/>
          </w:tcPr>
          <w:p>
            <w:pPr>
              <w:spacing w:after="0"/>
            </w:pPr>
            <w:r>
              <w:rPr>
                <w:sz w:val="15"/>
              </w:rPr>
              <w:t>Magnitude of immediate external shock</w:t>
            </w:r>
          </w:p>
        </w:tc>
      </w:tr>
      <w:tr>
        <w:tc>
          <w:tcPr>
            <w:tcW w:type="dxa" w:w="3389"/>
            <w:vAlign w:val="top"/>
          </w:tcPr>
          <w:p>
            <w:pPr>
              <w:spacing w:after="0"/>
            </w:pPr>
            <w:r>
              <w:rPr>
                <w:sz w:val="15"/>
              </w:rPr>
              <w:t>Employment concentration</w:t>
            </w:r>
          </w:p>
        </w:tc>
        <w:tc>
          <w:tcPr>
            <w:tcW w:type="dxa" w:w="3389"/>
            <w:vAlign w:val="top"/>
          </w:tcPr>
          <w:p>
            <w:pPr>
              <w:spacing w:after="0"/>
            </w:pPr>
            <w:r>
              <w:rPr>
                <w:sz w:val="15"/>
              </w:rPr>
              <w:t>20%</w:t>
            </w:r>
          </w:p>
        </w:tc>
        <w:tc>
          <w:tcPr>
            <w:tcW w:type="dxa" w:w="3389"/>
            <w:vAlign w:val="top"/>
          </w:tcPr>
          <w:p>
            <w:pPr>
              <w:spacing w:after="0"/>
            </w:pPr>
            <w:r>
              <w:rPr>
                <w:sz w:val="15"/>
              </w:rPr>
              <w:t>People and communities affected</w:t>
            </w:r>
          </w:p>
        </w:tc>
      </w:tr>
      <w:tr>
        <w:tc>
          <w:tcPr>
            <w:tcW w:type="dxa" w:w="3389"/>
            <w:vAlign w:val="top"/>
          </w:tcPr>
          <w:p>
            <w:pPr>
              <w:spacing w:after="0"/>
            </w:pPr>
            <w:r>
              <w:rPr>
                <w:sz w:val="15"/>
              </w:rPr>
              <w:t>Duration / persistence</w:t>
            </w:r>
          </w:p>
        </w:tc>
        <w:tc>
          <w:tcPr>
            <w:tcW w:type="dxa" w:w="3389"/>
            <w:vAlign w:val="top"/>
          </w:tcPr>
          <w:p>
            <w:pPr>
              <w:spacing w:after="0"/>
            </w:pPr>
            <w:r>
              <w:rPr>
                <w:sz w:val="15"/>
              </w:rPr>
              <w:t>15%</w:t>
            </w:r>
          </w:p>
        </w:tc>
        <w:tc>
          <w:tcPr>
            <w:tcW w:type="dxa" w:w="3389"/>
            <w:vAlign w:val="top"/>
          </w:tcPr>
          <w:p>
            <w:pPr>
              <w:spacing w:after="0"/>
            </w:pPr>
            <w:r>
              <w:rPr>
                <w:sz w:val="15"/>
              </w:rPr>
              <w:t>Temporary shock versus structural loss</w:t>
            </w:r>
          </w:p>
        </w:tc>
      </w:tr>
      <w:tr>
        <w:tc>
          <w:tcPr>
            <w:tcW w:type="dxa" w:w="3389"/>
            <w:vAlign w:val="top"/>
          </w:tcPr>
          <w:p>
            <w:pPr>
              <w:spacing w:after="0"/>
            </w:pPr>
            <w:r>
              <w:rPr>
                <w:sz w:val="15"/>
              </w:rPr>
              <w:t>Substitutability</w:t>
            </w:r>
          </w:p>
        </w:tc>
        <w:tc>
          <w:tcPr>
            <w:tcW w:type="dxa" w:w="3389"/>
            <w:vAlign w:val="top"/>
          </w:tcPr>
          <w:p>
            <w:pPr>
              <w:spacing w:after="0"/>
            </w:pPr>
            <w:r>
              <w:rPr>
                <w:sz w:val="15"/>
              </w:rPr>
              <w:t>15%</w:t>
            </w:r>
          </w:p>
        </w:tc>
        <w:tc>
          <w:tcPr>
            <w:tcW w:type="dxa" w:w="3389"/>
            <w:vAlign w:val="top"/>
          </w:tcPr>
          <w:p>
            <w:pPr>
              <w:spacing w:after="0"/>
            </w:pPr>
            <w:r>
              <w:rPr>
                <w:sz w:val="15"/>
              </w:rPr>
              <w:t>Ability to redirect exports or inputs</w:t>
            </w:r>
          </w:p>
        </w:tc>
      </w:tr>
      <w:tr>
        <w:tc>
          <w:tcPr>
            <w:tcW w:type="dxa" w:w="3389"/>
            <w:vAlign w:val="top"/>
          </w:tcPr>
          <w:p>
            <w:pPr>
              <w:spacing w:after="0"/>
            </w:pPr>
            <w:r>
              <w:rPr>
                <w:sz w:val="15"/>
              </w:rPr>
              <w:t>Fiscal capacity / program burden</w:t>
            </w:r>
          </w:p>
        </w:tc>
        <w:tc>
          <w:tcPr>
            <w:tcW w:type="dxa" w:w="3389"/>
            <w:vAlign w:val="top"/>
          </w:tcPr>
          <w:p>
            <w:pPr>
              <w:spacing w:after="0"/>
            </w:pPr>
            <w:r>
              <w:rPr>
                <w:sz w:val="15"/>
              </w:rPr>
              <w:t>10%</w:t>
            </w:r>
          </w:p>
        </w:tc>
        <w:tc>
          <w:tcPr>
            <w:tcW w:type="dxa" w:w="3389"/>
            <w:vAlign w:val="top"/>
          </w:tcPr>
          <w:p>
            <w:pPr>
              <w:spacing w:after="0"/>
            </w:pPr>
            <w:r>
              <w:rPr>
                <w:sz w:val="15"/>
              </w:rPr>
              <w:t>Ability of jurisdiction to absorb response costs</w:t>
            </w:r>
          </w:p>
        </w:tc>
      </w:tr>
      <w:tr>
        <w:tc>
          <w:tcPr>
            <w:tcW w:type="dxa" w:w="3389"/>
            <w:vAlign w:val="top"/>
          </w:tcPr>
          <w:p>
            <w:pPr>
              <w:spacing w:after="0"/>
            </w:pPr>
            <w:r>
              <w:rPr>
                <w:sz w:val="15"/>
              </w:rPr>
              <w:t>Community concentration</w:t>
            </w:r>
          </w:p>
        </w:tc>
        <w:tc>
          <w:tcPr>
            <w:tcW w:type="dxa" w:w="3389"/>
            <w:vAlign w:val="top"/>
          </w:tcPr>
          <w:p>
            <w:pPr>
              <w:spacing w:after="0"/>
            </w:pPr>
            <w:r>
              <w:rPr>
                <w:sz w:val="15"/>
              </w:rPr>
              <w:t>10%</w:t>
            </w:r>
          </w:p>
        </w:tc>
        <w:tc>
          <w:tcPr>
            <w:tcW w:type="dxa" w:w="3389"/>
            <w:vAlign w:val="top"/>
          </w:tcPr>
          <w:p>
            <w:pPr>
              <w:spacing w:after="0"/>
            </w:pPr>
            <w:r>
              <w:rPr>
                <w:sz w:val="15"/>
              </w:rPr>
              <w:t>Single-industry / remote / northern exposure</w:t>
            </w:r>
          </w:p>
        </w:tc>
      </w:tr>
      <w:tr>
        <w:tc>
          <w:tcPr>
            <w:tcW w:type="dxa" w:w="3389"/>
            <w:vAlign w:val="top"/>
          </w:tcPr>
          <w:p>
            <w:pPr>
              <w:spacing w:after="0"/>
            </w:pPr>
            <w:r>
              <w:rPr>
                <w:sz w:val="15"/>
              </w:rPr>
              <w:t>Strategic capacity preservation</w:t>
            </w:r>
          </w:p>
        </w:tc>
        <w:tc>
          <w:tcPr>
            <w:tcW w:type="dxa" w:w="3389"/>
            <w:vAlign w:val="top"/>
          </w:tcPr>
          <w:p>
            <w:pPr>
              <w:spacing w:after="0"/>
            </w:pPr>
            <w:r>
              <w:rPr>
                <w:sz w:val="15"/>
              </w:rPr>
              <w:t>5%</w:t>
            </w:r>
          </w:p>
        </w:tc>
        <w:tc>
          <w:tcPr>
            <w:tcW w:type="dxa" w:w="3389"/>
            <w:vAlign w:val="top"/>
          </w:tcPr>
          <w:p>
            <w:pPr>
              <w:spacing w:after="0"/>
            </w:pPr>
            <w:r>
              <w:rPr>
                <w:sz w:val="15"/>
              </w:rPr>
              <w:t>National value of keeping capability alive</w:t>
            </w:r>
          </w:p>
        </w:tc>
      </w:tr>
    </w:tbl>
    <w:p>
      <w:pPr>
        <w:spacing w:after="20"/>
      </w:pPr>
    </w:p>
    <w:p>
      <w:r>
        <w:rPr>
          <w:b w:val="0"/>
          <w:i w:val="0"/>
        </w:rPr>
        <w:t>Adjustment multipliers may be applied for Indigenous economic concentration, essential-service exposure or extraordinary infrastructure constraints. Any multiplier must be transparent and applied consistently.</w:t>
      </w:r>
    </w:p>
    <w:p>
      <w:r>
        <w:br w:type="page"/>
      </w:r>
    </w:p>
    <w:p>
      <w:pPr>
        <w:pStyle w:val="Heading1"/>
        <w:keepNext/>
        <w:spacing w:before="140" w:after="60"/>
      </w:pPr>
      <w:r>
        <w:t>Annex E — Dispute Ladder</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D9E7F5"/>
          </w:tcPr>
          <w:p>
            <w:r>
              <w:rPr>
                <w:b/>
                <w:sz w:val="15"/>
              </w:rPr>
              <w:t>Rung</w:t>
            </w:r>
          </w:p>
        </w:tc>
        <w:tc>
          <w:tcPr>
            <w:tcW w:type="dxa" w:w="2541"/>
            <w:shd w:fill="D9E7F5"/>
          </w:tcPr>
          <w:p>
            <w:r>
              <w:rPr>
                <w:b/>
                <w:sz w:val="15"/>
              </w:rPr>
              <w:t>Participants</w:t>
            </w:r>
          </w:p>
        </w:tc>
        <w:tc>
          <w:tcPr>
            <w:tcW w:type="dxa" w:w="2541"/>
            <w:shd w:fill="D9E7F5"/>
          </w:tcPr>
          <w:p>
            <w:r>
              <w:rPr>
                <w:b/>
                <w:sz w:val="15"/>
              </w:rPr>
              <w:t>Output</w:t>
            </w:r>
          </w:p>
        </w:tc>
        <w:tc>
          <w:tcPr>
            <w:tcW w:type="dxa" w:w="2541"/>
            <w:shd w:fill="D9E7F5"/>
          </w:tcPr>
          <w:p>
            <w:r>
              <w:rPr>
                <w:b/>
                <w:sz w:val="15"/>
              </w:rPr>
              <w:t>Default deadline</w:t>
            </w:r>
          </w:p>
        </w:tc>
      </w:tr>
      <w:tr>
        <w:tc>
          <w:tcPr>
            <w:tcW w:type="dxa" w:w="2541"/>
            <w:vAlign w:val="top"/>
          </w:tcPr>
          <w:p>
            <w:pPr>
              <w:spacing w:after="0"/>
            </w:pPr>
            <w:r>
              <w:rPr>
                <w:sz w:val="15"/>
              </w:rPr>
              <w:t>0</w:t>
            </w:r>
          </w:p>
        </w:tc>
        <w:tc>
          <w:tcPr>
            <w:tcW w:type="dxa" w:w="2541"/>
            <w:vAlign w:val="top"/>
          </w:tcPr>
          <w:p>
            <w:pPr>
              <w:spacing w:after="0"/>
            </w:pPr>
            <w:r>
              <w:rPr>
                <w:sz w:val="15"/>
              </w:rPr>
              <w:t>Working officials</w:t>
            </w:r>
          </w:p>
        </w:tc>
        <w:tc>
          <w:tcPr>
            <w:tcW w:type="dxa" w:w="2541"/>
            <w:vAlign w:val="top"/>
          </w:tcPr>
          <w:p>
            <w:pPr>
              <w:spacing w:after="0"/>
            </w:pPr>
            <w:r>
              <w:rPr>
                <w:sz w:val="15"/>
              </w:rPr>
              <w:t>Agreed facts / narrowed issue</w:t>
            </w:r>
          </w:p>
        </w:tc>
        <w:tc>
          <w:tcPr>
            <w:tcW w:type="dxa" w:w="2541"/>
            <w:vAlign w:val="top"/>
          </w:tcPr>
          <w:p>
            <w:pPr>
              <w:spacing w:after="0"/>
            </w:pPr>
            <w:r>
              <w:rPr>
                <w:sz w:val="15"/>
              </w:rPr>
              <w:t>24h</w:t>
            </w:r>
          </w:p>
        </w:tc>
      </w:tr>
      <w:tr>
        <w:tc>
          <w:tcPr>
            <w:tcW w:type="dxa" w:w="2541"/>
            <w:vAlign w:val="top"/>
          </w:tcPr>
          <w:p>
            <w:pPr>
              <w:spacing w:after="0"/>
            </w:pPr>
            <w:r>
              <w:rPr>
                <w:sz w:val="15"/>
              </w:rPr>
              <w:t>1</w:t>
            </w:r>
          </w:p>
        </w:tc>
        <w:tc>
          <w:tcPr>
            <w:tcW w:type="dxa" w:w="2541"/>
            <w:vAlign w:val="top"/>
          </w:tcPr>
          <w:p>
            <w:pPr>
              <w:spacing w:after="0"/>
            </w:pPr>
            <w:r>
              <w:rPr>
                <w:sz w:val="15"/>
              </w:rPr>
              <w:t>Deputy / ADM leads</w:t>
            </w:r>
          </w:p>
        </w:tc>
        <w:tc>
          <w:tcPr>
            <w:tcW w:type="dxa" w:w="2541"/>
            <w:vAlign w:val="top"/>
          </w:tcPr>
          <w:p>
            <w:pPr>
              <w:spacing w:after="0"/>
            </w:pPr>
            <w:r>
              <w:rPr>
                <w:sz w:val="15"/>
              </w:rPr>
              <w:t>Options note</w:t>
            </w:r>
          </w:p>
        </w:tc>
        <w:tc>
          <w:tcPr>
            <w:tcW w:type="dxa" w:w="2541"/>
            <w:vAlign w:val="top"/>
          </w:tcPr>
          <w:p>
            <w:pPr>
              <w:spacing w:after="0"/>
            </w:pPr>
            <w:r>
              <w:rPr>
                <w:sz w:val="15"/>
              </w:rPr>
              <w:t>72h</w:t>
            </w:r>
          </w:p>
        </w:tc>
      </w:tr>
      <w:tr>
        <w:tc>
          <w:tcPr>
            <w:tcW w:type="dxa" w:w="2541"/>
            <w:vAlign w:val="top"/>
          </w:tcPr>
          <w:p>
            <w:pPr>
              <w:spacing w:after="0"/>
            </w:pPr>
            <w:r>
              <w:rPr>
                <w:sz w:val="15"/>
              </w:rPr>
              <w:t>2</w:t>
            </w:r>
          </w:p>
        </w:tc>
        <w:tc>
          <w:tcPr>
            <w:tcW w:type="dxa" w:w="2541"/>
            <w:vAlign w:val="top"/>
          </w:tcPr>
          <w:p>
            <w:pPr>
              <w:spacing w:after="0"/>
            </w:pPr>
            <w:r>
              <w:rPr>
                <w:sz w:val="15"/>
              </w:rPr>
              <w:t>Responsible ministers</w:t>
            </w:r>
          </w:p>
        </w:tc>
        <w:tc>
          <w:tcPr>
            <w:tcW w:type="dxa" w:w="2541"/>
            <w:vAlign w:val="top"/>
          </w:tcPr>
          <w:p>
            <w:pPr>
              <w:spacing w:after="0"/>
            </w:pPr>
            <w:r>
              <w:rPr>
                <w:sz w:val="15"/>
              </w:rPr>
              <w:t>Political compromise attempt</w:t>
            </w:r>
          </w:p>
        </w:tc>
        <w:tc>
          <w:tcPr>
            <w:tcW w:type="dxa" w:w="2541"/>
            <w:vAlign w:val="top"/>
          </w:tcPr>
          <w:p>
            <w:pPr>
              <w:spacing w:after="0"/>
            </w:pPr>
            <w:r>
              <w:rPr>
                <w:sz w:val="15"/>
              </w:rPr>
              <w:t>5 days</w:t>
            </w:r>
          </w:p>
        </w:tc>
      </w:tr>
      <w:tr>
        <w:tc>
          <w:tcPr>
            <w:tcW w:type="dxa" w:w="2541"/>
            <w:vAlign w:val="top"/>
          </w:tcPr>
          <w:p>
            <w:pPr>
              <w:spacing w:after="0"/>
            </w:pPr>
            <w:r>
              <w:rPr>
                <w:sz w:val="15"/>
              </w:rPr>
              <w:t>3</w:t>
            </w:r>
          </w:p>
        </w:tc>
        <w:tc>
          <w:tcPr>
            <w:tcW w:type="dxa" w:w="2541"/>
            <w:vAlign w:val="top"/>
          </w:tcPr>
          <w:p>
            <w:pPr>
              <w:spacing w:after="0"/>
            </w:pPr>
            <w:r>
              <w:rPr>
                <w:sz w:val="15"/>
              </w:rPr>
              <w:t>Independent facilitator</w:t>
            </w:r>
          </w:p>
        </w:tc>
        <w:tc>
          <w:tcPr>
            <w:tcW w:type="dxa" w:w="2541"/>
            <w:vAlign w:val="top"/>
          </w:tcPr>
          <w:p>
            <w:pPr>
              <w:spacing w:after="0"/>
            </w:pPr>
            <w:r>
              <w:rPr>
                <w:sz w:val="15"/>
              </w:rPr>
              <w:t>Non-binding recommendation</w:t>
            </w:r>
          </w:p>
        </w:tc>
        <w:tc>
          <w:tcPr>
            <w:tcW w:type="dxa" w:w="2541"/>
            <w:vAlign w:val="top"/>
          </w:tcPr>
          <w:p>
            <w:pPr>
              <w:spacing w:after="0"/>
            </w:pPr>
            <w:r>
              <w:rPr>
                <w:sz w:val="15"/>
              </w:rPr>
              <w:t>10 days</w:t>
            </w:r>
          </w:p>
        </w:tc>
      </w:tr>
      <w:tr>
        <w:tc>
          <w:tcPr>
            <w:tcW w:type="dxa" w:w="2541"/>
            <w:vAlign w:val="top"/>
          </w:tcPr>
          <w:p>
            <w:pPr>
              <w:spacing w:after="0"/>
            </w:pPr>
            <w:r>
              <w:rPr>
                <w:sz w:val="15"/>
              </w:rPr>
              <w:t>4</w:t>
            </w:r>
          </w:p>
        </w:tc>
        <w:tc>
          <w:tcPr>
            <w:tcW w:type="dxa" w:w="2541"/>
            <w:vAlign w:val="top"/>
          </w:tcPr>
          <w:p>
            <w:pPr>
              <w:spacing w:after="0"/>
            </w:pPr>
            <w:r>
              <w:rPr>
                <w:sz w:val="15"/>
              </w:rPr>
              <w:t>First Ministers</w:t>
            </w:r>
          </w:p>
        </w:tc>
        <w:tc>
          <w:tcPr>
            <w:tcW w:type="dxa" w:w="2541"/>
            <w:vAlign w:val="top"/>
          </w:tcPr>
          <w:p>
            <w:pPr>
              <w:spacing w:after="0"/>
            </w:pPr>
            <w:r>
              <w:rPr>
                <w:sz w:val="15"/>
              </w:rPr>
              <w:t>Decision / consensus / recorded dissent</w:t>
            </w:r>
          </w:p>
        </w:tc>
        <w:tc>
          <w:tcPr>
            <w:tcW w:type="dxa" w:w="2541"/>
            <w:vAlign w:val="top"/>
          </w:tcPr>
          <w:p>
            <w:pPr>
              <w:spacing w:after="0"/>
            </w:pPr>
            <w:r>
              <w:rPr>
                <w:sz w:val="15"/>
              </w:rPr>
              <w:t>As urgent</w:t>
            </w:r>
          </w:p>
        </w:tc>
      </w:tr>
      <w:tr>
        <w:tc>
          <w:tcPr>
            <w:tcW w:type="dxa" w:w="2541"/>
            <w:vAlign w:val="top"/>
          </w:tcPr>
          <w:p>
            <w:pPr>
              <w:spacing w:after="0"/>
            </w:pPr>
            <w:r>
              <w:rPr>
                <w:sz w:val="15"/>
              </w:rPr>
              <w:t>5</w:t>
            </w:r>
          </w:p>
        </w:tc>
        <w:tc>
          <w:tcPr>
            <w:tcW w:type="dxa" w:w="2541"/>
            <w:vAlign w:val="top"/>
          </w:tcPr>
          <w:p>
            <w:pPr>
              <w:spacing w:after="0"/>
            </w:pPr>
            <w:r>
              <w:rPr>
                <w:sz w:val="15"/>
              </w:rPr>
              <w:t>Existing legal process</w:t>
            </w:r>
          </w:p>
        </w:tc>
        <w:tc>
          <w:tcPr>
            <w:tcW w:type="dxa" w:w="2541"/>
            <w:vAlign w:val="top"/>
          </w:tcPr>
          <w:p>
            <w:pPr>
              <w:spacing w:after="0"/>
            </w:pPr>
            <w:r>
              <w:rPr>
                <w:sz w:val="15"/>
              </w:rPr>
              <w:t>Judicial/statutory/treaty determination</w:t>
            </w:r>
          </w:p>
        </w:tc>
        <w:tc>
          <w:tcPr>
            <w:tcW w:type="dxa" w:w="2541"/>
            <w:vAlign w:val="top"/>
          </w:tcPr>
          <w:p>
            <w:pPr>
              <w:spacing w:after="0"/>
            </w:pPr>
            <w:r>
              <w:rPr>
                <w:sz w:val="15"/>
              </w:rPr>
              <w:t>As prescribed</w:t>
            </w:r>
          </w:p>
        </w:tc>
      </w:tr>
    </w:tbl>
    <w:p>
      <w:pPr>
        <w:spacing w:after="20"/>
      </w:pPr>
    </w:p>
    <w:p>
      <w:pPr>
        <w:pStyle w:val="Heading2"/>
        <w:keepNext/>
        <w:spacing w:before="140" w:after="60"/>
      </w:pPr>
      <w:r>
        <w:t>Facilitator mandate</w:t>
      </w:r>
    </w:p>
    <w:p>
      <w:r>
        <w:rPr>
          <w:b w:val="0"/>
          <w:i w:val="0"/>
        </w:rPr>
        <w:t>The facilitator may identify misunderstandings, test alternative burden allocations, propose sequencing or temporary arrangements, and issue a short confidential recommendation. The facilitator cannot alter constitutional powers or compel expenditure.</w:t>
      </w:r>
    </w:p>
    <w:p>
      <w:pPr>
        <w:spacing w:after="40"/>
      </w:pPr>
      <w:r>
        <w:rPr>
          <w:b/>
          <w:sz w:val="14"/>
        </w:rPr>
        <w:t xml:space="preserve">Cooperative dispute inspiration: </w:t>
      </w:r>
      <w:r>
        <w:rPr>
          <w:sz w:val="14"/>
        </w:rPr>
        <w:t>https://www.cfta-alec.ca/cfta-agreement/chapter-ten-dispute-resolution</w:t>
      </w:r>
    </w:p>
    <w:p>
      <w:r>
        <w:br w:type="page"/>
      </w:r>
    </w:p>
    <w:p>
      <w:pPr>
        <w:pStyle w:val="Heading1"/>
        <w:keepNext/>
        <w:spacing w:before="140" w:after="60"/>
      </w:pPr>
      <w:r>
        <w:t>Annex F — Settlement Fairness Checklist</w:t>
      </w:r>
    </w:p>
    <w:p>
      <w:pPr>
        <w:pStyle w:val="ListBullet"/>
      </w:pPr>
      <w:r>
        <w:t>Have all materially affected provinces and territories seen the relevant terms?</w:t>
      </w:r>
    </w:p>
    <w:p>
      <w:pPr>
        <w:pStyle w:val="ListBullet"/>
      </w:pPr>
      <w:r>
        <w:t>Does the settlement require provincial legislation, regulation, procurement, resource or spending action?</w:t>
      </w:r>
    </w:p>
    <w:p>
      <w:pPr>
        <w:pStyle w:val="ListBullet"/>
      </w:pPr>
      <w:r>
        <w:t>Which jurisdiction gains most? Which bears the largest incremental loss?</w:t>
      </w:r>
    </w:p>
    <w:p>
      <w:pPr>
        <w:pStyle w:val="ListBullet"/>
      </w:pPr>
      <w:r>
        <w:t>Was a less geographically concentrated concession reasonably available?</w:t>
      </w:r>
    </w:p>
    <w:p>
      <w:pPr>
        <w:pStyle w:val="ListBullet"/>
      </w:pPr>
      <w:r>
        <w:t>Is any province receiving relief explicitly conditioned on another province receiving worse treatment?</w:t>
      </w:r>
    </w:p>
    <w:p>
      <w:pPr>
        <w:pStyle w:val="ListBullet"/>
      </w:pPr>
      <w:r>
        <w:t>Are resource commitments co-designed with producing jurisdictions?</w:t>
      </w:r>
    </w:p>
    <w:p>
      <w:pPr>
        <w:pStyle w:val="ListBullet"/>
      </w:pPr>
      <w:r>
        <w:t>Are Indigenous rights/interests implicated?</w:t>
      </w:r>
    </w:p>
    <w:p>
      <w:pPr>
        <w:pStyle w:val="ListBullet"/>
      </w:pPr>
      <w:r>
        <w:t>Is compensation or transition support commensurate with concentrated national-purpose burdens?</w:t>
      </w:r>
    </w:p>
    <w:p>
      <w:pPr>
        <w:pStyle w:val="ListBullet"/>
      </w:pPr>
      <w:r>
        <w:t>Are essential goods, energy reliability and food security protected?</w:t>
      </w:r>
    </w:p>
    <w:p>
      <w:pPr>
        <w:pStyle w:val="ListBullet"/>
      </w:pPr>
      <w:r>
        <w:t>Can the settlement be verified?</w:t>
      </w:r>
    </w:p>
    <w:p>
      <w:pPr>
        <w:pStyle w:val="ListBullet"/>
      </w:pPr>
      <w:r>
        <w:t>What happens if the external party re-imposes measures?</w:t>
      </w:r>
    </w:p>
    <w:p>
      <w:pPr>
        <w:pStyle w:val="ListBullet"/>
      </w:pPr>
      <w:r>
        <w:t>When does the fairness distribution get reviewed?</w:t>
      </w:r>
    </w:p>
    <w:p>
      <w:pPr>
        <w:pStyle w:val="ListBullet"/>
      </w:pPr>
      <w:r>
        <w:t>Can dissent be described accurately without portraying Canada as fragmented?</w:t>
      </w:r>
    </w:p>
    <w:p>
      <w:r>
        <w:br w:type="page"/>
      </w:r>
    </w:p>
    <w:p>
      <w:pPr>
        <w:pStyle w:val="Heading1"/>
        <w:keepNext/>
        <w:spacing w:before="140" w:after="60"/>
      </w:pPr>
      <w:r>
        <w:t>Annex G — Source Register and Validation Notes</w:t>
      </w:r>
    </w:p>
    <w:p>
      <w:r>
        <w:rPr>
          <w:b w:val="0"/>
          <w:i w:val="0"/>
        </w:rPr>
        <w:t>This protocol is a policy architecture, not a legal opinion. The following official sources anchor its description of current Canadian intergovernmental practice and existing coordination mechanisms. Any operational adoption should receive Department of Justice, PCO/Intergovernmental Affairs, Finance, Global Affairs, sector-department and provincial/territorial legal review.</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7F5"/>
          </w:tcPr>
          <w:p>
            <w:r>
              <w:rPr>
                <w:b/>
                <w:sz w:val="13"/>
              </w:rPr>
              <w:t>Source</w:t>
            </w:r>
          </w:p>
        </w:tc>
        <w:tc>
          <w:tcPr>
            <w:tcW w:type="dxa" w:w="5083"/>
            <w:shd w:fill="D9E7F5"/>
          </w:tcPr>
          <w:p>
            <w:r>
              <w:rPr>
                <w:b/>
                <w:sz w:val="13"/>
              </w:rPr>
              <w:t>URL</w:t>
            </w:r>
          </w:p>
        </w:tc>
      </w:tr>
      <w:tr>
        <w:tc>
          <w:tcPr>
            <w:tcW w:type="dxa" w:w="5083"/>
            <w:vAlign w:val="top"/>
          </w:tcPr>
          <w:p>
            <w:pPr>
              <w:spacing w:after="0"/>
            </w:pPr>
            <w:r>
              <w:rPr>
                <w:sz w:val="13"/>
              </w:rPr>
              <w:t>Intergovernmental relations in Canadian context</w:t>
            </w:r>
          </w:p>
        </w:tc>
        <w:tc>
          <w:tcPr>
            <w:tcW w:type="dxa" w:w="5083"/>
            <w:vAlign w:val="top"/>
          </w:tcPr>
          <w:p>
            <w:pPr>
              <w:spacing w:after="0"/>
            </w:pPr>
            <w:r>
              <w:rPr>
                <w:sz w:val="13"/>
              </w:rPr>
              <w:t>https://www.canada.ca/en/intergovernmental-affairs/services/relations-canadian-context.html</w:t>
            </w:r>
          </w:p>
        </w:tc>
      </w:tr>
      <w:tr>
        <w:tc>
          <w:tcPr>
            <w:tcW w:type="dxa" w:w="5083"/>
            <w:vAlign w:val="top"/>
          </w:tcPr>
          <w:p>
            <w:pPr>
              <w:spacing w:after="0"/>
            </w:pPr>
            <w:r>
              <w:rPr>
                <w:sz w:val="13"/>
              </w:rPr>
              <w:t>Constitution Acts, 1867 to 1982, including s.92A</w:t>
            </w:r>
          </w:p>
        </w:tc>
        <w:tc>
          <w:tcPr>
            <w:tcW w:type="dxa" w:w="5083"/>
            <w:vAlign w:val="top"/>
          </w:tcPr>
          <w:p>
            <w:pPr>
              <w:spacing w:after="0"/>
            </w:pPr>
            <w:r>
              <w:rPr>
                <w:sz w:val="13"/>
              </w:rPr>
              <w:t>https://laws-lois.justice.gc.ca/eng/const/fulltext.html</w:t>
            </w:r>
          </w:p>
        </w:tc>
      </w:tr>
      <w:tr>
        <w:tc>
          <w:tcPr>
            <w:tcW w:type="dxa" w:w="5083"/>
            <w:vAlign w:val="top"/>
          </w:tcPr>
          <w:p>
            <w:pPr>
              <w:spacing w:after="0"/>
            </w:pPr>
            <w:r>
              <w:rPr>
                <w:sz w:val="13"/>
              </w:rPr>
              <w:t>Aug. 14, 2026 FPT trade-minister briefing</w:t>
            </w:r>
          </w:p>
        </w:tc>
        <w:tc>
          <w:tcPr>
            <w:tcW w:type="dxa" w:w="5083"/>
            <w:vAlign w:val="top"/>
          </w:tcPr>
          <w:p>
            <w:pPr>
              <w:spacing w:after="0"/>
            </w:pPr>
            <w:r>
              <w:rPr>
                <w:sz w:val="13"/>
              </w:rPr>
              <w:t>https://www.canada.ca/en/global-affairs/news/2026/08/minister-leblanc-and-chief-trade-negotiator-update-provincial-and-territorial-trade-ministers-and-advisory-committee-on-canada-us-economic-relation.html</w:t>
            </w:r>
          </w:p>
        </w:tc>
      </w:tr>
      <w:tr>
        <w:tc>
          <w:tcPr>
            <w:tcW w:type="dxa" w:w="5083"/>
            <w:vAlign w:val="top"/>
          </w:tcPr>
          <w:p>
            <w:pPr>
              <w:spacing w:after="0"/>
            </w:pPr>
            <w:r>
              <w:rPr>
                <w:sz w:val="13"/>
              </w:rPr>
              <w:t>Aug. 24, 2026 FPT finance-minister coordination</w:t>
            </w:r>
          </w:p>
        </w:tc>
        <w:tc>
          <w:tcPr>
            <w:tcW w:type="dxa" w:w="5083"/>
            <w:vAlign w:val="top"/>
          </w:tcPr>
          <w:p>
            <w:pPr>
              <w:spacing w:after="0"/>
            </w:pPr>
            <w:r>
              <w:rPr>
                <w:sz w:val="13"/>
              </w:rPr>
              <w:t>https://www.canada.ca/en/department-finance/news/2026/08/minister-of-finance-meets-with-provincial-and-territorial-counterparts-on-canadas-response-to-latest-us-tariffs.html</w:t>
            </w:r>
          </w:p>
        </w:tc>
      </w:tr>
      <w:tr>
        <w:tc>
          <w:tcPr>
            <w:tcW w:type="dxa" w:w="5083"/>
            <w:vAlign w:val="top"/>
          </w:tcPr>
          <w:p>
            <w:pPr>
              <w:spacing w:after="0"/>
            </w:pPr>
            <w:r>
              <w:rPr>
                <w:sz w:val="13"/>
              </w:rPr>
              <w:t>Aug. 22, 2026 First Ministers Meeting</w:t>
            </w:r>
          </w:p>
        </w:tc>
        <w:tc>
          <w:tcPr>
            <w:tcW w:type="dxa" w:w="5083"/>
            <w:vAlign w:val="top"/>
          </w:tcPr>
          <w:p>
            <w:pPr>
              <w:spacing w:after="0"/>
            </w:pPr>
            <w:r>
              <w:rPr>
                <w:sz w:val="13"/>
              </w:rPr>
              <w:t>https://www.pm.gc.ca/en/news/readouts/2026/08/22/prime-minister-carney-chairs-first-ministers-meeting</w:t>
            </w:r>
          </w:p>
        </w:tc>
      </w:tr>
      <w:tr>
        <w:tc>
          <w:tcPr>
            <w:tcW w:type="dxa" w:w="5083"/>
            <w:vAlign w:val="top"/>
          </w:tcPr>
          <w:p>
            <w:pPr>
              <w:spacing w:after="0"/>
            </w:pPr>
            <w:r>
              <w:rPr>
                <w:sz w:val="13"/>
              </w:rPr>
              <w:t>Canadian Free Trade Agreement / Committee on Internal Trade</w:t>
            </w:r>
          </w:p>
        </w:tc>
        <w:tc>
          <w:tcPr>
            <w:tcW w:type="dxa" w:w="5083"/>
            <w:vAlign w:val="top"/>
          </w:tcPr>
          <w:p>
            <w:pPr>
              <w:spacing w:after="0"/>
            </w:pPr>
            <w:r>
              <w:rPr>
                <w:sz w:val="13"/>
              </w:rPr>
              <w:t>https://www.canada.ca/en/intergovernmental-affairs/services/internal-trade/canadian-free-trade-agreement.html</w:t>
            </w:r>
          </w:p>
        </w:tc>
      </w:tr>
      <w:tr>
        <w:tc>
          <w:tcPr>
            <w:tcW w:type="dxa" w:w="5083"/>
            <w:vAlign w:val="top"/>
          </w:tcPr>
          <w:p>
            <w:pPr>
              <w:spacing w:after="0"/>
            </w:pPr>
            <w:r>
              <w:rPr>
                <w:sz w:val="13"/>
              </w:rPr>
              <w:t>CFTA Regulatory Notification/Reconciliation/Cooperation</w:t>
            </w:r>
          </w:p>
        </w:tc>
        <w:tc>
          <w:tcPr>
            <w:tcW w:type="dxa" w:w="5083"/>
            <w:vAlign w:val="top"/>
          </w:tcPr>
          <w:p>
            <w:pPr>
              <w:spacing w:after="0"/>
            </w:pPr>
            <w:r>
              <w:rPr>
                <w:sz w:val="13"/>
              </w:rPr>
              <w:t>https://www.cfta-alec.ca/cfta-agreement/chapter-four-regulatory-notification-reconciliation-and-cooperation</w:t>
            </w:r>
          </w:p>
        </w:tc>
      </w:tr>
      <w:tr>
        <w:tc>
          <w:tcPr>
            <w:tcW w:type="dxa" w:w="5083"/>
            <w:vAlign w:val="top"/>
          </w:tcPr>
          <w:p>
            <w:pPr>
              <w:spacing w:after="0"/>
            </w:pPr>
            <w:r>
              <w:rPr>
                <w:sz w:val="13"/>
              </w:rPr>
              <w:t>CFTA Dispute Resolution</w:t>
            </w:r>
          </w:p>
        </w:tc>
        <w:tc>
          <w:tcPr>
            <w:tcW w:type="dxa" w:w="5083"/>
            <w:vAlign w:val="top"/>
          </w:tcPr>
          <w:p>
            <w:pPr>
              <w:spacing w:after="0"/>
            </w:pPr>
            <w:r>
              <w:rPr>
                <w:sz w:val="13"/>
              </w:rPr>
              <w:t>https://www.cfta-alec.ca/cfta-agreement/chapter-ten-dispute-resolution</w:t>
            </w:r>
          </w:p>
        </w:tc>
      </w:tr>
      <w:tr>
        <w:tc>
          <w:tcPr>
            <w:tcW w:type="dxa" w:w="5083"/>
            <w:vAlign w:val="top"/>
          </w:tcPr>
          <w:p>
            <w:pPr>
              <w:spacing w:after="0"/>
            </w:pPr>
            <w:r>
              <w:rPr>
                <w:sz w:val="13"/>
              </w:rPr>
              <w:t>Aug. 25, 2026 countermeasures/support package</w:t>
            </w:r>
          </w:p>
        </w:tc>
        <w:tc>
          <w:tcPr>
            <w:tcW w:type="dxa" w:w="5083"/>
            <w:vAlign w:val="top"/>
          </w:tcPr>
          <w:p>
            <w:pPr>
              <w:spacing w:after="0"/>
            </w:pPr>
            <w:r>
              <w:rPr>
                <w:sz w:val="13"/>
              </w:rPr>
              <w:t>https://www.canada.ca/en/department-finance/news/2026/08/canada-announces-targeted-countermeasures-and-substantive-support-for-workers-and-businesses-in-response-to-us-tariffs.html</w:t>
            </w:r>
          </w:p>
        </w:tc>
      </w:tr>
    </w:tbl>
    <w:p>
      <w:pPr>
        <w:spacing w:after="20"/>
      </w:pPr>
    </w:p>
    <w:p>
      <w:pPr>
        <w:pStyle w:val="Heading2"/>
        <w:keepNext/>
        <w:spacing w:before="140" w:after="60"/>
      </w:pPr>
      <w:r>
        <w:t>Validation priorities</w:t>
      </w:r>
    </w:p>
    <w:p>
      <w:pPr>
        <w:pStyle w:val="ListBullet"/>
      </w:pPr>
      <w:r>
        <w:t>Confirm the federal legal characterization of international trade-negotiating and tariff authorities for each contemplated instrument.</w:t>
      </w:r>
    </w:p>
    <w:p>
      <w:pPr>
        <w:pStyle w:val="ListBullet"/>
      </w:pPr>
      <w:r>
        <w:t>Obtain province-specific legal review for resource, electricity, procurement and regulatory commitments.</w:t>
      </w:r>
    </w:p>
    <w:p>
      <w:pPr>
        <w:pStyle w:val="ListBullet"/>
      </w:pPr>
      <w:r>
        <w:t>Do not treat this protocol as altering Crown-Indigenous consultation or treaty obligations.</w:t>
      </w:r>
    </w:p>
    <w:p>
      <w:pPr>
        <w:pStyle w:val="ListBullet"/>
      </w:pPr>
      <w:r>
        <w:t>Ensure compensation mechanisms comply with appropriations, program authorities, trade obligations and applicable fiscal law.</w:t>
      </w:r>
    </w:p>
    <w:p>
      <w:pPr>
        <w:pStyle w:val="ListBullet"/>
      </w:pPr>
      <w:r>
        <w:t>Where confidential diplomatic or intelligence information is involved, apply existing security and information-sharing rules rather than inventing parallel ones.</w:t>
      </w:r>
    </w:p>
    <w:sectPr w:rsidR="00FC693F" w:rsidRPr="0006063C" w:rsidSect="00034616">
      <w:headerReference w:type="default" r:id="rId9"/>
      <w:footerReference w:type="default" r:id="rId10"/>
      <w:pgSz w:w="12240" w:h="15840"/>
      <w:pgMar w:top="950"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 xml:space="preserve">Version 1.0 • Cooperative FPT Framework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4"/>
      </w:rPr>
      <w:t>THE FEDERAL-PROVINCIAL TRADE CONFLICT SOLIDARITY PROTOCOL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