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sz w:val="48"/>
        </w:rPr>
        <w:t>The Economic Statecraft Situational Awareness and Early-Warning Framework</w:t>
      </w:r>
    </w:p>
    <w:p>
      <w:pPr>
        <w:jc w:val="center"/>
      </w:pPr>
      <w:r>
        <w:rPr>
          <w:b/>
          <w:i w:val="0"/>
        </w:rPr>
        <w:t>Lawful Integrated Assessment for Canadian Economic Statecraft</w:t>
      </w:r>
    </w:p>
    <w:p>
      <w:pPr>
        <w:jc w:val="center"/>
      </w:pPr>
      <w:r>
        <w:rPr>
          <w:b w:val="0"/>
          <w:i/>
        </w:rPr>
        <w:t>Version 1.0 • August 28, 2026</w:t>
      </w:r>
    </w:p>
    <w:p>
      <w:pPr>
        <w:spacing w:before="840"/>
        <w:jc w:val="center"/>
      </w:pPr>
      <w:r>
        <w:rPr>
          <w:b/>
          <w:sz w:val="24"/>
        </w:rPr>
        <w:t>SENSE • VERIFY • ASSESS • WARN • ADVISE • REVIEW</w:t>
      </w:r>
    </w:p>
    <w:p>
      <w:pPr>
        <w:jc w:val="center"/>
      </w:pPr>
      <w:r>
        <w:rPr>
          <w:b w:val="0"/>
          <w:i/>
        </w:rPr>
        <w:t>A decision-support framework, not a domestic surveillance system.</w:t>
      </w:r>
    </w:p>
    <w:p>
      <w:pPr>
        <w:spacing w:before="1300"/>
        <w:jc w:val="center"/>
      </w:pPr>
      <w:r>
        <w:rPr>
          <w:b/>
        </w:rPr>
        <w:t>Core recurring output:</w:t>
        <w:br/>
      </w:r>
      <w:r>
        <w:rPr>
          <w:b/>
        </w:rPr>
        <w:t>DE-ESCALATION PROBABILITY ASSESSMENT (DPA)</w:t>
        <w:br/>
      </w:r>
      <w:r>
        <w:t>plus Escalation Warning Indicators and Decision Triggers</w:t>
      </w:r>
    </w:p>
    <w:p>
      <w:r>
        <w:br w:type="page"/>
      </w:r>
    </w:p>
    <w:p>
      <w:pPr>
        <w:spacing w:after="140"/>
      </w:pPr>
      <w:r>
        <w:rPr>
          <w:b/>
          <w:sz w:val="28"/>
        </w:rPr>
        <w:t>TABLE OF CONTENTS</w:t>
      </w:r>
    </w:p>
    <w:p>
      <w:pPr>
        <w:pStyle w:val="toc1"/>
      </w:pPr>
      <w:r>
        <w:t>Executive Purpose</w:t>
      </w:r>
      <w:r>
        <w:tab/>
      </w:r>
      <w:r>
        <w:t>3</w:t>
      </w:r>
    </w:p>
    <w:p>
      <w:pPr>
        <w:pStyle w:val="toc1"/>
      </w:pPr>
      <w:r>
        <w:t>1. Foundational Guardrails</w:t>
      </w:r>
      <w:r>
        <w:tab/>
      </w:r>
      <w:r>
        <w:t>4</w:t>
      </w:r>
    </w:p>
    <w:p>
      <w:pPr>
        <w:pStyle w:val="toc1"/>
      </w:pPr>
      <w:r>
        <w:t>2. Governance and Accountability</w:t>
      </w:r>
      <w:r>
        <w:tab/>
      </w:r>
      <w:r>
        <w:t>5</w:t>
      </w:r>
    </w:p>
    <w:p>
      <w:pPr>
        <w:pStyle w:val="toc1"/>
      </w:pPr>
      <w:r>
        <w:t>3. Information Architecture: The Eight Streams</w:t>
      </w:r>
      <w:r>
        <w:tab/>
      </w:r>
      <w:r>
        <w:t>6</w:t>
      </w:r>
    </w:p>
    <w:p>
      <w:pPr>
        <w:pStyle w:val="toc1"/>
      </w:pPr>
      <w:r>
        <w:t>4. Diplomatic Reporting</w:t>
      </w:r>
      <w:r>
        <w:tab/>
      </w:r>
      <w:r>
        <w:t>7</w:t>
      </w:r>
    </w:p>
    <w:p>
      <w:pPr>
        <w:pStyle w:val="toc1"/>
      </w:pPr>
      <w:r>
        <w:t>5. Public Economic Intelligence</w:t>
      </w:r>
      <w:r>
        <w:tab/>
      </w:r>
      <w:r>
        <w:t>8</w:t>
      </w:r>
    </w:p>
    <w:p>
      <w:pPr>
        <w:pStyle w:val="toc1"/>
      </w:pPr>
      <w:r>
        <w:t>6. Business and Labour Consultations</w:t>
      </w:r>
      <w:r>
        <w:tab/>
      </w:r>
      <w:r>
        <w:t>9</w:t>
      </w:r>
    </w:p>
    <w:p>
      <w:pPr>
        <w:pStyle w:val="toc1"/>
      </w:pPr>
      <w:r>
        <w:t>7. Congressional and State Engagement</w:t>
      </w:r>
      <w:r>
        <w:tab/>
      </w:r>
      <w:r>
        <w:t>10</w:t>
      </w:r>
    </w:p>
    <w:p>
      <w:pPr>
        <w:pStyle w:val="toc1"/>
      </w:pPr>
      <w:r>
        <w:t>8. Market Indicators</w:t>
      </w:r>
      <w:r>
        <w:tab/>
      </w:r>
      <w:r>
        <w:t>11</w:t>
      </w:r>
    </w:p>
    <w:p>
      <w:pPr>
        <w:pStyle w:val="toc1"/>
      </w:pPr>
      <w:r>
        <w:t>9. Legal and Regulatory Developments</w:t>
      </w:r>
      <w:r>
        <w:tab/>
      </w:r>
      <w:r>
        <w:t>12</w:t>
      </w:r>
    </w:p>
    <w:p>
      <w:pPr>
        <w:pStyle w:val="toc1"/>
      </w:pPr>
      <w:r>
        <w:t>10. Media and Public-Opinion Analysis</w:t>
      </w:r>
      <w:r>
        <w:tab/>
      </w:r>
      <w:r>
        <w:t>13</w:t>
      </w:r>
    </w:p>
    <w:p>
      <w:pPr>
        <w:pStyle w:val="toc1"/>
      </w:pPr>
      <w:r>
        <w:t>11. Authorized Intelligence Interface</w:t>
      </w:r>
      <w:r>
        <w:tab/>
      </w:r>
      <w:r>
        <w:t>14</w:t>
      </w:r>
    </w:p>
    <w:p>
      <w:pPr>
        <w:pStyle w:val="toc1"/>
      </w:pPr>
      <w:r>
        <w:t>12. The Common Operating Picture</w:t>
      </w:r>
      <w:r>
        <w:tab/>
      </w:r>
      <w:r>
        <w:t>15</w:t>
      </w:r>
    </w:p>
    <w:p>
      <w:pPr>
        <w:pStyle w:val="toc1"/>
      </w:pPr>
      <w:r>
        <w:t>13. Analytic Method: Hypotheses Before Headlines</w:t>
      </w:r>
      <w:r>
        <w:tab/>
      </w:r>
      <w:r>
        <w:t>16</w:t>
      </w:r>
    </w:p>
    <w:p>
      <w:pPr>
        <w:pStyle w:val="toc1"/>
      </w:pPr>
      <w:r>
        <w:t>14. Reliability, Confidence and Evidence Weighting</w:t>
      </w:r>
      <w:r>
        <w:tab/>
      </w:r>
      <w:r>
        <w:t>17</w:t>
      </w:r>
    </w:p>
    <w:p>
      <w:pPr>
        <w:pStyle w:val="toc1"/>
      </w:pPr>
      <w:r>
        <w:t>15. De-escalation Probability Assessment (DPA): Overview</w:t>
      </w:r>
      <w:r>
        <w:tab/>
      </w:r>
      <w:r>
        <w:t>18</w:t>
      </w:r>
    </w:p>
    <w:p>
      <w:pPr>
        <w:pStyle w:val="toc1"/>
      </w:pPr>
      <w:r>
        <w:t>16. DPA Scoring Model</w:t>
      </w:r>
      <w:r>
        <w:tab/>
      </w:r>
      <w:r>
        <w:t>19</w:t>
      </w:r>
    </w:p>
    <w:p>
      <w:pPr>
        <w:pStyle w:val="toc1"/>
      </w:pPr>
      <w:r>
        <w:t>17. DPA Probability Bands and Decision Posture</w:t>
      </w:r>
      <w:r>
        <w:tab/>
      </w:r>
      <w:r>
        <w:t>20</w:t>
      </w:r>
    </w:p>
    <w:p>
      <w:pPr>
        <w:pStyle w:val="toc1"/>
      </w:pPr>
      <w:r>
        <w:t>18. DPA Template</w:t>
      </w:r>
      <w:r>
        <w:tab/>
      </w:r>
      <w:r>
        <w:t>21</w:t>
      </w:r>
    </w:p>
    <w:p>
      <w:pPr>
        <w:pStyle w:val="toc1"/>
      </w:pPr>
      <w:r>
        <w:t>19. Escalation Warning Indicators: Architecture</w:t>
      </w:r>
      <w:r>
        <w:tab/>
      </w:r>
      <w:r>
        <w:t>22</w:t>
      </w:r>
    </w:p>
    <w:p>
      <w:pPr>
        <w:pStyle w:val="toc1"/>
      </w:pPr>
      <w:r>
        <w:t>20. Executive and Negotiating Warning Indicators</w:t>
      </w:r>
      <w:r>
        <w:tab/>
      </w:r>
      <w:r>
        <w:t>23</w:t>
      </w:r>
    </w:p>
    <w:p>
      <w:pPr>
        <w:pStyle w:val="toc1"/>
      </w:pPr>
      <w:r>
        <w:t>21. Congressional and State Warning Indicators</w:t>
      </w:r>
      <w:r>
        <w:tab/>
      </w:r>
      <w:r>
        <w:t>24</w:t>
      </w:r>
    </w:p>
    <w:p>
      <w:pPr>
        <w:pStyle w:val="toc1"/>
      </w:pPr>
      <w:r>
        <w:t>22. Business, Labour and Industrial Warning Indicators</w:t>
      </w:r>
      <w:r>
        <w:tab/>
      </w:r>
      <w:r>
        <w:t>25</w:t>
      </w:r>
    </w:p>
    <w:p>
      <w:pPr>
        <w:pStyle w:val="toc1"/>
      </w:pPr>
      <w:r>
        <w:t>23. Market and Macro Warning Indicators</w:t>
      </w:r>
      <w:r>
        <w:tab/>
      </w:r>
      <w:r>
        <w:t>26</w:t>
      </w:r>
    </w:p>
    <w:p>
      <w:pPr>
        <w:pStyle w:val="toc1"/>
      </w:pPr>
      <w:r>
        <w:t>24. Legal and Administrative Warning Indicators</w:t>
      </w:r>
      <w:r>
        <w:tab/>
      </w:r>
      <w:r>
        <w:t>27</w:t>
      </w:r>
    </w:p>
    <w:p>
      <w:pPr>
        <w:pStyle w:val="toc1"/>
      </w:pPr>
      <w:r>
        <w:t>25. Narrative and Public-Opinion Warning Indicators</w:t>
      </w:r>
      <w:r>
        <w:tab/>
      </w:r>
      <w:r>
        <w:t>28</w:t>
      </w:r>
    </w:p>
    <w:p>
      <w:pPr>
        <w:pStyle w:val="toc1"/>
      </w:pPr>
      <w:r>
        <w:t>26. Canadian Cohesion and Endurance Warning Indicators</w:t>
      </w:r>
      <w:r>
        <w:tab/>
      </w:r>
      <w:r>
        <w:t>29</w:t>
      </w:r>
    </w:p>
    <w:p>
      <w:pPr>
        <w:pStyle w:val="toc1"/>
      </w:pPr>
      <w:r>
        <w:t>27. Security and Foreign-Interference Indicators</w:t>
      </w:r>
      <w:r>
        <w:tab/>
      </w:r>
      <w:r>
        <w:t>30</w:t>
      </w:r>
    </w:p>
    <w:p>
      <w:pPr>
        <w:pStyle w:val="toc1"/>
      </w:pPr>
      <w:r>
        <w:t>28. De-escalation Indicators</w:t>
      </w:r>
      <w:r>
        <w:tab/>
      </w:r>
      <w:r>
        <w:t>31</w:t>
      </w:r>
    </w:p>
    <w:p>
      <w:pPr>
        <w:pStyle w:val="toc1"/>
      </w:pPr>
      <w:r>
        <w:t>29. Canadian Harm Early-Warning Dashboard</w:t>
      </w:r>
      <w:r>
        <w:tab/>
      </w:r>
      <w:r>
        <w:t>32</w:t>
      </w:r>
    </w:p>
    <w:p>
      <w:pPr>
        <w:pStyle w:val="toc1"/>
      </w:pPr>
      <w:r>
        <w:t>30. Business Consultation Protocol</w:t>
      </w:r>
      <w:r>
        <w:tab/>
      </w:r>
      <w:r>
        <w:t>33</w:t>
      </w:r>
    </w:p>
    <w:p>
      <w:pPr>
        <w:pStyle w:val="toc1"/>
      </w:pPr>
      <w:r>
        <w:t>31. Congressional and State Engagement Reporting Template</w:t>
      </w:r>
      <w:r>
        <w:tab/>
      </w:r>
      <w:r>
        <w:t>34</w:t>
      </w:r>
    </w:p>
    <w:p>
      <w:pPr>
        <w:pStyle w:val="toc1"/>
      </w:pPr>
      <w:r>
        <w:t>32. Media and Narrative Analysis Protocol</w:t>
      </w:r>
      <w:r>
        <w:tab/>
      </w:r>
      <w:r>
        <w:t>35</w:t>
      </w:r>
    </w:p>
    <w:p>
      <w:pPr>
        <w:pStyle w:val="toc1"/>
      </w:pPr>
      <w:r>
        <w:t>33. Public-Opinion Research Safeguards</w:t>
      </w:r>
      <w:r>
        <w:tab/>
      </w:r>
      <w:r>
        <w:t>36</w:t>
      </w:r>
    </w:p>
    <w:p>
      <w:pPr>
        <w:pStyle w:val="toc1"/>
      </w:pPr>
      <w:r>
        <w:t>34. Information Security and Compartmentation</w:t>
      </w:r>
      <w:r>
        <w:tab/>
      </w:r>
      <w:r>
        <w:t>37</w:t>
      </w:r>
    </w:p>
    <w:p>
      <w:pPr>
        <w:pStyle w:val="toc1"/>
      </w:pPr>
      <w:r>
        <w:t>35. Privacy, Civil Liberties and Democratic Firewall</w:t>
      </w:r>
      <w:r>
        <w:tab/>
      </w:r>
      <w:r>
        <w:t>38</w:t>
      </w:r>
    </w:p>
    <w:p>
      <w:pPr>
        <w:pStyle w:val="toc1"/>
      </w:pPr>
      <w:r>
        <w:t>36. Legal Risk Integration</w:t>
      </w:r>
      <w:r>
        <w:tab/>
      </w:r>
      <w:r>
        <w:t>39</w:t>
      </w:r>
    </w:p>
    <w:p>
      <w:pPr>
        <w:pStyle w:val="toc1"/>
      </w:pPr>
      <w:r>
        <w:t>37. Bias and Failure-Mode Register</w:t>
      </w:r>
      <w:r>
        <w:tab/>
      </w:r>
      <w:r>
        <w:t>40</w:t>
      </w:r>
    </w:p>
    <w:p>
      <w:pPr>
        <w:pStyle w:val="toc1"/>
      </w:pPr>
      <w:r>
        <w:t>38. Red-Team and Challenge Function</w:t>
      </w:r>
      <w:r>
        <w:tab/>
      </w:r>
      <w:r>
        <w:t>41</w:t>
      </w:r>
    </w:p>
    <w:p>
      <w:pPr>
        <w:pStyle w:val="toc1"/>
      </w:pPr>
      <w:r>
        <w:t>39. Meeting Rhythm and Product Cadence</w:t>
      </w:r>
      <w:r>
        <w:tab/>
      </w:r>
      <w:r>
        <w:t>42</w:t>
      </w:r>
    </w:p>
    <w:p>
      <w:pPr>
        <w:pStyle w:val="toc1"/>
      </w:pPr>
      <w:r>
        <w:t>40. Daily Situational Note Template</w:t>
      </w:r>
      <w:r>
        <w:tab/>
      </w:r>
      <w:r>
        <w:t>43</w:t>
      </w:r>
    </w:p>
    <w:p>
      <w:pPr>
        <w:pStyle w:val="toc1"/>
      </w:pPr>
      <w:r>
        <w:t>41. Weekly DPA Production Cycle</w:t>
      </w:r>
      <w:r>
        <w:tab/>
      </w:r>
      <w:r>
        <w:t>44</w:t>
      </w:r>
    </w:p>
    <w:p>
      <w:pPr>
        <w:pStyle w:val="toc1"/>
      </w:pPr>
      <w:r>
        <w:t>42. Crisis Surge Protocol</w:t>
      </w:r>
      <w:r>
        <w:tab/>
      </w:r>
      <w:r>
        <w:t>45</w:t>
      </w:r>
    </w:p>
    <w:p>
      <w:pPr>
        <w:pStyle w:val="toc1"/>
      </w:pPr>
      <w:r>
        <w:t>43. False-Alarm and Missed-Warning Review</w:t>
      </w:r>
      <w:r>
        <w:tab/>
      </w:r>
      <w:r>
        <w:t>46</w:t>
      </w:r>
    </w:p>
    <w:p>
      <w:pPr>
        <w:pStyle w:val="toc1"/>
      </w:pPr>
      <w:r>
        <w:t>44. Integration with the Strategic Timing Calendar</w:t>
      </w:r>
      <w:r>
        <w:tab/>
      </w:r>
      <w:r>
        <w:t>47</w:t>
      </w:r>
    </w:p>
    <w:p>
      <w:pPr>
        <w:pStyle w:val="toc1"/>
      </w:pPr>
      <w:r>
        <w:t>45. Integration with the Federal-Provincial Solidarity Protocol</w:t>
      </w:r>
      <w:r>
        <w:tab/>
      </w:r>
      <w:r>
        <w:t>48</w:t>
      </w:r>
    </w:p>
    <w:p>
      <w:pPr>
        <w:pStyle w:val="toc1"/>
      </w:pPr>
      <w:r>
        <w:t>46. Integration with CR-TAR and Countermeasure Instruments</w:t>
      </w:r>
      <w:r>
        <w:tab/>
      </w:r>
      <w:r>
        <w:t>49</w:t>
      </w:r>
    </w:p>
    <w:p>
      <w:pPr>
        <w:pStyle w:val="toc1"/>
      </w:pPr>
      <w:r>
        <w:t>47. Integration with Diversification and Public Diplomacy</w:t>
      </w:r>
      <w:r>
        <w:tab/>
      </w:r>
      <w:r>
        <w:t>50</w:t>
      </w:r>
    </w:p>
    <w:p>
      <w:pPr>
        <w:pStyle w:val="toc1"/>
      </w:pPr>
      <w:r>
        <w:t>48. Implementation Roadmap: First 30 Days</w:t>
      </w:r>
      <w:r>
        <w:tab/>
      </w:r>
      <w:r>
        <w:t>51</w:t>
      </w:r>
    </w:p>
    <w:p>
      <w:pPr>
        <w:pStyle w:val="toc1"/>
      </w:pPr>
      <w:r>
        <w:t>49. Implementation Roadmap: Days 31–100</w:t>
      </w:r>
      <w:r>
        <w:tab/>
      </w:r>
      <w:r>
        <w:t>52</w:t>
      </w:r>
    </w:p>
    <w:p>
      <w:pPr>
        <w:pStyle w:val="toc1"/>
      </w:pPr>
      <w:r>
        <w:t>50. Implementation Roadmap: Mature State</w:t>
      </w:r>
      <w:r>
        <w:tab/>
      </w:r>
      <w:r>
        <w:t>53</w:t>
      </w:r>
    </w:p>
    <w:p>
      <w:pPr>
        <w:pStyle w:val="toc1"/>
      </w:pPr>
      <w:r>
        <w:t>51. Ministerial / Cabinet Decision Card</w:t>
      </w:r>
      <w:r>
        <w:tab/>
      </w:r>
      <w:r>
        <w:t>53</w:t>
      </w:r>
    </w:p>
    <w:p>
      <w:pPr>
        <w:pStyle w:val="toc1"/>
      </w:pPr>
      <w:r>
        <w:t>52. Sample DPA: Illustrative, Not a Current Assessment</w:t>
      </w:r>
      <w:r>
        <w:tab/>
      </w:r>
      <w:r>
        <w:t>53</w:t>
      </w:r>
    </w:p>
    <w:p>
      <w:pPr>
        <w:pStyle w:val="toc1"/>
      </w:pPr>
      <w:r>
        <w:t>53. Source Register and Institutional Anchors</w:t>
      </w:r>
      <w:r>
        <w:tab/>
      </w:r>
      <w:r>
        <w:t>53</w:t>
      </w:r>
    </w:p>
    <w:p>
      <w:pPr>
        <w:pStyle w:val="toc1"/>
      </w:pPr>
      <w:r>
        <w:t>54. Final Doctrine</w:t>
      </w:r>
      <w:r>
        <w:tab/>
      </w:r>
      <w:r>
        <w:t>54</w:t>
      </w:r>
    </w:p>
    <w:p>
      <w:pPr/>
      <w:r>
        <w:br w:type="page"/>
      </w:r>
    </w:p>
    <w:p>
      <w:pPr>
        <w:pStyle w:val="Heading1"/>
        <w:keepNext/>
        <w:spacing w:before="120" w:after="50"/>
      </w:pPr>
      <w:r>
        <w:t>Executive Purpose</w:t>
      </w:r>
    </w:p>
    <w:p>
      <w:r>
        <w:rPr>
          <w:b w:val="0"/>
          <w:i w:val="0"/>
        </w:rPr>
        <w:t>This framework establishes a lawful, disciplined system for bringing together diplomatic reporting, public economic intelligence, structured business consultations, congressional and state-level engagement, market indicators, legal developments, media and public-opinion analysis, and intelligence that has been collected and disseminated under proper Canadian authorities.</w:t>
      </w:r>
    </w:p>
    <w:p>
      <w:r>
        <w:rPr>
          <w:b w:val="0"/>
          <w:i w:val="0"/>
        </w:rPr>
        <w:t>Its purpose is not to create a new intelligence service. It is to improve the government's ability to recognize changes early, distinguish signal from noise, identify openings for settlement, detect escalation risk, understand Canadian exposure, and give decision-makers a common operating picture.</w:t>
      </w:r>
    </w:p>
    <w:p>
      <w:pPr>
        <w:pStyle w:val="Heading2"/>
        <w:keepNext/>
        <w:spacing w:before="120" w:after="50"/>
      </w:pPr>
      <w:r>
        <w:t>The Core Problem</w:t>
      </w:r>
    </w:p>
    <w:p>
      <w:r>
        <w:rPr>
          <w:b w:val="0"/>
          <w:i w:val="0"/>
        </w:rPr>
        <w:t>Economic conflict produces too much information and too little shared understanding. A tariff announcement can arrive beside a court ruling, a congressional letter, a plant shutdown, a commodity-price move, a governor's statement, a diplomatic message, a business warning, and an opinion poll. Individually, each may be ambiguous. Together, they can reveal movement.</w:t>
      </w:r>
    </w:p>
    <w:p>
      <w:pPr>
        <w:pStyle w:val="Heading2"/>
        <w:keepNext/>
        <w:spacing w:before="120" w:after="50"/>
      </w:pPr>
      <w:r>
        <w:t>The Killer Output</w:t>
      </w:r>
    </w:p>
    <w:p>
      <w:r>
        <w:rPr>
          <w:b w:val="0"/>
          <w:i w:val="0"/>
        </w:rPr>
        <w:t>The recurring De-escalation Probability Assessment converts that fragmented evidence into a transparent, auditable judgement: Is a negotiated reduction in economic conflict becoming more likely, less likely, or unchanged? What is driving the movement? How confident are we? What evidence would falsify the assessment? What should Canada prepare to do if the signal strengthens?</w:t>
      </w:r>
    </w:p>
    <w:p>
      <w:pPr>
        <w:pStyle w:val="Heading2"/>
        <w:keepNext/>
        <w:spacing w:before="120" w:after="50"/>
      </w:pPr>
      <w:r>
        <w:t>Operating Principle</w:t>
      </w:r>
    </w:p>
    <w:p>
      <w:r>
        <w:rPr>
          <w:b w:val="0"/>
          <w:i w:val="0"/>
        </w:rPr>
        <w:t>No single source owns the truth. Diplomatic reporting may reveal intent but miss market stress. Markets may reveal stress but not political willingness. Public statements may be performative. Business contacts may have incentives to exaggerate. Intelligence may be authoritative on one narrow question but irrelevant to another. The framework therefore rewards corroboration, source diversity, explicit uncertainty, and dissent.</w:t>
      </w:r>
    </w:p>
    <w:p>
      <w:r>
        <w:br w:type="page"/>
      </w:r>
    </w:p>
    <w:p>
      <w:pPr>
        <w:pStyle w:val="Heading1"/>
        <w:keepNext/>
        <w:spacing w:before="120" w:after="50"/>
      </w:pPr>
      <w:r>
        <w:t>1. Foundational Guardrails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Guardrail</w:t>
            </w:r>
          </w:p>
        </w:tc>
        <w:tc>
          <w:tcPr>
            <w:tcW w:type="dxa" w:w="5141"/>
            <w:shd w:fill="D9E5F2"/>
          </w:tcPr>
          <w:p>
            <w:r>
              <w:rPr>
                <w:b/>
                <w:sz w:val="14"/>
              </w:rPr>
              <w:t>Rule</w:t>
            </w:r>
          </w:p>
        </w:tc>
      </w:tr>
      <w:tr>
        <w:tc>
          <w:tcPr>
            <w:tcW w:type="dxa" w:w="5141"/>
            <w:vAlign w:val="top"/>
          </w:tcPr>
          <w:p>
            <w:pPr>
              <w:spacing w:after="0"/>
            </w:pPr>
            <w:r>
              <w:rPr>
                <w:sz w:val="14"/>
              </w:rPr>
              <w:t>Lawful authority</w:t>
            </w:r>
          </w:p>
        </w:tc>
        <w:tc>
          <w:tcPr>
            <w:tcW w:type="dxa" w:w="5141"/>
            <w:vAlign w:val="top"/>
          </w:tcPr>
          <w:p>
            <w:pPr>
              <w:spacing w:after="0"/>
            </w:pPr>
            <w:r>
              <w:rPr>
                <w:sz w:val="14"/>
              </w:rPr>
              <w:t>Every collection or access activity must have an existing lawful mandate, policy basis and authorized purpose.</w:t>
            </w:r>
          </w:p>
        </w:tc>
      </w:tr>
      <w:tr>
        <w:tc>
          <w:tcPr>
            <w:tcW w:type="dxa" w:w="5141"/>
            <w:vAlign w:val="top"/>
          </w:tcPr>
          <w:p>
            <w:pPr>
              <w:spacing w:after="0"/>
            </w:pPr>
            <w:r>
              <w:rPr>
                <w:sz w:val="14"/>
              </w:rPr>
              <w:t>No new spy mandate</w:t>
            </w:r>
          </w:p>
        </w:tc>
        <w:tc>
          <w:tcPr>
            <w:tcW w:type="dxa" w:w="5141"/>
            <w:vAlign w:val="top"/>
          </w:tcPr>
          <w:p>
            <w:pPr>
              <w:spacing w:after="0"/>
            </w:pPr>
            <w:r>
              <w:rPr>
                <w:sz w:val="14"/>
              </w:rPr>
              <w:t>This framework coordinates assessment. It does not expand CSIS, CSE, RCMP, diplomatic, regulatory or departmental collection authorities.</w:t>
            </w:r>
          </w:p>
        </w:tc>
      </w:tr>
      <w:tr>
        <w:tc>
          <w:tcPr>
            <w:tcW w:type="dxa" w:w="5141"/>
            <w:vAlign w:val="top"/>
          </w:tcPr>
          <w:p>
            <w:pPr>
              <w:spacing w:after="0"/>
            </w:pPr>
            <w:r>
              <w:rPr>
                <w:sz w:val="14"/>
              </w:rPr>
              <w:t>No domestic political surveillance</w:t>
            </w:r>
          </w:p>
        </w:tc>
        <w:tc>
          <w:tcPr>
            <w:tcW w:type="dxa" w:w="5141"/>
            <w:vAlign w:val="top"/>
          </w:tcPr>
          <w:p>
            <w:pPr>
              <w:spacing w:after="0"/>
            </w:pPr>
            <w:r>
              <w:rPr>
                <w:sz w:val="14"/>
              </w:rPr>
              <w:t>Political parties, candidates, activists, journalists, unions, businesses or citizens are not intelligence targets merely because they debate trade policy.</w:t>
            </w:r>
          </w:p>
        </w:tc>
      </w:tr>
      <w:tr>
        <w:tc>
          <w:tcPr>
            <w:tcW w:type="dxa" w:w="5141"/>
            <w:vAlign w:val="top"/>
          </w:tcPr>
          <w:p>
            <w:pPr>
              <w:spacing w:after="0"/>
            </w:pPr>
            <w:r>
              <w:rPr>
                <w:sz w:val="14"/>
              </w:rPr>
              <w:t>No covert manipulation</w:t>
            </w:r>
          </w:p>
        </w:tc>
        <w:tc>
          <w:tcPr>
            <w:tcW w:type="dxa" w:w="5141"/>
            <w:vAlign w:val="top"/>
          </w:tcPr>
          <w:p>
            <w:pPr>
              <w:spacing w:after="0"/>
            </w:pPr>
            <w:r>
              <w:rPr>
                <w:sz w:val="14"/>
              </w:rPr>
              <w:t>The framework does not authorize influence operations, fake personas, covert media activity, electoral interference or undisclosed political persuasion.</w:t>
            </w:r>
          </w:p>
        </w:tc>
      </w:tr>
      <w:tr>
        <w:tc>
          <w:tcPr>
            <w:tcW w:type="dxa" w:w="5141"/>
            <w:vAlign w:val="top"/>
          </w:tcPr>
          <w:p>
            <w:pPr>
              <w:spacing w:after="0"/>
            </w:pPr>
            <w:r>
              <w:rPr>
                <w:sz w:val="14"/>
              </w:rPr>
              <w:t>Data minimization</w:t>
            </w:r>
          </w:p>
        </w:tc>
        <w:tc>
          <w:tcPr>
            <w:tcW w:type="dxa" w:w="5141"/>
            <w:vAlign w:val="top"/>
          </w:tcPr>
          <w:p>
            <w:pPr>
              <w:spacing w:after="0"/>
            </w:pPr>
            <w:r>
              <w:rPr>
                <w:sz w:val="14"/>
              </w:rPr>
              <w:t>Collect the minimum information necessary for the decision problem; prefer aggregate and public data when adequate.</w:t>
            </w:r>
          </w:p>
        </w:tc>
      </w:tr>
      <w:tr>
        <w:tc>
          <w:tcPr>
            <w:tcW w:type="dxa" w:w="5141"/>
            <w:vAlign w:val="top"/>
          </w:tcPr>
          <w:p>
            <w:pPr>
              <w:spacing w:after="0"/>
            </w:pPr>
            <w:r>
              <w:rPr>
                <w:sz w:val="14"/>
              </w:rPr>
              <w:t>Need-to-know</w:t>
            </w:r>
          </w:p>
        </w:tc>
        <w:tc>
          <w:tcPr>
            <w:tcW w:type="dxa" w:w="5141"/>
            <w:vAlign w:val="top"/>
          </w:tcPr>
          <w:p>
            <w:pPr>
              <w:spacing w:after="0"/>
            </w:pPr>
            <w:r>
              <w:rPr>
                <w:sz w:val="14"/>
              </w:rPr>
              <w:t>Classified, privileged, commercially confidential and personal information remain compartmented.</w:t>
            </w:r>
          </w:p>
        </w:tc>
      </w:tr>
      <w:tr>
        <w:tc>
          <w:tcPr>
            <w:tcW w:type="dxa" w:w="5141"/>
            <w:vAlign w:val="top"/>
          </w:tcPr>
          <w:p>
            <w:pPr>
              <w:spacing w:after="0"/>
            </w:pPr>
            <w:r>
              <w:rPr>
                <w:sz w:val="14"/>
              </w:rPr>
              <w:t>Source protection</w:t>
            </w:r>
          </w:p>
        </w:tc>
        <w:tc>
          <w:tcPr>
            <w:tcW w:type="dxa" w:w="5141"/>
            <w:vAlign w:val="top"/>
          </w:tcPr>
          <w:p>
            <w:pPr>
              <w:spacing w:after="0"/>
            </w:pPr>
            <w:r>
              <w:rPr>
                <w:sz w:val="14"/>
              </w:rPr>
              <w:t>Diplomatic, business, whistleblower and intelligence-source sensitivities are preserved.</w:t>
            </w:r>
          </w:p>
        </w:tc>
      </w:tr>
      <w:tr>
        <w:tc>
          <w:tcPr>
            <w:tcW w:type="dxa" w:w="5141"/>
            <w:vAlign w:val="top"/>
          </w:tcPr>
          <w:p>
            <w:pPr>
              <w:spacing w:after="0"/>
            </w:pPr>
            <w:r>
              <w:rPr>
                <w:sz w:val="14"/>
              </w:rPr>
              <w:t>Analytic independence</w:t>
            </w:r>
          </w:p>
        </w:tc>
        <w:tc>
          <w:tcPr>
            <w:tcW w:type="dxa" w:w="5141"/>
            <w:vAlign w:val="top"/>
          </w:tcPr>
          <w:p>
            <w:pPr>
              <w:spacing w:after="0"/>
            </w:pPr>
            <w:r>
              <w:rPr>
                <w:sz w:val="14"/>
              </w:rPr>
              <w:t>Analysts must be able to record dissent, uncertainty and alternative explanations.</w:t>
            </w:r>
          </w:p>
        </w:tc>
      </w:tr>
      <w:tr>
        <w:tc>
          <w:tcPr>
            <w:tcW w:type="dxa" w:w="5141"/>
            <w:vAlign w:val="top"/>
          </w:tcPr>
          <w:p>
            <w:pPr>
              <w:spacing w:after="0"/>
            </w:pPr>
            <w:r>
              <w:rPr>
                <w:sz w:val="14"/>
              </w:rPr>
              <w:t>Civilian-harm firewall</w:t>
            </w:r>
          </w:p>
        </w:tc>
        <w:tc>
          <w:tcPr>
            <w:tcW w:type="dxa" w:w="5141"/>
            <w:vAlign w:val="top"/>
          </w:tcPr>
          <w:p>
            <w:pPr>
              <w:spacing w:after="0"/>
            </w:pPr>
            <w:r>
              <w:rPr>
                <w:sz w:val="14"/>
              </w:rPr>
              <w:t>Warning indicators may detect scarcity or hardship; they are used to mitigate harm, not exploit it.</w:t>
            </w:r>
          </w:p>
        </w:tc>
      </w:tr>
      <w:tr>
        <w:tc>
          <w:tcPr>
            <w:tcW w:type="dxa" w:w="5141"/>
            <w:vAlign w:val="top"/>
          </w:tcPr>
          <w:p>
            <w:pPr>
              <w:spacing w:after="0"/>
            </w:pPr>
            <w:r>
              <w:rPr>
                <w:sz w:val="14"/>
              </w:rPr>
              <w:t>Auditability</w:t>
            </w:r>
          </w:p>
        </w:tc>
        <w:tc>
          <w:tcPr>
            <w:tcW w:type="dxa" w:w="5141"/>
            <w:vAlign w:val="top"/>
          </w:tcPr>
          <w:p>
            <w:pPr>
              <w:spacing w:after="0"/>
            </w:pPr>
            <w:r>
              <w:rPr>
                <w:sz w:val="14"/>
              </w:rPr>
              <w:t>Major judgements record evidence, confidence, assumptions, dissent and revision history.</w:t>
            </w:r>
          </w:p>
        </w:tc>
      </w:tr>
    </w:tbl>
    <w:p>
      <w:pPr>
        <w:pStyle w:val="Heading2"/>
        <w:keepNext/>
        <w:spacing w:before="120" w:after="50"/>
      </w:pPr>
      <w:r>
        <w:t>Legal Baseline</w:t>
      </w:r>
    </w:p>
    <w:p>
      <w:r>
        <w:rPr>
          <w:b w:val="0"/>
          <w:i w:val="0"/>
        </w:rPr>
        <w:t>CSIS investigates activities suspected of constituting threats to the security of Canada and reports to government under statutory authorities. This framework does not convert ordinary commercial competition, criticism, lobbying, journalism, or democratic advocacy into a security threat. Intelligence enters the system only where an authorized body has lawfully produced and disseminated it for an appropriate government purpose.</w:t>
      </w:r>
    </w:p>
    <w:p>
      <w:r>
        <w:rPr>
          <w:b w:val="0"/>
          <w:i w:val="0"/>
        </w:rPr>
        <w:t>Government public-opinion research remains subject to federal communications rules, research standards, privacy protections and political-neutrality requirements. Legal risk is managed with Justice Canada and departmental legal services, not by analysts improvising legal conclusions.</w:t>
      </w:r>
    </w:p>
    <w:p>
      <w:r>
        <w:br w:type="page"/>
      </w:r>
    </w:p>
    <w:p>
      <w:pPr>
        <w:pStyle w:val="Heading1"/>
        <w:keepNext/>
        <w:spacing w:before="120" w:after="50"/>
      </w:pPr>
      <w:r>
        <w:t>2. Governance and Accountability</w:t>
      </w:r>
    </w:p>
    <w:p>
      <w:r>
        <w:rPr>
          <w:b w:val="0"/>
          <w:i w:val="0"/>
        </w:rPr>
        <w:t>The proposed coordinating body is the Economic Statecraft Situational Awareness Cell (ESSAC). It is an interdepartmental assessment cell, not an operational intelligence agency.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Layer</w:t>
            </w:r>
          </w:p>
        </w:tc>
        <w:tc>
          <w:tcPr>
            <w:tcW w:type="dxa" w:w="5141"/>
            <w:shd w:fill="D9E5F2"/>
          </w:tcPr>
          <w:p>
            <w:r>
              <w:rPr>
                <w:b/>
                <w:sz w:val="14"/>
              </w:rPr>
              <w:t>Function</w:t>
            </w:r>
          </w:p>
        </w:tc>
      </w:tr>
      <w:tr>
        <w:tc>
          <w:tcPr>
            <w:tcW w:type="dxa" w:w="5141"/>
            <w:vAlign w:val="top"/>
          </w:tcPr>
          <w:p>
            <w:pPr>
              <w:spacing w:after="0"/>
            </w:pPr>
            <w:r>
              <w:rPr>
                <w:sz w:val="14"/>
              </w:rPr>
              <w:t>Cabinet / PMO / designated ministers</w:t>
            </w:r>
          </w:p>
        </w:tc>
        <w:tc>
          <w:tcPr>
            <w:tcW w:type="dxa" w:w="5141"/>
            <w:vAlign w:val="top"/>
          </w:tcPr>
          <w:p>
            <w:pPr>
              <w:spacing w:after="0"/>
            </w:pPr>
            <w:r>
              <w:rPr>
                <w:sz w:val="14"/>
              </w:rPr>
              <w:t>Set policy objectives and receive strategic assessments; do not direct analytic conclusions.</w:t>
            </w:r>
          </w:p>
        </w:tc>
      </w:tr>
      <w:tr>
        <w:tc>
          <w:tcPr>
            <w:tcW w:type="dxa" w:w="5141"/>
            <w:vAlign w:val="top"/>
          </w:tcPr>
          <w:p>
            <w:pPr>
              <w:spacing w:after="0"/>
            </w:pPr>
            <w:r>
              <w:rPr>
                <w:sz w:val="14"/>
              </w:rPr>
              <w:t>Privy Council Office coordinating secretariat</w:t>
            </w:r>
          </w:p>
        </w:tc>
        <w:tc>
          <w:tcPr>
            <w:tcW w:type="dxa" w:w="5141"/>
            <w:vAlign w:val="top"/>
          </w:tcPr>
          <w:p>
            <w:pPr>
              <w:spacing w:after="0"/>
            </w:pPr>
            <w:r>
              <w:rPr>
                <w:sz w:val="14"/>
              </w:rPr>
              <w:t>Owns the integrated process, meeting rhythm, tasking discipline and escalation to senior decision-makers.</w:t>
            </w:r>
          </w:p>
        </w:tc>
      </w:tr>
      <w:tr>
        <w:tc>
          <w:tcPr>
            <w:tcW w:type="dxa" w:w="5141"/>
            <w:vAlign w:val="top"/>
          </w:tcPr>
          <w:p>
            <w:pPr>
              <w:spacing w:after="0"/>
            </w:pPr>
            <w:r>
              <w:rPr>
                <w:sz w:val="14"/>
              </w:rPr>
              <w:t>Global Affairs Canada</w:t>
            </w:r>
          </w:p>
        </w:tc>
        <w:tc>
          <w:tcPr>
            <w:tcW w:type="dxa" w:w="5141"/>
            <w:vAlign w:val="top"/>
          </w:tcPr>
          <w:p>
            <w:pPr>
              <w:spacing w:after="0"/>
            </w:pPr>
            <w:r>
              <w:rPr>
                <w:sz w:val="14"/>
              </w:rPr>
              <w:t>Diplomatic reporting, U.S. federal/state engagement, trade-policy signals, partner-country reporting.</w:t>
            </w:r>
          </w:p>
        </w:tc>
      </w:tr>
      <w:tr>
        <w:tc>
          <w:tcPr>
            <w:tcW w:type="dxa" w:w="5141"/>
            <w:vAlign w:val="top"/>
          </w:tcPr>
          <w:p>
            <w:pPr>
              <w:spacing w:after="0"/>
            </w:pPr>
            <w:r>
              <w:rPr>
                <w:sz w:val="14"/>
              </w:rPr>
              <w:t>Finance Canada</w:t>
            </w:r>
          </w:p>
        </w:tc>
        <w:tc>
          <w:tcPr>
            <w:tcW w:type="dxa" w:w="5141"/>
            <w:vAlign w:val="top"/>
          </w:tcPr>
          <w:p>
            <w:pPr>
              <w:spacing w:after="0"/>
            </w:pPr>
            <w:r>
              <w:rPr>
                <w:sz w:val="14"/>
              </w:rPr>
              <w:t>Tariff, fiscal, financial-market, support-program and macroeconomic implications.</w:t>
            </w:r>
          </w:p>
        </w:tc>
      </w:tr>
      <w:tr>
        <w:tc>
          <w:tcPr>
            <w:tcW w:type="dxa" w:w="5141"/>
            <w:vAlign w:val="top"/>
          </w:tcPr>
          <w:p>
            <w:pPr>
              <w:spacing w:after="0"/>
            </w:pPr>
            <w:r>
              <w:rPr>
                <w:sz w:val="14"/>
              </w:rPr>
              <w:t>ISED / NRCan / Agriculture / Transport / ESDC</w:t>
            </w:r>
          </w:p>
        </w:tc>
        <w:tc>
          <w:tcPr>
            <w:tcW w:type="dxa" w:w="5141"/>
            <w:vAlign w:val="top"/>
          </w:tcPr>
          <w:p>
            <w:pPr>
              <w:spacing w:after="0"/>
            </w:pPr>
            <w:r>
              <w:rPr>
                <w:sz w:val="14"/>
              </w:rPr>
              <w:t>Sector, capacity, supply-chain, labour and industrial signals.</w:t>
            </w:r>
          </w:p>
        </w:tc>
      </w:tr>
      <w:tr>
        <w:tc>
          <w:tcPr>
            <w:tcW w:type="dxa" w:w="5141"/>
            <w:vAlign w:val="top"/>
          </w:tcPr>
          <w:p>
            <w:pPr>
              <w:spacing w:after="0"/>
            </w:pPr>
            <w:r>
              <w:rPr>
                <w:sz w:val="14"/>
              </w:rPr>
              <w:t>Statistics Canada / Bank of Canada public products</w:t>
            </w:r>
          </w:p>
        </w:tc>
        <w:tc>
          <w:tcPr>
            <w:tcW w:type="dxa" w:w="5141"/>
            <w:vAlign w:val="top"/>
          </w:tcPr>
          <w:p>
            <w:pPr>
              <w:spacing w:after="0"/>
            </w:pPr>
            <w:r>
              <w:rPr>
                <w:sz w:val="14"/>
              </w:rPr>
              <w:t>Authoritative public economic data and business/economic surveys.</w:t>
            </w:r>
          </w:p>
        </w:tc>
      </w:tr>
      <w:tr>
        <w:tc>
          <w:tcPr>
            <w:tcW w:type="dxa" w:w="5141"/>
            <w:vAlign w:val="top"/>
          </w:tcPr>
          <w:p>
            <w:pPr>
              <w:spacing w:after="0"/>
            </w:pPr>
            <w:r>
              <w:rPr>
                <w:sz w:val="14"/>
              </w:rPr>
              <w:t>Justice Canada / legal services</w:t>
            </w:r>
          </w:p>
        </w:tc>
        <w:tc>
          <w:tcPr>
            <w:tcW w:type="dxa" w:w="5141"/>
            <w:vAlign w:val="top"/>
          </w:tcPr>
          <w:p>
            <w:pPr>
              <w:spacing w:after="0"/>
            </w:pPr>
            <w:r>
              <w:rPr>
                <w:sz w:val="14"/>
              </w:rPr>
              <w:t>Legal developments, litigation, authority, trade-law and constitutional risk.</w:t>
            </w:r>
          </w:p>
        </w:tc>
      </w:tr>
      <w:tr>
        <w:tc>
          <w:tcPr>
            <w:tcW w:type="dxa" w:w="5141"/>
            <w:vAlign w:val="top"/>
          </w:tcPr>
          <w:p>
            <w:pPr>
              <w:spacing w:after="0"/>
            </w:pPr>
            <w:r>
              <w:rPr>
                <w:sz w:val="14"/>
              </w:rPr>
              <w:t>Public Safety / authorized security agencies</w:t>
            </w:r>
          </w:p>
        </w:tc>
        <w:tc>
          <w:tcPr>
            <w:tcW w:type="dxa" w:w="5141"/>
            <w:vAlign w:val="top"/>
          </w:tcPr>
          <w:p>
            <w:pPr>
              <w:spacing w:after="0"/>
            </w:pPr>
            <w:r>
              <w:rPr>
                <w:sz w:val="14"/>
              </w:rPr>
              <w:t>Security/intelligence reporting within mandate and dissemination rules.</w:t>
            </w:r>
          </w:p>
        </w:tc>
      </w:tr>
      <w:tr>
        <w:tc>
          <w:tcPr>
            <w:tcW w:type="dxa" w:w="5141"/>
            <w:vAlign w:val="top"/>
          </w:tcPr>
          <w:p>
            <w:pPr>
              <w:spacing w:after="0"/>
            </w:pPr>
            <w:r>
              <w:rPr>
                <w:sz w:val="14"/>
              </w:rPr>
              <w:t>Provinces and territories</w:t>
            </w:r>
          </w:p>
        </w:tc>
        <w:tc>
          <w:tcPr>
            <w:tcW w:type="dxa" w:w="5141"/>
            <w:vAlign w:val="top"/>
          </w:tcPr>
          <w:p>
            <w:pPr>
              <w:spacing w:after="0"/>
            </w:pPr>
            <w:r>
              <w:rPr>
                <w:sz w:val="14"/>
              </w:rPr>
              <w:t>Regional economic conditions, sector intelligence, U.S. state relationships and implementation effects.</w:t>
            </w:r>
          </w:p>
        </w:tc>
      </w:tr>
      <w:tr>
        <w:tc>
          <w:tcPr>
            <w:tcW w:type="dxa" w:w="5141"/>
            <w:vAlign w:val="top"/>
          </w:tcPr>
          <w:p>
            <w:pPr>
              <w:spacing w:after="0"/>
            </w:pPr>
            <w:r>
              <w:rPr>
                <w:sz w:val="14"/>
              </w:rPr>
              <w:t>ESSAC analytic team</w:t>
            </w:r>
          </w:p>
        </w:tc>
        <w:tc>
          <w:tcPr>
            <w:tcW w:type="dxa" w:w="5141"/>
            <w:vAlign w:val="top"/>
          </w:tcPr>
          <w:p>
            <w:pPr>
              <w:spacing w:after="0"/>
            </w:pPr>
            <w:r>
              <w:rPr>
                <w:sz w:val="14"/>
              </w:rPr>
              <w:t>Integrates evidence, tests hypotheses, produces DPA and warnings; does not collect beyond participating authorities.</w:t>
            </w:r>
          </w:p>
        </w:tc>
      </w:tr>
    </w:tbl>
    <w:p>
      <w:pPr>
        <w:pStyle w:val="Heading2"/>
        <w:keepNext/>
        <w:spacing w:before="120" w:after="50"/>
      </w:pPr>
      <w:r>
        <w:t>Governance Rule</w:t>
      </w:r>
    </w:p>
    <w:p>
      <w:r>
        <w:rPr>
          <w:b w:val="0"/>
          <w:i w:val="0"/>
        </w:rPr>
        <w:t>The assessment function should be separated from advocacy. Officials negotiating with a counterpart may contribute reporting, but the team scoring de-escalation probability must be free to conclude that negotiations are deteriorating even when negotiators remain publicly optimistic.</w:t>
      </w:r>
    </w:p>
    <w:p>
      <w:r>
        <w:br w:type="page"/>
      </w:r>
    </w:p>
    <w:p>
      <w:pPr>
        <w:pStyle w:val="Heading1"/>
        <w:keepNext/>
        <w:spacing w:before="120" w:after="50"/>
      </w:pPr>
      <w:r>
        <w:t>3. Information Architecture: The Eight Streams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Stream</w:t>
            </w:r>
          </w:p>
        </w:tc>
        <w:tc>
          <w:tcPr>
            <w:tcW w:type="dxa" w:w="3427"/>
            <w:shd w:fill="D9E5F2"/>
          </w:tcPr>
          <w:p>
            <w:r>
              <w:rPr>
                <w:b/>
                <w:sz w:val="14"/>
              </w:rPr>
              <w:t>Examples</w:t>
            </w:r>
          </w:p>
        </w:tc>
        <w:tc>
          <w:tcPr>
            <w:tcW w:type="dxa" w:w="3427"/>
            <w:shd w:fill="D9E5F2"/>
          </w:tcPr>
          <w:p>
            <w:r>
              <w:rPr>
                <w:b/>
                <w:sz w:val="14"/>
              </w:rPr>
              <w:t>Primary value</w:t>
            </w:r>
          </w:p>
        </w:tc>
      </w:tr>
      <w:tr>
        <w:tc>
          <w:tcPr>
            <w:tcW w:type="dxa" w:w="3427"/>
            <w:vAlign w:val="top"/>
          </w:tcPr>
          <w:p>
            <w:pPr>
              <w:spacing w:after="0"/>
            </w:pPr>
            <w:r>
              <w:rPr>
                <w:sz w:val="14"/>
              </w:rPr>
              <w:t>1 Diplomatic reporting</w:t>
            </w:r>
          </w:p>
        </w:tc>
        <w:tc>
          <w:tcPr>
            <w:tcW w:type="dxa" w:w="3427"/>
            <w:vAlign w:val="top"/>
          </w:tcPr>
          <w:p>
            <w:pPr>
              <w:spacing w:after="0"/>
            </w:pPr>
            <w:r>
              <w:rPr>
                <w:sz w:val="14"/>
              </w:rPr>
              <w:t>Embassy/consulate reporting; formal and informal government contacts</w:t>
            </w:r>
          </w:p>
        </w:tc>
        <w:tc>
          <w:tcPr>
            <w:tcW w:type="dxa" w:w="3427"/>
            <w:vAlign w:val="top"/>
          </w:tcPr>
          <w:p>
            <w:pPr>
              <w:spacing w:after="0"/>
            </w:pPr>
            <w:r>
              <w:rPr>
                <w:sz w:val="14"/>
              </w:rPr>
              <w:t>Intent, constraints, decision-maker signals</w:t>
            </w:r>
          </w:p>
        </w:tc>
      </w:tr>
      <w:tr>
        <w:tc>
          <w:tcPr>
            <w:tcW w:type="dxa" w:w="3427"/>
            <w:vAlign w:val="top"/>
          </w:tcPr>
          <w:p>
            <w:pPr>
              <w:spacing w:after="0"/>
            </w:pPr>
            <w:r>
              <w:rPr>
                <w:sz w:val="14"/>
              </w:rPr>
              <w:t>2 Public economic intelligence</w:t>
            </w:r>
          </w:p>
        </w:tc>
        <w:tc>
          <w:tcPr>
            <w:tcW w:type="dxa" w:w="3427"/>
            <w:vAlign w:val="top"/>
          </w:tcPr>
          <w:p>
            <w:pPr>
              <w:spacing w:after="0"/>
            </w:pPr>
            <w:r>
              <w:rPr>
                <w:sz w:val="14"/>
              </w:rPr>
              <w:t>Trade, employment, inflation, production, freight, inventories, investment</w:t>
            </w:r>
          </w:p>
        </w:tc>
        <w:tc>
          <w:tcPr>
            <w:tcW w:type="dxa" w:w="3427"/>
            <w:vAlign w:val="top"/>
          </w:tcPr>
          <w:p>
            <w:pPr>
              <w:spacing w:after="0"/>
            </w:pPr>
            <w:r>
              <w:rPr>
                <w:sz w:val="14"/>
              </w:rPr>
              <w:t>Observed economic effects</w:t>
            </w:r>
          </w:p>
        </w:tc>
      </w:tr>
      <w:tr>
        <w:tc>
          <w:tcPr>
            <w:tcW w:type="dxa" w:w="3427"/>
            <w:vAlign w:val="top"/>
          </w:tcPr>
          <w:p>
            <w:pPr>
              <w:spacing w:after="0"/>
            </w:pPr>
            <w:r>
              <w:rPr>
                <w:sz w:val="14"/>
              </w:rPr>
              <w:t>3 Business consultations</w:t>
            </w:r>
          </w:p>
        </w:tc>
        <w:tc>
          <w:tcPr>
            <w:tcW w:type="dxa" w:w="3427"/>
            <w:vAlign w:val="top"/>
          </w:tcPr>
          <w:p>
            <w:pPr>
              <w:spacing w:after="0"/>
            </w:pPr>
            <w:r>
              <w:rPr>
                <w:sz w:val="14"/>
              </w:rPr>
              <w:t>Exporters, importers, SMEs, labour, industry associations, logistics providers</w:t>
            </w:r>
          </w:p>
        </w:tc>
        <w:tc>
          <w:tcPr>
            <w:tcW w:type="dxa" w:w="3427"/>
            <w:vAlign w:val="top"/>
          </w:tcPr>
          <w:p>
            <w:pPr>
              <w:spacing w:after="0"/>
            </w:pPr>
            <w:r>
              <w:rPr>
                <w:sz w:val="14"/>
              </w:rPr>
              <w:t>Operational reality and forward plans</w:t>
            </w:r>
          </w:p>
        </w:tc>
      </w:tr>
      <w:tr>
        <w:tc>
          <w:tcPr>
            <w:tcW w:type="dxa" w:w="3427"/>
            <w:vAlign w:val="top"/>
          </w:tcPr>
          <w:p>
            <w:pPr>
              <w:spacing w:after="0"/>
            </w:pPr>
            <w:r>
              <w:rPr>
                <w:sz w:val="14"/>
              </w:rPr>
              <w:t>4 Congressional/state engagement</w:t>
            </w:r>
          </w:p>
        </w:tc>
        <w:tc>
          <w:tcPr>
            <w:tcW w:type="dxa" w:w="3427"/>
            <w:vAlign w:val="top"/>
          </w:tcPr>
          <w:p>
            <w:pPr>
              <w:spacing w:after="0"/>
            </w:pPr>
            <w:r>
              <w:rPr>
                <w:sz w:val="14"/>
              </w:rPr>
              <w:t>Committees, staff, governors, state agencies, legislators</w:t>
            </w:r>
          </w:p>
        </w:tc>
        <w:tc>
          <w:tcPr>
            <w:tcW w:type="dxa" w:w="3427"/>
            <w:vAlign w:val="top"/>
          </w:tcPr>
          <w:p>
            <w:pPr>
              <w:spacing w:after="0"/>
            </w:pPr>
            <w:r>
              <w:rPr>
                <w:sz w:val="14"/>
              </w:rPr>
              <w:t>Institutional movement and regional pressure</w:t>
            </w:r>
          </w:p>
        </w:tc>
      </w:tr>
      <w:tr>
        <w:tc>
          <w:tcPr>
            <w:tcW w:type="dxa" w:w="3427"/>
            <w:vAlign w:val="top"/>
          </w:tcPr>
          <w:p>
            <w:pPr>
              <w:spacing w:after="0"/>
            </w:pPr>
            <w:r>
              <w:rPr>
                <w:sz w:val="14"/>
              </w:rPr>
              <w:t>5 Market indicators</w:t>
            </w:r>
          </w:p>
        </w:tc>
        <w:tc>
          <w:tcPr>
            <w:tcW w:type="dxa" w:w="3427"/>
            <w:vAlign w:val="top"/>
          </w:tcPr>
          <w:p>
            <w:pPr>
              <w:spacing w:after="0"/>
            </w:pPr>
            <w:r>
              <w:rPr>
                <w:sz w:val="14"/>
              </w:rPr>
              <w:t>FX, equities, bonds, commodities, freight, credit, futures</w:t>
            </w:r>
          </w:p>
        </w:tc>
        <w:tc>
          <w:tcPr>
            <w:tcW w:type="dxa" w:w="3427"/>
            <w:vAlign w:val="top"/>
          </w:tcPr>
          <w:p>
            <w:pPr>
              <w:spacing w:after="0"/>
            </w:pPr>
            <w:r>
              <w:rPr>
                <w:sz w:val="14"/>
              </w:rPr>
              <w:t>Fast-moving stress and expectations</w:t>
            </w:r>
          </w:p>
        </w:tc>
      </w:tr>
      <w:tr>
        <w:tc>
          <w:tcPr>
            <w:tcW w:type="dxa" w:w="3427"/>
            <w:vAlign w:val="top"/>
          </w:tcPr>
          <w:p>
            <w:pPr>
              <w:spacing w:after="0"/>
            </w:pPr>
            <w:r>
              <w:rPr>
                <w:sz w:val="14"/>
              </w:rPr>
              <w:t>6 Legal/regulatory developments</w:t>
            </w:r>
          </w:p>
        </w:tc>
        <w:tc>
          <w:tcPr>
            <w:tcW w:type="dxa" w:w="3427"/>
            <w:vAlign w:val="top"/>
          </w:tcPr>
          <w:p>
            <w:pPr>
              <w:spacing w:after="0"/>
            </w:pPr>
            <w:r>
              <w:rPr>
                <w:sz w:val="14"/>
              </w:rPr>
              <w:t>Court cases, executive authorities, customs guidance, statutes, disputes</w:t>
            </w:r>
          </w:p>
        </w:tc>
        <w:tc>
          <w:tcPr>
            <w:tcW w:type="dxa" w:w="3427"/>
            <w:vAlign w:val="top"/>
          </w:tcPr>
          <w:p>
            <w:pPr>
              <w:spacing w:after="0"/>
            </w:pPr>
            <w:r>
              <w:rPr>
                <w:sz w:val="14"/>
              </w:rPr>
              <w:t>Feasible policy space and constraints</w:t>
            </w:r>
          </w:p>
        </w:tc>
      </w:tr>
      <w:tr>
        <w:tc>
          <w:tcPr>
            <w:tcW w:type="dxa" w:w="3427"/>
            <w:vAlign w:val="top"/>
          </w:tcPr>
          <w:p>
            <w:pPr>
              <w:spacing w:after="0"/>
            </w:pPr>
            <w:r>
              <w:rPr>
                <w:sz w:val="14"/>
              </w:rPr>
              <w:t>7 Media/public-opinion analysis</w:t>
            </w:r>
          </w:p>
        </w:tc>
        <w:tc>
          <w:tcPr>
            <w:tcW w:type="dxa" w:w="3427"/>
            <w:vAlign w:val="top"/>
          </w:tcPr>
          <w:p>
            <w:pPr>
              <w:spacing w:after="0"/>
            </w:pPr>
            <w:r>
              <w:rPr>
                <w:sz w:val="14"/>
              </w:rPr>
              <w:t>Transparent media monitoring; compliant POR; public surveys</w:t>
            </w:r>
          </w:p>
        </w:tc>
        <w:tc>
          <w:tcPr>
            <w:tcW w:type="dxa" w:w="3427"/>
            <w:vAlign w:val="top"/>
          </w:tcPr>
          <w:p>
            <w:pPr>
              <w:spacing w:after="0"/>
            </w:pPr>
            <w:r>
              <w:rPr>
                <w:sz w:val="14"/>
              </w:rPr>
              <w:t>Narrative, salience, legitimacy, public tolerance</w:t>
            </w:r>
          </w:p>
        </w:tc>
      </w:tr>
      <w:tr>
        <w:tc>
          <w:tcPr>
            <w:tcW w:type="dxa" w:w="3427"/>
            <w:vAlign w:val="top"/>
          </w:tcPr>
          <w:p>
            <w:pPr>
              <w:spacing w:after="0"/>
            </w:pPr>
            <w:r>
              <w:rPr>
                <w:sz w:val="14"/>
              </w:rPr>
              <w:t>8 Authorized intelligence</w:t>
            </w:r>
          </w:p>
        </w:tc>
        <w:tc>
          <w:tcPr>
            <w:tcW w:type="dxa" w:w="3427"/>
            <w:vAlign w:val="top"/>
          </w:tcPr>
          <w:p>
            <w:pPr>
              <w:spacing w:after="0"/>
            </w:pPr>
            <w:r>
              <w:rPr>
                <w:sz w:val="14"/>
              </w:rPr>
              <w:t>Lawfully collected/disseminated security intelligence</w:t>
            </w:r>
          </w:p>
        </w:tc>
        <w:tc>
          <w:tcPr>
            <w:tcW w:type="dxa" w:w="3427"/>
            <w:vAlign w:val="top"/>
          </w:tcPr>
          <w:p>
            <w:pPr>
              <w:spacing w:after="0"/>
            </w:pPr>
            <w:r>
              <w:rPr>
                <w:sz w:val="14"/>
              </w:rPr>
              <w:t>Foreign interference, covert state activity, threat context where relevant</w:t>
            </w:r>
          </w:p>
        </w:tc>
      </w:tr>
    </w:tbl>
    <w:p>
      <w:r>
        <w:rPr>
          <w:b w:val="0"/>
          <w:i w:val="0"/>
        </w:rPr>
        <w:t>Streams are deliberately heterogeneous. A market move is not treated as equivalent to a diplomatic message; a news story is not equivalent to a statute; an anonymous business concern is not equivalent to verified customs data. Integration happens after provenance and reliability are recorded.</w:t>
      </w:r>
    </w:p>
    <w:p>
      <w:pPr>
        <w:pStyle w:val="Heading2"/>
        <w:keepNext/>
        <w:spacing w:before="120" w:after="50"/>
      </w:pPr>
      <w:r>
        <w:t>Source-Tiering Rule</w:t>
      </w:r>
    </w:p>
    <w:p>
      <w:r>
        <w:rPr>
          <w:b w:val="0"/>
          <w:i w:val="0"/>
        </w:rPr>
        <w:t>Every material item receives a source type, date, owner, reliability note, sensitivity marking, relevance to a named hypothesis, and corroboration status. The system should make it difficult to paste a dramatic headline into a briefing deck without showing what kind of evidence it actually is.</w:t>
      </w:r>
    </w:p>
    <w:p>
      <w:r>
        <w:br w:type="page"/>
      </w:r>
    </w:p>
    <w:p>
      <w:pPr>
        <w:pStyle w:val="Heading1"/>
        <w:keepNext/>
        <w:spacing w:before="120" w:after="50"/>
      </w:pPr>
      <w:r>
        <w:t>4. Diplomatic Reporting</w:t>
      </w:r>
    </w:p>
    <w:p>
      <w:pPr>
        <w:pStyle w:val="Heading2"/>
        <w:keepNext/>
        <w:spacing w:before="120" w:after="50"/>
      </w:pPr>
      <w:r>
        <w:t>What belongs</w:t>
      </w:r>
    </w:p>
    <w:p>
      <w:r>
        <w:rPr>
          <w:b w:val="0"/>
          <w:i w:val="0"/>
        </w:rPr>
        <w:t>Formal diplomatic exchanges; ambassador/minister contacts; embassy and consulate reporting; readouts; demarches; counterpart requests; state-level contacts; partner-government assessments.</w:t>
      </w:r>
    </w:p>
    <w:p>
      <w:pPr>
        <w:pStyle w:val="Heading2"/>
        <w:keepNext/>
        <w:spacing w:before="120" w:after="50"/>
      </w:pPr>
      <w:r>
        <w:t>What it can reveal</w:t>
      </w:r>
    </w:p>
    <w:p>
      <w:r>
        <w:rPr>
          <w:b w:val="0"/>
          <w:i w:val="0"/>
        </w:rPr>
        <w:t>Decision-maker intent, internal constraints, sequencing preferences, face-saving requirements, seriousness of offers, and whether public rhetoric differs from private negotiating posture.</w:t>
      </w:r>
    </w:p>
    <w:p>
      <w:pPr>
        <w:pStyle w:val="Heading2"/>
        <w:keepNext/>
        <w:spacing w:before="120" w:after="50"/>
      </w:pPr>
      <w:r>
        <w:t>What it cannot prove</w:t>
      </w:r>
    </w:p>
    <w:p>
      <w:r>
        <w:rPr>
          <w:b w:val="0"/>
          <w:i w:val="0"/>
        </w:rPr>
        <w:t>A private assurance is not implementation. One official may not represent the whole administration. Access can create selection bias.</w:t>
      </w:r>
    </w:p>
    <w:p>
      <w:pPr>
        <w:pStyle w:val="Heading2"/>
        <w:keepNext/>
        <w:spacing w:before="120" w:after="50"/>
      </w:pPr>
      <w:r>
        <w:t>Discipline</w:t>
      </w:r>
    </w:p>
    <w:p>
      <w:r>
        <w:rPr>
          <w:b w:val="0"/>
          <w:i w:val="0"/>
        </w:rPr>
        <w:t>Record who spoke, in what capacity, whether the statement was first-hand, whether it was authorized, and what observable action should follow if the signal is genuine.</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5. Public Economic Intelligence</w:t>
      </w:r>
    </w:p>
    <w:p>
      <w:pPr>
        <w:pStyle w:val="Heading2"/>
        <w:keepNext/>
        <w:spacing w:before="120" w:after="50"/>
      </w:pPr>
      <w:r>
        <w:t>Core sources</w:t>
      </w:r>
    </w:p>
    <w:p>
      <w:r>
        <w:rPr>
          <w:b w:val="0"/>
          <w:i w:val="0"/>
        </w:rPr>
        <w:t>Statistics Canada trade tables, labour and price data; Bank of Canada surveys and monetary reports; U.S. public statistics; customs notices; corporate filings; port/freight data; commodity and energy agencies.</w:t>
      </w:r>
    </w:p>
    <w:p>
      <w:pPr>
        <w:pStyle w:val="Heading2"/>
        <w:keepNext/>
        <w:spacing w:before="120" w:after="50"/>
      </w:pPr>
      <w:r>
        <w:t>Current capability</w:t>
      </w:r>
    </w:p>
    <w:p>
      <w:r>
        <w:rPr>
          <w:b w:val="0"/>
          <w:i w:val="0"/>
        </w:rPr>
        <w:t>Statistics Canada publishes monthly merchandise trade by partner, commodity, industry, origin/destination and mode. These permit rapid measurement of diversion, substitution and sector exposure.</w:t>
      </w:r>
    </w:p>
    <w:p>
      <w:pPr>
        <w:pStyle w:val="Heading2"/>
        <w:keepNext/>
        <w:spacing w:before="120" w:after="50"/>
      </w:pPr>
      <w:r>
        <w:t>Use</w:t>
      </w:r>
    </w:p>
    <w:p>
      <w:r>
        <w:rPr>
          <w:b w:val="0"/>
          <w:i w:val="0"/>
        </w:rPr>
        <w:t>Separate rhetoric from realized effects. Track whether tariffs are changing quantities, prices, inventories, investment, employment and market shares.</w:t>
      </w:r>
    </w:p>
    <w:p>
      <w:pPr>
        <w:pStyle w:val="Heading2"/>
        <w:keepNext/>
        <w:spacing w:before="120" w:after="50"/>
      </w:pPr>
      <w:r>
        <w:t>Discipline</w:t>
      </w:r>
    </w:p>
    <w:p>
      <w:r>
        <w:rPr>
          <w:b w:val="0"/>
          <w:i w:val="0"/>
        </w:rPr>
        <w:t>Use revisions and real-time tables where available. Distinguish nominal value changes from price and volume changes. Avoid claiming causation from one monthly observation.</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6. Business and Labour Consultations</w:t>
      </w:r>
    </w:p>
    <w:p>
      <w:pPr>
        <w:pStyle w:val="Heading2"/>
        <w:keepNext/>
        <w:spacing w:before="120" w:after="50"/>
      </w:pPr>
      <w:r>
        <w:t>Participants</w:t>
      </w:r>
    </w:p>
    <w:p>
      <w:r>
        <w:rPr>
          <w:b w:val="0"/>
          <w:i w:val="0"/>
        </w:rPr>
        <w:t>Large exporters/importers, SMEs, sector associations, unions, ports, railways, trucking, energy operators, banks, insurers, retailers, Indigenous economic organizations and regional development actors.</w:t>
      </w:r>
    </w:p>
    <w:p>
      <w:pPr>
        <w:pStyle w:val="Heading2"/>
        <w:keepNext/>
        <w:spacing w:before="120" w:after="50"/>
      </w:pPr>
      <w:r>
        <w:t>Questions</w:t>
      </w:r>
    </w:p>
    <w:p>
      <w:r>
        <w:rPr>
          <w:b w:val="0"/>
          <w:i w:val="0"/>
        </w:rPr>
        <w:t>Orders cancelled? Contracts repriced? Customs delays? Inventory changes? Supplier substitution? Layoffs? Investment postponed? U.S. customers asking for workarounds? Settlement signals from counterpart firms?</w:t>
      </w:r>
    </w:p>
    <w:p>
      <w:pPr>
        <w:pStyle w:val="Heading2"/>
        <w:keepNext/>
        <w:spacing w:before="120" w:after="50"/>
      </w:pPr>
      <w:r>
        <w:t>Safeguards</w:t>
      </w:r>
    </w:p>
    <w:p>
      <w:r>
        <w:rPr>
          <w:b w:val="0"/>
          <w:i w:val="0"/>
        </w:rPr>
        <w:t>Voluntary participation; clear purpose; commercial confidentiality; competition-law awareness; no demand for privileged or unlawfully obtained information.</w:t>
      </w:r>
    </w:p>
    <w:p>
      <w:pPr>
        <w:pStyle w:val="Heading2"/>
        <w:keepNext/>
        <w:spacing w:before="120" w:after="50"/>
      </w:pPr>
      <w:r>
        <w:t>Bias control</w:t>
      </w:r>
    </w:p>
    <w:p>
      <w:r>
        <w:rPr>
          <w:b w:val="0"/>
          <w:i w:val="0"/>
        </w:rPr>
        <w:t>Large firms have louder voices. Use structured sampling and regional/SME channels. Compare claims against observable data.</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7. Congressional and State Engagement</w:t>
      </w:r>
    </w:p>
    <w:p>
      <w:pPr>
        <w:pStyle w:val="Heading2"/>
        <w:keepNext/>
        <w:spacing w:before="120" w:after="50"/>
      </w:pPr>
      <w:r>
        <w:t>Purpose</w:t>
      </w:r>
    </w:p>
    <w:p>
      <w:r>
        <w:rPr>
          <w:b w:val="0"/>
          <w:i w:val="0"/>
        </w:rPr>
        <w:t>Understand legislative capacity, committee interest, state-level economic effects, bipartisan coalitions, and whether institutional actors are moving toward escalation, restraint or negotiated resolution.</w:t>
      </w:r>
    </w:p>
    <w:p>
      <w:pPr>
        <w:pStyle w:val="Heading2"/>
        <w:keepNext/>
        <w:spacing w:before="120" w:after="50"/>
      </w:pPr>
      <w:r>
        <w:t>Permitted activity</w:t>
      </w:r>
    </w:p>
    <w:p>
      <w:r>
        <w:rPr>
          <w:b w:val="0"/>
          <w:i w:val="0"/>
        </w:rPr>
        <w:t>Normal transparent diplomacy: briefings, meetings, factual economic material, committee/staff engagement, governor/state-agency contacts, consular outreach.</w:t>
      </w:r>
    </w:p>
    <w:p>
      <w:pPr>
        <w:pStyle w:val="Heading2"/>
        <w:keepNext/>
        <w:spacing w:before="120" w:after="50"/>
      </w:pPr>
      <w:r>
        <w:t>Firewall</w:t>
      </w:r>
    </w:p>
    <w:p>
      <w:r>
        <w:rPr>
          <w:b w:val="0"/>
          <w:i w:val="0"/>
        </w:rPr>
        <w:t>No candidate advocacy, voter targeting, campaign coordination, covert lobbying fronts, psychographic targeting or direction of U.S. electoral activity.</w:t>
      </w:r>
    </w:p>
    <w:p>
      <w:pPr>
        <w:pStyle w:val="Heading2"/>
        <w:keepNext/>
        <w:spacing w:before="120" w:after="50"/>
      </w:pPr>
      <w:r>
        <w:t>Analytic caution</w:t>
      </w:r>
    </w:p>
    <w:p>
      <w:r>
        <w:rPr>
          <w:b w:val="0"/>
          <w:i w:val="0"/>
        </w:rPr>
        <w:t>A member's public criticism of tariffs is evidence of position, not proof of legislative power or administration movement. Track committees, votes, letters, bills, hearings and cross-party breadth.</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8. Market Indicators</w:t>
      </w:r>
    </w:p>
    <w:p>
      <w:pPr>
        <w:pStyle w:val="Heading2"/>
        <w:keepNext/>
        <w:spacing w:before="120" w:after="50"/>
      </w:pPr>
      <w:r>
        <w:t>Fast indicators</w:t>
      </w:r>
    </w:p>
    <w:p>
      <w:r>
        <w:rPr>
          <w:b w:val="0"/>
          <w:i w:val="0"/>
        </w:rPr>
        <w:t>CAD/USD, sector equities, credit spreads, commodity futures, freight rates, energy spreads, bond yields, volatility, customs brokerage activity, insurance pricing.</w:t>
      </w:r>
    </w:p>
    <w:p>
      <w:pPr>
        <w:pStyle w:val="Heading2"/>
        <w:keepNext/>
        <w:spacing w:before="120" w:after="50"/>
      </w:pPr>
      <w:r>
        <w:t>Value</w:t>
      </w:r>
    </w:p>
    <w:p>
      <w:r>
        <w:rPr>
          <w:b w:val="0"/>
          <w:i w:val="0"/>
        </w:rPr>
        <w:t>Markets can react within minutes and expose expectations before monthly statistics arrive.</w:t>
      </w:r>
    </w:p>
    <w:p>
      <w:pPr>
        <w:pStyle w:val="Heading2"/>
        <w:keepNext/>
        <w:spacing w:before="120" w:after="50"/>
      </w:pPr>
      <w:r>
        <w:t>Limit</w:t>
      </w:r>
    </w:p>
    <w:p>
      <w:r>
        <w:rPr>
          <w:b w:val="0"/>
          <w:i w:val="0"/>
        </w:rPr>
        <w:t>Markets price many things at once. A move may reflect monetary policy, war, weather, earnings or global risk rather than Canada-U.S. trade.</w:t>
      </w:r>
    </w:p>
    <w:p>
      <w:pPr>
        <w:pStyle w:val="Heading2"/>
        <w:keepNext/>
        <w:spacing w:before="120" w:after="50"/>
      </w:pPr>
      <w:r>
        <w:t>Rule</w:t>
      </w:r>
    </w:p>
    <w:p>
      <w:r>
        <w:rPr>
          <w:b w:val="0"/>
          <w:i w:val="0"/>
        </w:rPr>
        <w:t>No escalation or settlement recommendation should be based on a single market move. Use event studies, peer comparisons and corroborating evidence.</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9. Legal and Regulatory Developments</w:t>
      </w:r>
    </w:p>
    <w:p>
      <w:pPr>
        <w:pStyle w:val="Heading2"/>
        <w:keepNext/>
        <w:spacing w:before="120" w:after="50"/>
      </w:pPr>
      <w:r>
        <w:t>Inputs</w:t>
      </w:r>
    </w:p>
    <w:p>
      <w:r>
        <w:rPr>
          <w:b w:val="0"/>
          <w:i w:val="0"/>
        </w:rPr>
        <w:t>Court judgments, filed cases, executive orders, customs notices, tariff schedules, regulations, congressional statutes, CUSMA/WTO proceedings, Canadian orders and remission instruments.</w:t>
      </w:r>
    </w:p>
    <w:p>
      <w:pPr>
        <w:pStyle w:val="Heading2"/>
        <w:keepNext/>
        <w:spacing w:before="120" w:after="50"/>
      </w:pPr>
      <w:r>
        <w:t>Role</w:t>
      </w:r>
    </w:p>
    <w:p>
      <w:r>
        <w:rPr>
          <w:b w:val="0"/>
          <w:i w:val="0"/>
        </w:rPr>
        <w:t>Determine what has actually changed in law, what is merely proposed, and which off-ramps or remedies are legally available.</w:t>
      </w:r>
    </w:p>
    <w:p>
      <w:pPr>
        <w:pStyle w:val="Heading2"/>
        <w:keepNext/>
        <w:spacing w:before="120" w:after="50"/>
      </w:pPr>
      <w:r>
        <w:t>Justice function</w:t>
      </w:r>
    </w:p>
    <w:p>
      <w:r>
        <w:rPr>
          <w:b w:val="0"/>
          <w:i w:val="0"/>
        </w:rPr>
        <w:t>Justice Canada and departmental counsel assess and communicate legal risk; the analytic cell tracks implications but does not substitute its judgement for counsel.</w:t>
      </w:r>
    </w:p>
    <w:p>
      <w:pPr>
        <w:pStyle w:val="Heading2"/>
        <w:keepNext/>
        <w:spacing w:before="120" w:after="50"/>
      </w:pPr>
      <w:r>
        <w:t>Warning value</w:t>
      </w:r>
    </w:p>
    <w:p>
      <w:r>
        <w:rPr>
          <w:b w:val="0"/>
          <w:i w:val="0"/>
        </w:rPr>
        <w:t>A new authority, adverse ruling, injunction, statutory deadline or implementation notice can sharply change escalation probability even before economic effects appear.</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10. Media and Public-Opinion Analysis</w:t>
      </w:r>
    </w:p>
    <w:p>
      <w:pPr>
        <w:pStyle w:val="Heading2"/>
        <w:keepNext/>
        <w:spacing w:before="120" w:after="50"/>
      </w:pPr>
      <w:r>
        <w:t>Media</w:t>
      </w:r>
    </w:p>
    <w:p>
      <w:r>
        <w:rPr>
          <w:b w:val="0"/>
          <w:i w:val="0"/>
        </w:rPr>
        <w:t>Track official statements, major outlets, regional press, trade press and public transcripts. Distinguish reporting, commentary, anonymous sourcing and social-media amplification.</w:t>
      </w:r>
    </w:p>
    <w:p>
      <w:pPr>
        <w:pStyle w:val="Heading2"/>
        <w:keepNext/>
        <w:spacing w:before="120" w:after="50"/>
      </w:pPr>
      <w:r>
        <w:t>Public opinion</w:t>
      </w:r>
    </w:p>
    <w:p>
      <w:r>
        <w:rPr>
          <w:b w:val="0"/>
          <w:i w:val="0"/>
        </w:rPr>
        <w:t>Use reputable public polling and Government of Canada POR only under applicable rules. Record methodology, field dates, sample, question wording and uncertainty.</w:t>
      </w:r>
    </w:p>
    <w:p>
      <w:pPr>
        <w:pStyle w:val="Heading2"/>
        <w:keepNext/>
        <w:spacing w:before="120" w:after="50"/>
      </w:pPr>
      <w:r>
        <w:t>Purpose</w:t>
      </w:r>
    </w:p>
    <w:p>
      <w:r>
        <w:rPr>
          <w:b w:val="0"/>
          <w:i w:val="0"/>
        </w:rPr>
        <w:t>Measure salience, perceived fairness, tolerance for costs, trust, and whether constituencies are becoming more open to settlement or more supportive of escalation.</w:t>
      </w:r>
    </w:p>
    <w:p>
      <w:pPr>
        <w:pStyle w:val="Heading2"/>
        <w:keepNext/>
        <w:spacing w:before="120" w:after="50"/>
      </w:pPr>
      <w:r>
        <w:t>Firewall</w:t>
      </w:r>
    </w:p>
    <w:p>
      <w:r>
        <w:rPr>
          <w:b w:val="0"/>
          <w:i w:val="0"/>
        </w:rPr>
        <w:t>No surveillance of individuals for political beliefs; no dossiers on ordinary citizens; no microtargeting. Aggregate democratic sentiment is a policy context, not an intelligence target.</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11. Authorized Intelligence Interface</w:t>
      </w:r>
    </w:p>
    <w:p>
      <w:pPr>
        <w:pStyle w:val="Heading2"/>
        <w:keepNext/>
        <w:spacing w:before="120" w:after="50"/>
      </w:pPr>
      <w:r>
        <w:t>Principle</w:t>
      </w:r>
    </w:p>
    <w:p>
      <w:r>
        <w:rPr>
          <w:b w:val="0"/>
          <w:i w:val="0"/>
        </w:rPr>
        <w:t>Security intelligence is an input only when relevant and lawfully disseminated. ESSAC neither tasks clandestine collection outside authority nor creates parallel collection capabilities.</w:t>
      </w:r>
    </w:p>
    <w:p>
      <w:pPr>
        <w:pStyle w:val="Heading2"/>
        <w:keepNext/>
        <w:spacing w:before="120" w:after="50"/>
      </w:pPr>
      <w:r>
        <w:t>Potential relevance</w:t>
      </w:r>
    </w:p>
    <w:p>
      <w:r>
        <w:rPr>
          <w:b w:val="0"/>
          <w:i w:val="0"/>
        </w:rPr>
        <w:t>Foreign interference, espionage, covert influence, cyber activity affecting critical infrastructure, or other national-security threats that alter the economic-statecraft environment.</w:t>
      </w:r>
    </w:p>
    <w:p>
      <w:pPr>
        <w:pStyle w:val="Heading2"/>
        <w:keepNext/>
        <w:spacing w:before="120" w:after="50"/>
      </w:pPr>
      <w:r>
        <w:t>Compartmentation</w:t>
      </w:r>
    </w:p>
    <w:p>
      <w:r>
        <w:rPr>
          <w:b w:val="0"/>
          <w:i w:val="0"/>
        </w:rPr>
        <w:t>Where possible, provide tear-line or sanitized implications to the broader team while preserving sources, methods and caveats.</w:t>
      </w:r>
    </w:p>
    <w:p>
      <w:pPr>
        <w:pStyle w:val="Heading2"/>
        <w:keepNext/>
        <w:spacing w:before="120" w:after="50"/>
      </w:pPr>
      <w:r>
        <w:t>Red line</w:t>
      </w:r>
    </w:p>
    <w:p>
      <w:r>
        <w:rPr>
          <w:b w:val="0"/>
          <w:i w:val="0"/>
        </w:rPr>
        <w:t>Commercial advantage alone does not justify security-intelligence collection. Ordinary U.S. political, business and civil-society activity remains outside a security-threat frame absent lawful grounds.</w:t>
      </w:r>
    </w:p>
    <w:p>
      <w:pPr>
        <w:pStyle w:val="Heading2"/>
        <w:keepNext/>
        <w:spacing w:before="120" w:after="50"/>
      </w:pPr>
      <w:r>
        <w:t>Required Metadata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Required entry</w:t>
            </w:r>
          </w:p>
        </w:tc>
      </w:tr>
      <w:tr>
        <w:tc>
          <w:tcPr>
            <w:tcW w:type="dxa" w:w="5141"/>
            <w:vAlign w:val="top"/>
          </w:tcPr>
          <w:p>
            <w:pPr>
              <w:spacing w:after="0"/>
            </w:pPr>
            <w:r>
              <w:rPr>
                <w:sz w:val="15"/>
              </w:rPr>
              <w:t>Source / owner</w:t>
            </w:r>
          </w:p>
        </w:tc>
        <w:tc>
          <w:tcPr>
            <w:tcW w:type="dxa" w:w="5141"/>
            <w:vAlign w:val="top"/>
          </w:tcPr>
          <w:p>
            <w:pPr>
              <w:spacing w:after="0"/>
            </w:pPr>
            <w:r>
              <w:rPr>
                <w:sz w:val="15"/>
              </w:rPr>
              <w:t>Named organization or public source</w:t>
            </w:r>
          </w:p>
        </w:tc>
      </w:tr>
      <w:tr>
        <w:tc>
          <w:tcPr>
            <w:tcW w:type="dxa" w:w="5141"/>
            <w:vAlign w:val="top"/>
          </w:tcPr>
          <w:p>
            <w:pPr>
              <w:spacing w:after="0"/>
            </w:pPr>
            <w:r>
              <w:rPr>
                <w:sz w:val="15"/>
              </w:rPr>
              <w:t>Date / freshness</w:t>
            </w:r>
          </w:p>
        </w:tc>
        <w:tc>
          <w:tcPr>
            <w:tcW w:type="dxa" w:w="5141"/>
            <w:vAlign w:val="top"/>
          </w:tcPr>
          <w:p>
            <w:pPr>
              <w:spacing w:after="0"/>
            </w:pPr>
            <w:r>
              <w:rPr>
                <w:sz w:val="15"/>
              </w:rPr>
              <w:t>Observation date and publication/reporting date</w:t>
            </w:r>
          </w:p>
        </w:tc>
      </w:tr>
      <w:tr>
        <w:tc>
          <w:tcPr>
            <w:tcW w:type="dxa" w:w="5141"/>
            <w:vAlign w:val="top"/>
          </w:tcPr>
          <w:p>
            <w:pPr>
              <w:spacing w:after="0"/>
            </w:pPr>
            <w:r>
              <w:rPr>
                <w:sz w:val="15"/>
              </w:rPr>
              <w:t>Reliability</w:t>
            </w:r>
          </w:p>
        </w:tc>
        <w:tc>
          <w:tcPr>
            <w:tcW w:type="dxa" w:w="5141"/>
            <w:vAlign w:val="top"/>
          </w:tcPr>
          <w:p>
            <w:pPr>
              <w:spacing w:after="0"/>
            </w:pPr>
            <w:r>
              <w:rPr>
                <w:sz w:val="15"/>
              </w:rPr>
              <w:t>High / Medium / Low / Unknown, with reason</w:t>
            </w:r>
          </w:p>
        </w:tc>
      </w:tr>
      <w:tr>
        <w:tc>
          <w:tcPr>
            <w:tcW w:type="dxa" w:w="5141"/>
            <w:vAlign w:val="top"/>
          </w:tcPr>
          <w:p>
            <w:pPr>
              <w:spacing w:after="0"/>
            </w:pPr>
            <w:r>
              <w:rPr>
                <w:sz w:val="15"/>
              </w:rPr>
              <w:t>Sensitivity</w:t>
            </w:r>
          </w:p>
        </w:tc>
        <w:tc>
          <w:tcPr>
            <w:tcW w:type="dxa" w:w="5141"/>
            <w:vAlign w:val="top"/>
          </w:tcPr>
          <w:p>
            <w:pPr>
              <w:spacing w:after="0"/>
            </w:pPr>
            <w:r>
              <w:rPr>
                <w:sz w:val="15"/>
              </w:rPr>
              <w:t>Public / Protected / Classified / Privileged / Commercial confidential</w:t>
            </w:r>
          </w:p>
        </w:tc>
      </w:tr>
      <w:tr>
        <w:tc>
          <w:tcPr>
            <w:tcW w:type="dxa" w:w="5141"/>
            <w:vAlign w:val="top"/>
          </w:tcPr>
          <w:p>
            <w:pPr>
              <w:spacing w:after="0"/>
            </w:pPr>
            <w:r>
              <w:rPr>
                <w:sz w:val="15"/>
              </w:rPr>
              <w:t>Hypothesis link</w:t>
            </w:r>
          </w:p>
        </w:tc>
        <w:tc>
          <w:tcPr>
            <w:tcW w:type="dxa" w:w="5141"/>
            <w:vAlign w:val="top"/>
          </w:tcPr>
          <w:p>
            <w:pPr>
              <w:spacing w:after="0"/>
            </w:pPr>
            <w:r>
              <w:rPr>
                <w:sz w:val="15"/>
              </w:rPr>
              <w:t>Which DPA or warning question this bears on</w:t>
            </w:r>
          </w:p>
        </w:tc>
      </w:tr>
      <w:tr>
        <w:tc>
          <w:tcPr>
            <w:tcW w:type="dxa" w:w="5141"/>
            <w:vAlign w:val="top"/>
          </w:tcPr>
          <w:p>
            <w:pPr>
              <w:spacing w:after="0"/>
            </w:pPr>
            <w:r>
              <w:rPr>
                <w:sz w:val="15"/>
              </w:rPr>
              <w:t>Corroboration</w:t>
            </w:r>
          </w:p>
        </w:tc>
        <w:tc>
          <w:tcPr>
            <w:tcW w:type="dxa" w:w="5141"/>
            <w:vAlign w:val="top"/>
          </w:tcPr>
          <w:p>
            <w:pPr>
              <w:spacing w:after="0"/>
            </w:pPr>
            <w:r>
              <w:rPr>
                <w:sz w:val="15"/>
              </w:rPr>
              <w:t>Independent support, contradiction, or uncorroborated</w:t>
            </w:r>
          </w:p>
        </w:tc>
      </w:tr>
      <w:tr>
        <w:tc>
          <w:tcPr>
            <w:tcW w:type="dxa" w:w="5141"/>
            <w:vAlign w:val="top"/>
          </w:tcPr>
          <w:p>
            <w:pPr>
              <w:spacing w:after="0"/>
            </w:pPr>
            <w:r>
              <w:rPr>
                <w:sz w:val="15"/>
              </w:rPr>
              <w:t>Actionability</w:t>
            </w:r>
          </w:p>
        </w:tc>
        <w:tc>
          <w:tcPr>
            <w:tcW w:type="dxa" w:w="5141"/>
            <w:vAlign w:val="top"/>
          </w:tcPr>
          <w:p>
            <w:pPr>
              <w:spacing w:after="0"/>
            </w:pPr>
            <w:r>
              <w:rPr>
                <w:sz w:val="15"/>
              </w:rPr>
              <w:t>What decision could this change?</w:t>
            </w:r>
          </w:p>
        </w:tc>
      </w:tr>
    </w:tbl>
    <w:p>
      <w:r>
        <w:br w:type="page"/>
      </w:r>
    </w:p>
    <w:p>
      <w:pPr>
        <w:pStyle w:val="Heading1"/>
        <w:keepNext/>
        <w:spacing w:before="120" w:after="50"/>
      </w:pPr>
      <w:r>
        <w:t>12. The Common Operating Picture</w:t>
      </w:r>
    </w:p>
    <w:p>
      <w:r>
        <w:rPr>
          <w:b w:val="0"/>
          <w:i w:val="0"/>
        </w:rPr>
        <w:t>ESSAC should maintain one common operating picture with separate views for strategic, sectoral, regional and legal questions. The goal is not to drown ministers in dashboards. It is to ensure that the same underlying evidence supports every briefing.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Panel</w:t>
            </w:r>
          </w:p>
        </w:tc>
        <w:tc>
          <w:tcPr>
            <w:tcW w:type="dxa" w:w="5141"/>
            <w:shd w:fill="D9E5F2"/>
          </w:tcPr>
          <w:p>
            <w:r>
              <w:rPr>
                <w:b/>
                <w:sz w:val="14"/>
              </w:rPr>
              <w:t>Core contents</w:t>
            </w:r>
          </w:p>
        </w:tc>
      </w:tr>
      <w:tr>
        <w:tc>
          <w:tcPr>
            <w:tcW w:type="dxa" w:w="5141"/>
            <w:vAlign w:val="top"/>
          </w:tcPr>
          <w:p>
            <w:pPr>
              <w:spacing w:after="0"/>
            </w:pPr>
            <w:r>
              <w:rPr>
                <w:sz w:val="14"/>
              </w:rPr>
              <w:t>Negotiation status</w:t>
            </w:r>
          </w:p>
        </w:tc>
        <w:tc>
          <w:tcPr>
            <w:tcW w:type="dxa" w:w="5141"/>
            <w:vAlign w:val="top"/>
          </w:tcPr>
          <w:p>
            <w:pPr>
              <w:spacing w:after="0"/>
            </w:pPr>
            <w:r>
              <w:rPr>
                <w:sz w:val="14"/>
              </w:rPr>
              <w:t>Last verified positions, unresolved issues, offers, off-ramps, deadlines</w:t>
            </w:r>
          </w:p>
        </w:tc>
      </w:tr>
      <w:tr>
        <w:tc>
          <w:tcPr>
            <w:tcW w:type="dxa" w:w="5141"/>
            <w:vAlign w:val="top"/>
          </w:tcPr>
          <w:p>
            <w:pPr>
              <w:spacing w:after="0"/>
            </w:pPr>
            <w:r>
              <w:rPr>
                <w:sz w:val="14"/>
              </w:rPr>
              <w:t>Policy measures</w:t>
            </w:r>
          </w:p>
        </w:tc>
        <w:tc>
          <w:tcPr>
            <w:tcW w:type="dxa" w:w="5141"/>
            <w:vAlign w:val="top"/>
          </w:tcPr>
          <w:p>
            <w:pPr>
              <w:spacing w:after="0"/>
            </w:pPr>
            <w:r>
              <w:rPr>
                <w:sz w:val="14"/>
              </w:rPr>
              <w:t>U.S. and Canadian tariffs/countermeasures, exemptions, implementation dates</w:t>
            </w:r>
          </w:p>
        </w:tc>
      </w:tr>
      <w:tr>
        <w:tc>
          <w:tcPr>
            <w:tcW w:type="dxa" w:w="5141"/>
            <w:vAlign w:val="top"/>
          </w:tcPr>
          <w:p>
            <w:pPr>
              <w:spacing w:after="0"/>
            </w:pPr>
            <w:r>
              <w:rPr>
                <w:sz w:val="14"/>
              </w:rPr>
              <w:t>Economic effects</w:t>
            </w:r>
          </w:p>
        </w:tc>
        <w:tc>
          <w:tcPr>
            <w:tcW w:type="dxa" w:w="5141"/>
            <w:vAlign w:val="top"/>
          </w:tcPr>
          <w:p>
            <w:pPr>
              <w:spacing w:after="0"/>
            </w:pPr>
            <w:r>
              <w:rPr>
                <w:sz w:val="14"/>
              </w:rPr>
              <w:t>Trade volumes, prices, employment, investment, inventories, firm stress</w:t>
            </w:r>
          </w:p>
        </w:tc>
      </w:tr>
      <w:tr>
        <w:tc>
          <w:tcPr>
            <w:tcW w:type="dxa" w:w="5141"/>
            <w:vAlign w:val="top"/>
          </w:tcPr>
          <w:p>
            <w:pPr>
              <w:spacing w:after="0"/>
            </w:pPr>
            <w:r>
              <w:rPr>
                <w:sz w:val="14"/>
              </w:rPr>
              <w:t>Institutional movement</w:t>
            </w:r>
          </w:p>
        </w:tc>
        <w:tc>
          <w:tcPr>
            <w:tcW w:type="dxa" w:w="5141"/>
            <w:vAlign w:val="top"/>
          </w:tcPr>
          <w:p>
            <w:pPr>
              <w:spacing w:after="0"/>
            </w:pPr>
            <w:r>
              <w:rPr>
                <w:sz w:val="14"/>
              </w:rPr>
              <w:t>Congress, courts, states, provinces, CUSMA/WTO mechanisms</w:t>
            </w:r>
          </w:p>
        </w:tc>
      </w:tr>
      <w:tr>
        <w:tc>
          <w:tcPr>
            <w:tcW w:type="dxa" w:w="5141"/>
            <w:vAlign w:val="top"/>
          </w:tcPr>
          <w:p>
            <w:pPr>
              <w:spacing w:after="0"/>
            </w:pPr>
            <w:r>
              <w:rPr>
                <w:sz w:val="14"/>
              </w:rPr>
              <w:t>Public environment</w:t>
            </w:r>
          </w:p>
        </w:tc>
        <w:tc>
          <w:tcPr>
            <w:tcW w:type="dxa" w:w="5141"/>
            <w:vAlign w:val="top"/>
          </w:tcPr>
          <w:p>
            <w:pPr>
              <w:spacing w:after="0"/>
            </w:pPr>
            <w:r>
              <w:rPr>
                <w:sz w:val="14"/>
              </w:rPr>
              <w:t>Salience, business pressure, labour concerns, public-opinion direction</w:t>
            </w:r>
          </w:p>
        </w:tc>
      </w:tr>
      <w:tr>
        <w:tc>
          <w:tcPr>
            <w:tcW w:type="dxa" w:w="5141"/>
            <w:vAlign w:val="top"/>
          </w:tcPr>
          <w:p>
            <w:pPr>
              <w:spacing w:after="0"/>
            </w:pPr>
            <w:r>
              <w:rPr>
                <w:sz w:val="14"/>
              </w:rPr>
              <w:t>Security context</w:t>
            </w:r>
          </w:p>
        </w:tc>
        <w:tc>
          <w:tcPr>
            <w:tcW w:type="dxa" w:w="5141"/>
            <w:vAlign w:val="top"/>
          </w:tcPr>
          <w:p>
            <w:pPr>
              <w:spacing w:after="0"/>
            </w:pPr>
            <w:r>
              <w:rPr>
                <w:sz w:val="14"/>
              </w:rPr>
              <w:t>Only relevant authorized threat reporting</w:t>
            </w:r>
          </w:p>
        </w:tc>
      </w:tr>
      <w:tr>
        <w:tc>
          <w:tcPr>
            <w:tcW w:type="dxa" w:w="5141"/>
            <w:vAlign w:val="top"/>
          </w:tcPr>
          <w:p>
            <w:pPr>
              <w:spacing w:after="0"/>
            </w:pPr>
            <w:r>
              <w:rPr>
                <w:sz w:val="14"/>
              </w:rPr>
              <w:t>Canadian endurance</w:t>
            </w:r>
          </w:p>
        </w:tc>
        <w:tc>
          <w:tcPr>
            <w:tcW w:type="dxa" w:w="5141"/>
            <w:vAlign w:val="top"/>
          </w:tcPr>
          <w:p>
            <w:pPr>
              <w:spacing w:after="0"/>
            </w:pPr>
            <w:r>
              <w:rPr>
                <w:sz w:val="14"/>
              </w:rPr>
              <w:t>Household, regional, fiscal, sector and supply-chain burden</w:t>
            </w:r>
          </w:p>
        </w:tc>
      </w:tr>
      <w:tr>
        <w:tc>
          <w:tcPr>
            <w:tcW w:type="dxa" w:w="5141"/>
            <w:vAlign w:val="top"/>
          </w:tcPr>
          <w:p>
            <w:pPr>
              <w:spacing w:after="0"/>
            </w:pPr>
            <w:r>
              <w:rPr>
                <w:sz w:val="14"/>
              </w:rPr>
              <w:t>Next decision windows</w:t>
            </w:r>
          </w:p>
        </w:tc>
        <w:tc>
          <w:tcPr>
            <w:tcW w:type="dxa" w:w="5141"/>
            <w:vAlign w:val="top"/>
          </w:tcPr>
          <w:p>
            <w:pPr>
              <w:spacing w:after="0"/>
            </w:pPr>
            <w:r>
              <w:rPr>
                <w:sz w:val="14"/>
              </w:rPr>
              <w:t>Dates when offers, announcements, reviews or restraint are indicated</w:t>
            </w:r>
          </w:p>
        </w:tc>
      </w:tr>
    </w:tbl>
    <w:p>
      <w:pPr>
        <w:pStyle w:val="Heading2"/>
        <w:keepNext/>
        <w:spacing w:before="120" w:after="50"/>
      </w:pPr>
      <w:r>
        <w:t>Single-Version-of-Truth Rule</w:t>
      </w:r>
    </w:p>
    <w:p>
      <w:r>
        <w:rPr>
          <w:b w:val="0"/>
          <w:i w:val="0"/>
        </w:rPr>
        <w:t>If two departments carry different numbers for the same tariff exposure, the discrepancy must be visible and reconciled or explicitly explained. Hidden disagreement is worse than acknowledged uncertainty.</w:t>
      </w:r>
    </w:p>
    <w:p>
      <w:r>
        <w:br w:type="page"/>
      </w:r>
    </w:p>
    <w:p>
      <w:pPr>
        <w:pStyle w:val="Heading1"/>
        <w:keepNext/>
        <w:spacing w:before="120" w:after="50"/>
      </w:pPr>
      <w:r>
        <w:t>13. Analytic Method: Hypotheses Before Headlines</w:t>
      </w:r>
    </w:p>
    <w:p>
      <w:r>
        <w:rPr>
          <w:b w:val="0"/>
          <w:i w:val="0"/>
        </w:rPr>
        <w:t>The framework uses competing hypotheses to reduce confirmation bias.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Hypothesis</w:t>
            </w:r>
          </w:p>
        </w:tc>
        <w:tc>
          <w:tcPr>
            <w:tcW w:type="dxa" w:w="5141"/>
            <w:shd w:fill="D9E5F2"/>
          </w:tcPr>
          <w:p>
            <w:r>
              <w:rPr>
                <w:b/>
                <w:sz w:val="14"/>
              </w:rPr>
              <w:t>Observable implications</w:t>
            </w:r>
          </w:p>
        </w:tc>
      </w:tr>
      <w:tr>
        <w:tc>
          <w:tcPr>
            <w:tcW w:type="dxa" w:w="5141"/>
            <w:vAlign w:val="top"/>
          </w:tcPr>
          <w:p>
            <w:pPr>
              <w:spacing w:after="0"/>
            </w:pPr>
            <w:r>
              <w:rPr>
                <w:sz w:val="14"/>
              </w:rPr>
              <w:t>H1 De-escalation is becoming more likely</w:t>
            </w:r>
          </w:p>
        </w:tc>
        <w:tc>
          <w:tcPr>
            <w:tcW w:type="dxa" w:w="5141"/>
            <w:vAlign w:val="top"/>
          </w:tcPr>
          <w:p>
            <w:pPr>
              <w:spacing w:after="0"/>
            </w:pPr>
            <w:r>
              <w:rPr>
                <w:sz w:val="14"/>
              </w:rPr>
              <w:t>Private/public positions narrow; exemptions/cures expand; legislative/business support for settlement broadens; implementation pauses appear.</w:t>
            </w:r>
          </w:p>
        </w:tc>
      </w:tr>
      <w:tr>
        <w:tc>
          <w:tcPr>
            <w:tcW w:type="dxa" w:w="5141"/>
            <w:vAlign w:val="top"/>
          </w:tcPr>
          <w:p>
            <w:pPr>
              <w:spacing w:after="0"/>
            </w:pPr>
            <w:r>
              <w:rPr>
                <w:sz w:val="14"/>
              </w:rPr>
              <w:t>H2 Stalemate is durable</w:t>
            </w:r>
          </w:p>
        </w:tc>
        <w:tc>
          <w:tcPr>
            <w:tcW w:type="dxa" w:w="5141"/>
            <w:vAlign w:val="top"/>
          </w:tcPr>
          <w:p>
            <w:pPr>
              <w:spacing w:after="0"/>
            </w:pPr>
            <w:r>
              <w:rPr>
                <w:sz w:val="14"/>
              </w:rPr>
              <w:t>Rhetoric continues but policy measures stabilize; no meaningful narrowing; firms adapt; neither side invests political capital in settlement.</w:t>
            </w:r>
          </w:p>
        </w:tc>
      </w:tr>
      <w:tr>
        <w:tc>
          <w:tcPr>
            <w:tcW w:type="dxa" w:w="5141"/>
            <w:vAlign w:val="top"/>
          </w:tcPr>
          <w:p>
            <w:pPr>
              <w:spacing w:after="0"/>
            </w:pPr>
            <w:r>
              <w:rPr>
                <w:sz w:val="14"/>
              </w:rPr>
              <w:t>H3 Escalation is becoming more likely</w:t>
            </w:r>
          </w:p>
        </w:tc>
        <w:tc>
          <w:tcPr>
            <w:tcW w:type="dxa" w:w="5141"/>
            <w:vAlign w:val="top"/>
          </w:tcPr>
          <w:p>
            <w:pPr>
              <w:spacing w:after="0"/>
            </w:pPr>
            <w:r>
              <w:rPr>
                <w:sz w:val="14"/>
              </w:rPr>
              <w:t>New authorities prepared; deadlines harden; exemptions shrink; retaliation broadens; talks cease; coercive rhetoric aligns with implementation.</w:t>
            </w:r>
          </w:p>
        </w:tc>
      </w:tr>
      <w:tr>
        <w:tc>
          <w:tcPr>
            <w:tcW w:type="dxa" w:w="5141"/>
            <w:vAlign w:val="top"/>
          </w:tcPr>
          <w:p>
            <w:pPr>
              <w:spacing w:after="0"/>
            </w:pPr>
            <w:r>
              <w:rPr>
                <w:sz w:val="14"/>
              </w:rPr>
              <w:t>H4 Tactical noise</w:t>
            </w:r>
          </w:p>
        </w:tc>
        <w:tc>
          <w:tcPr>
            <w:tcW w:type="dxa" w:w="5141"/>
            <w:vAlign w:val="top"/>
          </w:tcPr>
          <w:p>
            <w:pPr>
              <w:spacing w:after="0"/>
            </w:pPr>
            <w:r>
              <w:rPr>
                <w:sz w:val="14"/>
              </w:rPr>
              <w:t>Dramatic statements occur without institutional, legal, market or negotiating follow-through.</w:t>
            </w:r>
          </w:p>
        </w:tc>
      </w:tr>
    </w:tbl>
    <w:p>
      <w:pPr>
        <w:pStyle w:val="Heading2"/>
        <w:keepNext/>
        <w:spacing w:before="120" w:after="50"/>
      </w:pPr>
      <w:r>
        <w:t>Analytic Questions</w:t>
      </w:r>
    </w:p>
    <w:p>
      <w:pPr>
        <w:pStyle w:val="ListBullet"/>
        <w:spacing w:after="40"/>
      </w:pPr>
      <w:r>
        <w:t>What evidence would we expect to see if this hypothesis were true?</w:t>
      </w:r>
    </w:p>
    <w:p>
      <w:pPr>
        <w:pStyle w:val="ListBullet"/>
        <w:spacing w:after="40"/>
      </w:pPr>
      <w:r>
        <w:t>What evidence would strongly contradict it?</w:t>
      </w:r>
    </w:p>
    <w:p>
      <w:pPr>
        <w:pStyle w:val="ListBullet"/>
        <w:spacing w:after="40"/>
      </w:pPr>
      <w:r>
        <w:t>Are we overweighting recent or vivid information?</w:t>
      </w:r>
    </w:p>
    <w:p>
      <w:pPr>
        <w:pStyle w:val="ListBullet"/>
        <w:spacing w:after="40"/>
      </w:pPr>
      <w:r>
        <w:t>Are multiple reports actually derived from the same original source?</w:t>
      </w:r>
    </w:p>
    <w:p>
      <w:pPr>
        <w:pStyle w:val="ListBullet"/>
        <w:spacing w:after="40"/>
      </w:pPr>
      <w:r>
        <w:t>Does the source have an incentive to shape Canadian behaviour?</w:t>
      </w:r>
    </w:p>
    <w:p>
      <w:pPr>
        <w:pStyle w:val="ListBullet"/>
        <w:spacing w:after="40"/>
      </w:pPr>
      <w:r>
        <w:t>What would a neutral observer infer from the same evidence?</w:t>
      </w:r>
    </w:p>
    <w:p>
      <w:pPr>
        <w:pStyle w:val="ListBullet"/>
        <w:spacing w:after="40"/>
      </w:pPr>
      <w:r>
        <w:t>What is the strongest alternative explanation?</w:t>
      </w:r>
    </w:p>
    <w:p>
      <w:r>
        <w:br w:type="page"/>
      </w:r>
    </w:p>
    <w:p>
      <w:pPr>
        <w:pStyle w:val="Heading1"/>
        <w:keepNext/>
        <w:spacing w:before="120" w:after="50"/>
      </w:pPr>
      <w:r>
        <w:t>14. Reliability, Confidence and Evidence Weighting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D9E5F2"/>
          </w:tcPr>
          <w:p>
            <w:r>
              <w:rPr>
                <w:b/>
                <w:sz w:val="14"/>
              </w:rPr>
              <w:t>Dimension</w:t>
            </w:r>
          </w:p>
        </w:tc>
        <w:tc>
          <w:tcPr>
            <w:tcW w:type="dxa" w:w="2570"/>
            <w:shd w:fill="D9E5F2"/>
          </w:tcPr>
          <w:p>
            <w:r>
              <w:rPr>
                <w:b/>
                <w:sz w:val="14"/>
              </w:rPr>
              <w:t>High</w:t>
            </w:r>
          </w:p>
        </w:tc>
        <w:tc>
          <w:tcPr>
            <w:tcW w:type="dxa" w:w="2570"/>
            <w:shd w:fill="D9E5F2"/>
          </w:tcPr>
          <w:p>
            <w:r>
              <w:rPr>
                <w:b/>
                <w:sz w:val="14"/>
              </w:rPr>
              <w:t>Medium</w:t>
            </w:r>
          </w:p>
        </w:tc>
        <w:tc>
          <w:tcPr>
            <w:tcW w:type="dxa" w:w="2570"/>
            <w:shd w:fill="D9E5F2"/>
          </w:tcPr>
          <w:p>
            <w:r>
              <w:rPr>
                <w:b/>
                <w:sz w:val="14"/>
              </w:rPr>
              <w:t>Low</w:t>
            </w:r>
          </w:p>
        </w:tc>
      </w:tr>
      <w:tr>
        <w:tc>
          <w:tcPr>
            <w:tcW w:type="dxa" w:w="2570"/>
            <w:vAlign w:val="top"/>
          </w:tcPr>
          <w:p>
            <w:pPr>
              <w:spacing w:after="0"/>
            </w:pPr>
            <w:r>
              <w:rPr>
                <w:sz w:val="14"/>
              </w:rPr>
              <w:t>Source reliability</w:t>
            </w:r>
          </w:p>
        </w:tc>
        <w:tc>
          <w:tcPr>
            <w:tcW w:type="dxa" w:w="2570"/>
            <w:vAlign w:val="top"/>
          </w:tcPr>
          <w:p>
            <w:pPr>
              <w:spacing w:after="0"/>
            </w:pPr>
            <w:r>
              <w:rPr>
                <w:sz w:val="14"/>
              </w:rPr>
              <w:t>Established record / authoritative data</w:t>
            </w:r>
          </w:p>
        </w:tc>
        <w:tc>
          <w:tcPr>
            <w:tcW w:type="dxa" w:w="2570"/>
            <w:vAlign w:val="top"/>
          </w:tcPr>
          <w:p>
            <w:pPr>
              <w:spacing w:after="0"/>
            </w:pPr>
            <w:r>
              <w:rPr>
                <w:sz w:val="14"/>
              </w:rPr>
              <w:t>Generally reliable, limited track record</w:t>
            </w:r>
          </w:p>
        </w:tc>
        <w:tc>
          <w:tcPr>
            <w:tcW w:type="dxa" w:w="2570"/>
            <w:vAlign w:val="top"/>
          </w:tcPr>
          <w:p>
            <w:pPr>
              <w:spacing w:after="0"/>
            </w:pPr>
            <w:r>
              <w:rPr>
                <w:sz w:val="14"/>
              </w:rPr>
              <w:t>Unknown, conflicted or poor record</w:t>
            </w:r>
          </w:p>
        </w:tc>
      </w:tr>
      <w:tr>
        <w:tc>
          <w:tcPr>
            <w:tcW w:type="dxa" w:w="2570"/>
            <w:vAlign w:val="top"/>
          </w:tcPr>
          <w:p>
            <w:pPr>
              <w:spacing w:after="0"/>
            </w:pPr>
            <w:r>
              <w:rPr>
                <w:sz w:val="14"/>
              </w:rPr>
              <w:t>Information quality</w:t>
            </w:r>
          </w:p>
        </w:tc>
        <w:tc>
          <w:tcPr>
            <w:tcW w:type="dxa" w:w="2570"/>
            <w:vAlign w:val="top"/>
          </w:tcPr>
          <w:p>
            <w:pPr>
              <w:spacing w:after="0"/>
            </w:pPr>
            <w:r>
              <w:rPr>
                <w:sz w:val="14"/>
              </w:rPr>
              <w:t>Direct, documented, reproducible</w:t>
            </w:r>
          </w:p>
        </w:tc>
        <w:tc>
          <w:tcPr>
            <w:tcW w:type="dxa" w:w="2570"/>
            <w:vAlign w:val="top"/>
          </w:tcPr>
          <w:p>
            <w:pPr>
              <w:spacing w:after="0"/>
            </w:pPr>
            <w:r>
              <w:rPr>
                <w:sz w:val="14"/>
              </w:rPr>
              <w:t>Partly direct or incomplete</w:t>
            </w:r>
          </w:p>
        </w:tc>
        <w:tc>
          <w:tcPr>
            <w:tcW w:type="dxa" w:w="2570"/>
            <w:vAlign w:val="top"/>
          </w:tcPr>
          <w:p>
            <w:pPr>
              <w:spacing w:after="0"/>
            </w:pPr>
            <w:r>
              <w:rPr>
                <w:sz w:val="14"/>
              </w:rPr>
              <w:t>Hearsay, ambiguous, unverifiable</w:t>
            </w:r>
          </w:p>
        </w:tc>
      </w:tr>
      <w:tr>
        <w:tc>
          <w:tcPr>
            <w:tcW w:type="dxa" w:w="2570"/>
            <w:vAlign w:val="top"/>
          </w:tcPr>
          <w:p>
            <w:pPr>
              <w:spacing w:after="0"/>
            </w:pPr>
            <w:r>
              <w:rPr>
                <w:sz w:val="14"/>
              </w:rPr>
              <w:t>Corroboration</w:t>
            </w:r>
          </w:p>
        </w:tc>
        <w:tc>
          <w:tcPr>
            <w:tcW w:type="dxa" w:w="2570"/>
            <w:vAlign w:val="top"/>
          </w:tcPr>
          <w:p>
            <w:pPr>
              <w:spacing w:after="0"/>
            </w:pPr>
            <w:r>
              <w:rPr>
                <w:sz w:val="14"/>
              </w:rPr>
              <w:t>Multiple independent streams</w:t>
            </w:r>
          </w:p>
        </w:tc>
        <w:tc>
          <w:tcPr>
            <w:tcW w:type="dxa" w:w="2570"/>
            <w:vAlign w:val="top"/>
          </w:tcPr>
          <w:p>
            <w:pPr>
              <w:spacing w:after="0"/>
            </w:pPr>
            <w:r>
              <w:rPr>
                <w:sz w:val="14"/>
              </w:rPr>
              <w:t>Some independent support</w:t>
            </w:r>
          </w:p>
        </w:tc>
        <w:tc>
          <w:tcPr>
            <w:tcW w:type="dxa" w:w="2570"/>
            <w:vAlign w:val="top"/>
          </w:tcPr>
          <w:p>
            <w:pPr>
              <w:spacing w:after="0"/>
            </w:pPr>
            <w:r>
              <w:rPr>
                <w:sz w:val="14"/>
              </w:rPr>
              <w:t>Single-source or circular reporting</w:t>
            </w:r>
          </w:p>
        </w:tc>
      </w:tr>
      <w:tr>
        <w:tc>
          <w:tcPr>
            <w:tcW w:type="dxa" w:w="2570"/>
            <w:vAlign w:val="top"/>
          </w:tcPr>
          <w:p>
            <w:pPr>
              <w:spacing w:after="0"/>
            </w:pPr>
            <w:r>
              <w:rPr>
                <w:sz w:val="14"/>
              </w:rPr>
              <w:t>Freshness</w:t>
            </w:r>
          </w:p>
        </w:tc>
        <w:tc>
          <w:tcPr>
            <w:tcW w:type="dxa" w:w="2570"/>
            <w:vAlign w:val="top"/>
          </w:tcPr>
          <w:p>
            <w:pPr>
              <w:spacing w:after="0"/>
            </w:pPr>
            <w:r>
              <w:rPr>
                <w:sz w:val="14"/>
              </w:rPr>
              <w:t>Current to decision</w:t>
            </w:r>
          </w:p>
        </w:tc>
        <w:tc>
          <w:tcPr>
            <w:tcW w:type="dxa" w:w="2570"/>
            <w:vAlign w:val="top"/>
          </w:tcPr>
          <w:p>
            <w:pPr>
              <w:spacing w:after="0"/>
            </w:pPr>
            <w:r>
              <w:rPr>
                <w:sz w:val="14"/>
              </w:rPr>
              <w:t>Some lag</w:t>
            </w:r>
          </w:p>
        </w:tc>
        <w:tc>
          <w:tcPr>
            <w:tcW w:type="dxa" w:w="2570"/>
            <w:vAlign w:val="top"/>
          </w:tcPr>
          <w:p>
            <w:pPr>
              <w:spacing w:after="0"/>
            </w:pPr>
            <w:r>
              <w:rPr>
                <w:sz w:val="14"/>
              </w:rPr>
              <w:t>Potentially stale</w:t>
            </w:r>
          </w:p>
        </w:tc>
      </w:tr>
      <w:tr>
        <w:tc>
          <w:tcPr>
            <w:tcW w:type="dxa" w:w="2570"/>
            <w:vAlign w:val="top"/>
          </w:tcPr>
          <w:p>
            <w:pPr>
              <w:spacing w:after="0"/>
            </w:pPr>
            <w:r>
              <w:rPr>
                <w:sz w:val="14"/>
              </w:rPr>
              <w:t>Relevance</w:t>
            </w:r>
          </w:p>
        </w:tc>
        <w:tc>
          <w:tcPr>
            <w:tcW w:type="dxa" w:w="2570"/>
            <w:vAlign w:val="top"/>
          </w:tcPr>
          <w:p>
            <w:pPr>
              <w:spacing w:after="0"/>
            </w:pPr>
            <w:r>
              <w:rPr>
                <w:sz w:val="14"/>
              </w:rPr>
              <w:t>Directly bears on hypothesis</w:t>
            </w:r>
          </w:p>
        </w:tc>
        <w:tc>
          <w:tcPr>
            <w:tcW w:type="dxa" w:w="2570"/>
            <w:vAlign w:val="top"/>
          </w:tcPr>
          <w:p>
            <w:pPr>
              <w:spacing w:after="0"/>
            </w:pPr>
            <w:r>
              <w:rPr>
                <w:sz w:val="14"/>
              </w:rPr>
              <w:t>Indirect</w:t>
            </w:r>
          </w:p>
        </w:tc>
        <w:tc>
          <w:tcPr>
            <w:tcW w:type="dxa" w:w="2570"/>
            <w:vAlign w:val="top"/>
          </w:tcPr>
          <w:p>
            <w:pPr>
              <w:spacing w:after="0"/>
            </w:pPr>
            <w:r>
              <w:rPr>
                <w:sz w:val="14"/>
              </w:rPr>
              <w:t>Tangential</w:t>
            </w:r>
          </w:p>
        </w:tc>
      </w:tr>
    </w:tbl>
    <w:p>
      <w:r>
        <w:rPr>
          <w:b w:val="0"/>
          <w:i w:val="0"/>
        </w:rPr>
        <w:t>Confidence is not probability. A 60% de-escalation estimate can be high-confidence if evidence is strong, while an 80% estimate can be low-confidence if it rests on one fragile assumption.</w:t>
      </w:r>
    </w:p>
    <w:p>
      <w:pPr>
        <w:pStyle w:val="Heading2"/>
        <w:keepNext/>
        <w:spacing w:before="120" w:after="50"/>
      </w:pPr>
      <w:r>
        <w:t>Confidence Language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Label</w:t>
            </w:r>
          </w:p>
        </w:tc>
        <w:tc>
          <w:tcPr>
            <w:tcW w:type="dxa" w:w="5141"/>
            <w:shd w:fill="D9E5F2"/>
          </w:tcPr>
          <w:p>
            <w:r>
              <w:rPr>
                <w:b/>
                <w:sz w:val="15"/>
              </w:rPr>
              <w:t>Meaning</w:t>
            </w:r>
          </w:p>
        </w:tc>
      </w:tr>
      <w:tr>
        <w:tc>
          <w:tcPr>
            <w:tcW w:type="dxa" w:w="5141"/>
            <w:vAlign w:val="top"/>
          </w:tcPr>
          <w:p>
            <w:pPr>
              <w:spacing w:after="0"/>
            </w:pPr>
            <w:r>
              <w:rPr>
                <w:sz w:val="15"/>
              </w:rPr>
              <w:t>High confidence</w:t>
            </w:r>
          </w:p>
        </w:tc>
        <w:tc>
          <w:tcPr>
            <w:tcW w:type="dxa" w:w="5141"/>
            <w:vAlign w:val="top"/>
          </w:tcPr>
          <w:p>
            <w:pPr>
              <w:spacing w:after="0"/>
            </w:pPr>
            <w:r>
              <w:rPr>
                <w:sz w:val="15"/>
              </w:rPr>
              <w:t>Multiple independent high-quality streams; major alternatives tested; limited unresolved contradiction.</w:t>
            </w:r>
          </w:p>
        </w:tc>
      </w:tr>
      <w:tr>
        <w:tc>
          <w:tcPr>
            <w:tcW w:type="dxa" w:w="5141"/>
            <w:vAlign w:val="top"/>
          </w:tcPr>
          <w:p>
            <w:pPr>
              <w:spacing w:after="0"/>
            </w:pPr>
            <w:r>
              <w:rPr>
                <w:sz w:val="15"/>
              </w:rPr>
              <w:t>Moderate confidence</w:t>
            </w:r>
          </w:p>
        </w:tc>
        <w:tc>
          <w:tcPr>
            <w:tcW w:type="dxa" w:w="5141"/>
            <w:vAlign w:val="top"/>
          </w:tcPr>
          <w:p>
            <w:pPr>
              <w:spacing w:after="0"/>
            </w:pPr>
            <w:r>
              <w:rPr>
                <w:sz w:val="15"/>
              </w:rPr>
              <w:t>Good evidence but important gaps, timing uncertainty or plausible alternatives remain.</w:t>
            </w:r>
          </w:p>
        </w:tc>
      </w:tr>
      <w:tr>
        <w:tc>
          <w:tcPr>
            <w:tcW w:type="dxa" w:w="5141"/>
            <w:vAlign w:val="top"/>
          </w:tcPr>
          <w:p>
            <w:pPr>
              <w:spacing w:after="0"/>
            </w:pPr>
            <w:r>
              <w:rPr>
                <w:sz w:val="15"/>
              </w:rPr>
              <w:t>Low confidence</w:t>
            </w:r>
          </w:p>
        </w:tc>
        <w:tc>
          <w:tcPr>
            <w:tcW w:type="dxa" w:w="5141"/>
            <w:vAlign w:val="top"/>
          </w:tcPr>
          <w:p>
            <w:pPr>
              <w:spacing w:after="0"/>
            </w:pPr>
            <w:r>
              <w:rPr>
                <w:sz w:val="15"/>
              </w:rPr>
              <w:t>Sparse, conflicting, stale or heavily inferential evidence. Decision-makers should treat estimate as provisional.</w:t>
            </w:r>
          </w:p>
        </w:tc>
      </w:tr>
    </w:tbl>
    <w:p>
      <w:r>
        <w:br w:type="page"/>
      </w:r>
    </w:p>
    <w:p>
      <w:pPr>
        <w:pStyle w:val="Heading1"/>
        <w:keepNext/>
        <w:spacing w:before="120" w:after="50"/>
      </w:pPr>
      <w:r>
        <w:t>15. De-escalation Probability Assessment (DPA): Overview</w:t>
      </w:r>
    </w:p>
    <w:p>
      <w:r>
        <w:rPr>
          <w:b w:val="0"/>
          <w:i w:val="0"/>
        </w:rPr>
        <w:t>The DPA is a recurring structured judgement about the probability of a meaningful, verified reduction in Canada-U.S. economic conflict within defined horizons.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Horizon</w:t>
            </w:r>
          </w:p>
        </w:tc>
        <w:tc>
          <w:tcPr>
            <w:tcW w:type="dxa" w:w="5141"/>
            <w:shd w:fill="D9E5F2"/>
          </w:tcPr>
          <w:p>
            <w:r>
              <w:rPr>
                <w:b/>
                <w:sz w:val="15"/>
              </w:rPr>
              <w:t>Question</w:t>
            </w:r>
          </w:p>
        </w:tc>
      </w:tr>
      <w:tr>
        <w:tc>
          <w:tcPr>
            <w:tcW w:type="dxa" w:w="5141"/>
            <w:vAlign w:val="top"/>
          </w:tcPr>
          <w:p>
            <w:pPr>
              <w:spacing w:after="0"/>
            </w:pPr>
            <w:r>
              <w:rPr>
                <w:sz w:val="15"/>
              </w:rPr>
              <w:t>7 days</w:t>
            </w:r>
          </w:p>
        </w:tc>
        <w:tc>
          <w:tcPr>
            <w:tcW w:type="dxa" w:w="5141"/>
            <w:vAlign w:val="top"/>
          </w:tcPr>
          <w:p>
            <w:pPr>
              <w:spacing w:after="0"/>
            </w:pPr>
            <w:r>
              <w:rPr>
                <w:sz w:val="15"/>
              </w:rPr>
              <w:t>Is a concrete pause, exemption, meeting, sector cure or reciprocal step likely?</w:t>
            </w:r>
          </w:p>
        </w:tc>
      </w:tr>
      <w:tr>
        <w:tc>
          <w:tcPr>
            <w:tcW w:type="dxa" w:w="5141"/>
            <w:vAlign w:val="top"/>
          </w:tcPr>
          <w:p>
            <w:pPr>
              <w:spacing w:after="0"/>
            </w:pPr>
            <w:r>
              <w:rPr>
                <w:sz w:val="15"/>
              </w:rPr>
              <w:t>30 days</w:t>
            </w:r>
          </w:p>
        </w:tc>
        <w:tc>
          <w:tcPr>
            <w:tcW w:type="dxa" w:w="5141"/>
            <w:vAlign w:val="top"/>
          </w:tcPr>
          <w:p>
            <w:pPr>
              <w:spacing w:after="0"/>
            </w:pPr>
            <w:r>
              <w:rPr>
                <w:sz w:val="15"/>
              </w:rPr>
              <w:t>Is a negotiated reduction in one or more material measures likely?</w:t>
            </w:r>
          </w:p>
        </w:tc>
      </w:tr>
      <w:tr>
        <w:tc>
          <w:tcPr>
            <w:tcW w:type="dxa" w:w="5141"/>
            <w:vAlign w:val="top"/>
          </w:tcPr>
          <w:p>
            <w:pPr>
              <w:spacing w:after="0"/>
            </w:pPr>
            <w:r>
              <w:rPr>
                <w:sz w:val="15"/>
              </w:rPr>
              <w:t>90 days</w:t>
            </w:r>
          </w:p>
        </w:tc>
        <w:tc>
          <w:tcPr>
            <w:tcW w:type="dxa" w:w="5141"/>
            <w:vAlign w:val="top"/>
          </w:tcPr>
          <w:p>
            <w:pPr>
              <w:spacing w:after="0"/>
            </w:pPr>
            <w:r>
              <w:rPr>
                <w:sz w:val="15"/>
              </w:rPr>
              <w:t>Is a broader stabilization or framework settlement likely?</w:t>
            </w:r>
          </w:p>
        </w:tc>
      </w:tr>
      <w:tr>
        <w:tc>
          <w:tcPr>
            <w:tcW w:type="dxa" w:w="5141"/>
            <w:vAlign w:val="top"/>
          </w:tcPr>
          <w:p>
            <w:pPr>
              <w:spacing w:after="0"/>
            </w:pPr>
            <w:r>
              <w:rPr>
                <w:sz w:val="15"/>
              </w:rPr>
              <w:t>12 months</w:t>
            </w:r>
          </w:p>
        </w:tc>
        <w:tc>
          <w:tcPr>
            <w:tcW w:type="dxa" w:w="5141"/>
            <w:vAlign w:val="top"/>
          </w:tcPr>
          <w:p>
            <w:pPr>
              <w:spacing w:after="0"/>
            </w:pPr>
            <w:r>
              <w:rPr>
                <w:sz w:val="15"/>
              </w:rPr>
              <w:t>Is the conflict likely to move toward durable normalization rather than recurring coercive cycles?</w:t>
            </w:r>
          </w:p>
        </w:tc>
      </w:tr>
    </w:tbl>
    <w:p>
      <w:pPr>
        <w:pStyle w:val="Heading2"/>
        <w:keepNext/>
        <w:spacing w:before="120" w:after="50"/>
      </w:pPr>
      <w:r>
        <w:t>Required DPA Output</w:t>
      </w:r>
    </w:p>
    <w:p>
      <w:pPr>
        <w:pStyle w:val="ListBullet"/>
        <w:spacing w:after="40"/>
      </w:pPr>
      <w:r>
        <w:t>Probability range, not false precision.</w:t>
      </w:r>
    </w:p>
    <w:p>
      <w:pPr>
        <w:pStyle w:val="ListBullet"/>
        <w:spacing w:after="40"/>
      </w:pPr>
      <w:r>
        <w:t>Direction since last assessment: rising, falling, unchanged.</w:t>
      </w:r>
    </w:p>
    <w:p>
      <w:pPr>
        <w:pStyle w:val="ListBullet"/>
        <w:spacing w:after="40"/>
      </w:pPr>
      <w:r>
        <w:t>Confidence level.</w:t>
      </w:r>
    </w:p>
    <w:p>
      <w:pPr>
        <w:pStyle w:val="ListBullet"/>
        <w:spacing w:after="40"/>
      </w:pPr>
      <w:r>
        <w:t>Top five drivers toward de-escalation.</w:t>
      </w:r>
    </w:p>
    <w:p>
      <w:pPr>
        <w:pStyle w:val="ListBullet"/>
        <w:spacing w:after="40"/>
      </w:pPr>
      <w:r>
        <w:t>Top five blockers.</w:t>
      </w:r>
    </w:p>
    <w:p>
      <w:pPr>
        <w:pStyle w:val="ListBullet"/>
        <w:spacing w:after="40"/>
      </w:pPr>
      <w:r>
        <w:t>Key indicators to watch before next update.</w:t>
      </w:r>
    </w:p>
    <w:p>
      <w:pPr>
        <w:pStyle w:val="ListBullet"/>
        <w:spacing w:after="40"/>
      </w:pPr>
      <w:r>
        <w:t>Alternative hypothesis and dissent.</w:t>
      </w:r>
    </w:p>
    <w:p>
      <w:pPr>
        <w:pStyle w:val="ListBullet"/>
        <w:spacing w:after="40"/>
      </w:pPr>
      <w:r>
        <w:t>Canadian actions that could improve the probability without conceding core objectives.</w:t>
      </w:r>
    </w:p>
    <w:p>
      <w:pPr>
        <w:pStyle w:val="ListBullet"/>
        <w:spacing w:after="40"/>
      </w:pPr>
      <w:r>
        <w:t>Pre-cleared actions if probability crosses defined thresholds.</w:t>
      </w:r>
    </w:p>
    <w:p>
      <w:pPr>
        <w:pStyle w:val="ListBullet"/>
        <w:spacing w:after="40"/>
      </w:pPr>
      <w:r>
        <w:t>Explicit statement of what would cause the assessment to change.</w:t>
      </w:r>
    </w:p>
    <w:p>
      <w:r>
        <w:br w:type="page"/>
      </w:r>
    </w:p>
    <w:p>
      <w:pPr>
        <w:pStyle w:val="Heading1"/>
        <w:keepNext/>
        <w:spacing w:before="120" w:after="50"/>
      </w:pPr>
      <w:r>
        <w:t>16. DPA Scoring Model</w:t>
      </w:r>
    </w:p>
    <w:p>
      <w:r>
        <w:rPr>
          <w:b w:val="0"/>
          <w:i w:val="0"/>
        </w:rPr>
        <w:t>The score is an analytic aid, not an algorithmic decision-maker. Suggested dimensions are scored from -2 (strong escalation signal) to +2 (strong de-escalation signal), with written evidence required.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Dimension</w:t>
            </w:r>
          </w:p>
        </w:tc>
        <w:tc>
          <w:tcPr>
            <w:tcW w:type="dxa" w:w="3427"/>
            <w:shd w:fill="D9E5F2"/>
          </w:tcPr>
          <w:p>
            <w:r>
              <w:rPr>
                <w:b/>
                <w:sz w:val="14"/>
              </w:rPr>
              <w:t>Weight</w:t>
            </w:r>
          </w:p>
        </w:tc>
        <w:tc>
          <w:tcPr>
            <w:tcW w:type="dxa" w:w="3427"/>
            <w:shd w:fill="D9E5F2"/>
          </w:tcPr>
          <w:p>
            <w:r>
              <w:rPr>
                <w:b/>
                <w:sz w:val="14"/>
              </w:rPr>
              <w:t>Examples</w:t>
            </w:r>
          </w:p>
        </w:tc>
      </w:tr>
      <w:tr>
        <w:tc>
          <w:tcPr>
            <w:tcW w:type="dxa" w:w="3427"/>
            <w:vAlign w:val="top"/>
          </w:tcPr>
          <w:p>
            <w:pPr>
              <w:spacing w:after="0"/>
            </w:pPr>
            <w:r>
              <w:rPr>
                <w:sz w:val="14"/>
              </w:rPr>
              <w:t>Negotiating behaviour</w:t>
            </w:r>
          </w:p>
        </w:tc>
        <w:tc>
          <w:tcPr>
            <w:tcW w:type="dxa" w:w="3427"/>
            <w:vAlign w:val="top"/>
          </w:tcPr>
          <w:p>
            <w:pPr>
              <w:spacing w:after="0"/>
            </w:pPr>
            <w:r>
              <w:rPr>
                <w:sz w:val="14"/>
              </w:rPr>
              <w:t>20%</w:t>
            </w:r>
          </w:p>
        </w:tc>
        <w:tc>
          <w:tcPr>
            <w:tcW w:type="dxa" w:w="3427"/>
            <w:vAlign w:val="top"/>
          </w:tcPr>
          <w:p>
            <w:pPr>
              <w:spacing w:after="0"/>
            </w:pPr>
            <w:r>
              <w:rPr>
                <w:sz w:val="14"/>
              </w:rPr>
              <w:t>Meetings, term narrowing, reciprocal proposals, verification work</w:t>
            </w:r>
          </w:p>
        </w:tc>
      </w:tr>
      <w:tr>
        <w:tc>
          <w:tcPr>
            <w:tcW w:type="dxa" w:w="3427"/>
            <w:vAlign w:val="top"/>
          </w:tcPr>
          <w:p>
            <w:pPr>
              <w:spacing w:after="0"/>
            </w:pPr>
            <w:r>
              <w:rPr>
                <w:sz w:val="14"/>
              </w:rPr>
              <w:t>Executive policy posture</w:t>
            </w:r>
          </w:p>
        </w:tc>
        <w:tc>
          <w:tcPr>
            <w:tcW w:type="dxa" w:w="3427"/>
            <w:vAlign w:val="top"/>
          </w:tcPr>
          <w:p>
            <w:pPr>
              <w:spacing w:after="0"/>
            </w:pPr>
            <w:r>
              <w:rPr>
                <w:sz w:val="14"/>
              </w:rPr>
              <w:t>15%</w:t>
            </w:r>
          </w:p>
        </w:tc>
        <w:tc>
          <w:tcPr>
            <w:tcW w:type="dxa" w:w="3427"/>
            <w:vAlign w:val="top"/>
          </w:tcPr>
          <w:p>
            <w:pPr>
              <w:spacing w:after="0"/>
            </w:pPr>
            <w:r>
              <w:rPr>
                <w:sz w:val="14"/>
              </w:rPr>
              <w:t>Tariff implementation, exemptions, pauses, new authorities</w:t>
            </w:r>
          </w:p>
        </w:tc>
      </w:tr>
      <w:tr>
        <w:tc>
          <w:tcPr>
            <w:tcW w:type="dxa" w:w="3427"/>
            <w:vAlign w:val="top"/>
          </w:tcPr>
          <w:p>
            <w:pPr>
              <w:spacing w:after="0"/>
            </w:pPr>
            <w:r>
              <w:rPr>
                <w:sz w:val="14"/>
              </w:rPr>
              <w:t>Congressional/state movement</w:t>
            </w:r>
          </w:p>
        </w:tc>
        <w:tc>
          <w:tcPr>
            <w:tcW w:type="dxa" w:w="3427"/>
            <w:vAlign w:val="top"/>
          </w:tcPr>
          <w:p>
            <w:pPr>
              <w:spacing w:after="0"/>
            </w:pPr>
            <w:r>
              <w:rPr>
                <w:sz w:val="14"/>
              </w:rPr>
              <w:t>10%</w:t>
            </w:r>
          </w:p>
        </w:tc>
        <w:tc>
          <w:tcPr>
            <w:tcW w:type="dxa" w:w="3427"/>
            <w:vAlign w:val="top"/>
          </w:tcPr>
          <w:p>
            <w:pPr>
              <w:spacing w:after="0"/>
            </w:pPr>
            <w:r>
              <w:rPr>
                <w:sz w:val="14"/>
              </w:rPr>
              <w:t>Hearings, letters, bills, bipartisan coalitions, governors</w:t>
            </w:r>
          </w:p>
        </w:tc>
      </w:tr>
      <w:tr>
        <w:tc>
          <w:tcPr>
            <w:tcW w:type="dxa" w:w="3427"/>
            <w:vAlign w:val="top"/>
          </w:tcPr>
          <w:p>
            <w:pPr>
              <w:spacing w:after="0"/>
            </w:pPr>
            <w:r>
              <w:rPr>
                <w:sz w:val="14"/>
              </w:rPr>
              <w:t>Business/labour pressure</w:t>
            </w:r>
          </w:p>
        </w:tc>
        <w:tc>
          <w:tcPr>
            <w:tcW w:type="dxa" w:w="3427"/>
            <w:vAlign w:val="top"/>
          </w:tcPr>
          <w:p>
            <w:pPr>
              <w:spacing w:after="0"/>
            </w:pPr>
            <w:r>
              <w:rPr>
                <w:sz w:val="14"/>
              </w:rPr>
              <w:t>10%</w:t>
            </w:r>
          </w:p>
        </w:tc>
        <w:tc>
          <w:tcPr>
            <w:tcW w:type="dxa" w:w="3427"/>
            <w:vAlign w:val="top"/>
          </w:tcPr>
          <w:p>
            <w:pPr>
              <w:spacing w:after="0"/>
            </w:pPr>
            <w:r>
              <w:rPr>
                <w:sz w:val="14"/>
              </w:rPr>
              <w:t>Order losses, investment concerns, organized settlement advocacy</w:t>
            </w:r>
          </w:p>
        </w:tc>
      </w:tr>
      <w:tr>
        <w:tc>
          <w:tcPr>
            <w:tcW w:type="dxa" w:w="3427"/>
            <w:vAlign w:val="top"/>
          </w:tcPr>
          <w:p>
            <w:pPr>
              <w:spacing w:after="0"/>
            </w:pPr>
            <w:r>
              <w:rPr>
                <w:sz w:val="14"/>
              </w:rPr>
              <w:t>Legal/regulatory trajectory</w:t>
            </w:r>
          </w:p>
        </w:tc>
        <w:tc>
          <w:tcPr>
            <w:tcW w:type="dxa" w:w="3427"/>
            <w:vAlign w:val="top"/>
          </w:tcPr>
          <w:p>
            <w:pPr>
              <w:spacing w:after="0"/>
            </w:pPr>
            <w:r>
              <w:rPr>
                <w:sz w:val="14"/>
              </w:rPr>
              <w:t>10%</w:t>
            </w:r>
          </w:p>
        </w:tc>
        <w:tc>
          <w:tcPr>
            <w:tcW w:type="dxa" w:w="3427"/>
            <w:vAlign w:val="top"/>
          </w:tcPr>
          <w:p>
            <w:pPr>
              <w:spacing w:after="0"/>
            </w:pPr>
            <w:r>
              <w:rPr>
                <w:sz w:val="14"/>
              </w:rPr>
              <w:t>Rulings, injunctions, implementation guidance, dispute milestones</w:t>
            </w:r>
          </w:p>
        </w:tc>
      </w:tr>
      <w:tr>
        <w:tc>
          <w:tcPr>
            <w:tcW w:type="dxa" w:w="3427"/>
            <w:vAlign w:val="top"/>
          </w:tcPr>
          <w:p>
            <w:pPr>
              <w:spacing w:after="0"/>
            </w:pPr>
            <w:r>
              <w:rPr>
                <w:sz w:val="14"/>
              </w:rPr>
              <w:t>Economic stress/adaptation</w:t>
            </w:r>
          </w:p>
        </w:tc>
        <w:tc>
          <w:tcPr>
            <w:tcW w:type="dxa" w:w="3427"/>
            <w:vAlign w:val="top"/>
          </w:tcPr>
          <w:p>
            <w:pPr>
              <w:spacing w:after="0"/>
            </w:pPr>
            <w:r>
              <w:rPr>
                <w:sz w:val="14"/>
              </w:rPr>
              <w:t>10%</w:t>
            </w:r>
          </w:p>
        </w:tc>
        <w:tc>
          <w:tcPr>
            <w:tcW w:type="dxa" w:w="3427"/>
            <w:vAlign w:val="top"/>
          </w:tcPr>
          <w:p>
            <w:pPr>
              <w:spacing w:after="0"/>
            </w:pPr>
            <w:r>
              <w:rPr>
                <w:sz w:val="14"/>
              </w:rPr>
              <w:t>Trade diversion, price pass-through, layoffs, inventories, substitution</w:t>
            </w:r>
          </w:p>
        </w:tc>
      </w:tr>
      <w:tr>
        <w:tc>
          <w:tcPr>
            <w:tcW w:type="dxa" w:w="3427"/>
            <w:vAlign w:val="top"/>
          </w:tcPr>
          <w:p>
            <w:pPr>
              <w:spacing w:after="0"/>
            </w:pPr>
            <w:r>
              <w:rPr>
                <w:sz w:val="14"/>
              </w:rPr>
              <w:t>Public/narrative environment</w:t>
            </w:r>
          </w:p>
        </w:tc>
        <w:tc>
          <w:tcPr>
            <w:tcW w:type="dxa" w:w="3427"/>
            <w:vAlign w:val="top"/>
          </w:tcPr>
          <w:p>
            <w:pPr>
              <w:spacing w:after="0"/>
            </w:pPr>
            <w:r>
              <w:rPr>
                <w:sz w:val="14"/>
              </w:rPr>
              <w:t>10%</w:t>
            </w:r>
          </w:p>
        </w:tc>
        <w:tc>
          <w:tcPr>
            <w:tcW w:type="dxa" w:w="3427"/>
            <w:vAlign w:val="top"/>
          </w:tcPr>
          <w:p>
            <w:pPr>
              <w:spacing w:after="0"/>
            </w:pPr>
            <w:r>
              <w:rPr>
                <w:sz w:val="14"/>
              </w:rPr>
              <w:t>Salience, tolerance, perceived fairness, appetite for compromise</w:t>
            </w:r>
          </w:p>
        </w:tc>
      </w:tr>
      <w:tr>
        <w:tc>
          <w:tcPr>
            <w:tcW w:type="dxa" w:w="3427"/>
            <w:vAlign w:val="top"/>
          </w:tcPr>
          <w:p>
            <w:pPr>
              <w:spacing w:after="0"/>
            </w:pPr>
            <w:r>
              <w:rPr>
                <w:sz w:val="14"/>
              </w:rPr>
              <w:t>Allied/third-country context</w:t>
            </w:r>
          </w:p>
        </w:tc>
        <w:tc>
          <w:tcPr>
            <w:tcW w:type="dxa" w:w="3427"/>
            <w:vAlign w:val="top"/>
          </w:tcPr>
          <w:p>
            <w:pPr>
              <w:spacing w:after="0"/>
            </w:pPr>
            <w:r>
              <w:rPr>
                <w:sz w:val="14"/>
              </w:rPr>
              <w:t>5%</w:t>
            </w:r>
          </w:p>
        </w:tc>
        <w:tc>
          <w:tcPr>
            <w:tcW w:type="dxa" w:w="3427"/>
            <w:vAlign w:val="top"/>
          </w:tcPr>
          <w:p>
            <w:pPr>
              <w:spacing w:after="0"/>
            </w:pPr>
            <w:r>
              <w:rPr>
                <w:sz w:val="14"/>
              </w:rPr>
              <w:t>Coalition pressure, mediation, parallel disputes</w:t>
            </w:r>
          </w:p>
        </w:tc>
      </w:tr>
      <w:tr>
        <w:tc>
          <w:tcPr>
            <w:tcW w:type="dxa" w:w="3427"/>
            <w:vAlign w:val="top"/>
          </w:tcPr>
          <w:p>
            <w:pPr>
              <w:spacing w:after="0"/>
            </w:pPr>
            <w:r>
              <w:rPr>
                <w:sz w:val="14"/>
              </w:rPr>
              <w:t>Canadian cohesion/endurance</w:t>
            </w:r>
          </w:p>
        </w:tc>
        <w:tc>
          <w:tcPr>
            <w:tcW w:type="dxa" w:w="3427"/>
            <w:vAlign w:val="top"/>
          </w:tcPr>
          <w:p>
            <w:pPr>
              <w:spacing w:after="0"/>
            </w:pPr>
            <w:r>
              <w:rPr>
                <w:sz w:val="14"/>
              </w:rPr>
              <w:t>5%</w:t>
            </w:r>
          </w:p>
        </w:tc>
        <w:tc>
          <w:tcPr>
            <w:tcW w:type="dxa" w:w="3427"/>
            <w:vAlign w:val="top"/>
          </w:tcPr>
          <w:p>
            <w:pPr>
              <w:spacing w:after="0"/>
            </w:pPr>
            <w:r>
              <w:rPr>
                <w:sz w:val="14"/>
              </w:rPr>
              <w:t>Provincial alignment, support capacity, domestic tolerance</w:t>
            </w:r>
          </w:p>
        </w:tc>
      </w:tr>
      <w:tr>
        <w:tc>
          <w:tcPr>
            <w:tcW w:type="dxa" w:w="3427"/>
            <w:vAlign w:val="top"/>
          </w:tcPr>
          <w:p>
            <w:pPr>
              <w:spacing w:after="0"/>
            </w:pPr>
            <w:r>
              <w:rPr>
                <w:sz w:val="14"/>
              </w:rPr>
              <w:t>Security/shock context</w:t>
            </w:r>
          </w:p>
        </w:tc>
        <w:tc>
          <w:tcPr>
            <w:tcW w:type="dxa" w:w="3427"/>
            <w:vAlign w:val="top"/>
          </w:tcPr>
          <w:p>
            <w:pPr>
              <w:spacing w:after="0"/>
            </w:pPr>
            <w:r>
              <w:rPr>
                <w:sz w:val="14"/>
              </w:rPr>
              <w:t>5%</w:t>
            </w:r>
          </w:p>
        </w:tc>
        <w:tc>
          <w:tcPr>
            <w:tcW w:type="dxa" w:w="3427"/>
            <w:vAlign w:val="top"/>
          </w:tcPr>
          <w:p>
            <w:pPr>
              <w:spacing w:after="0"/>
            </w:pPr>
            <w:r>
              <w:rPr>
                <w:sz w:val="14"/>
              </w:rPr>
              <w:t>Relevant authorized threat or crisis conditions</w:t>
            </w:r>
          </w:p>
        </w:tc>
      </w:tr>
    </w:tbl>
    <w:p>
      <w:r>
        <w:rPr>
          <w:b w:val="0"/>
          <w:i w:val="0"/>
        </w:rPr>
        <w:t>The team may alter weights for a specific crisis, but every change must be documented. Scores never override qualitative judgement.</w:t>
      </w:r>
    </w:p>
    <w:p>
      <w:r>
        <w:br w:type="page"/>
      </w:r>
    </w:p>
    <w:p>
      <w:pPr>
        <w:pStyle w:val="Heading1"/>
        <w:keepNext/>
        <w:spacing w:before="120" w:after="50"/>
      </w:pPr>
      <w:r>
        <w:t>17. DPA Probability Bands and Decision Posture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Band</w:t>
            </w:r>
          </w:p>
        </w:tc>
        <w:tc>
          <w:tcPr>
            <w:tcW w:type="dxa" w:w="3427"/>
            <w:shd w:fill="D9E5F2"/>
          </w:tcPr>
          <w:p>
            <w:r>
              <w:rPr>
                <w:b/>
                <w:sz w:val="14"/>
              </w:rPr>
              <w:t>Interpretation</w:t>
            </w:r>
          </w:p>
        </w:tc>
        <w:tc>
          <w:tcPr>
            <w:tcW w:type="dxa" w:w="3427"/>
            <w:shd w:fill="D9E5F2"/>
          </w:tcPr>
          <w:p>
            <w:r>
              <w:rPr>
                <w:b/>
                <w:sz w:val="14"/>
              </w:rPr>
              <w:t>Default posture</w:t>
            </w:r>
          </w:p>
        </w:tc>
      </w:tr>
      <w:tr>
        <w:tc>
          <w:tcPr>
            <w:tcW w:type="dxa" w:w="3427"/>
            <w:vAlign w:val="top"/>
          </w:tcPr>
          <w:p>
            <w:pPr>
              <w:spacing w:after="0"/>
            </w:pPr>
            <w:r>
              <w:rPr>
                <w:sz w:val="14"/>
              </w:rPr>
              <w:t>0–20%</w:t>
            </w:r>
          </w:p>
        </w:tc>
        <w:tc>
          <w:tcPr>
            <w:tcW w:type="dxa" w:w="3427"/>
            <w:vAlign w:val="top"/>
          </w:tcPr>
          <w:p>
            <w:pPr>
              <w:spacing w:after="0"/>
            </w:pPr>
            <w:r>
              <w:rPr>
                <w:sz w:val="14"/>
              </w:rPr>
              <w:t>Settlement opening remote</w:t>
            </w:r>
          </w:p>
        </w:tc>
        <w:tc>
          <w:tcPr>
            <w:tcW w:type="dxa" w:w="3427"/>
            <w:vAlign w:val="top"/>
          </w:tcPr>
          <w:p>
            <w:pPr>
              <w:spacing w:after="0"/>
            </w:pPr>
            <w:r>
              <w:rPr>
                <w:sz w:val="14"/>
              </w:rPr>
              <w:t>Protect endurance; diversify; keep channels open; avoid performative concessions.</w:t>
            </w:r>
          </w:p>
        </w:tc>
      </w:tr>
      <w:tr>
        <w:tc>
          <w:tcPr>
            <w:tcW w:type="dxa" w:w="3427"/>
            <w:vAlign w:val="top"/>
          </w:tcPr>
          <w:p>
            <w:pPr>
              <w:spacing w:after="0"/>
            </w:pPr>
            <w:r>
              <w:rPr>
                <w:sz w:val="14"/>
              </w:rPr>
              <w:t>21–40%</w:t>
            </w:r>
          </w:p>
        </w:tc>
        <w:tc>
          <w:tcPr>
            <w:tcW w:type="dxa" w:w="3427"/>
            <w:vAlign w:val="top"/>
          </w:tcPr>
          <w:p>
            <w:pPr>
              <w:spacing w:after="0"/>
            </w:pPr>
            <w:r>
              <w:rPr>
                <w:sz w:val="14"/>
              </w:rPr>
              <w:t>Weak opening</w:t>
            </w:r>
          </w:p>
        </w:tc>
        <w:tc>
          <w:tcPr>
            <w:tcW w:type="dxa" w:w="3427"/>
            <w:vAlign w:val="top"/>
          </w:tcPr>
          <w:p>
            <w:pPr>
              <w:spacing w:after="0"/>
            </w:pPr>
            <w:r>
              <w:rPr>
                <w:sz w:val="14"/>
              </w:rPr>
              <w:t>Prepare offers and verification quietly; test counterpart seriousness.</w:t>
            </w:r>
          </w:p>
        </w:tc>
      </w:tr>
      <w:tr>
        <w:tc>
          <w:tcPr>
            <w:tcW w:type="dxa" w:w="3427"/>
            <w:vAlign w:val="top"/>
          </w:tcPr>
          <w:p>
            <w:pPr>
              <w:spacing w:after="0"/>
            </w:pPr>
            <w:r>
              <w:rPr>
                <w:sz w:val="14"/>
              </w:rPr>
              <w:t>41–60%</w:t>
            </w:r>
          </w:p>
        </w:tc>
        <w:tc>
          <w:tcPr>
            <w:tcW w:type="dxa" w:w="3427"/>
            <w:vAlign w:val="top"/>
          </w:tcPr>
          <w:p>
            <w:pPr>
              <w:spacing w:after="0"/>
            </w:pPr>
            <w:r>
              <w:rPr>
                <w:sz w:val="14"/>
              </w:rPr>
              <w:t>Contested / fluid</w:t>
            </w:r>
          </w:p>
        </w:tc>
        <w:tc>
          <w:tcPr>
            <w:tcW w:type="dxa" w:w="3427"/>
            <w:vAlign w:val="top"/>
          </w:tcPr>
          <w:p>
            <w:pPr>
              <w:spacing w:after="0"/>
            </w:pPr>
            <w:r>
              <w:rPr>
                <w:sz w:val="14"/>
              </w:rPr>
              <w:t>Increase diplomatic tempo; pre-clear reciprocal moves; avoid unnecessary new escalation.</w:t>
            </w:r>
          </w:p>
        </w:tc>
      </w:tr>
      <w:tr>
        <w:tc>
          <w:tcPr>
            <w:tcW w:type="dxa" w:w="3427"/>
            <w:vAlign w:val="top"/>
          </w:tcPr>
          <w:p>
            <w:pPr>
              <w:spacing w:after="0"/>
            </w:pPr>
            <w:r>
              <w:rPr>
                <w:sz w:val="14"/>
              </w:rPr>
              <w:t>61–80%</w:t>
            </w:r>
          </w:p>
        </w:tc>
        <w:tc>
          <w:tcPr>
            <w:tcW w:type="dxa" w:w="3427"/>
            <w:vAlign w:val="top"/>
          </w:tcPr>
          <w:p>
            <w:pPr>
              <w:spacing w:after="0"/>
            </w:pPr>
            <w:r>
              <w:rPr>
                <w:sz w:val="14"/>
              </w:rPr>
              <w:t>Credible opening</w:t>
            </w:r>
          </w:p>
        </w:tc>
        <w:tc>
          <w:tcPr>
            <w:tcW w:type="dxa" w:w="3427"/>
            <w:vAlign w:val="top"/>
          </w:tcPr>
          <w:p>
            <w:pPr>
              <w:spacing w:after="0"/>
            </w:pPr>
            <w:r>
              <w:rPr>
                <w:sz w:val="14"/>
              </w:rPr>
              <w:t>Table executable package; align provinces; prepare rapid suspension/reduction instruments.</w:t>
            </w:r>
          </w:p>
        </w:tc>
      </w:tr>
      <w:tr>
        <w:tc>
          <w:tcPr>
            <w:tcW w:type="dxa" w:w="3427"/>
            <w:vAlign w:val="top"/>
          </w:tcPr>
          <w:p>
            <w:pPr>
              <w:spacing w:after="0"/>
            </w:pPr>
            <w:r>
              <w:rPr>
                <w:sz w:val="14"/>
              </w:rPr>
              <w:t>81–100%</w:t>
            </w:r>
          </w:p>
        </w:tc>
        <w:tc>
          <w:tcPr>
            <w:tcW w:type="dxa" w:w="3427"/>
            <w:vAlign w:val="top"/>
          </w:tcPr>
          <w:p>
            <w:pPr>
              <w:spacing w:after="0"/>
            </w:pPr>
            <w:r>
              <w:rPr>
                <w:sz w:val="14"/>
              </w:rPr>
              <w:t>High-probability near-term deal</w:t>
            </w:r>
          </w:p>
        </w:tc>
        <w:tc>
          <w:tcPr>
            <w:tcW w:type="dxa" w:w="3427"/>
            <w:vAlign w:val="top"/>
          </w:tcPr>
          <w:p>
            <w:pPr>
              <w:spacing w:after="0"/>
            </w:pPr>
            <w:r>
              <w:rPr>
                <w:sz w:val="14"/>
              </w:rPr>
              <w:t>Shift from pressure generation to implementation protection, verification and anti-whipsaw safeguards.</w:t>
            </w:r>
          </w:p>
        </w:tc>
      </w:tr>
    </w:tbl>
    <w:p>
      <w:pPr>
        <w:pStyle w:val="Heading2"/>
        <w:keepNext/>
        <w:spacing w:before="120" w:after="50"/>
      </w:pPr>
      <w:r>
        <w:t>Anti-Gaming Rule</w:t>
      </w:r>
    </w:p>
    <w:p>
      <w:r>
        <w:rPr>
          <w:b w:val="0"/>
          <w:i w:val="0"/>
        </w:rPr>
        <w:t>No department may improve a DPA score by relabelling an unchanged position as a concession. Movement requires a change in observable behaviour, legal posture, implementation, or negotiating substance.</w:t>
      </w:r>
    </w:p>
    <w:p>
      <w:pPr>
        <w:pStyle w:val="Heading2"/>
        <w:keepNext/>
        <w:spacing w:before="120" w:after="50"/>
      </w:pPr>
      <w:r>
        <w:t>Dissent Box</w:t>
      </w:r>
    </w:p>
    <w:p>
      <w:r>
        <w:rPr>
          <w:b w:val="0"/>
          <w:i w:val="0"/>
        </w:rPr>
        <w:t>Every DPA includes a mandatory dissent field: 'The strongest case that this assessment is wrong is...' If no dissent exists, the chair must assign a red team to construct one.</w:t>
      </w:r>
    </w:p>
    <w:p>
      <w:r>
        <w:br w:type="page"/>
      </w:r>
    </w:p>
    <w:p>
      <w:pPr>
        <w:pStyle w:val="Heading1"/>
        <w:keepNext/>
        <w:spacing w:before="120" w:after="50"/>
      </w:pPr>
      <w:r>
        <w:t>18. DPA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Entry</w:t>
            </w:r>
          </w:p>
        </w:tc>
      </w:tr>
      <w:tr>
        <w:tc>
          <w:tcPr>
            <w:tcW w:type="dxa" w:w="5141"/>
            <w:vAlign w:val="top"/>
          </w:tcPr>
          <w:p>
            <w:pPr>
              <w:spacing w:after="0"/>
            </w:pPr>
            <w:r>
              <w:rPr>
                <w:sz w:val="15"/>
              </w:rPr>
              <w:t>Assessment date / cutoff</w:t>
            </w:r>
          </w:p>
        </w:tc>
        <w:tc>
          <w:tcPr>
            <w:tcW w:type="dxa" w:w="5141"/>
            <w:vAlign w:val="top"/>
          </w:tcPr>
          <w:p>
            <w:pPr>
              <w:spacing w:after="0"/>
            </w:pPr>
            <w:r>
              <w:rPr>
                <w:sz w:val="15"/>
              </w:rPr>
            </w:r>
          </w:p>
        </w:tc>
      </w:tr>
      <w:tr>
        <w:tc>
          <w:tcPr>
            <w:tcW w:type="dxa" w:w="5141"/>
            <w:vAlign w:val="top"/>
          </w:tcPr>
          <w:p>
            <w:pPr>
              <w:spacing w:after="0"/>
            </w:pPr>
            <w:r>
              <w:rPr>
                <w:sz w:val="15"/>
              </w:rPr>
              <w:t>7-day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30-day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90-day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12-month normalization probability</w:t>
            </w:r>
          </w:p>
        </w:tc>
        <w:tc>
          <w:tcPr>
            <w:tcW w:type="dxa" w:w="5141"/>
            <w:vAlign w:val="top"/>
          </w:tcPr>
          <w:p>
            <w:pPr>
              <w:spacing w:after="0"/>
            </w:pPr>
            <w:r>
              <w:rPr>
                <w:sz w:val="15"/>
              </w:rPr>
              <w:t>___% range / confidence ___ / direction ___</w:t>
            </w:r>
          </w:p>
        </w:tc>
      </w:tr>
      <w:tr>
        <w:tc>
          <w:tcPr>
            <w:tcW w:type="dxa" w:w="5141"/>
            <w:vAlign w:val="top"/>
          </w:tcPr>
          <w:p>
            <w:pPr>
              <w:spacing w:after="0"/>
            </w:pPr>
            <w:r>
              <w:rPr>
                <w:sz w:val="15"/>
              </w:rPr>
              <w:t>Most important positive signal</w:t>
            </w:r>
          </w:p>
        </w:tc>
        <w:tc>
          <w:tcPr>
            <w:tcW w:type="dxa" w:w="5141"/>
            <w:vAlign w:val="top"/>
          </w:tcPr>
          <w:p>
            <w:pPr>
              <w:spacing w:after="0"/>
            </w:pPr>
            <w:r>
              <w:rPr>
                <w:sz w:val="15"/>
              </w:rPr>
            </w:r>
          </w:p>
        </w:tc>
      </w:tr>
      <w:tr>
        <w:tc>
          <w:tcPr>
            <w:tcW w:type="dxa" w:w="5141"/>
            <w:vAlign w:val="top"/>
          </w:tcPr>
          <w:p>
            <w:pPr>
              <w:spacing w:after="0"/>
            </w:pPr>
            <w:r>
              <w:rPr>
                <w:sz w:val="15"/>
              </w:rPr>
              <w:t>Most important negative signal</w:t>
            </w:r>
          </w:p>
        </w:tc>
        <w:tc>
          <w:tcPr>
            <w:tcW w:type="dxa" w:w="5141"/>
            <w:vAlign w:val="top"/>
          </w:tcPr>
          <w:p>
            <w:pPr>
              <w:spacing w:after="0"/>
            </w:pPr>
            <w:r>
              <w:rPr>
                <w:sz w:val="15"/>
              </w:rPr>
            </w:r>
          </w:p>
        </w:tc>
      </w:tr>
      <w:tr>
        <w:tc>
          <w:tcPr>
            <w:tcW w:type="dxa" w:w="5141"/>
            <w:vAlign w:val="top"/>
          </w:tcPr>
          <w:p>
            <w:pPr>
              <w:spacing w:after="0"/>
            </w:pPr>
            <w:r>
              <w:rPr>
                <w:sz w:val="15"/>
              </w:rPr>
              <w:t>New evidence since last DPA</w:t>
            </w:r>
          </w:p>
        </w:tc>
        <w:tc>
          <w:tcPr>
            <w:tcW w:type="dxa" w:w="5141"/>
            <w:vAlign w:val="top"/>
          </w:tcPr>
          <w:p>
            <w:pPr>
              <w:spacing w:after="0"/>
            </w:pPr>
            <w:r>
              <w:rPr>
                <w:sz w:val="15"/>
              </w:rPr>
            </w:r>
          </w:p>
        </w:tc>
      </w:tr>
      <w:tr>
        <w:tc>
          <w:tcPr>
            <w:tcW w:type="dxa" w:w="5141"/>
            <w:vAlign w:val="top"/>
          </w:tcPr>
          <w:p>
            <w:pPr>
              <w:spacing w:after="0"/>
            </w:pPr>
            <w:r>
              <w:rPr>
                <w:sz w:val="15"/>
              </w:rPr>
              <w:t>Evidence discounted and why</w:t>
            </w:r>
          </w:p>
        </w:tc>
        <w:tc>
          <w:tcPr>
            <w:tcW w:type="dxa" w:w="5141"/>
            <w:vAlign w:val="top"/>
          </w:tcPr>
          <w:p>
            <w:pPr>
              <w:spacing w:after="0"/>
            </w:pPr>
            <w:r>
              <w:rPr>
                <w:sz w:val="15"/>
              </w:rPr>
            </w:r>
          </w:p>
        </w:tc>
      </w:tr>
      <w:tr>
        <w:tc>
          <w:tcPr>
            <w:tcW w:type="dxa" w:w="5141"/>
            <w:vAlign w:val="top"/>
          </w:tcPr>
          <w:p>
            <w:pPr>
              <w:spacing w:after="0"/>
            </w:pPr>
            <w:r>
              <w:rPr>
                <w:sz w:val="15"/>
              </w:rPr>
              <w:t>Top uncertainty</w:t>
            </w:r>
          </w:p>
        </w:tc>
        <w:tc>
          <w:tcPr>
            <w:tcW w:type="dxa" w:w="5141"/>
            <w:vAlign w:val="top"/>
          </w:tcPr>
          <w:p>
            <w:pPr>
              <w:spacing w:after="0"/>
            </w:pPr>
            <w:r>
              <w:rPr>
                <w:sz w:val="15"/>
              </w:rPr>
            </w:r>
          </w:p>
        </w:tc>
      </w:tr>
      <w:tr>
        <w:tc>
          <w:tcPr>
            <w:tcW w:type="dxa" w:w="5141"/>
            <w:vAlign w:val="top"/>
          </w:tcPr>
          <w:p>
            <w:pPr>
              <w:spacing w:after="0"/>
            </w:pPr>
            <w:r>
              <w:rPr>
                <w:sz w:val="15"/>
              </w:rPr>
              <w:t>Strongest alternative hypothesis</w:t>
            </w:r>
          </w:p>
        </w:tc>
        <w:tc>
          <w:tcPr>
            <w:tcW w:type="dxa" w:w="5141"/>
            <w:vAlign w:val="top"/>
          </w:tcPr>
          <w:p>
            <w:pPr>
              <w:spacing w:after="0"/>
            </w:pPr>
            <w:r>
              <w:rPr>
                <w:sz w:val="15"/>
              </w:rPr>
            </w:r>
          </w:p>
        </w:tc>
      </w:tr>
      <w:tr>
        <w:tc>
          <w:tcPr>
            <w:tcW w:type="dxa" w:w="5141"/>
            <w:vAlign w:val="top"/>
          </w:tcPr>
          <w:p>
            <w:pPr>
              <w:spacing w:after="0"/>
            </w:pPr>
            <w:r>
              <w:rPr>
                <w:sz w:val="15"/>
              </w:rPr>
              <w:t>Dissenting assessment</w:t>
            </w:r>
          </w:p>
        </w:tc>
        <w:tc>
          <w:tcPr>
            <w:tcW w:type="dxa" w:w="5141"/>
            <w:vAlign w:val="top"/>
          </w:tcPr>
          <w:p>
            <w:pPr>
              <w:spacing w:after="0"/>
            </w:pPr>
            <w:r>
              <w:rPr>
                <w:sz w:val="15"/>
              </w:rPr>
            </w:r>
          </w:p>
        </w:tc>
      </w:tr>
      <w:tr>
        <w:tc>
          <w:tcPr>
            <w:tcW w:type="dxa" w:w="5141"/>
            <w:vAlign w:val="top"/>
          </w:tcPr>
          <w:p>
            <w:pPr>
              <w:spacing w:after="0"/>
            </w:pPr>
            <w:r>
              <w:rPr>
                <w:sz w:val="15"/>
              </w:rPr>
              <w:t>Next observable trigger</w:t>
            </w:r>
          </w:p>
        </w:tc>
        <w:tc>
          <w:tcPr>
            <w:tcW w:type="dxa" w:w="5141"/>
            <w:vAlign w:val="top"/>
          </w:tcPr>
          <w:p>
            <w:pPr>
              <w:spacing w:after="0"/>
            </w:pPr>
            <w:r>
              <w:rPr>
                <w:sz w:val="15"/>
              </w:rPr>
            </w:r>
          </w:p>
        </w:tc>
      </w:tr>
      <w:tr>
        <w:tc>
          <w:tcPr>
            <w:tcW w:type="dxa" w:w="5141"/>
            <w:vAlign w:val="top"/>
          </w:tcPr>
          <w:p>
            <w:pPr>
              <w:spacing w:after="0"/>
            </w:pPr>
            <w:r>
              <w:rPr>
                <w:sz w:val="15"/>
              </w:rPr>
              <w:t>Recommended Canadian preparation</w:t>
            </w:r>
          </w:p>
        </w:tc>
        <w:tc>
          <w:tcPr>
            <w:tcW w:type="dxa" w:w="5141"/>
            <w:vAlign w:val="top"/>
          </w:tcPr>
          <w:p>
            <w:pPr>
              <w:spacing w:after="0"/>
            </w:pPr>
            <w:r>
              <w:rPr>
                <w:sz w:val="15"/>
              </w:rPr>
            </w:r>
          </w:p>
        </w:tc>
      </w:tr>
      <w:tr>
        <w:tc>
          <w:tcPr>
            <w:tcW w:type="dxa" w:w="5141"/>
            <w:vAlign w:val="top"/>
          </w:tcPr>
          <w:p>
            <w:pPr>
              <w:spacing w:after="0"/>
            </w:pPr>
            <w:r>
              <w:rPr>
                <w:sz w:val="15"/>
              </w:rPr>
              <w:t>Pre-cleared off-ramp action</w:t>
            </w:r>
          </w:p>
        </w:tc>
        <w:tc>
          <w:tcPr>
            <w:tcW w:type="dxa" w:w="5141"/>
            <w:vAlign w:val="top"/>
          </w:tcPr>
          <w:p>
            <w:pPr>
              <w:spacing w:after="0"/>
            </w:pPr>
            <w:r>
              <w:rPr>
                <w:sz w:val="15"/>
              </w:rPr>
            </w:r>
          </w:p>
        </w:tc>
      </w:tr>
      <w:tr>
        <w:tc>
          <w:tcPr>
            <w:tcW w:type="dxa" w:w="5141"/>
            <w:vAlign w:val="top"/>
          </w:tcPr>
          <w:p>
            <w:pPr>
              <w:spacing w:after="0"/>
            </w:pPr>
            <w:r>
              <w:rPr>
                <w:sz w:val="15"/>
              </w:rPr>
              <w:t>Next assessment</w:t>
            </w:r>
          </w:p>
        </w:tc>
        <w:tc>
          <w:tcPr>
            <w:tcW w:type="dxa" w:w="5141"/>
            <w:vAlign w:val="top"/>
          </w:tcPr>
          <w:p>
            <w:pPr>
              <w:spacing w:after="0"/>
            </w:pPr>
            <w:r>
              <w:rPr>
                <w:sz w:val="15"/>
              </w:rPr>
            </w:r>
          </w:p>
        </w:tc>
      </w:tr>
    </w:tbl>
    <w:p>
      <w:pPr>
        <w:pStyle w:val="Heading2"/>
        <w:keepNext/>
        <w:spacing w:before="120" w:after="50"/>
      </w:pPr>
      <w:r>
        <w:t>One-Sentence Ministerial Bottom Line</w:t>
      </w:r>
    </w:p>
    <w:p>
      <w:r>
        <w:rPr>
          <w:b w:val="0"/>
          <w:i w:val="0"/>
        </w:rPr>
        <w:t>Example structure: 'The 30-day probability of a material negotiated reduction is assessed at 45–60%, moderate confidence, rising from last week because [verified factors], but a deal remains vulnerable to [blockers]; Canada should [preparation] while preserving [red line].'</w:t>
      </w:r>
    </w:p>
    <w:p>
      <w:r>
        <w:br w:type="page"/>
      </w:r>
    </w:p>
    <w:p>
      <w:pPr>
        <w:pStyle w:val="Heading1"/>
        <w:keepNext/>
        <w:spacing w:before="120" w:after="50"/>
      </w:pPr>
      <w:r>
        <w:t>19. Escalation Warning Indicators: Architecture</w:t>
      </w:r>
    </w:p>
    <w:p>
      <w:r>
        <w:rPr>
          <w:b w:val="0"/>
          <w:i w:val="0"/>
        </w:rPr>
        <w:t>The warning system looks for combinations of indicators rather than dramatic single events.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Level</w:t>
            </w:r>
          </w:p>
        </w:tc>
        <w:tc>
          <w:tcPr>
            <w:tcW w:type="dxa" w:w="3427"/>
            <w:shd w:fill="D9E5F2"/>
          </w:tcPr>
          <w:p>
            <w:r>
              <w:rPr>
                <w:b/>
                <w:sz w:val="14"/>
              </w:rPr>
              <w:t>Meaning</w:t>
            </w:r>
          </w:p>
        </w:tc>
        <w:tc>
          <w:tcPr>
            <w:tcW w:type="dxa" w:w="3427"/>
            <w:shd w:fill="D9E5F2"/>
          </w:tcPr>
          <w:p>
            <w:r>
              <w:rPr>
                <w:b/>
                <w:sz w:val="14"/>
              </w:rPr>
              <w:t>Response</w:t>
            </w:r>
          </w:p>
        </w:tc>
      </w:tr>
      <w:tr>
        <w:tc>
          <w:tcPr>
            <w:tcW w:type="dxa" w:w="3427"/>
            <w:vAlign w:val="top"/>
          </w:tcPr>
          <w:p>
            <w:pPr>
              <w:spacing w:after="0"/>
            </w:pPr>
            <w:r>
              <w:rPr>
                <w:sz w:val="14"/>
              </w:rPr>
              <w:t>GREEN</w:t>
            </w:r>
          </w:p>
        </w:tc>
        <w:tc>
          <w:tcPr>
            <w:tcW w:type="dxa" w:w="3427"/>
            <w:vAlign w:val="top"/>
          </w:tcPr>
          <w:p>
            <w:pPr>
              <w:spacing w:after="0"/>
            </w:pPr>
            <w:r>
              <w:rPr>
                <w:sz w:val="14"/>
              </w:rPr>
              <w:t>Normal friction / no material new escalation evidence</w:t>
            </w:r>
          </w:p>
        </w:tc>
        <w:tc>
          <w:tcPr>
            <w:tcW w:type="dxa" w:w="3427"/>
            <w:vAlign w:val="top"/>
          </w:tcPr>
          <w:p>
            <w:pPr>
              <w:spacing w:after="0"/>
            </w:pPr>
            <w:r>
              <w:rPr>
                <w:sz w:val="14"/>
              </w:rPr>
              <w:t>Routine monitoring</w:t>
            </w:r>
          </w:p>
        </w:tc>
      </w:tr>
      <w:tr>
        <w:tc>
          <w:tcPr>
            <w:tcW w:type="dxa" w:w="3427"/>
            <w:vAlign w:val="top"/>
          </w:tcPr>
          <w:p>
            <w:pPr>
              <w:spacing w:after="0"/>
            </w:pPr>
            <w:r>
              <w:rPr>
                <w:sz w:val="14"/>
              </w:rPr>
              <w:t>YELLOW</w:t>
            </w:r>
          </w:p>
        </w:tc>
        <w:tc>
          <w:tcPr>
            <w:tcW w:type="dxa" w:w="3427"/>
            <w:vAlign w:val="top"/>
          </w:tcPr>
          <w:p>
            <w:pPr>
              <w:spacing w:after="0"/>
            </w:pPr>
            <w:r>
              <w:rPr>
                <w:sz w:val="14"/>
              </w:rPr>
              <w:t>One or more credible preparatory signals</w:t>
            </w:r>
          </w:p>
        </w:tc>
        <w:tc>
          <w:tcPr>
            <w:tcW w:type="dxa" w:w="3427"/>
            <w:vAlign w:val="top"/>
          </w:tcPr>
          <w:p>
            <w:pPr>
              <w:spacing w:after="0"/>
            </w:pPr>
            <w:r>
              <w:rPr>
                <w:sz w:val="14"/>
              </w:rPr>
              <w:t>Increase collection from lawful streams; validate; scenario review</w:t>
            </w:r>
          </w:p>
        </w:tc>
      </w:tr>
      <w:tr>
        <w:tc>
          <w:tcPr>
            <w:tcW w:type="dxa" w:w="3427"/>
            <w:vAlign w:val="top"/>
          </w:tcPr>
          <w:p>
            <w:pPr>
              <w:spacing w:after="0"/>
            </w:pPr>
            <w:r>
              <w:rPr>
                <w:sz w:val="14"/>
              </w:rPr>
              <w:t>ORANGE</w:t>
            </w:r>
          </w:p>
        </w:tc>
        <w:tc>
          <w:tcPr>
            <w:tcW w:type="dxa" w:w="3427"/>
            <w:vAlign w:val="top"/>
          </w:tcPr>
          <w:p>
            <w:pPr>
              <w:spacing w:after="0"/>
            </w:pPr>
            <w:r>
              <w:rPr>
                <w:sz w:val="14"/>
              </w:rPr>
              <w:t>Multiple corroborated signals or concrete implementation preparation</w:t>
            </w:r>
          </w:p>
        </w:tc>
        <w:tc>
          <w:tcPr>
            <w:tcW w:type="dxa" w:w="3427"/>
            <w:vAlign w:val="top"/>
          </w:tcPr>
          <w:p>
            <w:pPr>
              <w:spacing w:after="0"/>
            </w:pPr>
            <w:r>
              <w:rPr>
                <w:sz w:val="14"/>
              </w:rPr>
              <w:t>Senior warning; legal/economic readiness; provincial coordination; support preparation</w:t>
            </w:r>
          </w:p>
        </w:tc>
      </w:tr>
      <w:tr>
        <w:tc>
          <w:tcPr>
            <w:tcW w:type="dxa" w:w="3427"/>
            <w:vAlign w:val="top"/>
          </w:tcPr>
          <w:p>
            <w:pPr>
              <w:spacing w:after="0"/>
            </w:pPr>
            <w:r>
              <w:rPr>
                <w:sz w:val="14"/>
              </w:rPr>
              <w:t>RED</w:t>
            </w:r>
          </w:p>
        </w:tc>
        <w:tc>
          <w:tcPr>
            <w:tcW w:type="dxa" w:w="3427"/>
            <w:vAlign w:val="top"/>
          </w:tcPr>
          <w:p>
            <w:pPr>
              <w:spacing w:after="0"/>
            </w:pPr>
            <w:r>
              <w:rPr>
                <w:sz w:val="14"/>
              </w:rPr>
              <w:t>Escalation announced, imminent, or operationally underway</w:t>
            </w:r>
          </w:p>
        </w:tc>
        <w:tc>
          <w:tcPr>
            <w:tcW w:type="dxa" w:w="3427"/>
            <w:vAlign w:val="top"/>
          </w:tcPr>
          <w:p>
            <w:pPr>
              <w:spacing w:after="0"/>
            </w:pPr>
            <w:r>
              <w:rPr>
                <w:sz w:val="14"/>
              </w:rPr>
              <w:t>Activate approved response process; protect essentials; open crisis communications</w:t>
            </w:r>
          </w:p>
        </w:tc>
      </w:tr>
    </w:tbl>
    <w:p>
      <w:pPr>
        <w:pStyle w:val="Heading2"/>
        <w:keepNext/>
        <w:spacing w:before="120" w:after="50"/>
      </w:pPr>
      <w:r>
        <w:t>Warning Philosophy</w:t>
      </w:r>
    </w:p>
    <w:p>
      <w:r>
        <w:rPr>
          <w:b w:val="0"/>
          <w:i w:val="0"/>
        </w:rPr>
        <w:t>A warning is not a recommendation to retaliate. It is a recommendation to prepare. The government may respond with diplomacy, litigation, support, diversification, targeted countermeasures, restraint, or a combination.</w:t>
      </w:r>
    </w:p>
    <w:p>
      <w:r>
        <w:br w:type="page"/>
      </w:r>
    </w:p>
    <w:p>
      <w:pPr>
        <w:pStyle w:val="Heading1"/>
        <w:keepNext/>
        <w:spacing w:before="120" w:after="50"/>
      </w:pPr>
      <w:r>
        <w:t>20. Executive and Negotiating Warning Indicators</w:t>
      </w:r>
    </w:p>
    <w:p>
      <w:r>
        <w:rPr>
          <w:b w:val="0"/>
          <w:i w:val="0"/>
        </w:rPr>
        <w:t>Illustrative indicators are prompts for validation, not automatic conclusions.</w:t>
      </w:r>
    </w:p>
    <w:p>
      <w:pPr>
        <w:pStyle w:val="ListBullet"/>
        <w:spacing w:after="40"/>
      </w:pPr>
      <w:r>
        <w:t>Negotiating meetings cancelled without replacement.</w:t>
      </w:r>
    </w:p>
    <w:p>
      <w:pPr>
        <w:pStyle w:val="ListBullet"/>
        <w:spacing w:after="40"/>
      </w:pPr>
      <w:r>
        <w:t>Counterpart moves from negotiable demands to non-negotiable public ultimatums.</w:t>
      </w:r>
    </w:p>
    <w:p>
      <w:pPr>
        <w:pStyle w:val="ListBullet"/>
        <w:spacing w:after="40"/>
      </w:pPr>
      <w:r>
        <w:t>Draft implementation guidance appears before talks conclude.</w:t>
      </w:r>
    </w:p>
    <w:p>
      <w:pPr>
        <w:pStyle w:val="ListBullet"/>
        <w:spacing w:after="40"/>
      </w:pPr>
      <w:r>
        <w:t>Exemption/remission channels narrow materially.</w:t>
      </w:r>
    </w:p>
    <w:p>
      <w:pPr>
        <w:pStyle w:val="ListBullet"/>
        <w:spacing w:after="40"/>
      </w:pPr>
      <w:r>
        <w:t>Senior rhetoric begins matching specific administrative preparation.</w:t>
      </w:r>
    </w:p>
    <w:p>
      <w:pPr>
        <w:pStyle w:val="ListBullet"/>
        <w:spacing w:after="40"/>
      </w:pPr>
      <w:r>
        <w:t>Previously separate sector disputes become linked into one package.</w:t>
      </w:r>
    </w:p>
    <w:p>
      <w:pPr>
        <w:pStyle w:val="ListBullet"/>
        <w:spacing w:after="40"/>
      </w:pPr>
      <w:r>
        <w:t>Counterpart refuses verification or anti-whipsaw mechanisms.</w:t>
      </w:r>
    </w:p>
    <w:p>
      <w:pPr>
        <w:pStyle w:val="ListBullet"/>
        <w:spacing w:after="40"/>
      </w:pPr>
      <w:r>
        <w:t>Canadian offers receive no substantive response while deadlines accelerate.</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21. Congressional and State Warning Indicators</w:t>
      </w:r>
    </w:p>
    <w:p>
      <w:r>
        <w:rPr>
          <w:b w:val="0"/>
          <w:i w:val="0"/>
        </w:rPr>
        <w:t>Illustrative indicators are prompts for validation, not automatic conclusions.</w:t>
      </w:r>
    </w:p>
    <w:p>
      <w:pPr>
        <w:pStyle w:val="ListBullet"/>
        <w:spacing w:after="40"/>
      </w:pPr>
      <w:r>
        <w:t>Relevant committees schedule hearings or legislation enabling broader trade restrictions.</w:t>
      </w:r>
    </w:p>
    <w:p>
      <w:pPr>
        <w:pStyle w:val="ListBullet"/>
        <w:spacing w:after="40"/>
      </w:pPr>
      <w:r>
        <w:t>Cross-party support emerges for escalation rather than sector-specific complaints.</w:t>
      </w:r>
    </w:p>
    <w:p>
      <w:pPr>
        <w:pStyle w:val="ListBullet"/>
        <w:spacing w:after="40"/>
      </w:pPr>
      <w:r>
        <w:t>State officials report imminent industrial or procurement changes tied to federal measures.</w:t>
      </w:r>
    </w:p>
    <w:p>
      <w:pPr>
        <w:pStyle w:val="ListBullet"/>
        <w:spacing w:after="40"/>
      </w:pPr>
      <w:r>
        <w:t>Letters or resolutions shift from signalling to concrete statutory asks.</w:t>
      </w:r>
    </w:p>
    <w:p>
      <w:pPr>
        <w:pStyle w:val="ListBullet"/>
        <w:spacing w:after="40"/>
      </w:pPr>
      <w:r>
        <w:t>Congressional staff indicate implementation language is being drafted.</w:t>
      </w:r>
    </w:p>
    <w:p>
      <w:pPr>
        <w:pStyle w:val="ListBullet"/>
        <w:spacing w:after="40"/>
      </w:pPr>
      <w:r>
        <w:t>Conversely, bipartisan restraint coalitions, exemption letters or oversight pressure can be de-escalation indicators.</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22. Business, Labour and Industrial Warning Indicators</w:t>
      </w:r>
    </w:p>
    <w:p>
      <w:r>
        <w:rPr>
          <w:b w:val="0"/>
          <w:i w:val="0"/>
        </w:rPr>
        <w:t>Illustrative indicators are prompts for validation, not automatic conclusions.</w:t>
      </w:r>
    </w:p>
    <w:p>
      <w:pPr>
        <w:pStyle w:val="ListBullet"/>
        <w:spacing w:after="40"/>
      </w:pPr>
      <w:r>
        <w:t>Order cancellations spread across firms rather than isolated anecdotes.</w:t>
      </w:r>
    </w:p>
    <w:p>
      <w:pPr>
        <w:pStyle w:val="ListBullet"/>
        <w:spacing w:after="40"/>
      </w:pPr>
      <w:r>
        <w:t>U.S. customers accelerate supplier replacement or contract termination.</w:t>
      </w:r>
    </w:p>
    <w:p>
      <w:pPr>
        <w:pStyle w:val="ListBullet"/>
        <w:spacing w:after="40"/>
      </w:pPr>
      <w:r>
        <w:t>Canadian firms move from contingency planning to layoffs or plant closures.</w:t>
      </w:r>
    </w:p>
    <w:p>
      <w:pPr>
        <w:pStyle w:val="ListBullet"/>
        <w:spacing w:after="40"/>
      </w:pPr>
      <w:r>
        <w:t>Inventories accumulate at border-dependent producers.</w:t>
      </w:r>
    </w:p>
    <w:p>
      <w:pPr>
        <w:pStyle w:val="ListBullet"/>
        <w:spacing w:after="40"/>
      </w:pPr>
      <w:r>
        <w:t>Insurance, credit or customs-brokerage costs rise sharply.</w:t>
      </w:r>
    </w:p>
    <w:p>
      <w:pPr>
        <w:pStyle w:val="ListBullet"/>
        <w:spacing w:after="40"/>
      </w:pPr>
      <w:r>
        <w:t>Major investment decisions are postponed explicitly because of bilateral policy uncertainty.</w:t>
      </w:r>
    </w:p>
    <w:p>
      <w:pPr>
        <w:pStyle w:val="ListBullet"/>
        <w:spacing w:after="40"/>
      </w:pPr>
      <w:r>
        <w:t>Industry associations move from private concern to coordinated emergency advocacy.</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23. Market and Macro Warning Indicators</w:t>
      </w:r>
    </w:p>
    <w:p>
      <w:r>
        <w:rPr>
          <w:b w:val="0"/>
          <w:i w:val="0"/>
        </w:rPr>
        <w:t>Illustrative indicators are prompts for validation, not automatic conclusions.</w:t>
      </w:r>
    </w:p>
    <w:p>
      <w:pPr>
        <w:pStyle w:val="ListBullet"/>
        <w:spacing w:after="40"/>
      </w:pPr>
      <w:r>
        <w:t>Persistent trade-sensitive sector repricing beyond broad-market moves.</w:t>
      </w:r>
    </w:p>
    <w:p>
      <w:pPr>
        <w:pStyle w:val="ListBullet"/>
        <w:spacing w:after="40"/>
      </w:pPr>
      <w:r>
        <w:t>Sharp freight or border-delay changes corroborated by physical-volume data.</w:t>
      </w:r>
    </w:p>
    <w:p>
      <w:pPr>
        <w:pStyle w:val="ListBullet"/>
        <w:spacing w:after="40"/>
      </w:pPr>
      <w:r>
        <w:t>Credit spreads widen for exposed sectors.</w:t>
      </w:r>
    </w:p>
    <w:p>
      <w:pPr>
        <w:pStyle w:val="ListBullet"/>
        <w:spacing w:after="40"/>
      </w:pPr>
      <w:r>
        <w:t>Commodity basis differentials suggest border or logistics impairment.</w:t>
      </w:r>
    </w:p>
    <w:p>
      <w:pPr>
        <w:pStyle w:val="ListBullet"/>
        <w:spacing w:after="40"/>
      </w:pPr>
      <w:r>
        <w:t>Exchange-rate movement is unusually large and event-linked.</w:t>
      </w:r>
    </w:p>
    <w:p>
      <w:pPr>
        <w:pStyle w:val="ListBullet"/>
        <w:spacing w:after="40"/>
      </w:pPr>
      <w:r>
        <w:t>Price/volume trade data show sustained contraction inconsistent with seasonality.</w:t>
      </w:r>
    </w:p>
    <w:p>
      <w:pPr>
        <w:pStyle w:val="ListBullet"/>
        <w:spacing w:after="40"/>
      </w:pPr>
      <w:r>
        <w:t>Warning must distinguish tariff effects from monetary policy, geopolitics, weather and global commodity cycles.</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24. Legal and Administrative Warning Indicators</w:t>
      </w:r>
    </w:p>
    <w:p>
      <w:r>
        <w:rPr>
          <w:b w:val="0"/>
          <w:i w:val="0"/>
        </w:rPr>
        <w:t>Illustrative indicators are prompts for validation, not automatic conclusions.</w:t>
      </w:r>
    </w:p>
    <w:p>
      <w:pPr>
        <w:pStyle w:val="ListBullet"/>
        <w:spacing w:after="40"/>
      </w:pPr>
      <w:r>
        <w:t>New tariff authority invoked or implementation notice published.</w:t>
      </w:r>
    </w:p>
    <w:p>
      <w:pPr>
        <w:pStyle w:val="ListBullet"/>
        <w:spacing w:after="40"/>
      </w:pPr>
      <w:r>
        <w:t>Court ruling removes a constraint on escalation or blocks an off-ramp.</w:t>
      </w:r>
    </w:p>
    <w:p>
      <w:pPr>
        <w:pStyle w:val="ListBullet"/>
        <w:spacing w:after="40"/>
      </w:pPr>
      <w:r>
        <w:t>Customs classification/origin guidance becomes more restrictive.</w:t>
      </w:r>
    </w:p>
    <w:p>
      <w:pPr>
        <w:pStyle w:val="ListBullet"/>
        <w:spacing w:after="40"/>
      </w:pPr>
      <w:r>
        <w:t>Remission/exclusion rules are withdrawn or narrowed.</w:t>
      </w:r>
    </w:p>
    <w:p>
      <w:pPr>
        <w:pStyle w:val="ListBullet"/>
        <w:spacing w:after="40"/>
      </w:pPr>
      <w:r>
        <w:t>Statutory deadlines approach without extension authority prepared.</w:t>
      </w:r>
    </w:p>
    <w:p>
      <w:pPr>
        <w:pStyle w:val="ListBullet"/>
        <w:spacing w:after="40"/>
      </w:pPr>
      <w:r>
        <w:t>Trade-remedy, procurement, export-control or investment-screening measures expand into new sectors.</w:t>
      </w:r>
    </w:p>
    <w:p>
      <w:pPr>
        <w:pStyle w:val="ListBullet"/>
        <w:spacing w:after="40"/>
      </w:pPr>
      <w:r>
        <w:t>Formal dispute channels are suspended, bypassed or exhausted.</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25. Narrative and Public-Opinion Warning Indicators</w:t>
      </w:r>
    </w:p>
    <w:p>
      <w:r>
        <w:rPr>
          <w:b w:val="0"/>
          <w:i w:val="0"/>
        </w:rPr>
        <w:t>Illustrative indicators are prompts for validation, not automatic conclusions.</w:t>
      </w:r>
    </w:p>
    <w:p>
      <w:pPr>
        <w:pStyle w:val="ListBullet"/>
        <w:spacing w:after="40"/>
      </w:pPr>
      <w:r>
        <w:t>Trade conflict becomes a sustained high-salience public issue rather than episodic news.</w:t>
      </w:r>
    </w:p>
    <w:p>
      <w:pPr>
        <w:pStyle w:val="ListBullet"/>
        <w:spacing w:after="40"/>
      </w:pPr>
      <w:r>
        <w:t>Compromise becomes framed as betrayal across multiple influential constituencies.</w:t>
      </w:r>
    </w:p>
    <w:p>
      <w:pPr>
        <w:pStyle w:val="ListBullet"/>
        <w:spacing w:after="40"/>
      </w:pPr>
      <w:r>
        <w:t>False claims about Canadian measures spread widely enough to affect policy debate.</w:t>
      </w:r>
    </w:p>
    <w:p>
      <w:pPr>
        <w:pStyle w:val="ListBullet"/>
        <w:spacing w:after="40"/>
      </w:pPr>
      <w:r>
        <w:t>Public tolerance for economic costs rises or falls materially.</w:t>
      </w:r>
    </w:p>
    <w:p>
      <w:pPr>
        <w:pStyle w:val="ListBullet"/>
        <w:spacing w:after="40"/>
      </w:pPr>
      <w:r>
        <w:t>Regional narratives diverge sharply, creating coalition-fracture risk.</w:t>
      </w:r>
    </w:p>
    <w:p>
      <w:pPr>
        <w:pStyle w:val="ListBullet"/>
        <w:spacing w:after="40"/>
      </w:pPr>
      <w:r>
        <w:t>Assessment remains aggregate and policy-focused; individuals are not profiled for political beliefs.</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26. Canadian Cohesion and Endurance Warning Indicators</w:t>
      </w:r>
    </w:p>
    <w:p>
      <w:r>
        <w:rPr>
          <w:b w:val="0"/>
          <w:i w:val="0"/>
        </w:rPr>
        <w:t>Illustrative indicators are prompts for validation, not automatic conclusions.</w:t>
      </w:r>
    </w:p>
    <w:p>
      <w:pPr>
        <w:pStyle w:val="ListBullet"/>
        <w:spacing w:after="40"/>
      </w:pPr>
      <w:r>
        <w:t>Provincial leaders publicly reject national negotiating positions without prior consultation.</w:t>
      </w:r>
    </w:p>
    <w:p>
      <w:pPr>
        <w:pStyle w:val="ListBullet"/>
        <w:spacing w:after="40"/>
      </w:pPr>
      <w:r>
        <w:t>Regional burden becomes materially asymmetric without compensation response.</w:t>
      </w:r>
    </w:p>
    <w:p>
      <w:pPr>
        <w:pStyle w:val="ListBullet"/>
        <w:spacing w:after="40"/>
      </w:pPr>
      <w:r>
        <w:t>Remission demand, layoffs, insolvencies or household price effects exceed approved thresholds.</w:t>
      </w:r>
    </w:p>
    <w:p>
      <w:pPr>
        <w:pStyle w:val="ListBullet"/>
        <w:spacing w:after="40"/>
      </w:pPr>
      <w:r>
        <w:t>Sector groups begin seeking separate U.S. arrangements because they believe national strategy will sacrifice them.</w:t>
      </w:r>
    </w:p>
    <w:p>
      <w:pPr>
        <w:pStyle w:val="ListBullet"/>
        <w:spacing w:after="40"/>
      </w:pPr>
      <w:r>
        <w:t>Support programs are announced but cannot disburse on operational timelines.</w:t>
      </w:r>
    </w:p>
    <w:p>
      <w:pPr>
        <w:pStyle w:val="ListBullet"/>
        <w:spacing w:after="40"/>
      </w:pPr>
      <w:r>
        <w:t>Public confidence declines because objectives or off-ramps are unclear.</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27. Security and Foreign-Interference Indicators</w:t>
      </w:r>
    </w:p>
    <w:p>
      <w:r>
        <w:rPr>
          <w:b w:val="0"/>
          <w:i w:val="0"/>
        </w:rPr>
        <w:t>Illustrative indicators are prompts for validation, not automatic conclusions.</w:t>
      </w:r>
    </w:p>
    <w:p>
      <w:pPr>
        <w:pStyle w:val="ListBullet"/>
        <w:spacing w:after="40"/>
      </w:pPr>
      <w:r>
        <w:t>Authorized agencies identify foreign interference or espionage relevant to Canadian economic-security decisions.</w:t>
      </w:r>
    </w:p>
    <w:p>
      <w:pPr>
        <w:pStyle w:val="ListBullet"/>
        <w:spacing w:after="40"/>
      </w:pPr>
      <w:r>
        <w:t>Cyber activity targets critical economic infrastructure in a manner linked by competent authorities to a threat actor.</w:t>
      </w:r>
    </w:p>
    <w:p>
      <w:pPr>
        <w:pStyle w:val="ListBullet"/>
        <w:spacing w:after="40"/>
      </w:pPr>
      <w:r>
        <w:t>Covert efforts seek to corrupt, intimidate or clandestinely manipulate Canadian decision processes.</w:t>
      </w:r>
    </w:p>
    <w:p>
      <w:pPr>
        <w:pStyle w:val="ListBullet"/>
        <w:spacing w:after="40"/>
      </w:pPr>
      <w:r>
        <w:t>Such reporting remains governed by existing statutory thresholds, oversight, dissemination controls and caveats.</w:t>
      </w:r>
    </w:p>
    <w:p>
      <w:pPr>
        <w:pStyle w:val="ListBullet"/>
        <w:spacing w:after="40"/>
      </w:pPr>
      <w:r>
        <w:t>Ordinary advocacy, lobbying, journalism, protests, commercial negotiation and political disagreement are not security indicators merely because they affect trade politics.</w:t>
      </w:r>
    </w:p>
    <w:p>
      <w:pPr>
        <w:pStyle w:val="Heading2"/>
        <w:keepNext/>
        <w:spacing w:before="120" w:after="50"/>
      </w:pPr>
      <w:r>
        <w:t>Corroboration Rule</w:t>
      </w:r>
    </w:p>
    <w:p>
      <w:r>
        <w:rPr>
          <w:b w:val="0"/>
          <w:i w:val="0"/>
        </w:rPr>
        <w:t>Escalate the warning level only when the indicator is authoritative on its face (for example, a published legal instrument) or is corroborated by independent evidence. Where evidence is ambiguous, record the uncertainty rather than converting suspicion into fact.</w:t>
      </w:r>
    </w:p>
    <w:p>
      <w:pPr>
        <w:pStyle w:val="Heading2"/>
        <w:keepNext/>
        <w:spacing w:before="120" w:after="50"/>
      </w:pPr>
      <w:r>
        <w:t>Required Analyst Note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Answer</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Compared with what baseline?</w:t>
            </w:r>
          </w:p>
        </w:tc>
        <w:tc>
          <w:tcPr>
            <w:tcW w:type="dxa" w:w="5141"/>
            <w:vAlign w:val="top"/>
          </w:tcPr>
          <w:p>
            <w:pPr>
              <w:spacing w:after="0"/>
            </w:pPr>
            <w:r>
              <w:rPr>
                <w:sz w:val="15"/>
              </w:rPr>
            </w:r>
          </w:p>
        </w:tc>
      </w:tr>
      <w:tr>
        <w:tc>
          <w:tcPr>
            <w:tcW w:type="dxa" w:w="5141"/>
            <w:vAlign w:val="top"/>
          </w:tcPr>
          <w:p>
            <w:pPr>
              <w:spacing w:after="0"/>
            </w:pPr>
            <w:r>
              <w:rPr>
                <w:sz w:val="15"/>
              </w:rPr>
              <w:t>How reliable is the evidence?</w:t>
            </w:r>
          </w:p>
        </w:tc>
        <w:tc>
          <w:tcPr>
            <w:tcW w:type="dxa" w:w="5141"/>
            <w:vAlign w:val="top"/>
          </w:tcPr>
          <w:p>
            <w:pPr>
              <w:spacing w:after="0"/>
            </w:pPr>
            <w:r>
              <w:rPr>
                <w:sz w:val="15"/>
              </w:rPr>
            </w:r>
          </w:p>
        </w:tc>
      </w:tr>
      <w:tr>
        <w:tc>
          <w:tcPr>
            <w:tcW w:type="dxa" w:w="5141"/>
            <w:vAlign w:val="top"/>
          </w:tcPr>
          <w:p>
            <w:pPr>
              <w:spacing w:after="0"/>
            </w:pPr>
            <w:r>
              <w:rPr>
                <w:sz w:val="15"/>
              </w:rPr>
              <w:t>What alternative explanation exists?</w:t>
            </w:r>
          </w:p>
        </w:tc>
        <w:tc>
          <w:tcPr>
            <w:tcW w:type="dxa" w:w="5141"/>
            <w:vAlign w:val="top"/>
          </w:tcPr>
          <w:p>
            <w:pPr>
              <w:spacing w:after="0"/>
            </w:pPr>
            <w:r>
              <w:rPr>
                <w:sz w:val="15"/>
              </w:rPr>
            </w:r>
          </w:p>
        </w:tc>
      </w:tr>
      <w:tr>
        <w:tc>
          <w:tcPr>
            <w:tcW w:type="dxa" w:w="5141"/>
            <w:vAlign w:val="top"/>
          </w:tcPr>
          <w:p>
            <w:pPr>
              <w:spacing w:after="0"/>
            </w:pPr>
            <w:r>
              <w:rPr>
                <w:sz w:val="15"/>
              </w:rPr>
              <w:t>What is the likely lead time?</w:t>
            </w:r>
          </w:p>
        </w:tc>
        <w:tc>
          <w:tcPr>
            <w:tcW w:type="dxa" w:w="5141"/>
            <w:vAlign w:val="top"/>
          </w:tcPr>
          <w:p>
            <w:pPr>
              <w:spacing w:after="0"/>
            </w:pPr>
            <w:r>
              <w:rPr>
                <w:sz w:val="15"/>
              </w:rPr>
            </w:r>
          </w:p>
        </w:tc>
      </w:tr>
      <w:tr>
        <w:tc>
          <w:tcPr>
            <w:tcW w:type="dxa" w:w="5141"/>
            <w:vAlign w:val="top"/>
          </w:tcPr>
          <w:p>
            <w:pPr>
              <w:spacing w:after="0"/>
            </w:pPr>
            <w:r>
              <w:rPr>
                <w:sz w:val="15"/>
              </w:rPr>
              <w:t>What Canadian preparation is reversible and prudent now?</w:t>
            </w:r>
          </w:p>
        </w:tc>
        <w:tc>
          <w:tcPr>
            <w:tcW w:type="dxa" w:w="5141"/>
            <w:vAlign w:val="top"/>
          </w:tcPr>
          <w:p>
            <w:pPr>
              <w:spacing w:after="0"/>
            </w:pPr>
            <w:r>
              <w:rPr>
                <w:sz w:val="15"/>
              </w:rPr>
            </w:r>
          </w:p>
        </w:tc>
      </w:tr>
    </w:tbl>
    <w:p>
      <w:r>
        <w:br w:type="page"/>
      </w:r>
    </w:p>
    <w:p>
      <w:pPr>
        <w:pStyle w:val="Heading1"/>
        <w:keepNext/>
        <w:spacing w:before="120" w:after="50"/>
      </w:pPr>
      <w:r>
        <w:t>28. De-escalation Indicators</w:t>
      </w:r>
    </w:p>
    <w:p>
      <w:r>
        <w:rPr>
          <w:b w:val="0"/>
          <w:i w:val="0"/>
        </w:rPr>
        <w:t>The framework must be as good at seeing peace as it is at seeing trouble.</w:t>
      </w:r>
    </w:p>
    <w:p>
      <w:pPr>
        <w:pStyle w:val="ListBullet"/>
        <w:spacing w:after="40"/>
      </w:pPr>
      <w:r>
        <w:t>Counterpart replaces maximalist public demand with a technically negotiable formulation.</w:t>
      </w:r>
    </w:p>
    <w:p>
      <w:pPr>
        <w:pStyle w:val="ListBullet"/>
        <w:spacing w:after="40"/>
      </w:pPr>
      <w:r>
        <w:t>Working-level teams resume text-based negotiations.</w:t>
      </w:r>
    </w:p>
    <w:p>
      <w:pPr>
        <w:pStyle w:val="ListBullet"/>
        <w:spacing w:after="40"/>
      </w:pPr>
      <w:r>
        <w:t>Tariff implementation is delayed, narrowed, suspended or paired with expanded exclusions.</w:t>
      </w:r>
    </w:p>
    <w:p>
      <w:pPr>
        <w:pStyle w:val="ListBullet"/>
        <w:spacing w:after="40"/>
      </w:pPr>
      <w:r>
        <w:t>Verification mechanisms become acceptable to both sides.</w:t>
      </w:r>
    </w:p>
    <w:p>
      <w:pPr>
        <w:pStyle w:val="ListBullet"/>
        <w:spacing w:after="40"/>
      </w:pPr>
      <w:r>
        <w:t>Congressional or state actors shift from complaint to concrete settlement architecture.</w:t>
      </w:r>
    </w:p>
    <w:p>
      <w:pPr>
        <w:pStyle w:val="ListBullet"/>
        <w:spacing w:after="40"/>
      </w:pPr>
      <w:r>
        <w:t>Business groups on both sides converge on a specific cure rather than generic opposition.</w:t>
      </w:r>
    </w:p>
    <w:p>
      <w:pPr>
        <w:pStyle w:val="ListBullet"/>
        <w:spacing w:after="40"/>
      </w:pPr>
      <w:r>
        <w:t>Legal proceedings create incentives for negotiated resolution.</w:t>
      </w:r>
    </w:p>
    <w:p>
      <w:pPr>
        <w:pStyle w:val="ListBullet"/>
        <w:spacing w:after="40"/>
      </w:pPr>
      <w:r>
        <w:t>Public rhetoric begins separating policy disagreement from national hostility.</w:t>
      </w:r>
    </w:p>
    <w:p>
      <w:pPr>
        <w:pStyle w:val="ListBullet"/>
        <w:spacing w:after="40"/>
      </w:pPr>
      <w:r>
        <w:t>Counterpart accepts phased, reciprocal, reversible steps.</w:t>
      </w:r>
    </w:p>
    <w:p>
      <w:pPr>
        <w:pStyle w:val="ListBullet"/>
        <w:spacing w:after="40"/>
      </w:pPr>
      <w:r>
        <w:t>Officials begin discussing implementation sequencing, communications and face-saving rather than only substantive demands.</w:t>
      </w:r>
    </w:p>
    <w:p>
      <w:pPr>
        <w:pStyle w:val="ListBullet"/>
        <w:spacing w:after="40"/>
      </w:pPr>
      <w:r>
        <w:t>Third-party or CUSMA channels reopen.</w:t>
      </w:r>
    </w:p>
    <w:p>
      <w:pPr>
        <w:pStyle w:val="ListBullet"/>
        <w:spacing w:after="40"/>
      </w:pPr>
      <w:r>
        <w:t>Canadian provincial and sector stakeholders judge a proposed settlement materially fair.</w:t>
      </w:r>
    </w:p>
    <w:p>
      <w:pPr>
        <w:pStyle w:val="Heading2"/>
        <w:keepNext/>
        <w:spacing w:before="120" w:after="50"/>
      </w:pPr>
      <w:r>
        <w:t>False Dawn Test</w:t>
      </w:r>
    </w:p>
    <w:p>
      <w:r>
        <w:rPr>
          <w:b w:val="0"/>
          <w:i w:val="0"/>
        </w:rPr>
        <w:t>Before upgrading the DPA, ask whether the signal changes incentives or implementation. A friendly speech without a changed tariff date is sentiment. A changed tariff date, written term sheet, restored meeting, or verified exemption is movement.</w:t>
      </w:r>
    </w:p>
    <w:p>
      <w:r>
        <w:br w:type="page"/>
      </w:r>
    </w:p>
    <w:p>
      <w:pPr>
        <w:pStyle w:val="Heading1"/>
        <w:keepNext/>
        <w:spacing w:before="120" w:after="50"/>
      </w:pPr>
      <w:r>
        <w:t>29. Canadian Harm Early-Warning Dashboard</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Indicator</w:t>
            </w:r>
          </w:p>
        </w:tc>
        <w:tc>
          <w:tcPr>
            <w:tcW w:type="dxa" w:w="3427"/>
            <w:shd w:fill="D9E5F2"/>
          </w:tcPr>
          <w:p>
            <w:r>
              <w:rPr>
                <w:b/>
                <w:sz w:val="14"/>
              </w:rPr>
              <w:t>Watch for</w:t>
            </w:r>
          </w:p>
        </w:tc>
        <w:tc>
          <w:tcPr>
            <w:tcW w:type="dxa" w:w="3427"/>
            <w:shd w:fill="D9E5F2"/>
          </w:tcPr>
          <w:p>
            <w:r>
              <w:rPr>
                <w:b/>
                <w:sz w:val="14"/>
              </w:rPr>
              <w:t>Possible response</w:t>
            </w:r>
          </w:p>
        </w:tc>
      </w:tr>
      <w:tr>
        <w:tc>
          <w:tcPr>
            <w:tcW w:type="dxa" w:w="3427"/>
            <w:vAlign w:val="top"/>
          </w:tcPr>
          <w:p>
            <w:pPr>
              <w:spacing w:after="0"/>
            </w:pPr>
            <w:r>
              <w:rPr>
                <w:sz w:val="14"/>
              </w:rPr>
              <w:t>Consumer prices</w:t>
            </w:r>
          </w:p>
        </w:tc>
        <w:tc>
          <w:tcPr>
            <w:tcW w:type="dxa" w:w="3427"/>
            <w:vAlign w:val="top"/>
          </w:tcPr>
          <w:p>
            <w:pPr>
              <w:spacing w:after="0"/>
            </w:pPr>
            <w:r>
              <w:rPr>
                <w:sz w:val="14"/>
              </w:rPr>
              <w:t>Concentrated pass-through in essentials</w:t>
            </w:r>
          </w:p>
        </w:tc>
        <w:tc>
          <w:tcPr>
            <w:tcW w:type="dxa" w:w="3427"/>
            <w:vAlign w:val="top"/>
          </w:tcPr>
          <w:p>
            <w:pPr>
              <w:spacing w:after="0"/>
            </w:pPr>
            <w:r>
              <w:rPr>
                <w:sz w:val="14"/>
              </w:rPr>
              <w:t>Remission, substitution, targeted support</w:t>
            </w:r>
          </w:p>
        </w:tc>
      </w:tr>
      <w:tr>
        <w:tc>
          <w:tcPr>
            <w:tcW w:type="dxa" w:w="3427"/>
            <w:vAlign w:val="top"/>
          </w:tcPr>
          <w:p>
            <w:pPr>
              <w:spacing w:after="0"/>
            </w:pPr>
            <w:r>
              <w:rPr>
                <w:sz w:val="14"/>
              </w:rPr>
              <w:t>SME stress</w:t>
            </w:r>
          </w:p>
        </w:tc>
        <w:tc>
          <w:tcPr>
            <w:tcW w:type="dxa" w:w="3427"/>
            <w:vAlign w:val="top"/>
          </w:tcPr>
          <w:p>
            <w:pPr>
              <w:spacing w:after="0"/>
            </w:pPr>
            <w:r>
              <w:rPr>
                <w:sz w:val="14"/>
              </w:rPr>
              <w:t>Cash-flow, customs, inventory and credit problems</w:t>
            </w:r>
          </w:p>
        </w:tc>
        <w:tc>
          <w:tcPr>
            <w:tcW w:type="dxa" w:w="3427"/>
            <w:vAlign w:val="top"/>
          </w:tcPr>
          <w:p>
            <w:pPr>
              <w:spacing w:after="0"/>
            </w:pPr>
            <w:r>
              <w:rPr>
                <w:sz w:val="14"/>
              </w:rPr>
              <w:t>Finance/EDC/BDC support; customs guidance</w:t>
            </w:r>
          </w:p>
        </w:tc>
      </w:tr>
      <w:tr>
        <w:tc>
          <w:tcPr>
            <w:tcW w:type="dxa" w:w="3427"/>
            <w:vAlign w:val="top"/>
          </w:tcPr>
          <w:p>
            <w:pPr>
              <w:spacing w:after="0"/>
            </w:pPr>
            <w:r>
              <w:rPr>
                <w:sz w:val="14"/>
              </w:rPr>
              <w:t>Employment</w:t>
            </w:r>
          </w:p>
        </w:tc>
        <w:tc>
          <w:tcPr>
            <w:tcW w:type="dxa" w:w="3427"/>
            <w:vAlign w:val="top"/>
          </w:tcPr>
          <w:p>
            <w:pPr>
              <w:spacing w:after="0"/>
            </w:pPr>
            <w:r>
              <w:rPr>
                <w:sz w:val="14"/>
              </w:rPr>
              <w:t>Layoffs/hours reductions in exposed regions</w:t>
            </w:r>
          </w:p>
        </w:tc>
        <w:tc>
          <w:tcPr>
            <w:tcW w:type="dxa" w:w="3427"/>
            <w:vAlign w:val="top"/>
          </w:tcPr>
          <w:p>
            <w:pPr>
              <w:spacing w:after="0"/>
            </w:pPr>
            <w:r>
              <w:rPr>
                <w:sz w:val="14"/>
              </w:rPr>
              <w:t>Worker support; procurement; adjustment</w:t>
            </w:r>
          </w:p>
        </w:tc>
      </w:tr>
      <w:tr>
        <w:tc>
          <w:tcPr>
            <w:tcW w:type="dxa" w:w="3427"/>
            <w:vAlign w:val="top"/>
          </w:tcPr>
          <w:p>
            <w:pPr>
              <w:spacing w:after="0"/>
            </w:pPr>
            <w:r>
              <w:rPr>
                <w:sz w:val="14"/>
              </w:rPr>
              <w:t>Insolvency</w:t>
            </w:r>
          </w:p>
        </w:tc>
        <w:tc>
          <w:tcPr>
            <w:tcW w:type="dxa" w:w="3427"/>
            <w:vAlign w:val="top"/>
          </w:tcPr>
          <w:p>
            <w:pPr>
              <w:spacing w:after="0"/>
            </w:pPr>
            <w:r>
              <w:rPr>
                <w:sz w:val="14"/>
              </w:rPr>
              <w:t>Clustered failures in tariff-exposed supply chains</w:t>
            </w:r>
          </w:p>
        </w:tc>
        <w:tc>
          <w:tcPr>
            <w:tcW w:type="dxa" w:w="3427"/>
            <w:vAlign w:val="top"/>
          </w:tcPr>
          <w:p>
            <w:pPr>
              <w:spacing w:after="0"/>
            </w:pPr>
            <w:r>
              <w:rPr>
                <w:sz w:val="14"/>
              </w:rPr>
              <w:t>Emergency liquidity / restructuring tools</w:t>
            </w:r>
          </w:p>
        </w:tc>
      </w:tr>
      <w:tr>
        <w:tc>
          <w:tcPr>
            <w:tcW w:type="dxa" w:w="3427"/>
            <w:vAlign w:val="top"/>
          </w:tcPr>
          <w:p>
            <w:pPr>
              <w:spacing w:after="0"/>
            </w:pPr>
            <w:r>
              <w:rPr>
                <w:sz w:val="14"/>
              </w:rPr>
              <w:t>Regional burden</w:t>
            </w:r>
          </w:p>
        </w:tc>
        <w:tc>
          <w:tcPr>
            <w:tcW w:type="dxa" w:w="3427"/>
            <w:vAlign w:val="top"/>
          </w:tcPr>
          <w:p>
            <w:pPr>
              <w:spacing w:after="0"/>
            </w:pPr>
            <w:r>
              <w:rPr>
                <w:sz w:val="14"/>
              </w:rPr>
              <w:t>One province/territory bearing disproportionate cost</w:t>
            </w:r>
          </w:p>
        </w:tc>
        <w:tc>
          <w:tcPr>
            <w:tcW w:type="dxa" w:w="3427"/>
            <w:vAlign w:val="top"/>
          </w:tcPr>
          <w:p>
            <w:pPr>
              <w:spacing w:after="0"/>
            </w:pPr>
            <w:r>
              <w:rPr>
                <w:sz w:val="14"/>
              </w:rPr>
              <w:t>Solidarity Protocol compensation/co-design</w:t>
            </w:r>
          </w:p>
        </w:tc>
      </w:tr>
      <w:tr>
        <w:tc>
          <w:tcPr>
            <w:tcW w:type="dxa" w:w="3427"/>
            <w:vAlign w:val="top"/>
          </w:tcPr>
          <w:p>
            <w:pPr>
              <w:spacing w:after="0"/>
            </w:pPr>
            <w:r>
              <w:rPr>
                <w:sz w:val="14"/>
              </w:rPr>
              <w:t>Supply chains</w:t>
            </w:r>
          </w:p>
        </w:tc>
        <w:tc>
          <w:tcPr>
            <w:tcW w:type="dxa" w:w="3427"/>
            <w:vAlign w:val="top"/>
          </w:tcPr>
          <w:p>
            <w:pPr>
              <w:spacing w:after="0"/>
            </w:pPr>
            <w:r>
              <w:rPr>
                <w:sz w:val="14"/>
              </w:rPr>
              <w:t>Critical input shortages or certification bottlenecks</w:t>
            </w:r>
          </w:p>
        </w:tc>
        <w:tc>
          <w:tcPr>
            <w:tcW w:type="dxa" w:w="3427"/>
            <w:vAlign w:val="top"/>
          </w:tcPr>
          <w:p>
            <w:pPr>
              <w:spacing w:after="0"/>
            </w:pPr>
            <w:r>
              <w:rPr>
                <w:sz w:val="14"/>
              </w:rPr>
              <w:t>Exemptions, alternate sourcing, stockpiles</w:t>
            </w:r>
          </w:p>
        </w:tc>
      </w:tr>
      <w:tr>
        <w:tc>
          <w:tcPr>
            <w:tcW w:type="dxa" w:w="3427"/>
            <w:vAlign w:val="top"/>
          </w:tcPr>
          <w:p>
            <w:pPr>
              <w:spacing w:after="0"/>
            </w:pPr>
            <w:r>
              <w:rPr>
                <w:sz w:val="14"/>
              </w:rPr>
              <w:t>Fiscal cost</w:t>
            </w:r>
          </w:p>
        </w:tc>
        <w:tc>
          <w:tcPr>
            <w:tcW w:type="dxa" w:w="3427"/>
            <w:vAlign w:val="top"/>
          </w:tcPr>
          <w:p>
            <w:pPr>
              <w:spacing w:after="0"/>
            </w:pPr>
            <w:r>
              <w:rPr>
                <w:sz w:val="14"/>
              </w:rPr>
              <w:t>Support envelope rising faster than strategic benefit</w:t>
            </w:r>
          </w:p>
        </w:tc>
        <w:tc>
          <w:tcPr>
            <w:tcW w:type="dxa" w:w="3427"/>
            <w:vAlign w:val="top"/>
          </w:tcPr>
          <w:p>
            <w:pPr>
              <w:spacing w:after="0"/>
            </w:pPr>
            <w:r>
              <w:rPr>
                <w:sz w:val="14"/>
              </w:rPr>
              <w:t>Reassess instrument mix</w:t>
            </w:r>
          </w:p>
        </w:tc>
      </w:tr>
      <w:tr>
        <w:tc>
          <w:tcPr>
            <w:tcW w:type="dxa" w:w="3427"/>
            <w:vAlign w:val="top"/>
          </w:tcPr>
          <w:p>
            <w:pPr>
              <w:spacing w:after="0"/>
            </w:pPr>
            <w:r>
              <w:rPr>
                <w:sz w:val="14"/>
              </w:rPr>
              <w:t>Public support</w:t>
            </w:r>
          </w:p>
        </w:tc>
        <w:tc>
          <w:tcPr>
            <w:tcW w:type="dxa" w:w="3427"/>
            <w:vAlign w:val="top"/>
          </w:tcPr>
          <w:p>
            <w:pPr>
              <w:spacing w:after="0"/>
            </w:pPr>
            <w:r>
              <w:rPr>
                <w:sz w:val="14"/>
              </w:rPr>
              <w:t>Confusion about objective or tolerance erosion</w:t>
            </w:r>
          </w:p>
        </w:tc>
        <w:tc>
          <w:tcPr>
            <w:tcW w:type="dxa" w:w="3427"/>
            <w:vAlign w:val="top"/>
          </w:tcPr>
          <w:p>
            <w:pPr>
              <w:spacing w:after="0"/>
            </w:pPr>
            <w:r>
              <w:rPr>
                <w:sz w:val="14"/>
              </w:rPr>
              <w:t>Clarify objectives/off-ramps; modify harmful measures</w:t>
            </w:r>
          </w:p>
        </w:tc>
      </w:tr>
    </w:tbl>
    <w:p>
      <w:r>
        <w:rPr>
          <w:b w:val="0"/>
          <w:i w:val="0"/>
        </w:rPr>
        <w:t>These indicators connect directly to the Federal-Provincial Trade Conflict Solidarity Protocol and the future Economic Conflict Endurance and Burden-Sharing Framework.</w:t>
      </w:r>
    </w:p>
    <w:p>
      <w:r>
        <w:br w:type="page"/>
      </w:r>
    </w:p>
    <w:p>
      <w:pPr>
        <w:pStyle w:val="Heading1"/>
        <w:keepNext/>
        <w:spacing w:before="120" w:after="50"/>
      </w:pPr>
      <w:r>
        <w:t>30. Business Consultation Protocol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Stage</w:t>
            </w:r>
          </w:p>
        </w:tc>
        <w:tc>
          <w:tcPr>
            <w:tcW w:type="dxa" w:w="5141"/>
            <w:shd w:fill="D9E5F2"/>
          </w:tcPr>
          <w:p>
            <w:r>
              <w:rPr>
                <w:b/>
                <w:sz w:val="14"/>
              </w:rPr>
              <w:t>Procedure</w:t>
            </w:r>
          </w:p>
        </w:tc>
      </w:tr>
      <w:tr>
        <w:tc>
          <w:tcPr>
            <w:tcW w:type="dxa" w:w="5141"/>
            <w:vAlign w:val="top"/>
          </w:tcPr>
          <w:p>
            <w:pPr>
              <w:spacing w:after="0"/>
            </w:pPr>
            <w:r>
              <w:rPr>
                <w:sz w:val="14"/>
              </w:rPr>
              <w:t>Prepare</w:t>
            </w:r>
          </w:p>
        </w:tc>
        <w:tc>
          <w:tcPr>
            <w:tcW w:type="dxa" w:w="5141"/>
            <w:vAlign w:val="top"/>
          </w:tcPr>
          <w:p>
            <w:pPr>
              <w:spacing w:after="0"/>
            </w:pPr>
            <w:r>
              <w:rPr>
                <w:sz w:val="14"/>
              </w:rPr>
              <w:t>Define the decision question and sectors; avoid fishing expeditions.</w:t>
            </w:r>
          </w:p>
        </w:tc>
      </w:tr>
      <w:tr>
        <w:tc>
          <w:tcPr>
            <w:tcW w:type="dxa" w:w="5141"/>
            <w:vAlign w:val="top"/>
          </w:tcPr>
          <w:p>
            <w:pPr>
              <w:spacing w:after="0"/>
            </w:pPr>
            <w:r>
              <w:rPr>
                <w:sz w:val="14"/>
              </w:rPr>
              <w:t>Invite</w:t>
            </w:r>
          </w:p>
        </w:tc>
        <w:tc>
          <w:tcPr>
            <w:tcW w:type="dxa" w:w="5141"/>
            <w:vAlign w:val="top"/>
          </w:tcPr>
          <w:p>
            <w:pPr>
              <w:spacing w:after="0"/>
            </w:pPr>
            <w:r>
              <w:rPr>
                <w:sz w:val="14"/>
              </w:rPr>
              <w:t>Use representative mix by size, region, sector, ownership and trade exposure.</w:t>
            </w:r>
          </w:p>
        </w:tc>
      </w:tr>
      <w:tr>
        <w:tc>
          <w:tcPr>
            <w:tcW w:type="dxa" w:w="5141"/>
            <w:vAlign w:val="top"/>
          </w:tcPr>
          <w:p>
            <w:pPr>
              <w:spacing w:after="0"/>
            </w:pPr>
            <w:r>
              <w:rPr>
                <w:sz w:val="14"/>
              </w:rPr>
              <w:t>Disclose</w:t>
            </w:r>
          </w:p>
        </w:tc>
        <w:tc>
          <w:tcPr>
            <w:tcW w:type="dxa" w:w="5141"/>
            <w:vAlign w:val="top"/>
          </w:tcPr>
          <w:p>
            <w:pPr>
              <w:spacing w:after="0"/>
            </w:pPr>
            <w:r>
              <w:rPr>
                <w:sz w:val="14"/>
              </w:rPr>
              <w:t>Explain purpose, confidentiality treatment and limits.</w:t>
            </w:r>
          </w:p>
        </w:tc>
      </w:tr>
      <w:tr>
        <w:tc>
          <w:tcPr>
            <w:tcW w:type="dxa" w:w="5141"/>
            <w:vAlign w:val="top"/>
          </w:tcPr>
          <w:p>
            <w:pPr>
              <w:spacing w:after="0"/>
            </w:pPr>
            <w:r>
              <w:rPr>
                <w:sz w:val="14"/>
              </w:rPr>
              <w:t>Ask</w:t>
            </w:r>
          </w:p>
        </w:tc>
        <w:tc>
          <w:tcPr>
            <w:tcW w:type="dxa" w:w="5141"/>
            <w:vAlign w:val="top"/>
          </w:tcPr>
          <w:p>
            <w:pPr>
              <w:spacing w:after="0"/>
            </w:pPr>
            <w:r>
              <w:rPr>
                <w:sz w:val="14"/>
              </w:rPr>
              <w:t>Use common structured questions plus sector-specific follow-ups.</w:t>
            </w:r>
          </w:p>
        </w:tc>
      </w:tr>
      <w:tr>
        <w:tc>
          <w:tcPr>
            <w:tcW w:type="dxa" w:w="5141"/>
            <w:vAlign w:val="top"/>
          </w:tcPr>
          <w:p>
            <w:pPr>
              <w:spacing w:after="0"/>
            </w:pPr>
            <w:r>
              <w:rPr>
                <w:sz w:val="14"/>
              </w:rPr>
              <w:t>Validate</w:t>
            </w:r>
          </w:p>
        </w:tc>
        <w:tc>
          <w:tcPr>
            <w:tcW w:type="dxa" w:w="5141"/>
            <w:vAlign w:val="top"/>
          </w:tcPr>
          <w:p>
            <w:pPr>
              <w:spacing w:after="0"/>
            </w:pPr>
            <w:r>
              <w:rPr>
                <w:sz w:val="14"/>
              </w:rPr>
              <w:t>Compare claims with customs, market, employment and other firms' evidence.</w:t>
            </w:r>
          </w:p>
        </w:tc>
      </w:tr>
      <w:tr>
        <w:tc>
          <w:tcPr>
            <w:tcW w:type="dxa" w:w="5141"/>
            <w:vAlign w:val="top"/>
          </w:tcPr>
          <w:p>
            <w:pPr>
              <w:spacing w:after="0"/>
            </w:pPr>
            <w:r>
              <w:rPr>
                <w:sz w:val="14"/>
              </w:rPr>
              <w:t>Protect</w:t>
            </w:r>
          </w:p>
        </w:tc>
        <w:tc>
          <w:tcPr>
            <w:tcW w:type="dxa" w:w="5141"/>
            <w:vAlign w:val="top"/>
          </w:tcPr>
          <w:p>
            <w:pPr>
              <w:spacing w:after="0"/>
            </w:pPr>
            <w:r>
              <w:rPr>
                <w:sz w:val="14"/>
              </w:rPr>
              <w:t>Do not circulate commercially sensitive details beyond need-to-know.</w:t>
            </w:r>
          </w:p>
        </w:tc>
      </w:tr>
      <w:tr>
        <w:tc>
          <w:tcPr>
            <w:tcW w:type="dxa" w:w="5141"/>
            <w:vAlign w:val="top"/>
          </w:tcPr>
          <w:p>
            <w:pPr>
              <w:spacing w:after="0"/>
            </w:pPr>
            <w:r>
              <w:rPr>
                <w:sz w:val="14"/>
              </w:rPr>
              <w:t>Report</w:t>
            </w:r>
          </w:p>
        </w:tc>
        <w:tc>
          <w:tcPr>
            <w:tcW w:type="dxa" w:w="5141"/>
            <w:vAlign w:val="top"/>
          </w:tcPr>
          <w:p>
            <w:pPr>
              <w:spacing w:after="0"/>
            </w:pPr>
            <w:r>
              <w:rPr>
                <w:sz w:val="14"/>
              </w:rPr>
              <w:t>Aggregate where possible; distinguish consensus, minority view and anecdote.</w:t>
            </w:r>
          </w:p>
        </w:tc>
      </w:tr>
      <w:tr>
        <w:tc>
          <w:tcPr>
            <w:tcW w:type="dxa" w:w="5141"/>
            <w:vAlign w:val="top"/>
          </w:tcPr>
          <w:p>
            <w:pPr>
              <w:spacing w:after="0"/>
            </w:pPr>
            <w:r>
              <w:rPr>
                <w:sz w:val="14"/>
              </w:rPr>
              <w:t>Follow up</w:t>
            </w:r>
          </w:p>
        </w:tc>
        <w:tc>
          <w:tcPr>
            <w:tcW w:type="dxa" w:w="5141"/>
            <w:vAlign w:val="top"/>
          </w:tcPr>
          <w:p>
            <w:pPr>
              <w:spacing w:after="0"/>
            </w:pPr>
            <w:r>
              <w:rPr>
                <w:sz w:val="14"/>
              </w:rPr>
              <w:t>Return when policy changes to test whether observed effects match predictions.</w:t>
            </w:r>
          </w:p>
        </w:tc>
      </w:tr>
    </w:tbl>
    <w:p>
      <w:pPr>
        <w:pStyle w:val="Heading2"/>
        <w:keepNext/>
        <w:spacing w:before="120" w:after="50"/>
      </w:pPr>
      <w:r>
        <w:t>Standard Questions</w:t>
      </w:r>
    </w:p>
    <w:p>
      <w:pPr>
        <w:pStyle w:val="ListBullet"/>
        <w:spacing w:after="40"/>
      </w:pPr>
      <w:r>
        <w:t>What changed in the last 30 days?</w:t>
      </w:r>
    </w:p>
    <w:p>
      <w:pPr>
        <w:pStyle w:val="ListBullet"/>
        <w:spacing w:after="40"/>
      </w:pPr>
      <w:r>
        <w:t>What are you doing differently because of the conflict?</w:t>
      </w:r>
    </w:p>
    <w:p>
      <w:pPr>
        <w:pStyle w:val="ListBullet"/>
        <w:spacing w:after="40"/>
      </w:pPr>
      <w:r>
        <w:t>Which cost is hardest to substitute away?</w:t>
      </w:r>
    </w:p>
    <w:p>
      <w:pPr>
        <w:pStyle w:val="ListBullet"/>
        <w:spacing w:after="40"/>
      </w:pPr>
      <w:r>
        <w:t>What decision will you make in the next 30/90 days if policy is unchanged?</w:t>
      </w:r>
    </w:p>
    <w:p>
      <w:pPr>
        <w:pStyle w:val="ListBullet"/>
        <w:spacing w:after="40"/>
      </w:pPr>
      <w:r>
        <w:t>What policy change would materially alter that decision?</w:t>
      </w:r>
    </w:p>
    <w:p>
      <w:pPr>
        <w:pStyle w:val="ListBullet"/>
        <w:spacing w:after="40"/>
      </w:pPr>
      <w:r>
        <w:t>What evidence can independently verify the claim?</w:t>
      </w:r>
    </w:p>
    <w:p>
      <w:r>
        <w:br w:type="page"/>
      </w:r>
    </w:p>
    <w:p>
      <w:pPr>
        <w:pStyle w:val="Heading1"/>
        <w:keepNext/>
        <w:spacing w:before="120" w:after="50"/>
      </w:pPr>
      <w:r>
        <w:t>31. Congressional and State Engagement Reporting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Field</w:t>
            </w:r>
          </w:p>
        </w:tc>
        <w:tc>
          <w:tcPr>
            <w:tcW w:type="dxa" w:w="5141"/>
            <w:shd w:fill="D9E5F2"/>
          </w:tcPr>
          <w:p>
            <w:r>
              <w:rPr>
                <w:b/>
                <w:sz w:val="15"/>
              </w:rPr>
              <w:t>Entry</w:t>
            </w:r>
          </w:p>
        </w:tc>
      </w:tr>
      <w:tr>
        <w:tc>
          <w:tcPr>
            <w:tcW w:type="dxa" w:w="5141"/>
            <w:vAlign w:val="top"/>
          </w:tcPr>
          <w:p>
            <w:pPr>
              <w:spacing w:after="0"/>
            </w:pPr>
            <w:r>
              <w:rPr>
                <w:sz w:val="15"/>
              </w:rPr>
              <w:t>Institution / office</w:t>
            </w:r>
          </w:p>
        </w:tc>
        <w:tc>
          <w:tcPr>
            <w:tcW w:type="dxa" w:w="5141"/>
            <w:vAlign w:val="top"/>
          </w:tcPr>
          <w:p>
            <w:pPr>
              <w:spacing w:after="0"/>
            </w:pPr>
            <w:r>
              <w:rPr>
                <w:sz w:val="15"/>
              </w:rPr>
            </w:r>
          </w:p>
        </w:tc>
      </w:tr>
      <w:tr>
        <w:tc>
          <w:tcPr>
            <w:tcW w:type="dxa" w:w="5141"/>
            <w:vAlign w:val="top"/>
          </w:tcPr>
          <w:p>
            <w:pPr>
              <w:spacing w:after="0"/>
            </w:pPr>
            <w:r>
              <w:rPr>
                <w:sz w:val="15"/>
              </w:rPr>
              <w:t>Official capacity</w:t>
            </w:r>
          </w:p>
        </w:tc>
        <w:tc>
          <w:tcPr>
            <w:tcW w:type="dxa" w:w="5141"/>
            <w:vAlign w:val="top"/>
          </w:tcPr>
          <w:p>
            <w:pPr>
              <w:spacing w:after="0"/>
            </w:pPr>
            <w:r>
              <w:rPr>
                <w:sz w:val="15"/>
              </w:rPr>
            </w:r>
          </w:p>
        </w:tc>
      </w:tr>
      <w:tr>
        <w:tc>
          <w:tcPr>
            <w:tcW w:type="dxa" w:w="5141"/>
            <w:vAlign w:val="top"/>
          </w:tcPr>
          <w:p>
            <w:pPr>
              <w:spacing w:after="0"/>
            </w:pPr>
            <w:r>
              <w:rPr>
                <w:sz w:val="15"/>
              </w:rPr>
              <w:t>Date / participants</w:t>
            </w:r>
          </w:p>
        </w:tc>
        <w:tc>
          <w:tcPr>
            <w:tcW w:type="dxa" w:w="5141"/>
            <w:vAlign w:val="top"/>
          </w:tcPr>
          <w:p>
            <w:pPr>
              <w:spacing w:after="0"/>
            </w:pPr>
            <w:r>
              <w:rPr>
                <w:sz w:val="15"/>
              </w:rPr>
            </w:r>
          </w:p>
        </w:tc>
      </w:tr>
      <w:tr>
        <w:tc>
          <w:tcPr>
            <w:tcW w:type="dxa" w:w="5141"/>
            <w:vAlign w:val="top"/>
          </w:tcPr>
          <w:p>
            <w:pPr>
              <w:spacing w:after="0"/>
            </w:pPr>
            <w:r>
              <w:rPr>
                <w:sz w:val="15"/>
              </w:rPr>
              <w:t>Public / private / attributable status</w:t>
            </w:r>
          </w:p>
        </w:tc>
        <w:tc>
          <w:tcPr>
            <w:tcW w:type="dxa" w:w="5141"/>
            <w:vAlign w:val="top"/>
          </w:tcPr>
          <w:p>
            <w:pPr>
              <w:spacing w:after="0"/>
            </w:pPr>
            <w:r>
              <w:rPr>
                <w:sz w:val="15"/>
              </w:rPr>
            </w:r>
          </w:p>
        </w:tc>
      </w:tr>
      <w:tr>
        <w:tc>
          <w:tcPr>
            <w:tcW w:type="dxa" w:w="5141"/>
            <w:vAlign w:val="top"/>
          </w:tcPr>
          <w:p>
            <w:pPr>
              <w:spacing w:after="0"/>
            </w:pPr>
            <w:r>
              <w:rPr>
                <w:sz w:val="15"/>
              </w:rPr>
              <w:t>Issue discussed</w:t>
            </w:r>
          </w:p>
        </w:tc>
        <w:tc>
          <w:tcPr>
            <w:tcW w:type="dxa" w:w="5141"/>
            <w:vAlign w:val="top"/>
          </w:tcPr>
          <w:p>
            <w:pPr>
              <w:spacing w:after="0"/>
            </w:pPr>
            <w:r>
              <w:rPr>
                <w:sz w:val="15"/>
              </w:rPr>
            </w:r>
          </w:p>
        </w:tc>
      </w:tr>
      <w:tr>
        <w:tc>
          <w:tcPr>
            <w:tcW w:type="dxa" w:w="5141"/>
            <w:vAlign w:val="top"/>
          </w:tcPr>
          <w:p>
            <w:pPr>
              <w:spacing w:after="0"/>
            </w:pPr>
            <w:r>
              <w:rPr>
                <w:sz w:val="15"/>
              </w:rPr>
              <w:t>Position expressed</w:t>
            </w:r>
          </w:p>
        </w:tc>
        <w:tc>
          <w:tcPr>
            <w:tcW w:type="dxa" w:w="5141"/>
            <w:vAlign w:val="top"/>
          </w:tcPr>
          <w:p>
            <w:pPr>
              <w:spacing w:after="0"/>
            </w:pPr>
            <w:r>
              <w:rPr>
                <w:sz w:val="15"/>
              </w:rPr>
            </w:r>
          </w:p>
        </w:tc>
      </w:tr>
      <w:tr>
        <w:tc>
          <w:tcPr>
            <w:tcW w:type="dxa" w:w="5141"/>
            <w:vAlign w:val="top"/>
          </w:tcPr>
          <w:p>
            <w:pPr>
              <w:spacing w:after="0"/>
            </w:pPr>
            <w:r>
              <w:rPr>
                <w:sz w:val="15"/>
              </w:rPr>
              <w:t>Concrete action underway</w:t>
            </w:r>
          </w:p>
        </w:tc>
        <w:tc>
          <w:tcPr>
            <w:tcW w:type="dxa" w:w="5141"/>
            <w:vAlign w:val="top"/>
          </w:tcPr>
          <w:p>
            <w:pPr>
              <w:spacing w:after="0"/>
            </w:pPr>
            <w:r>
              <w:rPr>
                <w:sz w:val="15"/>
              </w:rPr>
            </w:r>
          </w:p>
        </w:tc>
      </w:tr>
      <w:tr>
        <w:tc>
          <w:tcPr>
            <w:tcW w:type="dxa" w:w="5141"/>
            <w:vAlign w:val="top"/>
          </w:tcPr>
          <w:p>
            <w:pPr>
              <w:spacing w:after="0"/>
            </w:pPr>
            <w:r>
              <w:rPr>
                <w:sz w:val="15"/>
              </w:rPr>
              <w:t>Authority / ability to deliver</w:t>
            </w:r>
          </w:p>
        </w:tc>
        <w:tc>
          <w:tcPr>
            <w:tcW w:type="dxa" w:w="5141"/>
            <w:vAlign w:val="top"/>
          </w:tcPr>
          <w:p>
            <w:pPr>
              <w:spacing w:after="0"/>
            </w:pPr>
            <w:r>
              <w:rPr>
                <w:sz w:val="15"/>
              </w:rPr>
            </w:r>
          </w:p>
        </w:tc>
      </w:tr>
      <w:tr>
        <w:tc>
          <w:tcPr>
            <w:tcW w:type="dxa" w:w="5141"/>
            <w:vAlign w:val="top"/>
          </w:tcPr>
          <w:p>
            <w:pPr>
              <w:spacing w:after="0"/>
            </w:pPr>
            <w:r>
              <w:rPr>
                <w:sz w:val="15"/>
              </w:rPr>
              <w:t>Evidence of coalition breadth</w:t>
            </w:r>
          </w:p>
        </w:tc>
        <w:tc>
          <w:tcPr>
            <w:tcW w:type="dxa" w:w="5141"/>
            <w:vAlign w:val="top"/>
          </w:tcPr>
          <w:p>
            <w:pPr>
              <w:spacing w:after="0"/>
            </w:pPr>
            <w:r>
              <w:rPr>
                <w:sz w:val="15"/>
              </w:rPr>
            </w:r>
          </w:p>
        </w:tc>
      </w:tr>
      <w:tr>
        <w:tc>
          <w:tcPr>
            <w:tcW w:type="dxa" w:w="5141"/>
            <w:vAlign w:val="top"/>
          </w:tcPr>
          <w:p>
            <w:pPr>
              <w:spacing w:after="0"/>
            </w:pPr>
            <w:r>
              <w:rPr>
                <w:sz w:val="15"/>
              </w:rPr>
              <w:t>Election sensitivity check</w:t>
            </w:r>
          </w:p>
        </w:tc>
        <w:tc>
          <w:tcPr>
            <w:tcW w:type="dxa" w:w="5141"/>
            <w:vAlign w:val="top"/>
          </w:tcPr>
          <w:p>
            <w:pPr>
              <w:spacing w:after="0"/>
            </w:pPr>
            <w:r>
              <w:rPr>
                <w:sz w:val="15"/>
              </w:rPr>
            </w:r>
          </w:p>
        </w:tc>
      </w:tr>
      <w:tr>
        <w:tc>
          <w:tcPr>
            <w:tcW w:type="dxa" w:w="5141"/>
            <w:vAlign w:val="top"/>
          </w:tcPr>
          <w:p>
            <w:pPr>
              <w:spacing w:after="0"/>
            </w:pPr>
            <w:r>
              <w:rPr>
                <w:sz w:val="15"/>
              </w:rPr>
              <w:t>Analyst confidence</w:t>
            </w:r>
          </w:p>
        </w:tc>
        <w:tc>
          <w:tcPr>
            <w:tcW w:type="dxa" w:w="5141"/>
            <w:vAlign w:val="top"/>
          </w:tcPr>
          <w:p>
            <w:pPr>
              <w:spacing w:after="0"/>
            </w:pPr>
            <w:r>
              <w:rPr>
                <w:sz w:val="15"/>
              </w:rPr>
            </w:r>
          </w:p>
        </w:tc>
      </w:tr>
      <w:tr>
        <w:tc>
          <w:tcPr>
            <w:tcW w:type="dxa" w:w="5141"/>
            <w:vAlign w:val="top"/>
          </w:tcPr>
          <w:p>
            <w:pPr>
              <w:spacing w:after="0"/>
            </w:pPr>
            <w:r>
              <w:rPr>
                <w:sz w:val="15"/>
              </w:rPr>
              <w:t>DPA relevance</w:t>
            </w:r>
          </w:p>
        </w:tc>
        <w:tc>
          <w:tcPr>
            <w:tcW w:type="dxa" w:w="5141"/>
            <w:vAlign w:val="top"/>
          </w:tcPr>
          <w:p>
            <w:pPr>
              <w:spacing w:after="0"/>
            </w:pPr>
            <w:r>
              <w:rPr>
                <w:sz w:val="15"/>
              </w:rPr>
            </w:r>
          </w:p>
        </w:tc>
      </w:tr>
      <w:tr>
        <w:tc>
          <w:tcPr>
            <w:tcW w:type="dxa" w:w="5141"/>
            <w:vAlign w:val="top"/>
          </w:tcPr>
          <w:p>
            <w:pPr>
              <w:spacing w:after="0"/>
            </w:pPr>
            <w:r>
              <w:rPr>
                <w:sz w:val="15"/>
              </w:rPr>
              <w:t>Follow-up / verification</w:t>
            </w:r>
          </w:p>
        </w:tc>
        <w:tc>
          <w:tcPr>
            <w:tcW w:type="dxa" w:w="5141"/>
            <w:vAlign w:val="top"/>
          </w:tcPr>
          <w:p>
            <w:pPr>
              <w:spacing w:after="0"/>
            </w:pPr>
            <w:r>
              <w:rPr>
                <w:sz w:val="15"/>
              </w:rPr>
            </w:r>
          </w:p>
        </w:tc>
      </w:tr>
    </w:tbl>
    <w:p>
      <w:r>
        <w:rPr>
          <w:b w:val="0"/>
          <w:i w:val="0"/>
        </w:rPr>
        <w:t>Reporting should distinguish access from influence. Ten friendly meetings do not equal ten votes, and ten votes do not necessarily change executive action. Institutional power must be mapped, not assumed.</w:t>
      </w:r>
    </w:p>
    <w:p>
      <w:r>
        <w:br w:type="page"/>
      </w:r>
    </w:p>
    <w:p>
      <w:pPr>
        <w:pStyle w:val="Heading1"/>
        <w:keepNext/>
        <w:spacing w:before="120" w:after="50"/>
      </w:pPr>
      <w:r>
        <w:t>32. Media and Narrative Analysis Protocol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Layer</w:t>
            </w:r>
          </w:p>
        </w:tc>
        <w:tc>
          <w:tcPr>
            <w:tcW w:type="dxa" w:w="5141"/>
            <w:shd w:fill="D9E5F2"/>
          </w:tcPr>
          <w:p>
            <w:r>
              <w:rPr>
                <w:b/>
                <w:sz w:val="14"/>
              </w:rPr>
              <w:t>Question</w:t>
            </w:r>
          </w:p>
        </w:tc>
      </w:tr>
      <w:tr>
        <w:tc>
          <w:tcPr>
            <w:tcW w:type="dxa" w:w="5141"/>
            <w:vAlign w:val="top"/>
          </w:tcPr>
          <w:p>
            <w:pPr>
              <w:spacing w:after="0"/>
            </w:pPr>
            <w:r>
              <w:rPr>
                <w:sz w:val="14"/>
              </w:rPr>
              <w:t>Official statements</w:t>
            </w:r>
          </w:p>
        </w:tc>
        <w:tc>
          <w:tcPr>
            <w:tcW w:type="dxa" w:w="5141"/>
            <w:vAlign w:val="top"/>
          </w:tcPr>
          <w:p>
            <w:pPr>
              <w:spacing w:after="0"/>
            </w:pPr>
            <w:r>
              <w:rPr>
                <w:sz w:val="14"/>
              </w:rPr>
              <w:t>What did an authorized decision-maker actually say?</w:t>
            </w:r>
          </w:p>
        </w:tc>
      </w:tr>
      <w:tr>
        <w:tc>
          <w:tcPr>
            <w:tcW w:type="dxa" w:w="5141"/>
            <w:vAlign w:val="top"/>
          </w:tcPr>
          <w:p>
            <w:pPr>
              <w:spacing w:after="0"/>
            </w:pPr>
            <w:r>
              <w:rPr>
                <w:sz w:val="14"/>
              </w:rPr>
              <w:t>Reported policy</w:t>
            </w:r>
          </w:p>
        </w:tc>
        <w:tc>
          <w:tcPr>
            <w:tcW w:type="dxa" w:w="5141"/>
            <w:vAlign w:val="top"/>
          </w:tcPr>
          <w:p>
            <w:pPr>
              <w:spacing w:after="0"/>
            </w:pPr>
            <w:r>
              <w:rPr>
                <w:sz w:val="14"/>
              </w:rPr>
              <w:t>Does reporting cite documents, named officials or multiple independent sources?</w:t>
            </w:r>
          </w:p>
        </w:tc>
      </w:tr>
      <w:tr>
        <w:tc>
          <w:tcPr>
            <w:tcW w:type="dxa" w:w="5141"/>
            <w:vAlign w:val="top"/>
          </w:tcPr>
          <w:p>
            <w:pPr>
              <w:spacing w:after="0"/>
            </w:pPr>
            <w:r>
              <w:rPr>
                <w:sz w:val="14"/>
              </w:rPr>
              <w:t>Regional media</w:t>
            </w:r>
          </w:p>
        </w:tc>
        <w:tc>
          <w:tcPr>
            <w:tcW w:type="dxa" w:w="5141"/>
            <w:vAlign w:val="top"/>
          </w:tcPr>
          <w:p>
            <w:pPr>
              <w:spacing w:after="0"/>
            </w:pPr>
            <w:r>
              <w:rPr>
                <w:sz w:val="14"/>
              </w:rPr>
              <w:t>Are effects salient in specific states/provinces or sectors?</w:t>
            </w:r>
          </w:p>
        </w:tc>
      </w:tr>
      <w:tr>
        <w:tc>
          <w:tcPr>
            <w:tcW w:type="dxa" w:w="5141"/>
            <w:vAlign w:val="top"/>
          </w:tcPr>
          <w:p>
            <w:pPr>
              <w:spacing w:after="0"/>
            </w:pPr>
            <w:r>
              <w:rPr>
                <w:sz w:val="14"/>
              </w:rPr>
              <w:t>Trade press</w:t>
            </w:r>
          </w:p>
        </w:tc>
        <w:tc>
          <w:tcPr>
            <w:tcW w:type="dxa" w:w="5141"/>
            <w:vAlign w:val="top"/>
          </w:tcPr>
          <w:p>
            <w:pPr>
              <w:spacing w:after="0"/>
            </w:pPr>
            <w:r>
              <w:rPr>
                <w:sz w:val="14"/>
              </w:rPr>
              <w:t>Are implementation details emerging before mass media notice?</w:t>
            </w:r>
          </w:p>
        </w:tc>
      </w:tr>
      <w:tr>
        <w:tc>
          <w:tcPr>
            <w:tcW w:type="dxa" w:w="5141"/>
            <w:vAlign w:val="top"/>
          </w:tcPr>
          <w:p>
            <w:pPr>
              <w:spacing w:after="0"/>
            </w:pPr>
            <w:r>
              <w:rPr>
                <w:sz w:val="14"/>
              </w:rPr>
              <w:t>Commentary</w:t>
            </w:r>
          </w:p>
        </w:tc>
        <w:tc>
          <w:tcPr>
            <w:tcW w:type="dxa" w:w="5141"/>
            <w:vAlign w:val="top"/>
          </w:tcPr>
          <w:p>
            <w:pPr>
              <w:spacing w:after="0"/>
            </w:pPr>
            <w:r>
              <w:rPr>
                <w:sz w:val="14"/>
              </w:rPr>
              <w:t>Is this analysis/opinion rather than factual reporting?</w:t>
            </w:r>
          </w:p>
        </w:tc>
      </w:tr>
      <w:tr>
        <w:tc>
          <w:tcPr>
            <w:tcW w:type="dxa" w:w="5141"/>
            <w:vAlign w:val="top"/>
          </w:tcPr>
          <w:p>
            <w:pPr>
              <w:spacing w:after="0"/>
            </w:pPr>
            <w:r>
              <w:rPr>
                <w:sz w:val="14"/>
              </w:rPr>
              <w:t>Social media</w:t>
            </w:r>
          </w:p>
        </w:tc>
        <w:tc>
          <w:tcPr>
            <w:tcW w:type="dxa" w:w="5141"/>
            <w:vAlign w:val="top"/>
          </w:tcPr>
          <w:p>
            <w:pPr>
              <w:spacing w:after="0"/>
            </w:pPr>
            <w:r>
              <w:rPr>
                <w:sz w:val="14"/>
              </w:rPr>
              <w:t>Is the signal organic, coordinated, bot-amplified, or simply unknowable? Do not overclaim.</w:t>
            </w:r>
          </w:p>
        </w:tc>
      </w:tr>
      <w:tr>
        <w:tc>
          <w:tcPr>
            <w:tcW w:type="dxa" w:w="5141"/>
            <w:vAlign w:val="top"/>
          </w:tcPr>
          <w:p>
            <w:pPr>
              <w:spacing w:after="0"/>
            </w:pPr>
            <w:r>
              <w:rPr>
                <w:sz w:val="14"/>
              </w:rPr>
              <w:t>Correction need</w:t>
            </w:r>
          </w:p>
        </w:tc>
        <w:tc>
          <w:tcPr>
            <w:tcW w:type="dxa" w:w="5141"/>
            <w:vAlign w:val="top"/>
          </w:tcPr>
          <w:p>
            <w:pPr>
              <w:spacing w:after="0"/>
            </w:pPr>
            <w:r>
              <w:rPr>
                <w:sz w:val="14"/>
              </w:rPr>
              <w:t>Is false information materially affecting Canadian interests?</w:t>
            </w:r>
          </w:p>
        </w:tc>
      </w:tr>
      <w:tr>
        <w:tc>
          <w:tcPr>
            <w:tcW w:type="dxa" w:w="5141"/>
            <w:vAlign w:val="top"/>
          </w:tcPr>
          <w:p>
            <w:pPr>
              <w:spacing w:after="0"/>
            </w:pPr>
            <w:r>
              <w:rPr>
                <w:sz w:val="14"/>
              </w:rPr>
              <w:t>DPA impact</w:t>
            </w:r>
          </w:p>
        </w:tc>
        <w:tc>
          <w:tcPr>
            <w:tcW w:type="dxa" w:w="5141"/>
            <w:vAlign w:val="top"/>
          </w:tcPr>
          <w:p>
            <w:pPr>
              <w:spacing w:after="0"/>
            </w:pPr>
            <w:r>
              <w:rPr>
                <w:sz w:val="14"/>
              </w:rPr>
              <w:t>Does narrative change institutional incentives or only atmosphere?</w:t>
            </w:r>
          </w:p>
        </w:tc>
      </w:tr>
    </w:tbl>
    <w:p>
      <w:r>
        <w:rPr>
          <w:b w:val="0"/>
          <w:i w:val="0"/>
        </w:rPr>
        <w:t>Media volume is not public opinion. Social-media virality is not a representative survey. Analysts must keep those categories separate.</w:t>
      </w:r>
    </w:p>
    <w:p>
      <w:r>
        <w:br w:type="page"/>
      </w:r>
    </w:p>
    <w:p>
      <w:pPr>
        <w:pStyle w:val="Heading1"/>
        <w:keepNext/>
        <w:spacing w:before="120" w:after="50"/>
      </w:pPr>
      <w:r>
        <w:t>33. Public-Opinion Research Safeguards</w:t>
      </w:r>
    </w:p>
    <w:p>
      <w:r>
        <w:rPr>
          <w:b w:val="0"/>
          <w:i w:val="0"/>
        </w:rPr>
        <w:t>Federal public-opinion research is governed by established rules and standards. The framework should use compliant research to understand aggregate attitudes, not to target individuals.</w:t>
      </w:r>
    </w:p>
    <w:p>
      <w:pPr>
        <w:pStyle w:val="ListBullet"/>
        <w:spacing w:after="40"/>
      </w:pPr>
      <w:r>
        <w:t>Use approved Government of Canada POR processes where research is commissioned.</w:t>
      </w:r>
    </w:p>
    <w:p>
      <w:pPr>
        <w:pStyle w:val="ListBullet"/>
        <w:spacing w:after="40"/>
      </w:pPr>
      <w:r>
        <w:t>Record sponsor, methodology, sample, field dates, question wording and limitations.</w:t>
      </w:r>
    </w:p>
    <w:p>
      <w:pPr>
        <w:pStyle w:val="ListBullet"/>
        <w:spacing w:after="40"/>
      </w:pPr>
      <w:r>
        <w:t>Protect respondent privacy and anonymity.</w:t>
      </w:r>
    </w:p>
    <w:p>
      <w:pPr>
        <w:pStyle w:val="ListBullet"/>
        <w:spacing w:after="40"/>
      </w:pPr>
      <w:r>
        <w:t>Maintain political neutrality.</w:t>
      </w:r>
    </w:p>
    <w:p>
      <w:pPr>
        <w:pStyle w:val="ListBullet"/>
        <w:spacing w:after="40"/>
      </w:pPr>
      <w:r>
        <w:t>Do not use surreptitious collection of personal political views.</w:t>
      </w:r>
    </w:p>
    <w:p>
      <w:pPr>
        <w:pStyle w:val="ListBullet"/>
        <w:spacing w:after="40"/>
      </w:pPr>
      <w:r>
        <w:t>Do not merge POR respondent data with operational targeting databases.</w:t>
      </w:r>
    </w:p>
    <w:p>
      <w:pPr>
        <w:pStyle w:val="ListBullet"/>
        <w:spacing w:after="40"/>
      </w:pPr>
      <w:r>
        <w:t>Use public polling from third parties only after methodological review.</w:t>
      </w:r>
    </w:p>
    <w:p>
      <w:pPr>
        <w:pStyle w:val="ListBullet"/>
        <w:spacing w:after="40"/>
      </w:pPr>
      <w:r>
        <w:t>Treat changes inside the margin of error as no change unless supported by other evidence.</w:t>
      </w:r>
    </w:p>
    <w:p>
      <w:pPr>
        <w:pStyle w:val="Heading2"/>
        <w:keepNext/>
        <w:spacing w:before="120" w:after="50"/>
      </w:pPr>
      <w:r>
        <w:t>Decision Use</w:t>
      </w:r>
    </w:p>
    <w:p>
      <w:r>
        <w:rPr>
          <w:b w:val="0"/>
          <w:i w:val="0"/>
        </w:rPr>
        <w:t>POR can inform whether Canadians understand the government's objectives, whether burden is perceived as fair, and whether Americans distinguish Canadian policy from hostility toward American citizens. It should never become a tool for manipulating electoral behaviour.</w:t>
      </w:r>
    </w:p>
    <w:p>
      <w:r>
        <w:br w:type="page"/>
      </w:r>
    </w:p>
    <w:p>
      <w:pPr>
        <w:pStyle w:val="Heading1"/>
        <w:keepNext/>
        <w:spacing w:before="120" w:after="50"/>
      </w:pPr>
      <w:r>
        <w:t>34. Information Security and Compartmentation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Category</w:t>
            </w:r>
          </w:p>
        </w:tc>
        <w:tc>
          <w:tcPr>
            <w:tcW w:type="dxa" w:w="5141"/>
            <w:shd w:fill="D9E5F2"/>
          </w:tcPr>
          <w:p>
            <w:r>
              <w:rPr>
                <w:b/>
                <w:sz w:val="14"/>
              </w:rPr>
              <w:t>Handling principle</w:t>
            </w:r>
          </w:p>
        </w:tc>
      </w:tr>
      <w:tr>
        <w:tc>
          <w:tcPr>
            <w:tcW w:type="dxa" w:w="5141"/>
            <w:vAlign w:val="top"/>
          </w:tcPr>
          <w:p>
            <w:pPr>
              <w:spacing w:after="0"/>
            </w:pPr>
            <w:r>
              <w:rPr>
                <w:sz w:val="14"/>
              </w:rPr>
              <w:t>Public</w:t>
            </w:r>
          </w:p>
        </w:tc>
        <w:tc>
          <w:tcPr>
            <w:tcW w:type="dxa" w:w="5141"/>
            <w:vAlign w:val="top"/>
          </w:tcPr>
          <w:p>
            <w:pPr>
              <w:spacing w:after="0"/>
            </w:pPr>
            <w:r>
              <w:rPr>
                <w:sz w:val="14"/>
              </w:rPr>
              <w:t>Broadly shareable; cite source.</w:t>
            </w:r>
          </w:p>
        </w:tc>
      </w:tr>
      <w:tr>
        <w:tc>
          <w:tcPr>
            <w:tcW w:type="dxa" w:w="5141"/>
            <w:vAlign w:val="top"/>
          </w:tcPr>
          <w:p>
            <w:pPr>
              <w:spacing w:after="0"/>
            </w:pPr>
            <w:r>
              <w:rPr>
                <w:sz w:val="14"/>
              </w:rPr>
              <w:t>Protected policy</w:t>
            </w:r>
          </w:p>
        </w:tc>
        <w:tc>
          <w:tcPr>
            <w:tcW w:type="dxa" w:w="5141"/>
            <w:vAlign w:val="top"/>
          </w:tcPr>
          <w:p>
            <w:pPr>
              <w:spacing w:after="0"/>
            </w:pPr>
            <w:r>
              <w:rPr>
                <w:sz w:val="14"/>
              </w:rPr>
              <w:t>Need-to-know within government; avoid unnecessary personal/commercial detail.</w:t>
            </w:r>
          </w:p>
        </w:tc>
      </w:tr>
      <w:tr>
        <w:tc>
          <w:tcPr>
            <w:tcW w:type="dxa" w:w="5141"/>
            <w:vAlign w:val="top"/>
          </w:tcPr>
          <w:p>
            <w:pPr>
              <w:spacing w:after="0"/>
            </w:pPr>
            <w:r>
              <w:rPr>
                <w:sz w:val="14"/>
              </w:rPr>
              <w:t>Commercial confidential</w:t>
            </w:r>
          </w:p>
        </w:tc>
        <w:tc>
          <w:tcPr>
            <w:tcW w:type="dxa" w:w="5141"/>
            <w:vAlign w:val="top"/>
          </w:tcPr>
          <w:p>
            <w:pPr>
              <w:spacing w:after="0"/>
            </w:pPr>
            <w:r>
              <w:rPr>
                <w:sz w:val="14"/>
              </w:rPr>
              <w:t>Restrict to purpose; aggregate in wider products where possible.</w:t>
            </w:r>
          </w:p>
        </w:tc>
      </w:tr>
      <w:tr>
        <w:tc>
          <w:tcPr>
            <w:tcW w:type="dxa" w:w="5141"/>
            <w:vAlign w:val="top"/>
          </w:tcPr>
          <w:p>
            <w:pPr>
              <w:spacing w:after="0"/>
            </w:pPr>
            <w:r>
              <w:rPr>
                <w:sz w:val="14"/>
              </w:rPr>
              <w:t>Solicitor-client privileged</w:t>
            </w:r>
          </w:p>
        </w:tc>
        <w:tc>
          <w:tcPr>
            <w:tcW w:type="dxa" w:w="5141"/>
            <w:vAlign w:val="top"/>
          </w:tcPr>
          <w:p>
            <w:pPr>
              <w:spacing w:after="0"/>
            </w:pPr>
            <w:r>
              <w:rPr>
                <w:sz w:val="14"/>
              </w:rPr>
              <w:t>Justice/legal-services controls; do not reproduce casually.</w:t>
            </w:r>
          </w:p>
        </w:tc>
      </w:tr>
      <w:tr>
        <w:tc>
          <w:tcPr>
            <w:tcW w:type="dxa" w:w="5141"/>
            <w:vAlign w:val="top"/>
          </w:tcPr>
          <w:p>
            <w:pPr>
              <w:spacing w:after="0"/>
            </w:pPr>
            <w:r>
              <w:rPr>
                <w:sz w:val="14"/>
              </w:rPr>
              <w:t>Classified intelligence</w:t>
            </w:r>
          </w:p>
        </w:tc>
        <w:tc>
          <w:tcPr>
            <w:tcW w:type="dxa" w:w="5141"/>
            <w:vAlign w:val="top"/>
          </w:tcPr>
          <w:p>
            <w:pPr>
              <w:spacing w:after="0"/>
            </w:pPr>
            <w:r>
              <w:rPr>
                <w:sz w:val="14"/>
              </w:rPr>
              <w:t>Originator/dissemination rules; sources and methods protected.</w:t>
            </w:r>
          </w:p>
        </w:tc>
      </w:tr>
      <w:tr>
        <w:tc>
          <w:tcPr>
            <w:tcW w:type="dxa" w:w="5141"/>
            <w:vAlign w:val="top"/>
          </w:tcPr>
          <w:p>
            <w:pPr>
              <w:spacing w:after="0"/>
            </w:pPr>
            <w:r>
              <w:rPr>
                <w:sz w:val="14"/>
              </w:rPr>
              <w:t>Cabinet confidence</w:t>
            </w:r>
          </w:p>
        </w:tc>
        <w:tc>
          <w:tcPr>
            <w:tcW w:type="dxa" w:w="5141"/>
            <w:vAlign w:val="top"/>
          </w:tcPr>
          <w:p>
            <w:pPr>
              <w:spacing w:after="0"/>
            </w:pPr>
            <w:r>
              <w:rPr>
                <w:sz w:val="14"/>
              </w:rPr>
              <w:t>Handle under applicable Cabinet-confidences rules.</w:t>
            </w:r>
          </w:p>
        </w:tc>
      </w:tr>
      <w:tr>
        <w:tc>
          <w:tcPr>
            <w:tcW w:type="dxa" w:w="5141"/>
            <w:vAlign w:val="top"/>
          </w:tcPr>
          <w:p>
            <w:pPr>
              <w:spacing w:after="0"/>
            </w:pPr>
            <w:r>
              <w:rPr>
                <w:sz w:val="14"/>
              </w:rPr>
              <w:t>Personal information</w:t>
            </w:r>
          </w:p>
        </w:tc>
        <w:tc>
          <w:tcPr>
            <w:tcW w:type="dxa" w:w="5141"/>
            <w:vAlign w:val="top"/>
          </w:tcPr>
          <w:p>
            <w:pPr>
              <w:spacing w:after="0"/>
            </w:pPr>
            <w:r>
              <w:rPr>
                <w:sz w:val="14"/>
              </w:rPr>
              <w:t>Privacy Act and applicable policy; minimize and protect.</w:t>
            </w:r>
          </w:p>
        </w:tc>
      </w:tr>
    </w:tbl>
    <w:p>
      <w:pPr>
        <w:pStyle w:val="Heading2"/>
        <w:keepNext/>
        <w:spacing w:before="120" w:after="50"/>
      </w:pPr>
      <w:r>
        <w:t>Tear-Line Practice</w:t>
      </w:r>
    </w:p>
    <w:p>
      <w:r>
        <w:rPr>
          <w:b w:val="0"/>
          <w:i w:val="0"/>
        </w:rPr>
        <w:t>Where classified reporting materially changes the assessment, produce the widest releasable analytic implication possible without revealing protected sources or methods. This allows economic and diplomatic officials to act on the judgement while respecting compartmentation.</w:t>
      </w:r>
    </w:p>
    <w:p>
      <w:r>
        <w:br w:type="page"/>
      </w:r>
    </w:p>
    <w:p>
      <w:pPr>
        <w:pStyle w:val="Heading1"/>
        <w:keepNext/>
        <w:spacing w:before="120" w:after="50"/>
      </w:pPr>
      <w:r>
        <w:t>35. Privacy, Civil Liberties and Democratic Firewall</w:t>
      </w:r>
    </w:p>
    <w:p>
      <w:r>
        <w:rPr>
          <w:b w:val="0"/>
          <w:i w:val="0"/>
        </w:rPr>
        <w:t>Economic statecraft is politically contentious. That makes civil-liberties discipline more important, not less.</w:t>
      </w:r>
    </w:p>
    <w:p>
      <w:pPr>
        <w:pStyle w:val="ListBullet"/>
        <w:spacing w:after="40"/>
      </w:pPr>
      <w:r>
        <w:t>No database of Canadians or Americans categorized by political belief for economic-statecraft purposes.</w:t>
      </w:r>
    </w:p>
    <w:p>
      <w:pPr>
        <w:pStyle w:val="ListBullet"/>
        <w:spacing w:after="40"/>
      </w:pPr>
      <w:r>
        <w:t>No monitoring of private communications without separate lawful authority held by the competent agency.</w:t>
      </w:r>
    </w:p>
    <w:p>
      <w:pPr>
        <w:pStyle w:val="ListBullet"/>
        <w:spacing w:after="40"/>
      </w:pPr>
      <w:r>
        <w:t>No collection because a person criticizes Canadian policy.</w:t>
      </w:r>
    </w:p>
    <w:p>
      <w:pPr>
        <w:pStyle w:val="ListBullet"/>
        <w:spacing w:after="40"/>
      </w:pPr>
      <w:r>
        <w:t>No covert recruitment of journalists, academics, influencers or civic groups to manipulate debate.</w:t>
      </w:r>
    </w:p>
    <w:p>
      <w:pPr>
        <w:pStyle w:val="ListBullet"/>
        <w:spacing w:after="40"/>
      </w:pPr>
      <w:r>
        <w:t>No use of government economic assistance as leverage to obtain political intelligence.</w:t>
      </w:r>
    </w:p>
    <w:p>
      <w:pPr>
        <w:pStyle w:val="ListBullet"/>
        <w:spacing w:after="40"/>
      </w:pPr>
      <w:r>
        <w:t>No discriminatory targeting based on protected characteristics.</w:t>
      </w:r>
    </w:p>
    <w:p>
      <w:pPr>
        <w:pStyle w:val="ListBullet"/>
        <w:spacing w:after="40"/>
      </w:pPr>
      <w:r>
        <w:t>No election interference or candidate advocacy.</w:t>
      </w:r>
    </w:p>
    <w:p>
      <w:pPr>
        <w:pStyle w:val="ListBullet"/>
        <w:spacing w:after="40"/>
      </w:pPr>
      <w:r>
        <w:t>No repurposing business consultations into security investigations absent separate lawful process.</w:t>
      </w:r>
    </w:p>
    <w:p>
      <w:pPr>
        <w:pStyle w:val="ListBullet"/>
        <w:spacing w:after="40"/>
      </w:pPr>
      <w:r>
        <w:t>Analysts may assess public institutions, published advocacy, aggregate public sentiment and observable policy behaviour.</w:t>
      </w:r>
    </w:p>
    <w:p>
      <w:pPr>
        <w:pStyle w:val="ListBullet"/>
        <w:spacing w:after="40"/>
      </w:pPr>
      <w:r>
        <w:t>Suspected criminal or national-security matters are referred to competent authorities, not investigated by ESSAC.</w:t>
      </w:r>
    </w:p>
    <w:p>
      <w:r>
        <w:br w:type="page"/>
      </w:r>
    </w:p>
    <w:p>
      <w:pPr>
        <w:pStyle w:val="Heading1"/>
        <w:keepNext/>
        <w:spacing w:before="120" w:after="50"/>
      </w:pPr>
      <w:r>
        <w:t>36. Legal Risk Integration</w:t>
      </w:r>
    </w:p>
    <w:p>
      <w:r>
        <w:rPr>
          <w:b w:val="0"/>
          <w:i w:val="0"/>
        </w:rPr>
        <w:t>Justice Canada identifies legal risk management as the systematic detection, avoidance, mitigation and management of legal risks. For economic statecraft, legal assessment must enter before decisions harden.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Legal question</w:t>
            </w:r>
          </w:p>
        </w:tc>
        <w:tc>
          <w:tcPr>
            <w:tcW w:type="dxa" w:w="5141"/>
            <w:shd w:fill="D9E5F2"/>
          </w:tcPr>
          <w:p>
            <w:r>
              <w:rPr>
                <w:b/>
                <w:sz w:val="14"/>
              </w:rPr>
              <w:t>Owner / input</w:t>
            </w:r>
          </w:p>
        </w:tc>
      </w:tr>
      <w:tr>
        <w:tc>
          <w:tcPr>
            <w:tcW w:type="dxa" w:w="5141"/>
            <w:vAlign w:val="top"/>
          </w:tcPr>
          <w:p>
            <w:pPr>
              <w:spacing w:after="0"/>
            </w:pPr>
            <w:r>
              <w:rPr>
                <w:sz w:val="14"/>
              </w:rPr>
              <w:t>Canadian statutory authority</w:t>
            </w:r>
          </w:p>
        </w:tc>
        <w:tc>
          <w:tcPr>
            <w:tcW w:type="dxa" w:w="5141"/>
            <w:vAlign w:val="top"/>
          </w:tcPr>
          <w:p>
            <w:pPr>
              <w:spacing w:after="0"/>
            </w:pPr>
            <w:r>
              <w:rPr>
                <w:sz w:val="14"/>
              </w:rPr>
              <w:t>Justice + responsible department</w:t>
            </w:r>
          </w:p>
        </w:tc>
      </w:tr>
      <w:tr>
        <w:tc>
          <w:tcPr>
            <w:tcW w:type="dxa" w:w="5141"/>
            <w:vAlign w:val="top"/>
          </w:tcPr>
          <w:p>
            <w:pPr>
              <w:spacing w:after="0"/>
            </w:pPr>
            <w:r>
              <w:rPr>
                <w:sz w:val="14"/>
              </w:rPr>
              <w:t>Constitutional / federal-provincial issue</w:t>
            </w:r>
          </w:p>
        </w:tc>
        <w:tc>
          <w:tcPr>
            <w:tcW w:type="dxa" w:w="5141"/>
            <w:vAlign w:val="top"/>
          </w:tcPr>
          <w:p>
            <w:pPr>
              <w:spacing w:after="0"/>
            </w:pPr>
            <w:r>
              <w:rPr>
                <w:sz w:val="14"/>
              </w:rPr>
              <w:t>Justice + intergovernmental/provincial counsel</w:t>
            </w:r>
          </w:p>
        </w:tc>
      </w:tr>
      <w:tr>
        <w:tc>
          <w:tcPr>
            <w:tcW w:type="dxa" w:w="5141"/>
            <w:vAlign w:val="top"/>
          </w:tcPr>
          <w:p>
            <w:pPr>
              <w:spacing w:after="0"/>
            </w:pPr>
            <w:r>
              <w:rPr>
                <w:sz w:val="14"/>
              </w:rPr>
              <w:t>CUSMA/WTO/FTA compliance</w:t>
            </w:r>
          </w:p>
        </w:tc>
        <w:tc>
          <w:tcPr>
            <w:tcW w:type="dxa" w:w="5141"/>
            <w:vAlign w:val="top"/>
          </w:tcPr>
          <w:p>
            <w:pPr>
              <w:spacing w:after="0"/>
            </w:pPr>
            <w:r>
              <w:rPr>
                <w:sz w:val="14"/>
              </w:rPr>
              <w:t>Trade law specialists</w:t>
            </w:r>
          </w:p>
        </w:tc>
      </w:tr>
      <w:tr>
        <w:tc>
          <w:tcPr>
            <w:tcW w:type="dxa" w:w="5141"/>
            <w:vAlign w:val="top"/>
          </w:tcPr>
          <w:p>
            <w:pPr>
              <w:spacing w:after="0"/>
            </w:pPr>
            <w:r>
              <w:rPr>
                <w:sz w:val="14"/>
              </w:rPr>
              <w:t>Customs implementation</w:t>
            </w:r>
          </w:p>
        </w:tc>
        <w:tc>
          <w:tcPr>
            <w:tcW w:type="dxa" w:w="5141"/>
            <w:vAlign w:val="top"/>
          </w:tcPr>
          <w:p>
            <w:pPr>
              <w:spacing w:after="0"/>
            </w:pPr>
            <w:r>
              <w:rPr>
                <w:sz w:val="14"/>
              </w:rPr>
              <w:t>Finance / CBSA + counsel</w:t>
            </w:r>
          </w:p>
        </w:tc>
      </w:tr>
      <w:tr>
        <w:tc>
          <w:tcPr>
            <w:tcW w:type="dxa" w:w="5141"/>
            <w:vAlign w:val="top"/>
          </w:tcPr>
          <w:p>
            <w:pPr>
              <w:spacing w:after="0"/>
            </w:pPr>
            <w:r>
              <w:rPr>
                <w:sz w:val="14"/>
              </w:rPr>
              <w:t>Privacy / information sharing</w:t>
            </w:r>
          </w:p>
        </w:tc>
        <w:tc>
          <w:tcPr>
            <w:tcW w:type="dxa" w:w="5141"/>
            <w:vAlign w:val="top"/>
          </w:tcPr>
          <w:p>
            <w:pPr>
              <w:spacing w:after="0"/>
            </w:pPr>
            <w:r>
              <w:rPr>
                <w:sz w:val="14"/>
              </w:rPr>
              <w:t>Departmental privacy/legal officials</w:t>
            </w:r>
          </w:p>
        </w:tc>
      </w:tr>
      <w:tr>
        <w:tc>
          <w:tcPr>
            <w:tcW w:type="dxa" w:w="5141"/>
            <w:vAlign w:val="top"/>
          </w:tcPr>
          <w:p>
            <w:pPr>
              <w:spacing w:after="0"/>
            </w:pPr>
            <w:r>
              <w:rPr>
                <w:sz w:val="14"/>
              </w:rPr>
              <w:t>Intelligence dissemination</w:t>
            </w:r>
          </w:p>
        </w:tc>
        <w:tc>
          <w:tcPr>
            <w:tcW w:type="dxa" w:w="5141"/>
            <w:vAlign w:val="top"/>
          </w:tcPr>
          <w:p>
            <w:pPr>
              <w:spacing w:after="0"/>
            </w:pPr>
            <w:r>
              <w:rPr>
                <w:sz w:val="14"/>
              </w:rPr>
              <w:t>Originating agency + legal/policy authorities</w:t>
            </w:r>
          </w:p>
        </w:tc>
      </w:tr>
      <w:tr>
        <w:tc>
          <w:tcPr>
            <w:tcW w:type="dxa" w:w="5141"/>
            <w:vAlign w:val="top"/>
          </w:tcPr>
          <w:p>
            <w:pPr>
              <w:spacing w:after="0"/>
            </w:pPr>
            <w:r>
              <w:rPr>
                <w:sz w:val="14"/>
              </w:rPr>
              <w:t>Litigation effect</w:t>
            </w:r>
          </w:p>
        </w:tc>
        <w:tc>
          <w:tcPr>
            <w:tcW w:type="dxa" w:w="5141"/>
            <w:vAlign w:val="top"/>
          </w:tcPr>
          <w:p>
            <w:pPr>
              <w:spacing w:after="0"/>
            </w:pPr>
            <w:r>
              <w:rPr>
                <w:sz w:val="14"/>
              </w:rPr>
              <w:t>Justice / relevant counsel</w:t>
            </w:r>
          </w:p>
        </w:tc>
      </w:tr>
      <w:tr>
        <w:tc>
          <w:tcPr>
            <w:tcW w:type="dxa" w:w="5141"/>
            <w:vAlign w:val="top"/>
          </w:tcPr>
          <w:p>
            <w:pPr>
              <w:spacing w:after="0"/>
            </w:pPr>
            <w:r>
              <w:rPr>
                <w:sz w:val="14"/>
              </w:rPr>
              <w:t>Procurement / subsidy / support design</w:t>
            </w:r>
          </w:p>
        </w:tc>
        <w:tc>
          <w:tcPr>
            <w:tcW w:type="dxa" w:w="5141"/>
            <w:vAlign w:val="top"/>
          </w:tcPr>
          <w:p>
            <w:pPr>
              <w:spacing w:after="0"/>
            </w:pPr>
            <w:r>
              <w:rPr>
                <w:sz w:val="14"/>
              </w:rPr>
              <w:t>Responsible department + Justice</w:t>
            </w:r>
          </w:p>
        </w:tc>
      </w:tr>
    </w:tbl>
    <w:p>
      <w:r>
        <w:rPr>
          <w:b w:val="0"/>
          <w:i w:val="0"/>
        </w:rPr>
        <w:t>ESSAC should display legal status as Confirmed / Under Review / Contested / Enjoined / Proposed. It should never flatten those categories into 'law.'</w:t>
      </w:r>
    </w:p>
    <w:p>
      <w:r>
        <w:br w:type="page"/>
      </w:r>
    </w:p>
    <w:p>
      <w:pPr>
        <w:pStyle w:val="Heading1"/>
        <w:keepNext/>
        <w:spacing w:before="120" w:after="50"/>
      </w:pPr>
      <w:r>
        <w:t>37. Bias and Failure-Mode Register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Failure mode</w:t>
            </w:r>
          </w:p>
        </w:tc>
        <w:tc>
          <w:tcPr>
            <w:tcW w:type="dxa" w:w="5141"/>
            <w:shd w:fill="D9E5F2"/>
          </w:tcPr>
          <w:p>
            <w:r>
              <w:rPr>
                <w:b/>
                <w:sz w:val="14"/>
              </w:rPr>
              <w:t>Countermeasure</w:t>
            </w:r>
          </w:p>
        </w:tc>
      </w:tr>
      <w:tr>
        <w:tc>
          <w:tcPr>
            <w:tcW w:type="dxa" w:w="5141"/>
            <w:vAlign w:val="top"/>
          </w:tcPr>
          <w:p>
            <w:pPr>
              <w:spacing w:after="0"/>
            </w:pPr>
            <w:r>
              <w:rPr>
                <w:sz w:val="14"/>
              </w:rPr>
              <w:t>Confirmation bias</w:t>
            </w:r>
          </w:p>
        </w:tc>
        <w:tc>
          <w:tcPr>
            <w:tcW w:type="dxa" w:w="5141"/>
            <w:vAlign w:val="top"/>
          </w:tcPr>
          <w:p>
            <w:pPr>
              <w:spacing w:after="0"/>
            </w:pPr>
            <w:r>
              <w:rPr>
                <w:sz w:val="14"/>
              </w:rPr>
              <w:t>Competing hypotheses; mandatory falsifiers</w:t>
            </w:r>
          </w:p>
        </w:tc>
      </w:tr>
      <w:tr>
        <w:tc>
          <w:tcPr>
            <w:tcW w:type="dxa" w:w="5141"/>
            <w:vAlign w:val="top"/>
          </w:tcPr>
          <w:p>
            <w:pPr>
              <w:spacing w:after="0"/>
            </w:pPr>
            <w:r>
              <w:rPr>
                <w:sz w:val="14"/>
              </w:rPr>
              <w:t>Recency bias</w:t>
            </w:r>
          </w:p>
        </w:tc>
        <w:tc>
          <w:tcPr>
            <w:tcW w:type="dxa" w:w="5141"/>
            <w:vAlign w:val="top"/>
          </w:tcPr>
          <w:p>
            <w:pPr>
              <w:spacing w:after="0"/>
            </w:pPr>
            <w:r>
              <w:rPr>
                <w:sz w:val="14"/>
              </w:rPr>
              <w:t>Baseline comparisons and rolling windows</w:t>
            </w:r>
          </w:p>
        </w:tc>
      </w:tr>
      <w:tr>
        <w:tc>
          <w:tcPr>
            <w:tcW w:type="dxa" w:w="5141"/>
            <w:vAlign w:val="top"/>
          </w:tcPr>
          <w:p>
            <w:pPr>
              <w:spacing w:after="0"/>
            </w:pPr>
            <w:r>
              <w:rPr>
                <w:sz w:val="14"/>
              </w:rPr>
              <w:t>Access bias</w:t>
            </w:r>
          </w:p>
        </w:tc>
        <w:tc>
          <w:tcPr>
            <w:tcW w:type="dxa" w:w="5141"/>
            <w:vAlign w:val="top"/>
          </w:tcPr>
          <w:p>
            <w:pPr>
              <w:spacing w:after="0"/>
            </w:pPr>
            <w:r>
              <w:rPr>
                <w:sz w:val="14"/>
              </w:rPr>
              <w:t>Weight by authority and evidence, not seniority of contact</w:t>
            </w:r>
          </w:p>
        </w:tc>
      </w:tr>
      <w:tr>
        <w:tc>
          <w:tcPr>
            <w:tcW w:type="dxa" w:w="5141"/>
            <w:vAlign w:val="top"/>
          </w:tcPr>
          <w:p>
            <w:pPr>
              <w:spacing w:after="0"/>
            </w:pPr>
            <w:r>
              <w:rPr>
                <w:sz w:val="14"/>
              </w:rPr>
              <w:t>Headline bias</w:t>
            </w:r>
          </w:p>
        </w:tc>
        <w:tc>
          <w:tcPr>
            <w:tcW w:type="dxa" w:w="5141"/>
            <w:vAlign w:val="top"/>
          </w:tcPr>
          <w:p>
            <w:pPr>
              <w:spacing w:after="0"/>
            </w:pPr>
            <w:r>
              <w:rPr>
                <w:sz w:val="14"/>
              </w:rPr>
              <w:t>Source tiering and implementation check</w:t>
            </w:r>
          </w:p>
        </w:tc>
      </w:tr>
      <w:tr>
        <w:tc>
          <w:tcPr>
            <w:tcW w:type="dxa" w:w="5141"/>
            <w:vAlign w:val="top"/>
          </w:tcPr>
          <w:p>
            <w:pPr>
              <w:spacing w:after="0"/>
            </w:pPr>
            <w:r>
              <w:rPr>
                <w:sz w:val="14"/>
              </w:rPr>
              <w:t>Groupthink</w:t>
            </w:r>
          </w:p>
        </w:tc>
        <w:tc>
          <w:tcPr>
            <w:tcW w:type="dxa" w:w="5141"/>
            <w:vAlign w:val="top"/>
          </w:tcPr>
          <w:p>
            <w:pPr>
              <w:spacing w:after="0"/>
            </w:pPr>
            <w:r>
              <w:rPr>
                <w:sz w:val="14"/>
              </w:rPr>
              <w:t>Dissent box and rotating red team</w:t>
            </w:r>
          </w:p>
        </w:tc>
      </w:tr>
      <w:tr>
        <w:tc>
          <w:tcPr>
            <w:tcW w:type="dxa" w:w="5141"/>
            <w:vAlign w:val="top"/>
          </w:tcPr>
          <w:p>
            <w:pPr>
              <w:spacing w:after="0"/>
            </w:pPr>
            <w:r>
              <w:rPr>
                <w:sz w:val="14"/>
              </w:rPr>
              <w:t>Politicization</w:t>
            </w:r>
          </w:p>
        </w:tc>
        <w:tc>
          <w:tcPr>
            <w:tcW w:type="dxa" w:w="5141"/>
            <w:vAlign w:val="top"/>
          </w:tcPr>
          <w:p>
            <w:pPr>
              <w:spacing w:after="0"/>
            </w:pPr>
            <w:r>
              <w:rPr>
                <w:sz w:val="14"/>
              </w:rPr>
              <w:t>Analytic independence; evidence trail</w:t>
            </w:r>
          </w:p>
        </w:tc>
      </w:tr>
      <w:tr>
        <w:tc>
          <w:tcPr>
            <w:tcW w:type="dxa" w:w="5141"/>
            <w:vAlign w:val="top"/>
          </w:tcPr>
          <w:p>
            <w:pPr>
              <w:spacing w:after="0"/>
            </w:pPr>
            <w:r>
              <w:rPr>
                <w:sz w:val="14"/>
              </w:rPr>
              <w:t>False precision</w:t>
            </w:r>
          </w:p>
        </w:tc>
        <w:tc>
          <w:tcPr>
            <w:tcW w:type="dxa" w:w="5141"/>
            <w:vAlign w:val="top"/>
          </w:tcPr>
          <w:p>
            <w:pPr>
              <w:spacing w:after="0"/>
            </w:pPr>
            <w:r>
              <w:rPr>
                <w:sz w:val="14"/>
              </w:rPr>
              <w:t>Probability ranges and confidence labels</w:t>
            </w:r>
          </w:p>
        </w:tc>
      </w:tr>
      <w:tr>
        <w:tc>
          <w:tcPr>
            <w:tcW w:type="dxa" w:w="5141"/>
            <w:vAlign w:val="top"/>
          </w:tcPr>
          <w:p>
            <w:pPr>
              <w:spacing w:after="0"/>
            </w:pPr>
            <w:r>
              <w:rPr>
                <w:sz w:val="14"/>
              </w:rPr>
              <w:t>Circular reporting</w:t>
            </w:r>
          </w:p>
        </w:tc>
        <w:tc>
          <w:tcPr>
            <w:tcW w:type="dxa" w:w="5141"/>
            <w:vAlign w:val="top"/>
          </w:tcPr>
          <w:p>
            <w:pPr>
              <w:spacing w:after="0"/>
            </w:pPr>
            <w:r>
              <w:rPr>
                <w:sz w:val="14"/>
              </w:rPr>
              <w:t>Track original source provenance</w:t>
            </w:r>
          </w:p>
        </w:tc>
      </w:tr>
      <w:tr>
        <w:tc>
          <w:tcPr>
            <w:tcW w:type="dxa" w:w="5141"/>
            <w:vAlign w:val="top"/>
          </w:tcPr>
          <w:p>
            <w:pPr>
              <w:spacing w:after="0"/>
            </w:pPr>
            <w:r>
              <w:rPr>
                <w:sz w:val="14"/>
              </w:rPr>
              <w:t>Sector capture</w:t>
            </w:r>
          </w:p>
        </w:tc>
        <w:tc>
          <w:tcPr>
            <w:tcW w:type="dxa" w:w="5141"/>
            <w:vAlign w:val="top"/>
          </w:tcPr>
          <w:p>
            <w:pPr>
              <w:spacing w:after="0"/>
            </w:pPr>
            <w:r>
              <w:rPr>
                <w:sz w:val="14"/>
              </w:rPr>
              <w:t>Representative consultations and public data</w:t>
            </w:r>
          </w:p>
        </w:tc>
      </w:tr>
      <w:tr>
        <w:tc>
          <w:tcPr>
            <w:tcW w:type="dxa" w:w="5141"/>
            <w:vAlign w:val="top"/>
          </w:tcPr>
          <w:p>
            <w:pPr>
              <w:spacing w:after="0"/>
            </w:pPr>
            <w:r>
              <w:rPr>
                <w:sz w:val="14"/>
              </w:rPr>
              <w:t>Classified-information halo</w:t>
            </w:r>
          </w:p>
        </w:tc>
        <w:tc>
          <w:tcPr>
            <w:tcW w:type="dxa" w:w="5141"/>
            <w:vAlign w:val="top"/>
          </w:tcPr>
          <w:p>
            <w:pPr>
              <w:spacing w:after="0"/>
            </w:pPr>
            <w:r>
              <w:rPr>
                <w:sz w:val="14"/>
              </w:rPr>
              <w:t>Do not overweight intelligence merely because it is secret</w:t>
            </w:r>
          </w:p>
        </w:tc>
      </w:tr>
      <w:tr>
        <w:tc>
          <w:tcPr>
            <w:tcW w:type="dxa" w:w="5141"/>
            <w:vAlign w:val="top"/>
          </w:tcPr>
          <w:p>
            <w:pPr>
              <w:spacing w:after="0"/>
            </w:pPr>
            <w:r>
              <w:rPr>
                <w:sz w:val="14"/>
              </w:rPr>
              <w:t>Model overfitting</w:t>
            </w:r>
          </w:p>
        </w:tc>
        <w:tc>
          <w:tcPr>
            <w:tcW w:type="dxa" w:w="5141"/>
            <w:vAlign w:val="top"/>
          </w:tcPr>
          <w:p>
            <w:pPr>
              <w:spacing w:after="0"/>
            </w:pPr>
            <w:r>
              <w:rPr>
                <w:sz w:val="14"/>
              </w:rPr>
              <w:t>Simple transparent scores; human judgement</w:t>
            </w:r>
          </w:p>
        </w:tc>
      </w:tr>
      <w:tr>
        <w:tc>
          <w:tcPr>
            <w:tcW w:type="dxa" w:w="5141"/>
            <w:vAlign w:val="top"/>
          </w:tcPr>
          <w:p>
            <w:pPr>
              <w:spacing w:after="0"/>
            </w:pPr>
            <w:r>
              <w:rPr>
                <w:sz w:val="14"/>
              </w:rPr>
              <w:t>Silence = consent</w:t>
            </w:r>
          </w:p>
        </w:tc>
        <w:tc>
          <w:tcPr>
            <w:tcW w:type="dxa" w:w="5141"/>
            <w:vAlign w:val="top"/>
          </w:tcPr>
          <w:p>
            <w:pPr>
              <w:spacing w:after="0"/>
            </w:pPr>
            <w:r>
              <w:rPr>
                <w:sz w:val="14"/>
              </w:rPr>
              <w:t>Record missing evidence as missing, not supportive</w:t>
            </w:r>
          </w:p>
        </w:tc>
      </w:tr>
    </w:tbl>
    <w:p>
      <w:r>
        <w:br w:type="page"/>
      </w:r>
    </w:p>
    <w:p>
      <w:pPr>
        <w:pStyle w:val="Heading1"/>
        <w:keepNext/>
        <w:spacing w:before="120" w:after="50"/>
      </w:pPr>
      <w:r>
        <w:t>38. Red-Team and Challenge Function</w:t>
      </w:r>
    </w:p>
    <w:p>
      <w:r>
        <w:rPr>
          <w:b w:val="0"/>
          <w:i w:val="0"/>
        </w:rPr>
        <w:t>A small challenge team should review each major DPA and RED/ORANGE warning.</w:t>
      </w:r>
    </w:p>
    <w:p>
      <w:pPr>
        <w:pStyle w:val="ListBullet"/>
        <w:spacing w:after="40"/>
      </w:pPr>
      <w:r>
        <w:t>Construct the strongest case that de-escalation probability is overstated.</w:t>
      </w:r>
    </w:p>
    <w:p>
      <w:pPr>
        <w:pStyle w:val="ListBullet"/>
        <w:spacing w:after="40"/>
      </w:pPr>
      <w:r>
        <w:t>Construct the strongest case that it is understated.</w:t>
      </w:r>
    </w:p>
    <w:p>
      <w:pPr>
        <w:pStyle w:val="ListBullet"/>
        <w:spacing w:after="40"/>
      </w:pPr>
      <w:r>
        <w:t>Identify which evidence is duplicated or circular.</w:t>
      </w:r>
    </w:p>
    <w:p>
      <w:pPr>
        <w:pStyle w:val="ListBullet"/>
        <w:spacing w:after="40"/>
      </w:pPr>
      <w:r>
        <w:t>Identify incentives of key sources.</w:t>
      </w:r>
    </w:p>
    <w:p>
      <w:pPr>
        <w:pStyle w:val="ListBullet"/>
        <w:spacing w:after="40"/>
      </w:pPr>
      <w:r>
        <w:t>Test whether Canadian policy itself is causing the warning signal.</w:t>
      </w:r>
    </w:p>
    <w:p>
      <w:pPr>
        <w:pStyle w:val="ListBullet"/>
        <w:spacing w:after="40"/>
      </w:pPr>
      <w:r>
        <w:t>Ask what an adversary would want Canada to believe.</w:t>
      </w:r>
    </w:p>
    <w:p>
      <w:pPr>
        <w:pStyle w:val="ListBullet"/>
        <w:spacing w:after="40"/>
      </w:pPr>
      <w:r>
        <w:t>Ask what a neutral third-country analyst would infer.</w:t>
      </w:r>
    </w:p>
    <w:p>
      <w:pPr>
        <w:pStyle w:val="ListBullet"/>
        <w:spacing w:after="40"/>
      </w:pPr>
      <w:r>
        <w:t>Identify the cheapest additional evidence that would resolve the largest uncertainty.</w:t>
      </w:r>
    </w:p>
    <w:p>
      <w:pPr>
        <w:pStyle w:val="ListBullet"/>
        <w:spacing w:after="40"/>
      </w:pPr>
      <w:r>
        <w:t>Record unresolved disagreement rather than forcing artificial consensus.</w:t>
      </w:r>
    </w:p>
    <w:p>
      <w:pPr>
        <w:pStyle w:val="Heading2"/>
        <w:keepNext/>
        <w:spacing w:before="120" w:after="50"/>
      </w:pPr>
      <w:r>
        <w:t>Challenge Timing</w:t>
      </w:r>
    </w:p>
    <w:p>
      <w:r>
        <w:rPr>
          <w:b w:val="0"/>
          <w:i w:val="0"/>
        </w:rPr>
        <w:t>Red-team review should be fast enough to matter: same-day for crisis warnings, 24 hours for weekly DPA, deeper quarterly methodological review.</w:t>
      </w:r>
    </w:p>
    <w:p>
      <w:r>
        <w:br w:type="page"/>
      </w:r>
    </w:p>
    <w:p>
      <w:pPr>
        <w:pStyle w:val="Heading1"/>
        <w:keepNext/>
        <w:spacing w:before="120" w:after="50"/>
      </w:pPr>
      <w:r>
        <w:t>39. Meeting Rhythm and Product Cadence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Cadence</w:t>
            </w:r>
          </w:p>
        </w:tc>
        <w:tc>
          <w:tcPr>
            <w:tcW w:type="dxa" w:w="5141"/>
            <w:shd w:fill="D9E5F2"/>
          </w:tcPr>
          <w:p>
            <w:r>
              <w:rPr>
                <w:b/>
                <w:sz w:val="14"/>
              </w:rPr>
              <w:t>Product</w:t>
            </w:r>
          </w:p>
        </w:tc>
      </w:tr>
      <w:tr>
        <w:tc>
          <w:tcPr>
            <w:tcW w:type="dxa" w:w="5141"/>
            <w:vAlign w:val="top"/>
          </w:tcPr>
          <w:p>
            <w:pPr>
              <w:spacing w:after="0"/>
            </w:pPr>
            <w:r>
              <w:rPr>
                <w:sz w:val="14"/>
              </w:rPr>
              <w:t>Continuous</w:t>
            </w:r>
          </w:p>
        </w:tc>
        <w:tc>
          <w:tcPr>
            <w:tcW w:type="dxa" w:w="5141"/>
            <w:vAlign w:val="top"/>
          </w:tcPr>
          <w:p>
            <w:pPr>
              <w:spacing w:after="0"/>
            </w:pPr>
            <w:r>
              <w:rPr>
                <w:sz w:val="14"/>
              </w:rPr>
              <w:t>Event log and alert queue</w:t>
            </w:r>
          </w:p>
        </w:tc>
      </w:tr>
      <w:tr>
        <w:tc>
          <w:tcPr>
            <w:tcW w:type="dxa" w:w="5141"/>
            <w:vAlign w:val="top"/>
          </w:tcPr>
          <w:p>
            <w:pPr>
              <w:spacing w:after="0"/>
            </w:pPr>
            <w:r>
              <w:rPr>
                <w:sz w:val="14"/>
              </w:rPr>
              <w:t>Daily during acute crisis</w:t>
            </w:r>
          </w:p>
        </w:tc>
        <w:tc>
          <w:tcPr>
            <w:tcW w:type="dxa" w:w="5141"/>
            <w:vAlign w:val="top"/>
          </w:tcPr>
          <w:p>
            <w:pPr>
              <w:spacing w:after="0"/>
            </w:pPr>
            <w:r>
              <w:rPr>
                <w:sz w:val="14"/>
              </w:rPr>
              <w:t>Morning 1-page situational note</w:t>
            </w:r>
          </w:p>
        </w:tc>
      </w:tr>
      <w:tr>
        <w:tc>
          <w:tcPr>
            <w:tcW w:type="dxa" w:w="5141"/>
            <w:vAlign w:val="top"/>
          </w:tcPr>
          <w:p>
            <w:pPr>
              <w:spacing w:after="0"/>
            </w:pPr>
            <w:r>
              <w:rPr>
                <w:sz w:val="14"/>
              </w:rPr>
              <w:t>Twice weekly during active negotiations</w:t>
            </w:r>
          </w:p>
        </w:tc>
        <w:tc>
          <w:tcPr>
            <w:tcW w:type="dxa" w:w="5141"/>
            <w:vAlign w:val="top"/>
          </w:tcPr>
          <w:p>
            <w:pPr>
              <w:spacing w:after="0"/>
            </w:pPr>
            <w:r>
              <w:rPr>
                <w:sz w:val="14"/>
              </w:rPr>
              <w:t>Negotiation signal update</w:t>
            </w:r>
          </w:p>
        </w:tc>
      </w:tr>
      <w:tr>
        <w:tc>
          <w:tcPr>
            <w:tcW w:type="dxa" w:w="5141"/>
            <w:vAlign w:val="top"/>
          </w:tcPr>
          <w:p>
            <w:pPr>
              <w:spacing w:after="0"/>
            </w:pPr>
            <w:r>
              <w:rPr>
                <w:sz w:val="14"/>
              </w:rPr>
              <w:t>Weekly</w:t>
            </w:r>
          </w:p>
        </w:tc>
        <w:tc>
          <w:tcPr>
            <w:tcW w:type="dxa" w:w="5141"/>
            <w:vAlign w:val="top"/>
          </w:tcPr>
          <w:p>
            <w:pPr>
              <w:spacing w:after="0"/>
            </w:pPr>
            <w:r>
              <w:rPr>
                <w:sz w:val="14"/>
              </w:rPr>
              <w:t>Full De-escalation Probability Assessment</w:t>
            </w:r>
          </w:p>
        </w:tc>
      </w:tr>
      <w:tr>
        <w:tc>
          <w:tcPr>
            <w:tcW w:type="dxa" w:w="5141"/>
            <w:vAlign w:val="top"/>
          </w:tcPr>
          <w:p>
            <w:pPr>
              <w:spacing w:after="0"/>
            </w:pPr>
            <w:r>
              <w:rPr>
                <w:sz w:val="14"/>
              </w:rPr>
              <w:t>Monthly</w:t>
            </w:r>
          </w:p>
        </w:tc>
        <w:tc>
          <w:tcPr>
            <w:tcW w:type="dxa" w:w="5141"/>
            <w:vAlign w:val="top"/>
          </w:tcPr>
          <w:p>
            <w:pPr>
              <w:spacing w:after="0"/>
            </w:pPr>
            <w:r>
              <w:rPr>
                <w:sz w:val="14"/>
              </w:rPr>
              <w:t>Economic effects and Canadian endurance dashboard</w:t>
            </w:r>
          </w:p>
        </w:tc>
      </w:tr>
      <w:tr>
        <w:tc>
          <w:tcPr>
            <w:tcW w:type="dxa" w:w="5141"/>
            <w:vAlign w:val="top"/>
          </w:tcPr>
          <w:p>
            <w:pPr>
              <w:spacing w:after="0"/>
            </w:pPr>
            <w:r>
              <w:rPr>
                <w:sz w:val="14"/>
              </w:rPr>
              <w:t>Quarterly</w:t>
            </w:r>
          </w:p>
        </w:tc>
        <w:tc>
          <w:tcPr>
            <w:tcW w:type="dxa" w:w="5141"/>
            <w:vAlign w:val="top"/>
          </w:tcPr>
          <w:p>
            <w:pPr>
              <w:spacing w:after="0"/>
            </w:pPr>
            <w:r>
              <w:rPr>
                <w:sz w:val="14"/>
              </w:rPr>
              <w:t>Methodology, weights, source performance and false-alarm review</w:t>
            </w:r>
          </w:p>
        </w:tc>
      </w:tr>
      <w:tr>
        <w:tc>
          <w:tcPr>
            <w:tcW w:type="dxa" w:w="5141"/>
            <w:vAlign w:val="top"/>
          </w:tcPr>
          <w:p>
            <w:pPr>
              <w:spacing w:after="0"/>
            </w:pPr>
            <w:r>
              <w:rPr>
                <w:sz w:val="14"/>
              </w:rPr>
              <w:t>After major event</w:t>
            </w:r>
          </w:p>
        </w:tc>
        <w:tc>
          <w:tcPr>
            <w:tcW w:type="dxa" w:w="5141"/>
            <w:vAlign w:val="top"/>
          </w:tcPr>
          <w:p>
            <w:pPr>
              <w:spacing w:after="0"/>
            </w:pPr>
            <w:r>
              <w:rPr>
                <w:sz w:val="14"/>
              </w:rPr>
              <w:t>Special assessment within defined decision timeline</w:t>
            </w:r>
          </w:p>
        </w:tc>
      </w:tr>
      <w:tr>
        <w:tc>
          <w:tcPr>
            <w:tcW w:type="dxa" w:w="5141"/>
            <w:vAlign w:val="top"/>
          </w:tcPr>
          <w:p>
            <w:pPr>
              <w:spacing w:after="0"/>
            </w:pPr>
            <w:r>
              <w:rPr>
                <w:sz w:val="14"/>
              </w:rPr>
              <w:t>After settlement</w:t>
            </w:r>
          </w:p>
        </w:tc>
        <w:tc>
          <w:tcPr>
            <w:tcW w:type="dxa" w:w="5141"/>
            <w:vAlign w:val="top"/>
          </w:tcPr>
          <w:p>
            <w:pPr>
              <w:spacing w:after="0"/>
            </w:pPr>
            <w:r>
              <w:rPr>
                <w:sz w:val="14"/>
              </w:rPr>
              <w:t>Verification and relapse-risk assessment</w:t>
            </w:r>
          </w:p>
        </w:tc>
      </w:tr>
    </w:tbl>
    <w:p>
      <w:pPr>
        <w:pStyle w:val="Heading2"/>
        <w:keepNext/>
        <w:spacing w:before="120" w:after="50"/>
      </w:pPr>
      <w:r>
        <w:t>Battle Rhythm Without Battle Theatre</w:t>
      </w:r>
    </w:p>
    <w:p>
      <w:r>
        <w:rPr>
          <w:b w:val="0"/>
          <w:i w:val="0"/>
        </w:rPr>
        <w:t>The system should feel boring when it is working: disciplined cutoffs, repeatable templates, explicit evidence and few surprises. Drama is not a performance metric.</w:t>
      </w:r>
    </w:p>
    <w:p>
      <w:r>
        <w:br w:type="page"/>
      </w:r>
    </w:p>
    <w:p>
      <w:pPr>
        <w:pStyle w:val="Heading1"/>
        <w:keepNext/>
        <w:spacing w:before="120" w:after="50"/>
      </w:pPr>
      <w:r>
        <w:t>40. Daily Situational Note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Section</w:t>
            </w:r>
          </w:p>
        </w:tc>
        <w:tc>
          <w:tcPr>
            <w:tcW w:type="dxa" w:w="5141"/>
            <w:shd w:fill="D9E5F2"/>
          </w:tcPr>
          <w:p>
            <w:r>
              <w:rPr>
                <w:b/>
                <w:sz w:val="15"/>
              </w:rPr>
              <w:t>Maximum content</w:t>
            </w:r>
          </w:p>
        </w:tc>
      </w:tr>
      <w:tr>
        <w:tc>
          <w:tcPr>
            <w:tcW w:type="dxa" w:w="5141"/>
            <w:vAlign w:val="top"/>
          </w:tcPr>
          <w:p>
            <w:pPr>
              <w:spacing w:after="0"/>
            </w:pPr>
            <w:r>
              <w:rPr>
                <w:sz w:val="15"/>
              </w:rPr>
              <w:t>What changed</w:t>
            </w:r>
          </w:p>
        </w:tc>
        <w:tc>
          <w:tcPr>
            <w:tcW w:type="dxa" w:w="5141"/>
            <w:vAlign w:val="top"/>
          </w:tcPr>
          <w:p>
            <w:pPr>
              <w:spacing w:after="0"/>
            </w:pPr>
            <w:r>
              <w:rPr>
                <w:sz w:val="15"/>
              </w:rPr>
              <w:t>Five bullets</w:t>
            </w:r>
          </w:p>
        </w:tc>
      </w:tr>
      <w:tr>
        <w:tc>
          <w:tcPr>
            <w:tcW w:type="dxa" w:w="5141"/>
            <w:vAlign w:val="top"/>
          </w:tcPr>
          <w:p>
            <w:pPr>
              <w:spacing w:after="0"/>
            </w:pPr>
            <w:r>
              <w:rPr>
                <w:sz w:val="15"/>
              </w:rPr>
              <w:t>What did not change</w:t>
            </w:r>
          </w:p>
        </w:tc>
        <w:tc>
          <w:tcPr>
            <w:tcW w:type="dxa" w:w="5141"/>
            <w:vAlign w:val="top"/>
          </w:tcPr>
          <w:p>
            <w:pPr>
              <w:spacing w:after="0"/>
            </w:pPr>
            <w:r>
              <w:rPr>
                <w:sz w:val="15"/>
              </w:rPr>
              <w:t>Three stabilizing facts</w:t>
            </w:r>
          </w:p>
        </w:tc>
      </w:tr>
      <w:tr>
        <w:tc>
          <w:tcPr>
            <w:tcW w:type="dxa" w:w="5141"/>
            <w:vAlign w:val="top"/>
          </w:tcPr>
          <w:p>
            <w:pPr>
              <w:spacing w:after="0"/>
            </w:pPr>
            <w:r>
              <w:rPr>
                <w:sz w:val="15"/>
              </w:rPr>
              <w:t>DPA movement</w:t>
            </w:r>
          </w:p>
        </w:tc>
        <w:tc>
          <w:tcPr>
            <w:tcW w:type="dxa" w:w="5141"/>
            <w:vAlign w:val="top"/>
          </w:tcPr>
          <w:p>
            <w:pPr>
              <w:spacing w:after="0"/>
            </w:pPr>
            <w:r>
              <w:rPr>
                <w:sz w:val="15"/>
              </w:rPr>
              <w:t>Direction only unless full update required</w:t>
            </w:r>
          </w:p>
        </w:tc>
      </w:tr>
      <w:tr>
        <w:tc>
          <w:tcPr>
            <w:tcW w:type="dxa" w:w="5141"/>
            <w:vAlign w:val="top"/>
          </w:tcPr>
          <w:p>
            <w:pPr>
              <w:spacing w:after="0"/>
            </w:pPr>
            <w:r>
              <w:rPr>
                <w:sz w:val="15"/>
              </w:rPr>
              <w:t>Warning level</w:t>
            </w:r>
          </w:p>
        </w:tc>
        <w:tc>
          <w:tcPr>
            <w:tcW w:type="dxa" w:w="5141"/>
            <w:vAlign w:val="top"/>
          </w:tcPr>
          <w:p>
            <w:pPr>
              <w:spacing w:after="0"/>
            </w:pPr>
            <w:r>
              <w:rPr>
                <w:sz w:val="15"/>
              </w:rPr>
              <w:t>Green / Yellow / Orange / Red</w:t>
            </w:r>
          </w:p>
        </w:tc>
      </w:tr>
      <w:tr>
        <w:tc>
          <w:tcPr>
            <w:tcW w:type="dxa" w:w="5141"/>
            <w:vAlign w:val="top"/>
          </w:tcPr>
          <w:p>
            <w:pPr>
              <w:spacing w:after="0"/>
            </w:pPr>
            <w:r>
              <w:rPr>
                <w:sz w:val="15"/>
              </w:rPr>
              <w:t>Canadian harm</w:t>
            </w:r>
          </w:p>
        </w:tc>
        <w:tc>
          <w:tcPr>
            <w:tcW w:type="dxa" w:w="5141"/>
            <w:vAlign w:val="top"/>
          </w:tcPr>
          <w:p>
            <w:pPr>
              <w:spacing w:after="0"/>
            </w:pPr>
            <w:r>
              <w:rPr>
                <w:sz w:val="15"/>
              </w:rPr>
              <w:t>Top three indicators</w:t>
            </w:r>
          </w:p>
        </w:tc>
      </w:tr>
      <w:tr>
        <w:tc>
          <w:tcPr>
            <w:tcW w:type="dxa" w:w="5141"/>
            <w:vAlign w:val="top"/>
          </w:tcPr>
          <w:p>
            <w:pPr>
              <w:spacing w:after="0"/>
            </w:pPr>
            <w:r>
              <w:rPr>
                <w:sz w:val="15"/>
              </w:rPr>
              <w:t>Legal change</w:t>
            </w:r>
          </w:p>
        </w:tc>
        <w:tc>
          <w:tcPr>
            <w:tcW w:type="dxa" w:w="5141"/>
            <w:vAlign w:val="top"/>
          </w:tcPr>
          <w:p>
            <w:pPr>
              <w:spacing w:after="0"/>
            </w:pPr>
            <w:r>
              <w:rPr>
                <w:sz w:val="15"/>
              </w:rPr>
              <w:t>Only verified developments</w:t>
            </w:r>
          </w:p>
        </w:tc>
      </w:tr>
      <w:tr>
        <w:tc>
          <w:tcPr>
            <w:tcW w:type="dxa" w:w="5141"/>
            <w:vAlign w:val="top"/>
          </w:tcPr>
          <w:p>
            <w:pPr>
              <w:spacing w:after="0"/>
            </w:pPr>
            <w:r>
              <w:rPr>
                <w:sz w:val="15"/>
              </w:rPr>
              <w:t>Decision window</w:t>
            </w:r>
          </w:p>
        </w:tc>
        <w:tc>
          <w:tcPr>
            <w:tcW w:type="dxa" w:w="5141"/>
            <w:vAlign w:val="top"/>
          </w:tcPr>
          <w:p>
            <w:pPr>
              <w:spacing w:after="0"/>
            </w:pPr>
            <w:r>
              <w:rPr>
                <w:sz w:val="15"/>
              </w:rPr>
              <w:t>Next 72 hours</w:t>
            </w:r>
          </w:p>
        </w:tc>
      </w:tr>
      <w:tr>
        <w:tc>
          <w:tcPr>
            <w:tcW w:type="dxa" w:w="5141"/>
            <w:vAlign w:val="top"/>
          </w:tcPr>
          <w:p>
            <w:pPr>
              <w:spacing w:after="0"/>
            </w:pPr>
            <w:r>
              <w:rPr>
                <w:sz w:val="15"/>
              </w:rPr>
              <w:t>Required action</w:t>
            </w:r>
          </w:p>
        </w:tc>
        <w:tc>
          <w:tcPr>
            <w:tcW w:type="dxa" w:w="5141"/>
            <w:vAlign w:val="top"/>
          </w:tcPr>
          <w:p>
            <w:pPr>
              <w:spacing w:after="0"/>
            </w:pPr>
            <w:r>
              <w:rPr>
                <w:sz w:val="15"/>
              </w:rPr>
              <w:t>Prepare / decide / communicate / no action</w:t>
            </w:r>
          </w:p>
        </w:tc>
      </w:tr>
      <w:tr>
        <w:tc>
          <w:tcPr>
            <w:tcW w:type="dxa" w:w="5141"/>
            <w:vAlign w:val="top"/>
          </w:tcPr>
          <w:p>
            <w:pPr>
              <w:spacing w:after="0"/>
            </w:pPr>
            <w:r>
              <w:rPr>
                <w:sz w:val="15"/>
              </w:rPr>
              <w:t>Unknowns</w:t>
            </w:r>
          </w:p>
        </w:tc>
        <w:tc>
          <w:tcPr>
            <w:tcW w:type="dxa" w:w="5141"/>
            <w:vAlign w:val="top"/>
          </w:tcPr>
          <w:p>
            <w:pPr>
              <w:spacing w:after="0"/>
            </w:pPr>
            <w:r>
              <w:rPr>
                <w:sz w:val="15"/>
              </w:rPr>
              <w:t>Top three gaps</w:t>
            </w:r>
          </w:p>
        </w:tc>
      </w:tr>
    </w:tbl>
    <w:p>
      <w:r>
        <w:rPr>
          <w:b w:val="0"/>
          <w:i w:val="0"/>
        </w:rPr>
        <w:t>The daily note should not become a newspaper clipping service. Every included item must answer: 'What decision could this change?'</w:t>
      </w:r>
    </w:p>
    <w:p>
      <w:r>
        <w:br w:type="page"/>
      </w:r>
    </w:p>
    <w:p>
      <w:pPr>
        <w:pStyle w:val="Heading1"/>
        <w:keepNext/>
        <w:spacing w:before="120" w:after="50"/>
      </w:pPr>
      <w:r>
        <w:t>41. Weekly DPA Production Cycle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Day / step</w:t>
            </w:r>
          </w:p>
        </w:tc>
        <w:tc>
          <w:tcPr>
            <w:tcW w:type="dxa" w:w="5141"/>
            <w:shd w:fill="D9E5F2"/>
          </w:tcPr>
          <w:p>
            <w:r>
              <w:rPr>
                <w:b/>
                <w:sz w:val="14"/>
              </w:rPr>
              <w:t>Action</w:t>
            </w:r>
          </w:p>
        </w:tc>
      </w:tr>
      <w:tr>
        <w:tc>
          <w:tcPr>
            <w:tcW w:type="dxa" w:w="5141"/>
            <w:vAlign w:val="top"/>
          </w:tcPr>
          <w:p>
            <w:pPr>
              <w:spacing w:after="0"/>
            </w:pPr>
            <w:r>
              <w:rPr>
                <w:sz w:val="14"/>
              </w:rPr>
              <w:t>Cutoff</w:t>
            </w:r>
          </w:p>
        </w:tc>
        <w:tc>
          <w:tcPr>
            <w:tcW w:type="dxa" w:w="5141"/>
            <w:vAlign w:val="top"/>
          </w:tcPr>
          <w:p>
            <w:pPr>
              <w:spacing w:after="0"/>
            </w:pPr>
            <w:r>
              <w:rPr>
                <w:sz w:val="14"/>
              </w:rPr>
              <w:t>Freeze evidence set at agreed time.</w:t>
            </w:r>
          </w:p>
        </w:tc>
      </w:tr>
      <w:tr>
        <w:tc>
          <w:tcPr>
            <w:tcW w:type="dxa" w:w="5141"/>
            <w:vAlign w:val="top"/>
          </w:tcPr>
          <w:p>
            <w:pPr>
              <w:spacing w:after="0"/>
            </w:pPr>
            <w:r>
              <w:rPr>
                <w:sz w:val="14"/>
              </w:rPr>
              <w:t>Stream leads</w:t>
            </w:r>
          </w:p>
        </w:tc>
        <w:tc>
          <w:tcPr>
            <w:tcW w:type="dxa" w:w="5141"/>
            <w:vAlign w:val="top"/>
          </w:tcPr>
          <w:p>
            <w:pPr>
              <w:spacing w:after="0"/>
            </w:pPr>
            <w:r>
              <w:rPr>
                <w:sz w:val="14"/>
              </w:rPr>
              <w:t>Submit changes, confidence and hypothesis relevance.</w:t>
            </w:r>
          </w:p>
        </w:tc>
      </w:tr>
      <w:tr>
        <w:tc>
          <w:tcPr>
            <w:tcW w:type="dxa" w:w="5141"/>
            <w:vAlign w:val="top"/>
          </w:tcPr>
          <w:p>
            <w:pPr>
              <w:spacing w:after="0"/>
            </w:pPr>
            <w:r>
              <w:rPr>
                <w:sz w:val="14"/>
              </w:rPr>
              <w:t>Integrator</w:t>
            </w:r>
          </w:p>
        </w:tc>
        <w:tc>
          <w:tcPr>
            <w:tcW w:type="dxa" w:w="5141"/>
            <w:vAlign w:val="top"/>
          </w:tcPr>
          <w:p>
            <w:pPr>
              <w:spacing w:after="0"/>
            </w:pPr>
            <w:r>
              <w:rPr>
                <w:sz w:val="14"/>
              </w:rPr>
              <w:t>Updates scoring and qualitative assessment.</w:t>
            </w:r>
          </w:p>
        </w:tc>
      </w:tr>
      <w:tr>
        <w:tc>
          <w:tcPr>
            <w:tcW w:type="dxa" w:w="5141"/>
            <w:vAlign w:val="top"/>
          </w:tcPr>
          <w:p>
            <w:pPr>
              <w:spacing w:after="0"/>
            </w:pPr>
            <w:r>
              <w:rPr>
                <w:sz w:val="14"/>
              </w:rPr>
              <w:t>Legal/privacy/security check</w:t>
            </w:r>
          </w:p>
        </w:tc>
        <w:tc>
          <w:tcPr>
            <w:tcW w:type="dxa" w:w="5141"/>
            <w:vAlign w:val="top"/>
          </w:tcPr>
          <w:p>
            <w:pPr>
              <w:spacing w:after="0"/>
            </w:pPr>
            <w:r>
              <w:rPr>
                <w:sz w:val="14"/>
              </w:rPr>
              <w:t>Review sensitive claims and handling.</w:t>
            </w:r>
          </w:p>
        </w:tc>
      </w:tr>
      <w:tr>
        <w:tc>
          <w:tcPr>
            <w:tcW w:type="dxa" w:w="5141"/>
            <w:vAlign w:val="top"/>
          </w:tcPr>
          <w:p>
            <w:pPr>
              <w:spacing w:after="0"/>
            </w:pPr>
            <w:r>
              <w:rPr>
                <w:sz w:val="14"/>
              </w:rPr>
              <w:t>Challenge team</w:t>
            </w:r>
          </w:p>
        </w:tc>
        <w:tc>
          <w:tcPr>
            <w:tcW w:type="dxa" w:w="5141"/>
            <w:vAlign w:val="top"/>
          </w:tcPr>
          <w:p>
            <w:pPr>
              <w:spacing w:after="0"/>
            </w:pPr>
            <w:r>
              <w:rPr>
                <w:sz w:val="14"/>
              </w:rPr>
              <w:t>Tests assumptions and dissent.</w:t>
            </w:r>
          </w:p>
        </w:tc>
      </w:tr>
      <w:tr>
        <w:tc>
          <w:tcPr>
            <w:tcW w:type="dxa" w:w="5141"/>
            <w:vAlign w:val="top"/>
          </w:tcPr>
          <w:p>
            <w:pPr>
              <w:spacing w:after="0"/>
            </w:pPr>
            <w:r>
              <w:rPr>
                <w:sz w:val="14"/>
              </w:rPr>
              <w:t>Chair</w:t>
            </w:r>
          </w:p>
        </w:tc>
        <w:tc>
          <w:tcPr>
            <w:tcW w:type="dxa" w:w="5141"/>
            <w:vAlign w:val="top"/>
          </w:tcPr>
          <w:p>
            <w:pPr>
              <w:spacing w:after="0"/>
            </w:pPr>
            <w:r>
              <w:rPr>
                <w:sz w:val="14"/>
              </w:rPr>
              <w:t>Resolves presentation, not analytic disagreement.</w:t>
            </w:r>
          </w:p>
        </w:tc>
      </w:tr>
      <w:tr>
        <w:tc>
          <w:tcPr>
            <w:tcW w:type="dxa" w:w="5141"/>
            <w:vAlign w:val="top"/>
          </w:tcPr>
          <w:p>
            <w:pPr>
              <w:spacing w:after="0"/>
            </w:pPr>
            <w:r>
              <w:rPr>
                <w:sz w:val="14"/>
              </w:rPr>
              <w:t>Senior review</w:t>
            </w:r>
          </w:p>
        </w:tc>
        <w:tc>
          <w:tcPr>
            <w:tcW w:type="dxa" w:w="5141"/>
            <w:vAlign w:val="top"/>
          </w:tcPr>
          <w:p>
            <w:pPr>
              <w:spacing w:after="0"/>
            </w:pPr>
            <w:r>
              <w:rPr>
                <w:sz w:val="14"/>
              </w:rPr>
              <w:t>Decision-makers receive probability, drivers, triggers and preparations.</w:t>
            </w:r>
          </w:p>
        </w:tc>
      </w:tr>
      <w:tr>
        <w:tc>
          <w:tcPr>
            <w:tcW w:type="dxa" w:w="5141"/>
            <w:vAlign w:val="top"/>
          </w:tcPr>
          <w:p>
            <w:pPr>
              <w:spacing w:after="0"/>
            </w:pPr>
            <w:r>
              <w:rPr>
                <w:sz w:val="14"/>
              </w:rPr>
              <w:t>Feedback</w:t>
            </w:r>
          </w:p>
        </w:tc>
        <w:tc>
          <w:tcPr>
            <w:tcW w:type="dxa" w:w="5141"/>
            <w:vAlign w:val="top"/>
          </w:tcPr>
          <w:p>
            <w:pPr>
              <w:spacing w:after="0"/>
            </w:pPr>
            <w:r>
              <w:rPr>
                <w:sz w:val="14"/>
              </w:rPr>
              <w:t>Record which questions decision-makers need answered next cycle.</w:t>
            </w:r>
          </w:p>
        </w:tc>
      </w:tr>
    </w:tbl>
    <w:p>
      <w:pPr>
        <w:pStyle w:val="Heading2"/>
        <w:keepNext/>
        <w:spacing w:before="120" w:after="50"/>
      </w:pPr>
      <w:r>
        <w:t>Revision Discipline</w:t>
      </w:r>
    </w:p>
    <w:p>
      <w:r>
        <w:rPr>
          <w:b w:val="0"/>
          <w:i w:val="0"/>
        </w:rPr>
        <w:t>When the DPA changes materially, show why. A chart of historical 7/30/90-day assessments should be maintained so analysts can later examine calibration and bias.</w:t>
      </w:r>
    </w:p>
    <w:p>
      <w:r>
        <w:br w:type="page"/>
      </w:r>
    </w:p>
    <w:p>
      <w:pPr>
        <w:pStyle w:val="Heading1"/>
        <w:keepNext/>
        <w:spacing w:before="120" w:after="50"/>
      </w:pPr>
      <w:r>
        <w:t>42. Crisis Surge Protocol</w:t>
      </w:r>
    </w:p>
    <w:p>
      <w:r>
        <w:rPr>
          <w:b w:val="0"/>
          <w:i w:val="0"/>
        </w:rPr>
        <w:t>When warning reaches ORANGE or RED, ESSAC shifts from routine assessment to surge mode without expanding legal authorities.</w:t>
      </w:r>
    </w:p>
    <w:p>
      <w:pPr>
        <w:pStyle w:val="ListBullet"/>
        <w:spacing w:after="40"/>
      </w:pPr>
      <w:r>
        <w:t>Establish a common event clock and authoritative document repository.</w:t>
      </w:r>
    </w:p>
    <w:p>
      <w:pPr>
        <w:pStyle w:val="ListBullet"/>
        <w:spacing w:after="40"/>
      </w:pPr>
      <w:r>
        <w:t>Move to shorter evidence cutoffs.</w:t>
      </w:r>
    </w:p>
    <w:p>
      <w:pPr>
        <w:pStyle w:val="ListBullet"/>
        <w:spacing w:after="40"/>
      </w:pPr>
      <w:r>
        <w:t>Assign one lead per information stream.</w:t>
      </w:r>
    </w:p>
    <w:p>
      <w:pPr>
        <w:pStyle w:val="ListBullet"/>
        <w:spacing w:after="40"/>
      </w:pPr>
      <w:r>
        <w:t>Require rapid legal verification of purported authorities and dates.</w:t>
      </w:r>
    </w:p>
    <w:p>
      <w:pPr>
        <w:pStyle w:val="ListBullet"/>
        <w:spacing w:after="40"/>
      </w:pPr>
      <w:r>
        <w:t>Contact provinces/territories through agreed channels.</w:t>
      </w:r>
    </w:p>
    <w:p>
      <w:pPr>
        <w:pStyle w:val="ListBullet"/>
        <w:spacing w:after="40"/>
      </w:pPr>
      <w:r>
        <w:t>Increase business consultation only where it answers specific operational questions.</w:t>
      </w:r>
    </w:p>
    <w:p>
      <w:pPr>
        <w:pStyle w:val="ListBullet"/>
        <w:spacing w:after="40"/>
      </w:pPr>
      <w:r>
        <w:t>Separate confirmed facts, credible reports and rumours visually.</w:t>
      </w:r>
    </w:p>
    <w:p>
      <w:pPr>
        <w:pStyle w:val="ListBullet"/>
        <w:spacing w:after="40"/>
      </w:pPr>
      <w:r>
        <w:t>Prepare Canadian options but do not allow the cell to become the policy decision-maker.</w:t>
      </w:r>
    </w:p>
    <w:p>
      <w:pPr>
        <w:pStyle w:val="ListBullet"/>
        <w:spacing w:after="40"/>
      </w:pPr>
      <w:r>
        <w:t>Maintain an off-ramp and emergency-cooperation channel.</w:t>
      </w:r>
    </w:p>
    <w:p>
      <w:pPr>
        <w:pStyle w:val="ListBullet"/>
        <w:spacing w:after="40"/>
      </w:pPr>
      <w:r>
        <w:t>Return to normal cadence once the triggering condition ends.</w:t>
      </w:r>
    </w:p>
    <w:p>
      <w:r>
        <w:br w:type="page"/>
      </w:r>
    </w:p>
    <w:p>
      <w:pPr>
        <w:pStyle w:val="Heading1"/>
        <w:keepNext/>
        <w:spacing w:before="120" w:after="50"/>
      </w:pPr>
      <w:r>
        <w:t>43. False-Alarm and Missed-Warning Review</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Question</w:t>
            </w:r>
          </w:p>
        </w:tc>
        <w:tc>
          <w:tcPr>
            <w:tcW w:type="dxa" w:w="5141"/>
            <w:shd w:fill="D9E5F2"/>
          </w:tcPr>
          <w:p>
            <w:r>
              <w:rPr>
                <w:b/>
                <w:sz w:val="14"/>
              </w:rPr>
              <w:t>Purpose</w:t>
            </w:r>
          </w:p>
        </w:tc>
      </w:tr>
      <w:tr>
        <w:tc>
          <w:tcPr>
            <w:tcW w:type="dxa" w:w="5141"/>
            <w:vAlign w:val="top"/>
          </w:tcPr>
          <w:p>
            <w:pPr>
              <w:spacing w:after="0"/>
            </w:pPr>
            <w:r>
              <w:rPr>
                <w:sz w:val="14"/>
              </w:rPr>
              <w:t>What did we predict?</w:t>
            </w:r>
          </w:p>
        </w:tc>
        <w:tc>
          <w:tcPr>
            <w:tcW w:type="dxa" w:w="5141"/>
            <w:vAlign w:val="top"/>
          </w:tcPr>
          <w:p>
            <w:pPr>
              <w:spacing w:after="0"/>
            </w:pPr>
            <w:r>
              <w:rPr>
                <w:sz w:val="14"/>
              </w:rPr>
              <w:t>Preserve original judgement</w:t>
            </w:r>
          </w:p>
        </w:tc>
      </w:tr>
      <w:tr>
        <w:tc>
          <w:tcPr>
            <w:tcW w:type="dxa" w:w="5141"/>
            <w:vAlign w:val="top"/>
          </w:tcPr>
          <w:p>
            <w:pPr>
              <w:spacing w:after="0"/>
            </w:pPr>
            <w:r>
              <w:rPr>
                <w:sz w:val="14"/>
              </w:rPr>
              <w:t>What happened?</w:t>
            </w:r>
          </w:p>
        </w:tc>
        <w:tc>
          <w:tcPr>
            <w:tcW w:type="dxa" w:w="5141"/>
            <w:vAlign w:val="top"/>
          </w:tcPr>
          <w:p>
            <w:pPr>
              <w:spacing w:after="0"/>
            </w:pPr>
            <w:r>
              <w:rPr>
                <w:sz w:val="14"/>
              </w:rPr>
              <w:t>Outcome</w:t>
            </w:r>
          </w:p>
        </w:tc>
      </w:tr>
      <w:tr>
        <w:tc>
          <w:tcPr>
            <w:tcW w:type="dxa" w:w="5141"/>
            <w:vAlign w:val="top"/>
          </w:tcPr>
          <w:p>
            <w:pPr>
              <w:spacing w:after="0"/>
            </w:pPr>
            <w:r>
              <w:rPr>
                <w:sz w:val="14"/>
              </w:rPr>
              <w:t>Which indicators fired?</w:t>
            </w:r>
          </w:p>
        </w:tc>
        <w:tc>
          <w:tcPr>
            <w:tcW w:type="dxa" w:w="5141"/>
            <w:vAlign w:val="top"/>
          </w:tcPr>
          <w:p>
            <w:pPr>
              <w:spacing w:after="0"/>
            </w:pPr>
            <w:r>
              <w:rPr>
                <w:sz w:val="14"/>
              </w:rPr>
              <w:t>Signal quality</w:t>
            </w:r>
          </w:p>
        </w:tc>
      </w:tr>
      <w:tr>
        <w:tc>
          <w:tcPr>
            <w:tcW w:type="dxa" w:w="5141"/>
            <w:vAlign w:val="top"/>
          </w:tcPr>
          <w:p>
            <w:pPr>
              <w:spacing w:after="0"/>
            </w:pPr>
            <w:r>
              <w:rPr>
                <w:sz w:val="14"/>
              </w:rPr>
              <w:t>Which were noise?</w:t>
            </w:r>
          </w:p>
        </w:tc>
        <w:tc>
          <w:tcPr>
            <w:tcW w:type="dxa" w:w="5141"/>
            <w:vAlign w:val="top"/>
          </w:tcPr>
          <w:p>
            <w:pPr>
              <w:spacing w:after="0"/>
            </w:pPr>
            <w:r>
              <w:rPr>
                <w:sz w:val="14"/>
              </w:rPr>
              <w:t>False-positive control</w:t>
            </w:r>
          </w:p>
        </w:tc>
      </w:tr>
      <w:tr>
        <w:tc>
          <w:tcPr>
            <w:tcW w:type="dxa" w:w="5141"/>
            <w:vAlign w:val="top"/>
          </w:tcPr>
          <w:p>
            <w:pPr>
              <w:spacing w:after="0"/>
            </w:pPr>
            <w:r>
              <w:rPr>
                <w:sz w:val="14"/>
              </w:rPr>
              <w:t>What did we miss?</w:t>
            </w:r>
          </w:p>
        </w:tc>
        <w:tc>
          <w:tcPr>
            <w:tcW w:type="dxa" w:w="5141"/>
            <w:vAlign w:val="top"/>
          </w:tcPr>
          <w:p>
            <w:pPr>
              <w:spacing w:after="0"/>
            </w:pPr>
            <w:r>
              <w:rPr>
                <w:sz w:val="14"/>
              </w:rPr>
              <w:t>Blind spots</w:t>
            </w:r>
          </w:p>
        </w:tc>
      </w:tr>
      <w:tr>
        <w:tc>
          <w:tcPr>
            <w:tcW w:type="dxa" w:w="5141"/>
            <w:vAlign w:val="top"/>
          </w:tcPr>
          <w:p>
            <w:pPr>
              <w:spacing w:after="0"/>
            </w:pPr>
            <w:r>
              <w:rPr>
                <w:sz w:val="14"/>
              </w:rPr>
              <w:t>Was the evidence available?</w:t>
            </w:r>
          </w:p>
        </w:tc>
        <w:tc>
          <w:tcPr>
            <w:tcW w:type="dxa" w:w="5141"/>
            <w:vAlign w:val="top"/>
          </w:tcPr>
          <w:p>
            <w:pPr>
              <w:spacing w:after="0"/>
            </w:pPr>
            <w:r>
              <w:rPr>
                <w:sz w:val="14"/>
              </w:rPr>
              <w:t>Collection vs analysis failure</w:t>
            </w:r>
          </w:p>
        </w:tc>
      </w:tr>
      <w:tr>
        <w:tc>
          <w:tcPr>
            <w:tcW w:type="dxa" w:w="5141"/>
            <w:vAlign w:val="top"/>
          </w:tcPr>
          <w:p>
            <w:pPr>
              <w:spacing w:after="0"/>
            </w:pPr>
            <w:r>
              <w:rPr>
                <w:sz w:val="14"/>
              </w:rPr>
              <w:t>Did bias affect judgement?</w:t>
            </w:r>
          </w:p>
        </w:tc>
        <w:tc>
          <w:tcPr>
            <w:tcW w:type="dxa" w:w="5141"/>
            <w:vAlign w:val="top"/>
          </w:tcPr>
          <w:p>
            <w:pPr>
              <w:spacing w:after="0"/>
            </w:pPr>
            <w:r>
              <w:rPr>
                <w:sz w:val="14"/>
              </w:rPr>
              <w:t>Process improvement</w:t>
            </w:r>
          </w:p>
        </w:tc>
      </w:tr>
      <w:tr>
        <w:tc>
          <w:tcPr>
            <w:tcW w:type="dxa" w:w="5141"/>
            <w:vAlign w:val="top"/>
          </w:tcPr>
          <w:p>
            <w:pPr>
              <w:spacing w:after="0"/>
            </w:pPr>
            <w:r>
              <w:rPr>
                <w:sz w:val="14"/>
              </w:rPr>
              <w:t>Were decision-makers warned in time?</w:t>
            </w:r>
          </w:p>
        </w:tc>
        <w:tc>
          <w:tcPr>
            <w:tcW w:type="dxa" w:w="5141"/>
            <w:vAlign w:val="top"/>
          </w:tcPr>
          <w:p>
            <w:pPr>
              <w:spacing w:after="0"/>
            </w:pPr>
            <w:r>
              <w:rPr>
                <w:sz w:val="14"/>
              </w:rPr>
              <w:t>Delivery effectiveness</w:t>
            </w:r>
          </w:p>
        </w:tc>
      </w:tr>
      <w:tr>
        <w:tc>
          <w:tcPr>
            <w:tcW w:type="dxa" w:w="5141"/>
            <w:vAlign w:val="top"/>
          </w:tcPr>
          <w:p>
            <w:pPr>
              <w:spacing w:after="0"/>
            </w:pPr>
            <w:r>
              <w:rPr>
                <w:sz w:val="14"/>
              </w:rPr>
              <w:t>Did the warning cause unnecessary action?</w:t>
            </w:r>
          </w:p>
        </w:tc>
        <w:tc>
          <w:tcPr>
            <w:tcW w:type="dxa" w:w="5141"/>
            <w:vAlign w:val="top"/>
          </w:tcPr>
          <w:p>
            <w:pPr>
              <w:spacing w:after="0"/>
            </w:pPr>
            <w:r>
              <w:rPr>
                <w:sz w:val="14"/>
              </w:rPr>
              <w:t>Cost of false alarm</w:t>
            </w:r>
          </w:p>
        </w:tc>
      </w:tr>
      <w:tr>
        <w:tc>
          <w:tcPr>
            <w:tcW w:type="dxa" w:w="5141"/>
            <w:vAlign w:val="top"/>
          </w:tcPr>
          <w:p>
            <w:pPr>
              <w:spacing w:after="0"/>
            </w:pPr>
            <w:r>
              <w:rPr>
                <w:sz w:val="14"/>
              </w:rPr>
              <w:t>What changes now?</w:t>
            </w:r>
          </w:p>
        </w:tc>
        <w:tc>
          <w:tcPr>
            <w:tcW w:type="dxa" w:w="5141"/>
            <w:vAlign w:val="top"/>
          </w:tcPr>
          <w:p>
            <w:pPr>
              <w:spacing w:after="0"/>
            </w:pPr>
            <w:r>
              <w:rPr>
                <w:sz w:val="14"/>
              </w:rPr>
              <w:t>Weights, sources, thresholds, training</w:t>
            </w:r>
          </w:p>
        </w:tc>
      </w:tr>
    </w:tbl>
    <w:p>
      <w:r>
        <w:rPr>
          <w:b w:val="0"/>
          <w:i w:val="0"/>
        </w:rPr>
        <w:t>A warning system that never admits error will eventually become either alarmist or useless.</w:t>
      </w:r>
    </w:p>
    <w:p>
      <w:r>
        <w:br w:type="page"/>
      </w:r>
    </w:p>
    <w:p>
      <w:pPr>
        <w:pStyle w:val="Heading1"/>
        <w:keepNext/>
        <w:spacing w:before="120" w:after="50"/>
      </w:pPr>
      <w:r>
        <w:t>44. Integration with the Strategic Timing Calendar</w:t>
      </w:r>
    </w:p>
    <w:p>
      <w:r>
        <w:rPr>
          <w:b w:val="0"/>
          <w:i w:val="0"/>
        </w:rPr>
        <w:t>The Situational Awareness Framework tells decision-makers what the environment is doing. The Strategic Timing and Decision Windows Calendar tells them when institutions, data releases, industrial cycles and implementation conditions make action more or less sensible.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ESSAC signal</w:t>
            </w:r>
          </w:p>
        </w:tc>
        <w:tc>
          <w:tcPr>
            <w:tcW w:type="dxa" w:w="5141"/>
            <w:shd w:fill="D9E5F2"/>
          </w:tcPr>
          <w:p>
            <w:r>
              <w:rPr>
                <w:b/>
                <w:sz w:val="14"/>
              </w:rPr>
              <w:t>Calendar response</w:t>
            </w:r>
          </w:p>
        </w:tc>
      </w:tr>
      <w:tr>
        <w:tc>
          <w:tcPr>
            <w:tcW w:type="dxa" w:w="5141"/>
            <w:vAlign w:val="top"/>
          </w:tcPr>
          <w:p>
            <w:pPr>
              <w:spacing w:after="0"/>
            </w:pPr>
            <w:r>
              <w:rPr>
                <w:sz w:val="14"/>
              </w:rPr>
              <w:t>DPA rises before scheduled negotiating window</w:t>
            </w:r>
          </w:p>
        </w:tc>
        <w:tc>
          <w:tcPr>
            <w:tcW w:type="dxa" w:w="5141"/>
            <w:vAlign w:val="top"/>
          </w:tcPr>
          <w:p>
            <w:pPr>
              <w:spacing w:after="0"/>
            </w:pPr>
            <w:r>
              <w:rPr>
                <w:sz w:val="14"/>
              </w:rPr>
              <w:t>Pre-clear settlement package and verification</w:t>
            </w:r>
          </w:p>
        </w:tc>
      </w:tr>
      <w:tr>
        <w:tc>
          <w:tcPr>
            <w:tcW w:type="dxa" w:w="5141"/>
            <w:vAlign w:val="top"/>
          </w:tcPr>
          <w:p>
            <w:pPr>
              <w:spacing w:after="0"/>
            </w:pPr>
            <w:r>
              <w:rPr>
                <w:sz w:val="14"/>
              </w:rPr>
              <w:t>Escalation warning rises before tariff review date</w:t>
            </w:r>
          </w:p>
        </w:tc>
        <w:tc>
          <w:tcPr>
            <w:tcW w:type="dxa" w:w="5141"/>
            <w:vAlign w:val="top"/>
          </w:tcPr>
          <w:p>
            <w:pPr>
              <w:spacing w:after="0"/>
            </w:pPr>
            <w:r>
              <w:rPr>
                <w:sz w:val="14"/>
              </w:rPr>
              <w:t>Accelerate legal/economic readiness</w:t>
            </w:r>
          </w:p>
        </w:tc>
      </w:tr>
      <w:tr>
        <w:tc>
          <w:tcPr>
            <w:tcW w:type="dxa" w:w="5141"/>
            <w:vAlign w:val="top"/>
          </w:tcPr>
          <w:p>
            <w:pPr>
              <w:spacing w:after="0"/>
            </w:pPr>
            <w:r>
              <w:rPr>
                <w:sz w:val="14"/>
              </w:rPr>
              <w:t>Market stress coincides with severe weather</w:t>
            </w:r>
          </w:p>
        </w:tc>
        <w:tc>
          <w:tcPr>
            <w:tcW w:type="dxa" w:w="5141"/>
            <w:vAlign w:val="top"/>
          </w:tcPr>
          <w:p>
            <w:pPr>
              <w:spacing w:after="0"/>
            </w:pPr>
            <w:r>
              <w:rPr>
                <w:sz w:val="14"/>
              </w:rPr>
              <w:t>Activate restraint condition</w:t>
            </w:r>
          </w:p>
        </w:tc>
      </w:tr>
      <w:tr>
        <w:tc>
          <w:tcPr>
            <w:tcW w:type="dxa" w:w="5141"/>
            <w:vAlign w:val="top"/>
          </w:tcPr>
          <w:p>
            <w:pPr>
              <w:spacing w:after="0"/>
            </w:pPr>
            <w:r>
              <w:rPr>
                <w:sz w:val="14"/>
              </w:rPr>
              <w:t>Congressional movement during sitting period</w:t>
            </w:r>
          </w:p>
        </w:tc>
        <w:tc>
          <w:tcPr>
            <w:tcW w:type="dxa" w:w="5141"/>
            <w:vAlign w:val="top"/>
          </w:tcPr>
          <w:p>
            <w:pPr>
              <w:spacing w:after="0"/>
            </w:pPr>
            <w:r>
              <w:rPr>
                <w:sz w:val="14"/>
              </w:rPr>
              <w:t>Increase institutional engagement</w:t>
            </w:r>
          </w:p>
        </w:tc>
      </w:tr>
      <w:tr>
        <w:tc>
          <w:tcPr>
            <w:tcW w:type="dxa" w:w="5141"/>
            <w:vAlign w:val="top"/>
          </w:tcPr>
          <w:p>
            <w:pPr>
              <w:spacing w:after="0"/>
            </w:pPr>
            <w:r>
              <w:rPr>
                <w:sz w:val="14"/>
              </w:rPr>
              <w:t>Business harm rises before fiscal window</w:t>
            </w:r>
          </w:p>
        </w:tc>
        <w:tc>
          <w:tcPr>
            <w:tcW w:type="dxa" w:w="5141"/>
            <w:vAlign w:val="top"/>
          </w:tcPr>
          <w:p>
            <w:pPr>
              <w:spacing w:after="0"/>
            </w:pPr>
            <w:r>
              <w:rPr>
                <w:sz w:val="14"/>
              </w:rPr>
              <w:t>Prepare support/appropriation decision</w:t>
            </w:r>
          </w:p>
        </w:tc>
      </w:tr>
      <w:tr>
        <w:tc>
          <w:tcPr>
            <w:tcW w:type="dxa" w:w="5141"/>
            <w:vAlign w:val="top"/>
          </w:tcPr>
          <w:p>
            <w:pPr>
              <w:spacing w:after="0"/>
            </w:pPr>
            <w:r>
              <w:rPr>
                <w:sz w:val="14"/>
              </w:rPr>
              <w:t>Legal ruling creates new off-ramp</w:t>
            </w:r>
          </w:p>
        </w:tc>
        <w:tc>
          <w:tcPr>
            <w:tcW w:type="dxa" w:w="5141"/>
            <w:vAlign w:val="top"/>
          </w:tcPr>
          <w:p>
            <w:pPr>
              <w:spacing w:after="0"/>
            </w:pPr>
            <w:r>
              <w:rPr>
                <w:sz w:val="14"/>
              </w:rPr>
              <w:t>Identify earliest executable suspension date</w:t>
            </w:r>
          </w:p>
        </w:tc>
      </w:tr>
    </w:tbl>
    <w:p>
      <w:r>
        <w:br w:type="page"/>
      </w:r>
    </w:p>
    <w:p>
      <w:pPr>
        <w:pStyle w:val="Heading1"/>
        <w:keepNext/>
        <w:spacing w:before="120" w:after="50"/>
      </w:pPr>
      <w:r>
        <w:t>45. Integration with the Federal-Provincial Solidarity Protocol</w:t>
      </w:r>
    </w:p>
    <w:p>
      <w:r>
        <w:rPr>
          <w:b w:val="0"/>
          <w:i w:val="0"/>
        </w:rPr>
        <w:t>Regional information is both an input and an accountability mechanism.</w:t>
      </w:r>
    </w:p>
    <w:p>
      <w:pPr>
        <w:pStyle w:val="ListBullet"/>
        <w:spacing w:after="40"/>
      </w:pPr>
      <w:r>
        <w:t>Provinces receive a defined channel to submit regional economic and U.S.-state signals.</w:t>
      </w:r>
    </w:p>
    <w:p>
      <w:pPr>
        <w:pStyle w:val="ListBullet"/>
        <w:spacing w:after="40"/>
      </w:pPr>
      <w:r>
        <w:t>ESSAC distinguishes province-reported evidence from independently verified data.</w:t>
      </w:r>
    </w:p>
    <w:p>
      <w:pPr>
        <w:pStyle w:val="ListBullet"/>
        <w:spacing w:after="40"/>
      </w:pPr>
      <w:r>
        <w:t>Regional burden indicators feed the Canadian-harm dashboard.</w:t>
      </w:r>
    </w:p>
    <w:p>
      <w:pPr>
        <w:pStyle w:val="ListBullet"/>
        <w:spacing w:after="40"/>
      </w:pPr>
      <w:r>
        <w:t>Material province-specific warnings trigger no-surprise consultation before national action where time permits.</w:t>
      </w:r>
    </w:p>
    <w:p>
      <w:pPr>
        <w:pStyle w:val="ListBullet"/>
        <w:spacing w:after="40"/>
      </w:pPr>
      <w:r>
        <w:t>Confidential U.S.-province approaches are handled under the Solidarity Protocol, not broadcast across unnecessary channels.</w:t>
      </w:r>
    </w:p>
    <w:p>
      <w:pPr>
        <w:pStyle w:val="ListBullet"/>
        <w:spacing w:after="40"/>
      </w:pPr>
      <w:r>
        <w:t>National assessments explicitly identify when one province bears disproportionate risk.</w:t>
      </w:r>
    </w:p>
    <w:p>
      <w:pPr>
        <w:pStyle w:val="ListBullet"/>
        <w:spacing w:after="40"/>
      </w:pPr>
      <w:r>
        <w:t>Settlement DPAs include a provincial fairness and implementability check.</w:t>
      </w:r>
    </w:p>
    <w:p>
      <w:r>
        <w:br w:type="page"/>
      </w:r>
    </w:p>
    <w:p>
      <w:pPr>
        <w:pStyle w:val="Heading1"/>
        <w:keepNext/>
        <w:spacing w:before="120" w:after="50"/>
      </w:pPr>
      <w:r>
        <w:t>46. Integration with CR-TAR and Countermeasure Instruments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Signal</w:t>
            </w:r>
          </w:p>
        </w:tc>
        <w:tc>
          <w:tcPr>
            <w:tcW w:type="dxa" w:w="5141"/>
            <w:shd w:fill="D9E5F2"/>
          </w:tcPr>
          <w:p>
            <w:r>
              <w:rPr>
                <w:b/>
                <w:sz w:val="14"/>
              </w:rPr>
              <w:t>Countermeasure implication</w:t>
            </w:r>
          </w:p>
        </w:tc>
      </w:tr>
      <w:tr>
        <w:tc>
          <w:tcPr>
            <w:tcW w:type="dxa" w:w="5141"/>
            <w:vAlign w:val="top"/>
          </w:tcPr>
          <w:p>
            <w:pPr>
              <w:spacing w:after="0"/>
            </w:pPr>
            <w:r>
              <w:rPr>
                <w:sz w:val="14"/>
              </w:rPr>
              <w:t>Low DPA + rising escalation warning</w:t>
            </w:r>
          </w:p>
        </w:tc>
        <w:tc>
          <w:tcPr>
            <w:tcW w:type="dxa" w:w="5141"/>
            <w:vAlign w:val="top"/>
          </w:tcPr>
          <w:p>
            <w:pPr>
              <w:spacing w:after="0"/>
            </w:pPr>
            <w:r>
              <w:rPr>
                <w:sz w:val="14"/>
              </w:rPr>
              <w:t>Prepare calibrated options; do not automatically activate.</w:t>
            </w:r>
          </w:p>
        </w:tc>
      </w:tr>
      <w:tr>
        <w:tc>
          <w:tcPr>
            <w:tcW w:type="dxa" w:w="5141"/>
            <w:vAlign w:val="top"/>
          </w:tcPr>
          <w:p>
            <w:pPr>
              <w:spacing w:after="0"/>
            </w:pPr>
            <w:r>
              <w:rPr>
                <w:sz w:val="14"/>
              </w:rPr>
              <w:t>High DPA</w:t>
            </w:r>
          </w:p>
        </w:tc>
        <w:tc>
          <w:tcPr>
            <w:tcW w:type="dxa" w:w="5141"/>
            <w:vAlign w:val="top"/>
          </w:tcPr>
          <w:p>
            <w:pPr>
              <w:spacing w:after="0"/>
            </w:pPr>
            <w:r>
              <w:rPr>
                <w:sz w:val="14"/>
              </w:rPr>
              <w:t>Avoid new measures likely to destroy credible settlement opening.</w:t>
            </w:r>
          </w:p>
        </w:tc>
      </w:tr>
      <w:tr>
        <w:tc>
          <w:tcPr>
            <w:tcW w:type="dxa" w:w="5141"/>
            <w:vAlign w:val="top"/>
          </w:tcPr>
          <w:p>
            <w:pPr>
              <w:spacing w:after="0"/>
            </w:pPr>
            <w:r>
              <w:rPr>
                <w:sz w:val="14"/>
              </w:rPr>
              <w:t>Canadian harm threshold breached</w:t>
            </w:r>
          </w:p>
        </w:tc>
        <w:tc>
          <w:tcPr>
            <w:tcW w:type="dxa" w:w="5141"/>
            <w:vAlign w:val="top"/>
          </w:tcPr>
          <w:p>
            <w:pPr>
              <w:spacing w:after="0"/>
            </w:pPr>
            <w:r>
              <w:rPr>
                <w:sz w:val="14"/>
              </w:rPr>
              <w:t>Modify, remit, substitute or suspend affected measure.</w:t>
            </w:r>
          </w:p>
        </w:tc>
      </w:tr>
      <w:tr>
        <w:tc>
          <w:tcPr>
            <w:tcW w:type="dxa" w:w="5141"/>
            <w:vAlign w:val="top"/>
          </w:tcPr>
          <w:p>
            <w:pPr>
              <w:spacing w:after="0"/>
            </w:pPr>
            <w:r>
              <w:rPr>
                <w:sz w:val="14"/>
              </w:rPr>
              <w:t>U.S. sector cure verified</w:t>
            </w:r>
          </w:p>
        </w:tc>
        <w:tc>
          <w:tcPr>
            <w:tcW w:type="dxa" w:w="5141"/>
            <w:vAlign w:val="top"/>
          </w:tcPr>
          <w:p>
            <w:pPr>
              <w:spacing w:after="0"/>
            </w:pPr>
            <w:r>
              <w:rPr>
                <w:sz w:val="14"/>
              </w:rPr>
              <w:t>Prepare matched Canadian sector cure.</w:t>
            </w:r>
          </w:p>
        </w:tc>
      </w:tr>
      <w:tr>
        <w:tc>
          <w:tcPr>
            <w:tcW w:type="dxa" w:w="5141"/>
            <w:vAlign w:val="top"/>
          </w:tcPr>
          <w:p>
            <w:pPr>
              <w:spacing w:after="0"/>
            </w:pPr>
            <w:r>
              <w:rPr>
                <w:sz w:val="14"/>
              </w:rPr>
              <w:t>Legal authority changes</w:t>
            </w:r>
          </w:p>
        </w:tc>
        <w:tc>
          <w:tcPr>
            <w:tcW w:type="dxa" w:w="5141"/>
            <w:vAlign w:val="top"/>
          </w:tcPr>
          <w:p>
            <w:pPr>
              <w:spacing w:after="0"/>
            </w:pPr>
            <w:r>
              <w:rPr>
                <w:sz w:val="14"/>
              </w:rPr>
              <w:t>Revalidate classification, rate and implementation.</w:t>
            </w:r>
          </w:p>
        </w:tc>
      </w:tr>
      <w:tr>
        <w:tc>
          <w:tcPr>
            <w:tcW w:type="dxa" w:w="5141"/>
            <w:vAlign w:val="top"/>
          </w:tcPr>
          <w:p>
            <w:pPr>
              <w:spacing w:after="0"/>
            </w:pPr>
            <w:r>
              <w:rPr>
                <w:sz w:val="14"/>
              </w:rPr>
              <w:t>Business adaptation strong</w:t>
            </w:r>
          </w:p>
        </w:tc>
        <w:tc>
          <w:tcPr>
            <w:tcW w:type="dxa" w:w="5141"/>
            <w:vAlign w:val="top"/>
          </w:tcPr>
          <w:p>
            <w:pPr>
              <w:spacing w:after="0"/>
            </w:pPr>
            <w:r>
              <w:rPr>
                <w:sz w:val="14"/>
              </w:rPr>
              <w:t>Update expected leverage and Canadian cost assumptions.</w:t>
            </w:r>
          </w:p>
        </w:tc>
      </w:tr>
      <w:tr>
        <w:tc>
          <w:tcPr>
            <w:tcW w:type="dxa" w:w="5141"/>
            <w:vAlign w:val="top"/>
          </w:tcPr>
          <w:p>
            <w:pPr>
              <w:spacing w:after="0"/>
            </w:pPr>
            <w:r>
              <w:rPr>
                <w:sz w:val="14"/>
              </w:rPr>
              <w:t>Public salience changes</w:t>
            </w:r>
          </w:p>
        </w:tc>
        <w:tc>
          <w:tcPr>
            <w:tcW w:type="dxa" w:w="5141"/>
            <w:vAlign w:val="top"/>
          </w:tcPr>
          <w:p>
            <w:pPr>
              <w:spacing w:after="0"/>
            </w:pPr>
            <w:r>
              <w:rPr>
                <w:sz w:val="14"/>
              </w:rPr>
              <w:t>Adjust explanation, not legal incidence or discriminatory targeting.</w:t>
            </w:r>
          </w:p>
        </w:tc>
      </w:tr>
    </w:tbl>
    <w:p>
      <w:r>
        <w:br w:type="page"/>
      </w:r>
    </w:p>
    <w:p>
      <w:pPr>
        <w:pStyle w:val="Heading1"/>
        <w:keepNext/>
        <w:spacing w:before="120" w:after="50"/>
      </w:pPr>
      <w:r>
        <w:t>47. Integration with Diversification and Public Diplomacy</w:t>
      </w:r>
    </w:p>
    <w:p>
      <w:r>
        <w:rPr>
          <w:b w:val="0"/>
          <w:i w:val="0"/>
        </w:rPr>
        <w:t>Situational awareness should help Canada choose constructive alternatives, not merely retaliatory ones.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Observation</w:t>
            </w:r>
          </w:p>
        </w:tc>
        <w:tc>
          <w:tcPr>
            <w:tcW w:type="dxa" w:w="5141"/>
            <w:shd w:fill="D9E5F2"/>
          </w:tcPr>
          <w:p>
            <w:r>
              <w:rPr>
                <w:b/>
                <w:sz w:val="14"/>
              </w:rPr>
              <w:t>Possible initiative</w:t>
            </w:r>
          </w:p>
        </w:tc>
      </w:tr>
      <w:tr>
        <w:tc>
          <w:tcPr>
            <w:tcW w:type="dxa" w:w="5141"/>
            <w:vAlign w:val="top"/>
          </w:tcPr>
          <w:p>
            <w:pPr>
              <w:spacing w:after="0"/>
            </w:pPr>
            <w:r>
              <w:rPr>
                <w:sz w:val="14"/>
              </w:rPr>
              <w:t>U.S. customer replacement accelerating</w:t>
            </w:r>
          </w:p>
        </w:tc>
        <w:tc>
          <w:tcPr>
            <w:tcW w:type="dxa" w:w="5141"/>
            <w:vAlign w:val="top"/>
          </w:tcPr>
          <w:p>
            <w:pPr>
              <w:spacing w:after="0"/>
            </w:pPr>
            <w:r>
              <w:rPr>
                <w:sz w:val="14"/>
              </w:rPr>
              <w:t>Activate non-U.S. export corridor and finance support</w:t>
            </w:r>
          </w:p>
        </w:tc>
      </w:tr>
      <w:tr>
        <w:tc>
          <w:tcPr>
            <w:tcW w:type="dxa" w:w="5141"/>
            <w:vAlign w:val="top"/>
          </w:tcPr>
          <w:p>
            <w:pPr>
              <w:spacing w:after="0"/>
            </w:pPr>
            <w:r>
              <w:rPr>
                <w:sz w:val="14"/>
              </w:rPr>
              <w:t>Critical input exposure rising</w:t>
            </w:r>
          </w:p>
        </w:tc>
        <w:tc>
          <w:tcPr>
            <w:tcW w:type="dxa" w:w="5141"/>
            <w:vAlign w:val="top"/>
          </w:tcPr>
          <w:p>
            <w:pPr>
              <w:spacing w:after="0"/>
            </w:pPr>
            <w:r>
              <w:rPr>
                <w:sz w:val="14"/>
              </w:rPr>
              <w:t>Accelerate alternate sourcing / stockpile / standards work</w:t>
            </w:r>
          </w:p>
        </w:tc>
      </w:tr>
      <w:tr>
        <w:tc>
          <w:tcPr>
            <w:tcW w:type="dxa" w:w="5141"/>
            <w:vAlign w:val="top"/>
          </w:tcPr>
          <w:p>
            <w:pPr>
              <w:spacing w:after="0"/>
            </w:pPr>
            <w:r>
              <w:rPr>
                <w:sz w:val="14"/>
              </w:rPr>
              <w:t>Partner fears secondary pressure</w:t>
            </w:r>
          </w:p>
        </w:tc>
        <w:tc>
          <w:tcPr>
            <w:tcW w:type="dxa" w:w="5141"/>
            <w:vAlign w:val="top"/>
          </w:tcPr>
          <w:p>
            <w:pPr>
              <w:spacing w:after="0"/>
            </w:pPr>
            <w:r>
              <w:rPr>
                <w:sz w:val="14"/>
              </w:rPr>
              <w:t>Deploy legal assurance, finance and coalition consultation</w:t>
            </w:r>
          </w:p>
        </w:tc>
      </w:tr>
      <w:tr>
        <w:tc>
          <w:tcPr>
            <w:tcW w:type="dxa" w:w="5141"/>
            <w:vAlign w:val="top"/>
          </w:tcPr>
          <w:p>
            <w:pPr>
              <w:spacing w:after="0"/>
            </w:pPr>
            <w:r>
              <w:rPr>
                <w:sz w:val="14"/>
              </w:rPr>
              <w:t>American public hostility is not rising despite government dispute</w:t>
            </w:r>
          </w:p>
        </w:tc>
        <w:tc>
          <w:tcPr>
            <w:tcW w:type="dxa" w:w="5141"/>
            <w:vAlign w:val="top"/>
          </w:tcPr>
          <w:p>
            <w:pPr>
              <w:spacing w:after="0"/>
            </w:pPr>
            <w:r>
              <w:rPr>
                <w:sz w:val="14"/>
              </w:rPr>
              <w:t>Preserve People Track; avoid collective-blame rhetoric</w:t>
            </w:r>
          </w:p>
        </w:tc>
      </w:tr>
      <w:tr>
        <w:tc>
          <w:tcPr>
            <w:tcW w:type="dxa" w:w="5141"/>
            <w:vAlign w:val="top"/>
          </w:tcPr>
          <w:p>
            <w:pPr>
              <w:spacing w:after="0"/>
            </w:pPr>
            <w:r>
              <w:rPr>
                <w:sz w:val="14"/>
              </w:rPr>
              <w:t>Misinformation drives misunderstanding</w:t>
            </w:r>
          </w:p>
        </w:tc>
        <w:tc>
          <w:tcPr>
            <w:tcW w:type="dxa" w:w="5141"/>
            <w:vAlign w:val="top"/>
          </w:tcPr>
          <w:p>
            <w:pPr>
              <w:spacing w:after="0"/>
            </w:pPr>
            <w:r>
              <w:rPr>
                <w:sz w:val="14"/>
              </w:rPr>
              <w:t>Publish factual correction with source evidence</w:t>
            </w:r>
          </w:p>
        </w:tc>
      </w:tr>
      <w:tr>
        <w:tc>
          <w:tcPr>
            <w:tcW w:type="dxa" w:w="5141"/>
            <w:vAlign w:val="top"/>
          </w:tcPr>
          <w:p>
            <w:pPr>
              <w:spacing w:after="0"/>
            </w:pPr>
            <w:r>
              <w:rPr>
                <w:sz w:val="14"/>
              </w:rPr>
              <w:t>Settlement probability low for prolonged period</w:t>
            </w:r>
          </w:p>
        </w:tc>
        <w:tc>
          <w:tcPr>
            <w:tcW w:type="dxa" w:w="5141"/>
            <w:vAlign w:val="top"/>
          </w:tcPr>
          <w:p>
            <w:pPr>
              <w:spacing w:after="0"/>
            </w:pPr>
            <w:r>
              <w:rPr>
                <w:sz w:val="14"/>
              </w:rPr>
              <w:t>Shift effort from persuasion toward resilience and relationship preservation</w:t>
            </w:r>
          </w:p>
        </w:tc>
      </w:tr>
    </w:tbl>
    <w:p>
      <w:r>
        <w:br w:type="page"/>
      </w:r>
    </w:p>
    <w:p>
      <w:pPr>
        <w:pStyle w:val="Heading1"/>
        <w:keepNext/>
        <w:spacing w:before="120" w:after="50"/>
      </w:pPr>
      <w:r>
        <w:t>48. Implementation Roadmap: First 30 Days</w:t>
      </w:r>
    </w:p>
    <w:p>
      <w:pPr>
        <w:pStyle w:val="ListNumber"/>
        <w:spacing w:after="40"/>
      </w:pPr>
      <w:r>
        <w:t>Designate PCO coordinating owner and participating departments.</w:t>
      </w:r>
    </w:p>
    <w:p>
      <w:pPr>
        <w:pStyle w:val="ListNumber"/>
        <w:spacing w:after="40"/>
      </w:pPr>
      <w:r>
        <w:t>Approve charter stating that ESSAC has no independent collection authority.</w:t>
      </w:r>
    </w:p>
    <w:p>
      <w:pPr>
        <w:pStyle w:val="ListNumber"/>
        <w:spacing w:after="40"/>
      </w:pPr>
      <w:r>
        <w:t>Inventory existing lawful data/reporting feeds.</w:t>
      </w:r>
    </w:p>
    <w:p>
      <w:pPr>
        <w:pStyle w:val="ListNumber"/>
        <w:spacing w:after="40"/>
      </w:pPr>
      <w:r>
        <w:t>Create source metadata standard and sensitivity markings.</w:t>
      </w:r>
    </w:p>
    <w:p>
      <w:pPr>
        <w:pStyle w:val="ListNumber"/>
        <w:spacing w:after="40"/>
      </w:pPr>
      <w:r>
        <w:t>Establish initial competing hypotheses.</w:t>
      </w:r>
    </w:p>
    <w:p>
      <w:pPr>
        <w:pStyle w:val="ListNumber"/>
        <w:spacing w:after="40"/>
      </w:pPr>
      <w:r>
        <w:t>Build DPA v0 with 7/30/90-day horizons.</w:t>
      </w:r>
    </w:p>
    <w:p>
      <w:pPr>
        <w:pStyle w:val="ListNumber"/>
        <w:spacing w:after="40"/>
      </w:pPr>
      <w:r>
        <w:t>Define escalation warning categories and owners.</w:t>
      </w:r>
    </w:p>
    <w:p>
      <w:pPr>
        <w:pStyle w:val="ListNumber"/>
        <w:spacing w:after="40"/>
      </w:pPr>
      <w:r>
        <w:t>Create provincial/territorial liaison channel.</w:t>
      </w:r>
    </w:p>
    <w:p>
      <w:pPr>
        <w:pStyle w:val="ListNumber"/>
        <w:spacing w:after="40"/>
      </w:pPr>
      <w:r>
        <w:t>Establish Justice, privacy and security review points.</w:t>
      </w:r>
    </w:p>
    <w:p>
      <w:pPr>
        <w:pStyle w:val="ListNumber"/>
        <w:spacing w:after="40"/>
      </w:pPr>
      <w:r>
        <w:t>Run one tabletop exercise using a historical or synthetic tariff escalation.</w:t>
      </w:r>
    </w:p>
    <w:p>
      <w:pPr>
        <w:pStyle w:val="ListNumber"/>
        <w:spacing w:after="40"/>
      </w:pPr>
      <w:r>
        <w:t>Begin calibration log.</w:t>
      </w:r>
    </w:p>
    <w:p>
      <w:r>
        <w:br w:type="page"/>
      </w:r>
    </w:p>
    <w:p>
      <w:pPr>
        <w:pStyle w:val="Heading1"/>
        <w:keepNext/>
        <w:spacing w:before="120" w:after="50"/>
      </w:pPr>
      <w:r>
        <w:t>49. Implementation Roadmap: Days 31–100</w:t>
      </w:r>
    </w:p>
    <w:p>
      <w:pPr>
        <w:pStyle w:val="ListNumber"/>
        <w:spacing w:after="40"/>
      </w:pPr>
      <w:r>
        <w:t>Automate ingestion of public economic releases where permitted.</w:t>
      </w:r>
    </w:p>
    <w:p>
      <w:pPr>
        <w:pStyle w:val="ListNumber"/>
        <w:spacing w:after="40"/>
      </w:pPr>
      <w:r>
        <w:t>Standardize business consultation questionnaire and confidentiality language.</w:t>
      </w:r>
    </w:p>
    <w:p>
      <w:pPr>
        <w:pStyle w:val="ListNumber"/>
        <w:spacing w:after="40"/>
      </w:pPr>
      <w:r>
        <w:t>Establish congressional/state reporting template across U.S. posts.</w:t>
      </w:r>
    </w:p>
    <w:p>
      <w:pPr>
        <w:pStyle w:val="ListNumber"/>
        <w:spacing w:after="40"/>
      </w:pPr>
      <w:r>
        <w:t>Create public-opinion methodology checklist.</w:t>
      </w:r>
    </w:p>
    <w:p>
      <w:pPr>
        <w:pStyle w:val="ListNumber"/>
        <w:spacing w:after="40"/>
      </w:pPr>
      <w:r>
        <w:t>Implement daily note and weekly DPA cadence.</w:t>
      </w:r>
    </w:p>
    <w:p>
      <w:pPr>
        <w:pStyle w:val="ListNumber"/>
        <w:spacing w:after="40"/>
      </w:pPr>
      <w:r>
        <w:t>Create red-team rotation and dissent procedure.</w:t>
      </w:r>
    </w:p>
    <w:p>
      <w:pPr>
        <w:pStyle w:val="ListNumber"/>
        <w:spacing w:after="40"/>
      </w:pPr>
      <w:r>
        <w:t>Define Canadian-harm thresholds with the Endurance Framework workstream.</w:t>
      </w:r>
    </w:p>
    <w:p>
      <w:pPr>
        <w:pStyle w:val="ListNumber"/>
        <w:spacing w:after="40"/>
      </w:pPr>
      <w:r>
        <w:t>Link DPA triggers to pre-cleared de-escalation instruments.</w:t>
      </w:r>
    </w:p>
    <w:p>
      <w:pPr>
        <w:pStyle w:val="ListNumber"/>
        <w:spacing w:after="40"/>
      </w:pPr>
      <w:r>
        <w:t>Conduct information-sharing and privacy review.</w:t>
      </w:r>
    </w:p>
    <w:p>
      <w:pPr>
        <w:pStyle w:val="ListNumber"/>
        <w:spacing w:after="40"/>
      </w:pPr>
      <w:r>
        <w:t>Run a second exercise focused on a false alarm and a genuine settlement opening.</w:t>
      </w:r>
    </w:p>
    <w:p>
      <w:pPr>
        <w:pStyle w:val="ListNumber"/>
        <w:spacing w:after="40"/>
      </w:pPr>
      <w:r>
        <w:t>Report calibration findings to senior governance body.</w:t>
      </w:r>
    </w:p>
    <w:p>
      <w:r>
        <w:br w:type="page"/>
      </w:r>
    </w:p>
    <w:p>
      <w:pPr>
        <w:pStyle w:val="Heading1"/>
        <w:keepNext/>
        <w:spacing w:before="120" w:after="50"/>
      </w:pPr>
      <w:r>
        <w:t>50. Implementation Roadmap: Mature 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Capability</w:t>
            </w:r>
          </w:p>
        </w:tc>
        <w:tc>
          <w:tcPr>
            <w:tcW w:type="dxa" w:w="5141"/>
            <w:shd w:fill="D9E5F2"/>
          </w:tcPr>
          <w:p>
            <w:r>
              <w:rPr>
                <w:b/>
                <w:sz w:val="14"/>
              </w:rPr>
              <w:t>Mature condition</w:t>
            </w:r>
          </w:p>
        </w:tc>
      </w:tr>
      <w:tr>
        <w:tc>
          <w:tcPr>
            <w:tcW w:type="dxa" w:w="5141"/>
            <w:vAlign w:val="top"/>
          </w:tcPr>
          <w:p>
            <w:pPr>
              <w:spacing w:after="0"/>
            </w:pPr>
            <w:r>
              <w:rPr>
                <w:sz w:val="14"/>
              </w:rPr>
              <w:t>Data</w:t>
            </w:r>
          </w:p>
        </w:tc>
        <w:tc>
          <w:tcPr>
            <w:tcW w:type="dxa" w:w="5141"/>
            <w:vAlign w:val="top"/>
          </w:tcPr>
          <w:p>
            <w:pPr>
              <w:spacing w:after="0"/>
            </w:pPr>
            <w:r>
              <w:rPr>
                <w:sz w:val="14"/>
              </w:rPr>
              <w:t>Authoritative feeds, provenance, revisions and ownership clear</w:t>
            </w:r>
          </w:p>
        </w:tc>
      </w:tr>
      <w:tr>
        <w:tc>
          <w:tcPr>
            <w:tcW w:type="dxa" w:w="5141"/>
            <w:vAlign w:val="top"/>
          </w:tcPr>
          <w:p>
            <w:pPr>
              <w:spacing w:after="0"/>
            </w:pPr>
            <w:r>
              <w:rPr>
                <w:sz w:val="14"/>
              </w:rPr>
              <w:t>Diplomacy</w:t>
            </w:r>
          </w:p>
        </w:tc>
        <w:tc>
          <w:tcPr>
            <w:tcW w:type="dxa" w:w="5141"/>
            <w:vAlign w:val="top"/>
          </w:tcPr>
          <w:p>
            <w:pPr>
              <w:spacing w:after="0"/>
            </w:pPr>
            <w:r>
              <w:rPr>
                <w:sz w:val="14"/>
              </w:rPr>
              <w:t>Consistent reporting from Washington, consulates and partner capitals</w:t>
            </w:r>
          </w:p>
        </w:tc>
      </w:tr>
      <w:tr>
        <w:tc>
          <w:tcPr>
            <w:tcW w:type="dxa" w:w="5141"/>
            <w:vAlign w:val="top"/>
          </w:tcPr>
          <w:p>
            <w:pPr>
              <w:spacing w:after="0"/>
            </w:pPr>
            <w:r>
              <w:rPr>
                <w:sz w:val="14"/>
              </w:rPr>
              <w:t>Business</w:t>
            </w:r>
          </w:p>
        </w:tc>
        <w:tc>
          <w:tcPr>
            <w:tcW w:type="dxa" w:w="5141"/>
            <w:vAlign w:val="top"/>
          </w:tcPr>
          <w:p>
            <w:pPr>
              <w:spacing w:after="0"/>
            </w:pPr>
            <w:r>
              <w:rPr>
                <w:sz w:val="14"/>
              </w:rPr>
              <w:t>Representative structured consultation with confidentiality controls</w:t>
            </w:r>
          </w:p>
        </w:tc>
      </w:tr>
      <w:tr>
        <w:tc>
          <w:tcPr>
            <w:tcW w:type="dxa" w:w="5141"/>
            <w:vAlign w:val="top"/>
          </w:tcPr>
          <w:p>
            <w:pPr>
              <w:spacing w:after="0"/>
            </w:pPr>
            <w:r>
              <w:rPr>
                <w:sz w:val="14"/>
              </w:rPr>
              <w:t>Legal</w:t>
            </w:r>
          </w:p>
        </w:tc>
        <w:tc>
          <w:tcPr>
            <w:tcW w:type="dxa" w:w="5141"/>
            <w:vAlign w:val="top"/>
          </w:tcPr>
          <w:p>
            <w:pPr>
              <w:spacing w:after="0"/>
            </w:pPr>
            <w:r>
              <w:rPr>
                <w:sz w:val="14"/>
              </w:rPr>
              <w:t>Rapid verified status of measures and litigation</w:t>
            </w:r>
          </w:p>
        </w:tc>
      </w:tr>
      <w:tr>
        <w:tc>
          <w:tcPr>
            <w:tcW w:type="dxa" w:w="5141"/>
            <w:vAlign w:val="top"/>
          </w:tcPr>
          <w:p>
            <w:pPr>
              <w:spacing w:after="0"/>
            </w:pPr>
            <w:r>
              <w:rPr>
                <w:sz w:val="14"/>
              </w:rPr>
              <w:t>Warnings</w:t>
            </w:r>
          </w:p>
        </w:tc>
        <w:tc>
          <w:tcPr>
            <w:tcW w:type="dxa" w:w="5141"/>
            <w:vAlign w:val="top"/>
          </w:tcPr>
          <w:p>
            <w:pPr>
              <w:spacing w:after="0"/>
            </w:pPr>
            <w:r>
              <w:rPr>
                <w:sz w:val="14"/>
              </w:rPr>
              <w:t>Thresholds tested against real outcomes</w:t>
            </w:r>
          </w:p>
        </w:tc>
      </w:tr>
      <w:tr>
        <w:tc>
          <w:tcPr>
            <w:tcW w:type="dxa" w:w="5141"/>
            <w:vAlign w:val="top"/>
          </w:tcPr>
          <w:p>
            <w:pPr>
              <w:spacing w:after="0"/>
            </w:pPr>
            <w:r>
              <w:rPr>
                <w:sz w:val="14"/>
              </w:rPr>
              <w:t>DPA</w:t>
            </w:r>
          </w:p>
        </w:tc>
        <w:tc>
          <w:tcPr>
            <w:tcW w:type="dxa" w:w="5141"/>
            <w:vAlign w:val="top"/>
          </w:tcPr>
          <w:p>
            <w:pPr>
              <w:spacing w:after="0"/>
            </w:pPr>
            <w:r>
              <w:rPr>
                <w:sz w:val="14"/>
              </w:rPr>
              <w:t>Historical calibration record and documented dissent</w:t>
            </w:r>
          </w:p>
        </w:tc>
      </w:tr>
      <w:tr>
        <w:tc>
          <w:tcPr>
            <w:tcW w:type="dxa" w:w="5141"/>
            <w:vAlign w:val="top"/>
          </w:tcPr>
          <w:p>
            <w:pPr>
              <w:spacing w:after="0"/>
            </w:pPr>
            <w:r>
              <w:rPr>
                <w:sz w:val="14"/>
              </w:rPr>
              <w:t>Provinces</w:t>
            </w:r>
          </w:p>
        </w:tc>
        <w:tc>
          <w:tcPr>
            <w:tcW w:type="dxa" w:w="5141"/>
            <w:vAlign w:val="top"/>
          </w:tcPr>
          <w:p>
            <w:pPr>
              <w:spacing w:after="0"/>
            </w:pPr>
            <w:r>
              <w:rPr>
                <w:sz w:val="14"/>
              </w:rPr>
              <w:t>Two-way no-surprise signal exchange</w:t>
            </w:r>
          </w:p>
        </w:tc>
      </w:tr>
      <w:tr>
        <w:tc>
          <w:tcPr>
            <w:tcW w:type="dxa" w:w="5141"/>
            <w:vAlign w:val="top"/>
          </w:tcPr>
          <w:p>
            <w:pPr>
              <w:spacing w:after="0"/>
            </w:pPr>
            <w:r>
              <w:rPr>
                <w:sz w:val="14"/>
              </w:rPr>
              <w:t>Security</w:t>
            </w:r>
          </w:p>
        </w:tc>
        <w:tc>
          <w:tcPr>
            <w:tcW w:type="dxa" w:w="5141"/>
            <w:vAlign w:val="top"/>
          </w:tcPr>
          <w:p>
            <w:pPr>
              <w:spacing w:after="0"/>
            </w:pPr>
            <w:r>
              <w:rPr>
                <w:sz w:val="14"/>
              </w:rPr>
              <w:t>Clean interface with authorized agencies; no mandate creep</w:t>
            </w:r>
          </w:p>
        </w:tc>
      </w:tr>
      <w:tr>
        <w:tc>
          <w:tcPr>
            <w:tcW w:type="dxa" w:w="5141"/>
            <w:vAlign w:val="top"/>
          </w:tcPr>
          <w:p>
            <w:pPr>
              <w:spacing w:after="0"/>
            </w:pPr>
            <w:r>
              <w:rPr>
                <w:sz w:val="14"/>
              </w:rPr>
              <w:t>Decision support</w:t>
            </w:r>
          </w:p>
        </w:tc>
        <w:tc>
          <w:tcPr>
            <w:tcW w:type="dxa" w:w="5141"/>
            <w:vAlign w:val="top"/>
          </w:tcPr>
          <w:p>
            <w:pPr>
              <w:spacing w:after="0"/>
            </w:pPr>
            <w:r>
              <w:rPr>
                <w:sz w:val="14"/>
              </w:rPr>
              <w:t>Options linked to triggers, timing windows and off-ramps</w:t>
            </w:r>
          </w:p>
        </w:tc>
      </w:tr>
      <w:tr>
        <w:tc>
          <w:tcPr>
            <w:tcW w:type="dxa" w:w="5141"/>
            <w:vAlign w:val="top"/>
          </w:tcPr>
          <w:p>
            <w:pPr>
              <w:spacing w:after="0"/>
            </w:pPr>
            <w:r>
              <w:rPr>
                <w:sz w:val="14"/>
              </w:rPr>
              <w:t>Learning</w:t>
            </w:r>
          </w:p>
        </w:tc>
        <w:tc>
          <w:tcPr>
            <w:tcW w:type="dxa" w:w="5141"/>
            <w:vAlign w:val="top"/>
          </w:tcPr>
          <w:p>
            <w:pPr>
              <w:spacing w:after="0"/>
            </w:pPr>
            <w:r>
              <w:rPr>
                <w:sz w:val="14"/>
              </w:rPr>
              <w:t>After-action reviews change the system</w:t>
            </w:r>
          </w:p>
        </w:tc>
      </w:tr>
    </w:tbl>
    <w:p>
      <w:pPr>
        <w:pStyle w:val="Heading1"/>
        <w:keepNext/>
        <w:spacing w:before="120" w:after="50"/>
      </w:pPr>
      <w:r>
        <w:t>51. Ministerial / Cabinet Decision Card</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5"/>
              </w:rPr>
              <w:t>Question</w:t>
            </w:r>
          </w:p>
        </w:tc>
        <w:tc>
          <w:tcPr>
            <w:tcW w:type="dxa" w:w="5141"/>
            <w:shd w:fill="D9E5F2"/>
          </w:tcPr>
          <w:p>
            <w:r>
              <w:rPr>
                <w:b/>
                <w:sz w:val="15"/>
              </w:rPr>
              <w:t>Assessment</w:t>
            </w:r>
          </w:p>
        </w:tc>
      </w:tr>
      <w:tr>
        <w:tc>
          <w:tcPr>
            <w:tcW w:type="dxa" w:w="5141"/>
            <w:vAlign w:val="top"/>
          </w:tcPr>
          <w:p>
            <w:pPr>
              <w:spacing w:after="0"/>
            </w:pPr>
            <w:r>
              <w:rPr>
                <w:sz w:val="15"/>
              </w:rPr>
              <w:t>What changed?</w:t>
            </w:r>
          </w:p>
        </w:tc>
        <w:tc>
          <w:tcPr>
            <w:tcW w:type="dxa" w:w="5141"/>
            <w:vAlign w:val="top"/>
          </w:tcPr>
          <w:p>
            <w:pPr>
              <w:spacing w:after="0"/>
            </w:pPr>
            <w:r>
              <w:rPr>
                <w:sz w:val="15"/>
              </w:rPr>
            </w:r>
          </w:p>
        </w:tc>
      </w:tr>
      <w:tr>
        <w:tc>
          <w:tcPr>
            <w:tcW w:type="dxa" w:w="5141"/>
            <w:vAlign w:val="top"/>
          </w:tcPr>
          <w:p>
            <w:pPr>
              <w:spacing w:after="0"/>
            </w:pPr>
            <w:r>
              <w:rPr>
                <w:sz w:val="15"/>
              </w:rPr>
              <w:t>What is confirmed?</w:t>
            </w:r>
          </w:p>
        </w:tc>
        <w:tc>
          <w:tcPr>
            <w:tcW w:type="dxa" w:w="5141"/>
            <w:vAlign w:val="top"/>
          </w:tcPr>
          <w:p>
            <w:pPr>
              <w:spacing w:after="0"/>
            </w:pPr>
            <w:r>
              <w:rPr>
                <w:sz w:val="15"/>
              </w:rPr>
            </w:r>
          </w:p>
        </w:tc>
      </w:tr>
      <w:tr>
        <w:tc>
          <w:tcPr>
            <w:tcW w:type="dxa" w:w="5141"/>
            <w:vAlign w:val="top"/>
          </w:tcPr>
          <w:p>
            <w:pPr>
              <w:spacing w:after="0"/>
            </w:pPr>
            <w:r>
              <w:rPr>
                <w:sz w:val="15"/>
              </w:rPr>
              <w:t>What remains uncertain?</w:t>
            </w:r>
          </w:p>
        </w:tc>
        <w:tc>
          <w:tcPr>
            <w:tcW w:type="dxa" w:w="5141"/>
            <w:vAlign w:val="top"/>
          </w:tcPr>
          <w:p>
            <w:pPr>
              <w:spacing w:after="0"/>
            </w:pPr>
            <w:r>
              <w:rPr>
                <w:sz w:val="15"/>
              </w:rPr>
            </w:r>
          </w:p>
        </w:tc>
      </w:tr>
      <w:tr>
        <w:tc>
          <w:tcPr>
            <w:tcW w:type="dxa" w:w="5141"/>
            <w:vAlign w:val="top"/>
          </w:tcPr>
          <w:p>
            <w:pPr>
              <w:spacing w:after="0"/>
            </w:pPr>
            <w:r>
              <w:rPr>
                <w:sz w:val="15"/>
              </w:rPr>
              <w:t>DPA 7 / 30 / 90 days</w:t>
            </w:r>
          </w:p>
        </w:tc>
        <w:tc>
          <w:tcPr>
            <w:tcW w:type="dxa" w:w="5141"/>
            <w:vAlign w:val="top"/>
          </w:tcPr>
          <w:p>
            <w:pPr>
              <w:spacing w:after="0"/>
            </w:pPr>
            <w:r>
              <w:rPr>
                <w:sz w:val="15"/>
              </w:rPr>
            </w:r>
          </w:p>
        </w:tc>
      </w:tr>
      <w:tr>
        <w:tc>
          <w:tcPr>
            <w:tcW w:type="dxa" w:w="5141"/>
            <w:vAlign w:val="top"/>
          </w:tcPr>
          <w:p>
            <w:pPr>
              <w:spacing w:after="0"/>
            </w:pPr>
            <w:r>
              <w:rPr>
                <w:sz w:val="15"/>
              </w:rPr>
              <w:t>Escalation warning level</w:t>
            </w:r>
          </w:p>
        </w:tc>
        <w:tc>
          <w:tcPr>
            <w:tcW w:type="dxa" w:w="5141"/>
            <w:vAlign w:val="top"/>
          </w:tcPr>
          <w:p>
            <w:pPr>
              <w:spacing w:after="0"/>
            </w:pPr>
            <w:r>
              <w:rPr>
                <w:sz w:val="15"/>
              </w:rPr>
            </w:r>
          </w:p>
        </w:tc>
      </w:tr>
      <w:tr>
        <w:tc>
          <w:tcPr>
            <w:tcW w:type="dxa" w:w="5141"/>
            <w:vAlign w:val="top"/>
          </w:tcPr>
          <w:p>
            <w:pPr>
              <w:spacing w:after="0"/>
            </w:pPr>
            <w:r>
              <w:rPr>
                <w:sz w:val="15"/>
              </w:rPr>
              <w:t>Canadian harm trend</w:t>
            </w:r>
          </w:p>
        </w:tc>
        <w:tc>
          <w:tcPr>
            <w:tcW w:type="dxa" w:w="5141"/>
            <w:vAlign w:val="top"/>
          </w:tcPr>
          <w:p>
            <w:pPr>
              <w:spacing w:after="0"/>
            </w:pPr>
            <w:r>
              <w:rPr>
                <w:sz w:val="15"/>
              </w:rPr>
            </w:r>
          </w:p>
        </w:tc>
      </w:tr>
      <w:tr>
        <w:tc>
          <w:tcPr>
            <w:tcW w:type="dxa" w:w="5141"/>
            <w:vAlign w:val="top"/>
          </w:tcPr>
          <w:p>
            <w:pPr>
              <w:spacing w:after="0"/>
            </w:pPr>
            <w:r>
              <w:rPr>
                <w:sz w:val="15"/>
              </w:rPr>
              <w:t>Provincial cohesion trend</w:t>
            </w:r>
          </w:p>
        </w:tc>
        <w:tc>
          <w:tcPr>
            <w:tcW w:type="dxa" w:w="5141"/>
            <w:vAlign w:val="top"/>
          </w:tcPr>
          <w:p>
            <w:pPr>
              <w:spacing w:after="0"/>
            </w:pPr>
            <w:r>
              <w:rPr>
                <w:sz w:val="15"/>
              </w:rPr>
            </w:r>
          </w:p>
        </w:tc>
      </w:tr>
      <w:tr>
        <w:tc>
          <w:tcPr>
            <w:tcW w:type="dxa" w:w="5141"/>
            <w:vAlign w:val="top"/>
          </w:tcPr>
          <w:p>
            <w:pPr>
              <w:spacing w:after="0"/>
            </w:pPr>
            <w:r>
              <w:rPr>
                <w:sz w:val="15"/>
              </w:rPr>
              <w:t>Legal posture</w:t>
            </w:r>
          </w:p>
        </w:tc>
        <w:tc>
          <w:tcPr>
            <w:tcW w:type="dxa" w:w="5141"/>
            <w:vAlign w:val="top"/>
          </w:tcPr>
          <w:p>
            <w:pPr>
              <w:spacing w:after="0"/>
            </w:pPr>
            <w:r>
              <w:rPr>
                <w:sz w:val="15"/>
              </w:rPr>
            </w:r>
          </w:p>
        </w:tc>
      </w:tr>
      <w:tr>
        <w:tc>
          <w:tcPr>
            <w:tcW w:type="dxa" w:w="5141"/>
            <w:vAlign w:val="top"/>
          </w:tcPr>
          <w:p>
            <w:pPr>
              <w:spacing w:after="0"/>
            </w:pPr>
            <w:r>
              <w:rPr>
                <w:sz w:val="15"/>
              </w:rPr>
              <w:t>Next decision window</w:t>
            </w:r>
          </w:p>
        </w:tc>
        <w:tc>
          <w:tcPr>
            <w:tcW w:type="dxa" w:w="5141"/>
            <w:vAlign w:val="top"/>
          </w:tcPr>
          <w:p>
            <w:pPr>
              <w:spacing w:after="0"/>
            </w:pPr>
            <w:r>
              <w:rPr>
                <w:sz w:val="15"/>
              </w:rPr>
            </w:r>
          </w:p>
        </w:tc>
      </w:tr>
      <w:tr>
        <w:tc>
          <w:tcPr>
            <w:tcW w:type="dxa" w:w="5141"/>
            <w:vAlign w:val="top"/>
          </w:tcPr>
          <w:p>
            <w:pPr>
              <w:spacing w:after="0"/>
            </w:pPr>
            <w:r>
              <w:rPr>
                <w:sz w:val="15"/>
              </w:rPr>
              <w:t>Options prepared</w:t>
            </w:r>
          </w:p>
        </w:tc>
        <w:tc>
          <w:tcPr>
            <w:tcW w:type="dxa" w:w="5141"/>
            <w:vAlign w:val="top"/>
          </w:tcPr>
          <w:p>
            <w:pPr>
              <w:spacing w:after="0"/>
            </w:pPr>
            <w:r>
              <w:rPr>
                <w:sz w:val="15"/>
              </w:rPr>
            </w:r>
          </w:p>
        </w:tc>
      </w:tr>
      <w:tr>
        <w:tc>
          <w:tcPr>
            <w:tcW w:type="dxa" w:w="5141"/>
            <w:vAlign w:val="top"/>
          </w:tcPr>
          <w:p>
            <w:pPr>
              <w:spacing w:after="0"/>
            </w:pPr>
            <w:r>
              <w:rPr>
                <w:sz w:val="15"/>
              </w:rPr>
              <w:t>Best reversible action now</w:t>
            </w:r>
          </w:p>
        </w:tc>
        <w:tc>
          <w:tcPr>
            <w:tcW w:type="dxa" w:w="5141"/>
            <w:vAlign w:val="top"/>
          </w:tcPr>
          <w:p>
            <w:pPr>
              <w:spacing w:after="0"/>
            </w:pPr>
            <w:r>
              <w:rPr>
                <w:sz w:val="15"/>
              </w:rPr>
            </w:r>
          </w:p>
        </w:tc>
      </w:tr>
      <w:tr>
        <w:tc>
          <w:tcPr>
            <w:tcW w:type="dxa" w:w="5141"/>
            <w:vAlign w:val="top"/>
          </w:tcPr>
          <w:p>
            <w:pPr>
              <w:spacing w:after="0"/>
            </w:pPr>
            <w:r>
              <w:rPr>
                <w:sz w:val="15"/>
              </w:rPr>
              <w:t>What would make us change course?</w:t>
            </w:r>
          </w:p>
        </w:tc>
        <w:tc>
          <w:tcPr>
            <w:tcW w:type="dxa" w:w="5141"/>
            <w:vAlign w:val="top"/>
          </w:tcPr>
          <w:p>
            <w:pPr>
              <w:spacing w:after="0"/>
            </w:pPr>
            <w:r>
              <w:rPr>
                <w:sz w:val="15"/>
              </w:rPr>
            </w:r>
          </w:p>
        </w:tc>
      </w:tr>
    </w:tbl>
    <w:p>
      <w:r>
        <w:rPr>
          <w:b w:val="0"/>
          <w:i w:val="0"/>
        </w:rPr>
        <w:t>The card should fit on one page. Detailed annexes exist for officials who need them; senior decision-makers should not have to reverse-engineer the assessment from 80 slides.</w:t>
      </w:r>
    </w:p>
    <w:p>
      <w:pPr>
        <w:pStyle w:val="Heading1"/>
        <w:keepNext/>
        <w:spacing w:before="120" w:after="50"/>
      </w:pPr>
      <w:r>
        <w:t>52. Sample DPA: Illustrative, Not a Current Assessment</w:t>
      </w:r>
    </w:p>
    <w:p>
      <w:r>
        <w:rPr>
          <w:b w:val="0"/>
          <w:i w:val="0"/>
        </w:rPr>
        <w:t>The following is a synthetic example demonstrating form only. It is not an assessment of current U.S. intentions.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D9E5F2"/>
          </w:tcPr>
          <w:p>
            <w:r>
              <w:rPr>
                <w:b/>
                <w:sz w:val="14"/>
              </w:rPr>
              <w:t>Field</w:t>
            </w:r>
          </w:p>
        </w:tc>
        <w:tc>
          <w:tcPr>
            <w:tcW w:type="dxa" w:w="5141"/>
            <w:shd w:fill="D9E5F2"/>
          </w:tcPr>
          <w:p>
            <w:r>
              <w:rPr>
                <w:b/>
                <w:sz w:val="14"/>
              </w:rPr>
              <w:t>Illustrative entry</w:t>
            </w:r>
          </w:p>
        </w:tc>
      </w:tr>
      <w:tr>
        <w:tc>
          <w:tcPr>
            <w:tcW w:type="dxa" w:w="5141"/>
            <w:vAlign w:val="top"/>
          </w:tcPr>
          <w:p>
            <w:pPr>
              <w:spacing w:after="0"/>
            </w:pPr>
            <w:r>
              <w:rPr>
                <w:sz w:val="14"/>
              </w:rPr>
              <w:t>30-day probability</w:t>
            </w:r>
          </w:p>
        </w:tc>
        <w:tc>
          <w:tcPr>
            <w:tcW w:type="dxa" w:w="5141"/>
            <w:vAlign w:val="top"/>
          </w:tcPr>
          <w:p>
            <w:pPr>
              <w:spacing w:after="0"/>
            </w:pPr>
            <w:r>
              <w:rPr>
                <w:sz w:val="14"/>
              </w:rPr>
              <w:t>45–60%, moderate confidence, rising</w:t>
            </w:r>
          </w:p>
        </w:tc>
      </w:tr>
      <w:tr>
        <w:tc>
          <w:tcPr>
            <w:tcW w:type="dxa" w:w="5141"/>
            <w:vAlign w:val="top"/>
          </w:tcPr>
          <w:p>
            <w:pPr>
              <w:spacing w:after="0"/>
            </w:pPr>
            <w:r>
              <w:rPr>
                <w:sz w:val="14"/>
              </w:rPr>
              <w:t>Positive drivers</w:t>
            </w:r>
          </w:p>
        </w:tc>
        <w:tc>
          <w:tcPr>
            <w:tcW w:type="dxa" w:w="5141"/>
            <w:vAlign w:val="top"/>
          </w:tcPr>
          <w:p>
            <w:pPr>
              <w:spacing w:after="0"/>
            </w:pPr>
            <w:r>
              <w:rPr>
                <w:sz w:val="14"/>
              </w:rPr>
              <w:t>Working-level talks restored; narrow sector exemption under discussion; business coalition requests reciprocal pause</w:t>
            </w:r>
          </w:p>
        </w:tc>
      </w:tr>
      <w:tr>
        <w:tc>
          <w:tcPr>
            <w:tcW w:type="dxa" w:w="5141"/>
            <w:vAlign w:val="top"/>
          </w:tcPr>
          <w:p>
            <w:pPr>
              <w:spacing w:after="0"/>
            </w:pPr>
            <w:r>
              <w:rPr>
                <w:sz w:val="14"/>
              </w:rPr>
              <w:t>Blockers</w:t>
            </w:r>
          </w:p>
        </w:tc>
        <w:tc>
          <w:tcPr>
            <w:tcW w:type="dxa" w:w="5141"/>
            <w:vAlign w:val="top"/>
          </w:tcPr>
          <w:p>
            <w:pPr>
              <w:spacing w:after="0"/>
            </w:pPr>
            <w:r>
              <w:rPr>
                <w:sz w:val="14"/>
              </w:rPr>
              <w:t>Senior rhetoric remains hostile; tariff implementation guidance still active</w:t>
            </w:r>
          </w:p>
        </w:tc>
      </w:tr>
      <w:tr>
        <w:tc>
          <w:tcPr>
            <w:tcW w:type="dxa" w:w="5141"/>
            <w:vAlign w:val="top"/>
          </w:tcPr>
          <w:p>
            <w:pPr>
              <w:spacing w:after="0"/>
            </w:pPr>
            <w:r>
              <w:rPr>
                <w:sz w:val="14"/>
              </w:rPr>
              <w:t>Warning level</w:t>
            </w:r>
          </w:p>
        </w:tc>
        <w:tc>
          <w:tcPr>
            <w:tcW w:type="dxa" w:w="5141"/>
            <w:vAlign w:val="top"/>
          </w:tcPr>
          <w:p>
            <w:pPr>
              <w:spacing w:after="0"/>
            </w:pPr>
            <w:r>
              <w:rPr>
                <w:sz w:val="14"/>
              </w:rPr>
              <w:t>YELLOW</w:t>
            </w:r>
          </w:p>
        </w:tc>
      </w:tr>
      <w:tr>
        <w:tc>
          <w:tcPr>
            <w:tcW w:type="dxa" w:w="5141"/>
            <w:vAlign w:val="top"/>
          </w:tcPr>
          <w:p>
            <w:pPr>
              <w:spacing w:after="0"/>
            </w:pPr>
            <w:r>
              <w:rPr>
                <w:sz w:val="14"/>
              </w:rPr>
              <w:t>Alternative hypothesis</w:t>
            </w:r>
          </w:p>
        </w:tc>
        <w:tc>
          <w:tcPr>
            <w:tcW w:type="dxa" w:w="5141"/>
            <w:vAlign w:val="top"/>
          </w:tcPr>
          <w:p>
            <w:pPr>
              <w:spacing w:after="0"/>
            </w:pPr>
            <w:r>
              <w:rPr>
                <w:sz w:val="14"/>
              </w:rPr>
              <w:t>Talks are tactical and intended only to delay Canadian countermeasures</w:t>
            </w:r>
          </w:p>
        </w:tc>
      </w:tr>
      <w:tr>
        <w:tc>
          <w:tcPr>
            <w:tcW w:type="dxa" w:w="5141"/>
            <w:vAlign w:val="top"/>
          </w:tcPr>
          <w:p>
            <w:pPr>
              <w:spacing w:after="0"/>
            </w:pPr>
            <w:r>
              <w:rPr>
                <w:sz w:val="14"/>
              </w:rPr>
              <w:t>Falsifier</w:t>
            </w:r>
          </w:p>
        </w:tc>
        <w:tc>
          <w:tcPr>
            <w:tcW w:type="dxa" w:w="5141"/>
            <w:vAlign w:val="top"/>
          </w:tcPr>
          <w:p>
            <w:pPr>
              <w:spacing w:after="0"/>
            </w:pPr>
            <w:r>
              <w:rPr>
                <w:sz w:val="14"/>
              </w:rPr>
              <w:t>No technical meeting occurs by agreed date; exemption text fails to materialize</w:t>
            </w:r>
          </w:p>
        </w:tc>
      </w:tr>
      <w:tr>
        <w:tc>
          <w:tcPr>
            <w:tcW w:type="dxa" w:w="5141"/>
            <w:vAlign w:val="top"/>
          </w:tcPr>
          <w:p>
            <w:pPr>
              <w:spacing w:after="0"/>
            </w:pPr>
            <w:r>
              <w:rPr>
                <w:sz w:val="14"/>
              </w:rPr>
              <w:t>Canadian preparation</w:t>
            </w:r>
          </w:p>
        </w:tc>
        <w:tc>
          <w:tcPr>
            <w:tcW w:type="dxa" w:w="5141"/>
            <w:vAlign w:val="top"/>
          </w:tcPr>
          <w:p>
            <w:pPr>
              <w:spacing w:after="0"/>
            </w:pPr>
            <w:r>
              <w:rPr>
                <w:sz w:val="14"/>
              </w:rPr>
              <w:t>Draft reciprocal sector suspension, verification terms and anti-whipsaw restoration</w:t>
            </w:r>
          </w:p>
        </w:tc>
      </w:tr>
      <w:tr>
        <w:tc>
          <w:tcPr>
            <w:tcW w:type="dxa" w:w="5141"/>
            <w:vAlign w:val="top"/>
          </w:tcPr>
          <w:p>
            <w:pPr>
              <w:spacing w:after="0"/>
            </w:pPr>
            <w:r>
              <w:rPr>
                <w:sz w:val="14"/>
              </w:rPr>
              <w:t>Do not do</w:t>
            </w:r>
          </w:p>
        </w:tc>
        <w:tc>
          <w:tcPr>
            <w:tcW w:type="dxa" w:w="5141"/>
            <w:vAlign w:val="top"/>
          </w:tcPr>
          <w:p>
            <w:pPr>
              <w:spacing w:after="0"/>
            </w:pPr>
            <w:r>
              <w:rPr>
                <w:sz w:val="14"/>
              </w:rPr>
              <w:t>Treat friendly rhetoric alone as settlement</w:t>
            </w:r>
          </w:p>
        </w:tc>
      </w:tr>
    </w:tbl>
    <w:p>
      <w:pPr>
        <w:pStyle w:val="Heading1"/>
        <w:keepNext/>
        <w:spacing w:before="120" w:after="50"/>
      </w:pPr>
      <w:r>
        <w:t>53. Source Register and Institutional Anchors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D9E5F2"/>
          </w:tcPr>
          <w:p>
            <w:r>
              <w:rPr>
                <w:b/>
                <w:sz w:val="14"/>
              </w:rPr>
              <w:t>Anchor</w:t>
            </w:r>
          </w:p>
        </w:tc>
        <w:tc>
          <w:tcPr>
            <w:tcW w:type="dxa" w:w="3427"/>
            <w:shd w:fill="D9E5F2"/>
          </w:tcPr>
          <w:p>
            <w:r>
              <w:rPr>
                <w:b/>
                <w:sz w:val="14"/>
              </w:rPr>
              <w:t>Use</w:t>
            </w:r>
          </w:p>
        </w:tc>
        <w:tc>
          <w:tcPr>
            <w:tcW w:type="dxa" w:w="3427"/>
            <w:shd w:fill="D9E5F2"/>
          </w:tcPr>
          <w:p>
            <w:r>
              <w:rPr>
                <w:b/>
                <w:sz w:val="14"/>
              </w:rPr>
              <w:t>Authority</w:t>
            </w:r>
          </w:p>
        </w:tc>
      </w:tr>
      <w:tr>
        <w:tc>
          <w:tcPr>
            <w:tcW w:type="dxa" w:w="3427"/>
            <w:vAlign w:val="top"/>
          </w:tcPr>
          <w:p>
            <w:pPr>
              <w:spacing w:after="0"/>
            </w:pPr>
            <w:r>
              <w:rPr>
                <w:sz w:val="14"/>
              </w:rPr>
              <w:t>CSIS Mandate</w:t>
            </w:r>
          </w:p>
        </w:tc>
        <w:tc>
          <w:tcPr>
            <w:tcW w:type="dxa" w:w="3427"/>
            <w:vAlign w:val="top"/>
          </w:tcPr>
          <w:p>
            <w:pPr>
              <w:spacing w:after="0"/>
            </w:pPr>
            <w:r>
              <w:rPr>
                <w:sz w:val="14"/>
              </w:rPr>
              <w:t>Existing statutory security-intelligence role; framework does not expand it.</w:t>
            </w:r>
          </w:p>
        </w:tc>
        <w:tc>
          <w:tcPr>
            <w:tcW w:type="dxa" w:w="3427"/>
            <w:vAlign w:val="top"/>
          </w:tcPr>
          <w:p>
            <w:pPr>
              <w:spacing w:after="0"/>
            </w:pPr>
            <w:r>
              <w:rPr>
                <w:sz w:val="14"/>
              </w:rPr>
              <w:t>Canada.ca / Canadian Security Intelligence Service</w:t>
            </w:r>
          </w:p>
        </w:tc>
      </w:tr>
      <w:tr>
        <w:tc>
          <w:tcPr>
            <w:tcW w:type="dxa" w:w="3427"/>
            <w:vAlign w:val="top"/>
          </w:tcPr>
          <w:p>
            <w:pPr>
              <w:spacing w:after="0"/>
            </w:pPr>
            <w:r>
              <w:rPr>
                <w:sz w:val="14"/>
              </w:rPr>
              <w:t>Justice Canada 2026–27 Departmental Plan</w:t>
            </w:r>
          </w:p>
        </w:tc>
        <w:tc>
          <w:tcPr>
            <w:tcW w:type="dxa" w:w="3427"/>
            <w:vAlign w:val="top"/>
          </w:tcPr>
          <w:p>
            <w:pPr>
              <w:spacing w:after="0"/>
            </w:pPr>
            <w:r>
              <w:rPr>
                <w:sz w:val="14"/>
              </w:rPr>
              <w:t>Legal support for U.S. tariff response, CUSMA and economic-security priorities.</w:t>
            </w:r>
          </w:p>
        </w:tc>
        <w:tc>
          <w:tcPr>
            <w:tcW w:type="dxa" w:w="3427"/>
            <w:vAlign w:val="top"/>
          </w:tcPr>
          <w:p>
            <w:pPr>
              <w:spacing w:after="0"/>
            </w:pPr>
            <w:r>
              <w:rPr>
                <w:sz w:val="14"/>
              </w:rPr>
              <w:t>Justice Canada</w:t>
            </w:r>
          </w:p>
        </w:tc>
      </w:tr>
      <w:tr>
        <w:tc>
          <w:tcPr>
            <w:tcW w:type="dxa" w:w="3427"/>
            <w:vAlign w:val="top"/>
          </w:tcPr>
          <w:p>
            <w:pPr>
              <w:spacing w:after="0"/>
            </w:pPr>
            <w:r>
              <w:rPr>
                <w:sz w:val="14"/>
              </w:rPr>
              <w:t>Justice Legal Risk Management</w:t>
            </w:r>
          </w:p>
        </w:tc>
        <w:tc>
          <w:tcPr>
            <w:tcW w:type="dxa" w:w="3427"/>
            <w:vAlign w:val="top"/>
          </w:tcPr>
          <w:p>
            <w:pPr>
              <w:spacing w:after="0"/>
            </w:pPr>
            <w:r>
              <w:rPr>
                <w:sz w:val="14"/>
              </w:rPr>
              <w:t>Detection, avoidance, mitigation and management of legal risk.</w:t>
            </w:r>
          </w:p>
        </w:tc>
        <w:tc>
          <w:tcPr>
            <w:tcW w:type="dxa" w:w="3427"/>
            <w:vAlign w:val="top"/>
          </w:tcPr>
          <w:p>
            <w:pPr>
              <w:spacing w:after="0"/>
            </w:pPr>
            <w:r>
              <w:rPr>
                <w:sz w:val="14"/>
              </w:rPr>
              <w:t>Justice Canada</w:t>
            </w:r>
          </w:p>
        </w:tc>
      </w:tr>
      <w:tr>
        <w:tc>
          <w:tcPr>
            <w:tcW w:type="dxa" w:w="3427"/>
            <w:vAlign w:val="top"/>
          </w:tcPr>
          <w:p>
            <w:pPr>
              <w:spacing w:after="0"/>
            </w:pPr>
            <w:r>
              <w:rPr>
                <w:sz w:val="14"/>
              </w:rPr>
              <w:t>Government of Canada Public Opinion Research guidance</w:t>
            </w:r>
          </w:p>
        </w:tc>
        <w:tc>
          <w:tcPr>
            <w:tcW w:type="dxa" w:w="3427"/>
            <w:vAlign w:val="top"/>
          </w:tcPr>
          <w:p>
            <w:pPr>
              <w:spacing w:after="0"/>
            </w:pPr>
            <w:r>
              <w:rPr>
                <w:sz w:val="14"/>
              </w:rPr>
              <w:t>POR definition, governance, standards, privacy and political-neutrality requirements.</w:t>
            </w:r>
          </w:p>
        </w:tc>
        <w:tc>
          <w:tcPr>
            <w:tcW w:type="dxa" w:w="3427"/>
            <w:vAlign w:val="top"/>
          </w:tcPr>
          <w:p>
            <w:pPr>
              <w:spacing w:after="0"/>
            </w:pPr>
            <w:r>
              <w:rPr>
                <w:sz w:val="14"/>
              </w:rPr>
              <w:t>Treasury Board / PSPC</w:t>
            </w:r>
          </w:p>
        </w:tc>
      </w:tr>
      <w:tr>
        <w:tc>
          <w:tcPr>
            <w:tcW w:type="dxa" w:w="3427"/>
            <w:vAlign w:val="top"/>
          </w:tcPr>
          <w:p>
            <w:pPr>
              <w:spacing w:after="0"/>
            </w:pPr>
            <w:r>
              <w:rPr>
                <w:sz w:val="14"/>
              </w:rPr>
              <w:t>Statistics Canada international merchandise trade tables</w:t>
            </w:r>
          </w:p>
        </w:tc>
        <w:tc>
          <w:tcPr>
            <w:tcW w:type="dxa" w:w="3427"/>
            <w:vAlign w:val="top"/>
          </w:tcPr>
          <w:p>
            <w:pPr>
              <w:spacing w:after="0"/>
            </w:pPr>
            <w:r>
              <w:rPr>
                <w:sz w:val="14"/>
              </w:rPr>
              <w:t>Monthly trade by partner, commodity, industry, origin/destination and transport mode.</w:t>
            </w:r>
          </w:p>
        </w:tc>
        <w:tc>
          <w:tcPr>
            <w:tcW w:type="dxa" w:w="3427"/>
            <w:vAlign w:val="top"/>
          </w:tcPr>
          <w:p>
            <w:pPr>
              <w:spacing w:after="0"/>
            </w:pPr>
            <w:r>
              <w:rPr>
                <w:sz w:val="14"/>
              </w:rPr>
              <w:t>Statistics Canada</w:t>
            </w:r>
          </w:p>
        </w:tc>
      </w:tr>
      <w:tr>
        <w:tc>
          <w:tcPr>
            <w:tcW w:type="dxa" w:w="3427"/>
            <w:vAlign w:val="top"/>
          </w:tcPr>
          <w:p>
            <w:pPr>
              <w:spacing w:after="0"/>
            </w:pPr>
            <w:r>
              <w:rPr>
                <w:sz w:val="14"/>
              </w:rPr>
              <w:t>Statistics Canada release calendar</w:t>
            </w:r>
          </w:p>
        </w:tc>
        <w:tc>
          <w:tcPr>
            <w:tcW w:type="dxa" w:w="3427"/>
            <w:vAlign w:val="top"/>
          </w:tcPr>
          <w:p>
            <w:pPr>
              <w:spacing w:after="0"/>
            </w:pPr>
            <w:r>
              <w:rPr>
                <w:sz w:val="14"/>
              </w:rPr>
              <w:t>Scheduled major economic releases and trade-data refresh points.</w:t>
            </w:r>
          </w:p>
        </w:tc>
        <w:tc>
          <w:tcPr>
            <w:tcW w:type="dxa" w:w="3427"/>
            <w:vAlign w:val="top"/>
          </w:tcPr>
          <w:p>
            <w:pPr>
              <w:spacing w:after="0"/>
            </w:pPr>
            <w:r>
              <w:rPr>
                <w:sz w:val="14"/>
              </w:rPr>
              <w:t>Statistics Canada</w:t>
            </w:r>
          </w:p>
        </w:tc>
      </w:tr>
      <w:tr>
        <w:tc>
          <w:tcPr>
            <w:tcW w:type="dxa" w:w="3427"/>
            <w:vAlign w:val="top"/>
          </w:tcPr>
          <w:p>
            <w:pPr>
              <w:spacing w:after="0"/>
            </w:pPr>
            <w:r>
              <w:rPr>
                <w:sz w:val="14"/>
              </w:rPr>
              <w:t>Bank of Canada Business Outlook Survey</w:t>
            </w:r>
          </w:p>
        </w:tc>
        <w:tc>
          <w:tcPr>
            <w:tcW w:type="dxa" w:w="3427"/>
            <w:vAlign w:val="top"/>
          </w:tcPr>
          <w:p>
            <w:pPr>
              <w:spacing w:after="0"/>
            </w:pPr>
            <w:r>
              <w:rPr>
                <w:sz w:val="14"/>
              </w:rPr>
              <w:t>Structured business sentiment, trade uncertainty, export and investment signals.</w:t>
            </w:r>
          </w:p>
        </w:tc>
        <w:tc>
          <w:tcPr>
            <w:tcW w:type="dxa" w:w="3427"/>
            <w:vAlign w:val="top"/>
          </w:tcPr>
          <w:p>
            <w:pPr>
              <w:spacing w:after="0"/>
            </w:pPr>
            <w:r>
              <w:rPr>
                <w:sz w:val="14"/>
              </w:rPr>
              <w:t>Bank of Canada</w:t>
            </w:r>
          </w:p>
        </w:tc>
      </w:tr>
      <w:tr>
        <w:tc>
          <w:tcPr>
            <w:tcW w:type="dxa" w:w="3427"/>
            <w:vAlign w:val="top"/>
          </w:tcPr>
          <w:p>
            <w:pPr>
              <w:spacing w:after="0"/>
            </w:pPr>
            <w:r>
              <w:rPr>
                <w:sz w:val="14"/>
              </w:rPr>
              <w:t>Federal/departmental legal and privacy authorities</w:t>
            </w:r>
          </w:p>
        </w:tc>
        <w:tc>
          <w:tcPr>
            <w:tcW w:type="dxa" w:w="3427"/>
            <w:vAlign w:val="top"/>
          </w:tcPr>
          <w:p>
            <w:pPr>
              <w:spacing w:after="0"/>
            </w:pPr>
            <w:r>
              <w:rPr>
                <w:sz w:val="14"/>
              </w:rPr>
              <w:t>Must be validated for each information-sharing arrangement.</w:t>
            </w:r>
          </w:p>
        </w:tc>
        <w:tc>
          <w:tcPr>
            <w:tcW w:type="dxa" w:w="3427"/>
            <w:vAlign w:val="top"/>
          </w:tcPr>
          <w:p>
            <w:pPr>
              <w:spacing w:after="0"/>
            </w:pPr>
            <w:r>
              <w:rPr>
                <w:sz w:val="14"/>
              </w:rPr>
              <w:t>Responsible institutions</w:t>
            </w:r>
          </w:p>
        </w:tc>
      </w:tr>
    </w:tbl>
    <w:p>
      <w:pPr>
        <w:pStyle w:val="Heading2"/>
        <w:keepNext/>
        <w:spacing w:before="120" w:after="50"/>
      </w:pPr>
      <w:r>
        <w:t>Validation Note</w:t>
      </w:r>
    </w:p>
    <w:p>
      <w:r>
        <w:rPr>
          <w:b w:val="0"/>
          <w:i w:val="0"/>
        </w:rPr>
        <w:t>This framework is a policy design, not a statement that every proposed governance mechanism currently exists. Before implementation, participating institutions would need to validate authorities, information-sharing arrangements, security classifications, privacy impacts, records management, Cabinet-confidence handling, solicitor-client privilege, procurement/POR rules and departmental mandates.</w:t>
      </w:r>
    </w:p>
    <w:p>
      <w:pPr>
        <w:pStyle w:val="Heading1"/>
        <w:keepNext/>
        <w:spacing w:before="120" w:after="50"/>
      </w:pPr>
      <w:r>
        <w:t>54. Final Doctrine</w:t>
      </w:r>
    </w:p>
    <w:p>
      <w:r>
        <w:rPr>
          <w:b w:val="0"/>
          <w:i w:val="0"/>
        </w:rPr>
        <w:t>Canada does not need a 'spy network' for economic statecraft. It needs something less cinematic and more useful: a disciplined way to know what it knows, know what it does not know, detect meaningful change, challenge its own assumptions, and place the right warning in front of the right decision-maker before the window closes.</w:t>
      </w:r>
    </w:p>
    <w:p>
      <w:r>
        <w:rPr>
          <w:b w:val="0"/>
          <w:i w:val="0"/>
        </w:rPr>
        <w:t>The De-escalation Probability Assessment is the centre of gravity because it forces the system to search for openings as actively as it searches for threats. The escalation-warning architecture supplies preparation time. The Canadian-harm dashboard prevents strategic abstraction from outrunning domestic endurance. The legal, privacy and democratic firewalls keep situational awareness from mutating into surveillance.</w:t>
      </w:r>
    </w:p>
    <w:p>
      <w:pPr>
        <w:pStyle w:val="Heading2"/>
        <w:keepNext/>
        <w:spacing w:before="120" w:after="50"/>
      </w:pPr>
      <w:r>
        <w:t>Five Rules to Remember</w:t>
      </w:r>
    </w:p>
    <w:p>
      <w:pPr>
        <w:pStyle w:val="ListBullet"/>
        <w:spacing w:after="40"/>
      </w:pPr>
      <w:r>
        <w:t>Secret information is not automatically better information.</w:t>
      </w:r>
    </w:p>
    <w:p>
      <w:pPr>
        <w:pStyle w:val="ListBullet"/>
        <w:spacing w:after="40"/>
      </w:pPr>
      <w:r>
        <w:t>A warning is a call to prepare, not a command to retaliate.</w:t>
      </w:r>
    </w:p>
    <w:p>
      <w:pPr>
        <w:pStyle w:val="ListBullet"/>
        <w:spacing w:after="40"/>
      </w:pPr>
      <w:r>
        <w:t>A friendly statement is not a concession until behaviour changes.</w:t>
      </w:r>
    </w:p>
    <w:p>
      <w:pPr>
        <w:pStyle w:val="ListBullet"/>
        <w:spacing w:after="40"/>
      </w:pPr>
      <w:r>
        <w:t>Public opinion is context, not a target.</w:t>
      </w:r>
    </w:p>
    <w:p>
      <w:pPr>
        <w:pStyle w:val="ListBullet"/>
        <w:spacing w:after="40"/>
      </w:pPr>
      <w:r>
        <w:t>The best early-warning system helps Canada recognize the moment it can safely stop escalating.</w:t>
      </w:r>
    </w:p>
    <w:p>
      <w:pPr>
        <w:spacing w:before="500"/>
        <w:jc w:val="center"/>
      </w:pPr>
      <w:r>
        <w:rPr>
          <w:b/>
          <w:sz w:val="26"/>
        </w:rPr>
        <w:t>See early. Think clearly. Warn lawfully. Keep the off-ramp visible.</w:t>
      </w:r>
    </w:p>
    <w:sectPr w:rsidR="00FC693F" w:rsidRPr="0006063C" w:rsidSect="00034616">
      <w:headerReference w:type="default" r:id="rId9"/>
      <w:footerReference w:type="default" r:id="rId10"/>
      <w:pgSz w:w="12240" w:h="15840"/>
      <w:pgMar w:top="821" w:right="979" w:bottom="82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3"/>
      </w:rPr>
      <w:t xml:space="preserve">Version 1.0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3"/>
      </w:rPr>
      <w:t>ECONOMIC STATECRAFT SITUATIONAL AWARENESS AND EARLY-WARNING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0"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0" w:after="0" w:line="240" w:lineRule="auto"/>
      <w:ind w:left="0" w:firstLine="0"/>
      <w:tabs>
        <w:tab w:val="right" w:leader="dot" w:pos="10150"/>
      </w:tabs>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