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400"/>
        <w:jc w:val="center"/>
      </w:pPr>
      <w:r>
        <w:rPr>
          <w:rFonts w:ascii="Calibri" w:cs="Calibri" w:eastAsia="SimHei" w:hAnsi="Calibri"/>
        </w:rPr>
        <w:t xml:space="preserve"/>
      </w:r>
    </w:p>
    <w:p>
      <w:pPr>
        <w:spacing w:after="300" w:line="640"/>
        <w:jc w:val="center"/>
      </w:pPr>
      <w:r>
        <w:rPr>
          <w:rFonts w:ascii="Calibri" w:cs="Calibri" w:eastAsia="SimHei" w:hAnsi="Calibri"/>
          <w:b/>
          <w:bCs/>
          <w:color w:val="0B2E6B"/>
          <w:spacing w:val="50"/>
          <w:sz w:val="52"/>
          <w:szCs w:val="52"/>
        </w:rPr>
        <w:t xml:space="preserve">FRAMEWORK CONVENTION ON COORDINATED PLASTICS TARIFF MEASURES</w:t>
      </w:r>
    </w:p>
    <w:p>
      <w:pPr>
        <w:spacing w:after="520" w:line="300"/>
        <w:jc w:val="center"/>
      </w:pPr>
      <w:r>
        <w:rPr>
          <w:rFonts w:ascii="Calibri" w:cs="Calibri" w:eastAsia="SimHei" w:hAnsi="Calibri"/>
          <w:i/>
          <w:iCs/>
          <w:color w:val="33589E"/>
          <w:sz w:val="27"/>
          <w:szCs w:val="27"/>
        </w:rPr>
        <w:t xml:space="preserve">A Multilateral Treaty for a Coordinated, Proportionate Tariff Response on United States Plastics Exports</w:t>
      </w:r>
    </w:p>
    <w:p>
      <w:pPr>
        <w:pBdr>
          <w:bottom w:val="single" w:color="0047AB" w:sz="8" w:space="1"/>
        </w:pBdr>
        <w:spacing w:after="520"/>
        <w:ind w:left="2400" w:right="2400"/>
        <w:jc w:val="center"/>
      </w:pPr>
      <w:r>
        <w:rPr>
          <w:rFonts w:ascii="Calibri" w:cs="Calibri" w:eastAsia="SimHei" w:hAnsi="Calibri"/>
        </w:rPr>
        <w:t xml:space="preserve"/>
      </w:r>
    </w:p>
    <w:p>
      <w:pPr>
        <w:spacing w:after="160"/>
        <w:jc w:val="center"/>
      </w:pPr>
      <w:r>
        <w:rPr>
          <w:rFonts w:ascii="Calibri" w:cs="Calibri" w:eastAsia="SimHei" w:hAnsi="Calibri"/>
          <w:color w:val="20242E"/>
          <w:sz w:val="24"/>
          <w:szCs w:val="24"/>
        </w:rPr>
        <w:t xml:space="preserve">Version 1.0  ·  August 2026</w:t>
      </w:r>
    </w:p>
    <w:p>
      <w:pPr>
        <w:spacing w:after="2600"/>
        <w:jc w:val="center"/>
      </w:pPr>
      <w:r>
        <w:rPr>
          <w:rFonts w:ascii="Calibri" w:cs="Calibri" w:eastAsia="SimHei" w:hAnsi="Calibri"/>
          <w:color w:val="33589E"/>
          <w:sz w:val="22"/>
          <w:szCs w:val="22"/>
        </w:rPr>
        <w:t xml:space="preserve">Negotiating Draft for Authorized Participants</w:t>
      </w:r>
    </w:p>
    <w:p>
      <w:pPr>
        <w:spacing w:after="160"/>
        <w:jc w:val="center"/>
      </w:pPr>
      <w:r>
        <w:rPr>
          <w:rFonts w:ascii="Calibri" w:cs="Calibri" w:eastAsia="SimHei" w:hAnsi="Calibri"/>
          <w:i/>
          <w:iCs/>
          <w:color w:val="5B6E8C"/>
          <w:sz w:val="20"/>
          <w:szCs w:val="20"/>
        </w:rPr>
        <w:t xml:space="preserve">Drafted in strict adherence to the Immutable Present-Tense Matrix, with the sovereign operational filter as first among equals</w:t>
      </w:r>
    </w:p>
    <w:p>
      <w:pPr>
        <w:spacing w:after="160"/>
        <w:jc w:val="center"/>
      </w:pPr>
      <w:r>
        <w:rPr>
          <w:rFonts w:ascii="Calibri" w:cs="Calibri" w:eastAsia="SimHei" w:hAnsi="Calibri"/>
          <w:b/>
          <w:bCs/>
          <w:color w:val="0B2E6B"/>
          <w:sz w:val="22"/>
          <w:szCs w:val="22"/>
        </w:rPr>
        <w:t xml:space="preserve">Lead Nation and Depositary: Canada</w:t>
      </w:r>
    </w:p>
    <w:p>
      <w:pPr>
        <w:spacing w:after="160"/>
        <w:jc w:val="center"/>
      </w:pPr>
      <w:r>
        <w:rPr>
          <w:rFonts w:ascii="Calibri" w:cs="Calibri" w:eastAsia="SimHei" w:hAnsi="Calibri"/>
          <w:color w:val="33589E"/>
          <w:sz w:val="20"/>
          <w:szCs w:val="20"/>
        </w:rPr>
        <w:t xml:space="preserve">with a defined accession path for every state and customs territory affected by discriminatory tariff measures</w:t>
      </w:r>
    </w:p>
    <w:p>
      <w:pPr>
        <w:spacing w:after="400"/>
        <w:jc w:val="center"/>
      </w:pPr>
      <w:r>
        <w:rPr>
          <w:rFonts w:ascii="Calibri" w:cs="Calibri" w:eastAsia="SimHei" w:hAnsi="Calibri"/>
          <w:color w:val="33589E"/>
          <w:sz w:val="20"/>
          <w:szCs w:val="20"/>
        </w:rPr>
        <w:t xml:space="preserve">Convening Venue: The Ottawa Founding Summit   ·   Standing Secretariat: Ottawa</w:t>
      </w:r>
    </w:p>
    <w:p>
      <w:pPr>
        <w:spacing w:after="0"/>
        <w:jc w:val="center"/>
      </w:pPr>
      <w:r>
        <w:rPr>
          <w:rFonts w:ascii="Calibri" w:cs="Calibri" w:eastAsia="SimHei" w:hAnsi="Calibri"/>
          <w:i/>
          <w:iCs/>
          <w:color w:val="5B6E8C"/>
          <w:sz w:val="19"/>
          <w:szCs w:val="19"/>
        </w:rPr>
        <w:t xml:space="preserve">Alone, we are vulnerable. Together, we are unstoppable.</w:t>
      </w:r>
    </w:p>
    <w:p>
      <w:pPr>
        <w:sectPr>
          <w:pgSz w:w="11906" w:h="16838" w:orient="portrait"/>
          <w:pgMar w:top="1134" w:right="1134" w:bottom="1134" w:left="1134" w:header="708" w:footer="708" w:gutter="0"/>
          <w:pgBorders>
            <w:top w:val="single" w:color="0047AB" w:sz="12" w:space="24"/>
            <w:left w:val="single" w:color="0047AB" w:sz="12" w:space="24"/>
            <w:bottom w:val="single" w:color="0047AB" w:sz="12" w:space="24"/>
            <w:right w:val="single" w:color="0047AB" w:sz="12" w:space="24"/>
          </w:pgBorders>
          <w:pgNumType/>
          <w:docGrid w:linePitch="360"/>
        </w:sectPr>
      </w:pPr>
    </w:p>
    <w:p>
      <w:pPr>
        <w:keepNext/>
        <w:spacing w:after="360" w:before="240"/>
      </w:pPr>
      <w:r>
        <w:rPr>
          <w:rFonts w:ascii="Calibri" w:cs="Calibri" w:eastAsia="SimHei" w:hAnsi="Calibri"/>
          <w:b/>
          <w:bCs/>
          <w:color w:val="0B2E6B"/>
          <w:spacing w:val="12"/>
          <w:sz w:val="32"/>
          <w:szCs w:val="32"/>
        </w:rPr>
        <w:t xml:space="preserve">TABLE OF CONTENTS</w:t>
      </w:r>
    </w:p>
    <w:p xmlns:w="http://schemas.openxmlformats.org/wordprocessingml/2006/main">
      <w:pPr>
        <w:pStyle w:val="TOC1"/>
        <w:tabs>
          <w:tab w:val="right" w:leader="dot" w:pos="9200"/>
        </w:tabs>
        <w:ind w:left="0"/>
      </w:pPr>
      <w:r>
        <w:fldChar w:fldCharType="begin" w:dirty="true"/>
      </w:r>
      <w:r>
        <w:instrText xml:space="preserve"> TOC \o "1-2" \h \z \u </w:instrText>
      </w:r>
      <w:r>
        <w:fldChar w:fldCharType="separate"/>
      </w:r>
      <w:r>
        <w:t>Document Control</w:t>
      </w:r>
      <w:r>
        <w:tab/>
      </w:r>
      <w:r>
        <w:t>4</w:t>
      </w:r>
    </w:p>
    <w:p xmlns:w="http://schemas.openxmlformats.org/wordprocessingml/2006/main">
      <w:pPr>
        <w:pStyle w:val="TOC1"/>
        <w:tabs>
          <w:tab w:val="right" w:leader="dot" w:pos="9200"/>
        </w:tabs>
        <w:ind w:left="0"/>
      </w:pPr>
      <w:r>
        <w:t>The Cobalt Declaration of Principles</w:t>
      </w:r>
      <w:r>
        <w:tab/>
      </w:r>
      <w:r>
        <w:t>6</w:t>
      </w:r>
    </w:p>
    <w:p xmlns:w="http://schemas.openxmlformats.org/wordprocessingml/2006/main">
      <w:pPr>
        <w:pStyle w:val="TOC1"/>
        <w:tabs>
          <w:tab w:val="right" w:leader="dot" w:pos="9200"/>
        </w:tabs>
        <w:ind w:left="0"/>
      </w:pPr>
      <w:r>
        <w:t>Preamble: The Moment of the Tariff Shock</w:t>
      </w:r>
      <w:r>
        <w:tab/>
      </w:r>
      <w:r>
        <w:t>7</w:t>
      </w:r>
    </w:p>
    <w:p xmlns:w="http://schemas.openxmlformats.org/wordprocessingml/2006/main">
      <w:pPr>
        <w:pStyle w:val="TOC1"/>
        <w:tabs>
          <w:tab w:val="right" w:leader="dot" w:pos="9200"/>
        </w:tabs>
        <w:ind w:left="0"/>
      </w:pPr>
      <w:r>
        <w:t>Part I: Foundations</w:t>
      </w:r>
      <w:r>
        <w:tab/>
      </w:r>
      <w:r>
        <w:t>8</w:t>
      </w:r>
    </w:p>
    <w:p xmlns:w="http://schemas.openxmlformats.org/wordprocessingml/2006/main">
      <w:pPr>
        <w:pStyle w:val="TOC2"/>
        <w:tabs>
          <w:tab w:val="right" w:leader="dot" w:pos="9200"/>
        </w:tabs>
        <w:ind w:left="360"/>
      </w:pPr>
      <w:r>
        <w:t>Article 1: Establishment, Name, and Purpose</w:t>
      </w:r>
      <w:r>
        <w:tab/>
      </w:r>
      <w:r>
        <w:t>8</w:t>
      </w:r>
    </w:p>
    <w:p xmlns:w="http://schemas.openxmlformats.org/wordprocessingml/2006/main">
      <w:pPr>
        <w:pStyle w:val="TOC2"/>
        <w:tabs>
          <w:tab w:val="right" w:leader="dot" w:pos="9200"/>
        </w:tabs>
        <w:ind w:left="360"/>
      </w:pPr>
      <w:r>
        <w:t>Article 2: Strategic Rationale</w:t>
      </w:r>
      <w:r>
        <w:tab/>
      </w:r>
      <w:r>
        <w:t>8</w:t>
      </w:r>
    </w:p>
    <w:p xmlns:w="http://schemas.openxmlformats.org/wordprocessingml/2006/main">
      <w:pPr>
        <w:pStyle w:val="TOC2"/>
        <w:tabs>
          <w:tab w:val="right" w:leader="dot" w:pos="9200"/>
        </w:tabs>
        <w:ind w:left="360"/>
      </w:pPr>
      <w:r>
        <w:t>Article 3: Definitions and Interpretation</w:t>
      </w:r>
      <w:r>
        <w:tab/>
      </w:r>
      <w:r>
        <w:t>10</w:t>
      </w:r>
    </w:p>
    <w:p xmlns:w="http://schemas.openxmlformats.org/wordprocessingml/2006/main">
      <w:pPr>
        <w:pStyle w:val="TOC2"/>
        <w:tabs>
          <w:tab w:val="right" w:leader="dot" w:pos="9200"/>
        </w:tabs>
        <w:ind w:left="360"/>
      </w:pPr>
      <w:r>
        <w:t>Article 4: Core Operating Principles</w:t>
      </w:r>
      <w:r>
        <w:tab/>
      </w:r>
      <w:r>
        <w:t>10</w:t>
      </w:r>
    </w:p>
    <w:p xmlns:w="http://schemas.openxmlformats.org/wordprocessingml/2006/main">
      <w:pPr>
        <w:pStyle w:val="TOC1"/>
        <w:tabs>
          <w:tab w:val="right" w:leader="dot" w:pos="9200"/>
        </w:tabs>
        <w:ind w:left="0"/>
      </w:pPr>
      <w:r>
        <w:t>Part II: The Coordinated Tariff Regime</w:t>
      </w:r>
      <w:r>
        <w:tab/>
      </w:r>
      <w:r>
        <w:t>12</w:t>
      </w:r>
    </w:p>
    <w:p xmlns:w="http://schemas.openxmlformats.org/wordprocessingml/2006/main">
      <w:pPr>
        <w:pStyle w:val="TOC2"/>
        <w:tabs>
          <w:tab w:val="right" w:leader="dot" w:pos="9200"/>
        </w:tabs>
        <w:ind w:left="360"/>
      </w:pPr>
      <w:r>
        <w:t>Article 5: Core Tariff Rate and Product Coverage</w:t>
      </w:r>
      <w:r>
        <w:tab/>
      </w:r>
      <w:r>
        <w:t>12</w:t>
      </w:r>
    </w:p>
    <w:p xmlns:w="http://schemas.openxmlformats.org/wordprocessingml/2006/main">
      <w:pPr>
        <w:pStyle w:val="TOC2"/>
        <w:tabs>
          <w:tab w:val="right" w:leader="dot" w:pos="9200"/>
        </w:tabs>
        <w:ind w:left="360"/>
      </w:pPr>
      <w:r>
        <w:t>Article 6: Exemptions and Safeguards</w:t>
      </w:r>
      <w:r>
        <w:tab/>
      </w:r>
      <w:r>
        <w:t>13</w:t>
      </w:r>
    </w:p>
    <w:p xmlns:w="http://schemas.openxmlformats.org/wordprocessingml/2006/main">
      <w:pPr>
        <w:pStyle w:val="TOC2"/>
        <w:tabs>
          <w:tab w:val="right" w:leader="dot" w:pos="9200"/>
        </w:tabs>
        <w:ind w:left="360"/>
      </w:pPr>
      <w:r>
        <w:t>Article 7: Synchronization, Effective Date, and Implementation Timeline</w:t>
      </w:r>
      <w:r>
        <w:tab/>
      </w:r>
      <w:r>
        <w:t>13</w:t>
      </w:r>
    </w:p>
    <w:p xmlns:w="http://schemas.openxmlformats.org/wordprocessingml/2006/main">
      <w:pPr>
        <w:pStyle w:val="TOC2"/>
        <w:tabs>
          <w:tab w:val="right" w:leader="dot" w:pos="9200"/>
        </w:tabs>
        <w:ind w:left="360"/>
      </w:pPr>
      <w:r>
        <w:t>Article 8: Customs Administration and Origin Verification</w:t>
      </w:r>
      <w:r>
        <w:tab/>
      </w:r>
      <w:r>
        <w:t>14</w:t>
      </w:r>
    </w:p>
    <w:p xmlns:w="http://schemas.openxmlformats.org/wordprocessingml/2006/main">
      <w:pPr>
        <w:pStyle w:val="TOC1"/>
        <w:tabs>
          <w:tab w:val="right" w:leader="dot" w:pos="9200"/>
        </w:tabs>
        <w:ind w:left="0"/>
      </w:pPr>
      <w:r>
        <w:t>Part III: Membership and Institutional Architecture</w:t>
      </w:r>
      <w:r>
        <w:tab/>
      </w:r>
      <w:r>
        <w:t>16</w:t>
      </w:r>
    </w:p>
    <w:p xmlns:w="http://schemas.openxmlformats.org/wordprocessingml/2006/main">
      <w:pPr>
        <w:pStyle w:val="TOC2"/>
        <w:tabs>
          <w:tab w:val="right" w:leader="dot" w:pos="9200"/>
        </w:tabs>
        <w:ind w:left="360"/>
      </w:pPr>
      <w:r>
        <w:t>Article 9: Membership, Accession, and the Tiered Engagement Map</w:t>
      </w:r>
      <w:r>
        <w:tab/>
      </w:r>
      <w:r>
        <w:t>16</w:t>
      </w:r>
    </w:p>
    <w:p xmlns:w="http://schemas.openxmlformats.org/wordprocessingml/2006/main">
      <w:pPr>
        <w:pStyle w:val="TOC2"/>
        <w:tabs>
          <w:tab w:val="right" w:leader="dot" w:pos="9200"/>
        </w:tabs>
        <w:ind w:left="360"/>
      </w:pPr>
      <w:r>
        <w:t>Article 10: The Coalition Council</w:t>
      </w:r>
      <w:r>
        <w:tab/>
      </w:r>
      <w:r>
        <w:t>17</w:t>
      </w:r>
    </w:p>
    <w:p xmlns:w="http://schemas.openxmlformats.org/wordprocessingml/2006/main">
      <w:pPr>
        <w:pStyle w:val="TOC2"/>
        <w:tabs>
          <w:tab w:val="right" w:leader="dot" w:pos="9200"/>
        </w:tabs>
        <w:ind w:left="360"/>
      </w:pPr>
      <w:r>
        <w:t>Article 11: The Steering Committee</w:t>
      </w:r>
      <w:r>
        <w:tab/>
      </w:r>
      <w:r>
        <w:t>18</w:t>
      </w:r>
    </w:p>
    <w:p xmlns:w="http://schemas.openxmlformats.org/wordprocessingml/2006/main">
      <w:pPr>
        <w:pStyle w:val="TOC2"/>
        <w:tabs>
          <w:tab w:val="right" w:leader="dot" w:pos="9200"/>
        </w:tabs>
        <w:ind w:left="360"/>
      </w:pPr>
      <w:r>
        <w:t>Article 12: The Technical Working Groups</w:t>
      </w:r>
      <w:r>
        <w:tab/>
      </w:r>
      <w:r>
        <w:t>18</w:t>
      </w:r>
    </w:p>
    <w:p xmlns:w="http://schemas.openxmlformats.org/wordprocessingml/2006/main">
      <w:pPr>
        <w:pStyle w:val="TOC2"/>
        <w:tabs>
          <w:tab w:val="right" w:leader="dot" w:pos="9200"/>
        </w:tabs>
        <w:ind w:left="360"/>
      </w:pPr>
      <w:r>
        <w:t>Article 13: The Depositary and the Standing Secretariat</w:t>
      </w:r>
      <w:r>
        <w:tab/>
      </w:r>
      <w:r>
        <w:t>19</w:t>
      </w:r>
    </w:p>
    <w:p xmlns:w="http://schemas.openxmlformats.org/wordprocessingml/2006/main">
      <w:pPr>
        <w:pStyle w:val="TOC1"/>
        <w:tabs>
          <w:tab w:val="right" w:leader="dot" w:pos="9200"/>
        </w:tabs>
        <w:ind w:left="0"/>
      </w:pPr>
      <w:r>
        <w:t>Part IV: The Canada Outreach Plan</w:t>
      </w:r>
      <w:r>
        <w:tab/>
      </w:r>
      <w:r>
        <w:t>20</w:t>
      </w:r>
    </w:p>
    <w:p xmlns:w="http://schemas.openxmlformats.org/wordprocessingml/2006/main">
      <w:pPr>
        <w:pStyle w:val="TOC2"/>
        <w:tabs>
          <w:tab w:val="right" w:leader="dot" w:pos="9200"/>
        </w:tabs>
        <w:ind w:left="360"/>
      </w:pPr>
      <w:r>
        <w:t>Article 14: The Lead Nation Mandate</w:t>
      </w:r>
      <w:r>
        <w:tab/>
      </w:r>
      <w:r>
        <w:t>20</w:t>
      </w:r>
    </w:p>
    <w:p xmlns:w="http://schemas.openxmlformats.org/wordprocessingml/2006/main">
      <w:pPr>
        <w:pStyle w:val="TOC2"/>
        <w:tabs>
          <w:tab w:val="right" w:leader="dot" w:pos="9200"/>
        </w:tabs>
        <w:ind w:left="360"/>
      </w:pPr>
      <w:r>
        <w:t>Article 15: The Bilateral Outreach Phase</w:t>
      </w:r>
      <w:r>
        <w:tab/>
      </w:r>
      <w:r>
        <w:t>20</w:t>
      </w:r>
    </w:p>
    <w:p xmlns:w="http://schemas.openxmlformats.org/wordprocessingml/2006/main">
      <w:pPr>
        <w:pStyle w:val="TOC2"/>
        <w:tabs>
          <w:tab w:val="right" w:leader="dot" w:pos="9200"/>
        </w:tabs>
        <w:ind w:left="360"/>
      </w:pPr>
      <w:r>
        <w:t>Article 16: The Multilateral Convening Phase and the Founding Summit</w:t>
      </w:r>
      <w:r>
        <w:tab/>
      </w:r>
      <w:r>
        <w:t>21</w:t>
      </w:r>
    </w:p>
    <w:p xmlns:w="http://schemas.openxmlformats.org/wordprocessingml/2006/main">
      <w:pPr>
        <w:pStyle w:val="TOC2"/>
        <w:tabs>
          <w:tab w:val="right" w:leader="dot" w:pos="9200"/>
        </w:tabs>
        <w:ind w:left="360"/>
      </w:pPr>
      <w:r>
        <w:t>Article 17: The Outreach Messaging Doctrine</w:t>
      </w:r>
      <w:r>
        <w:tab/>
      </w:r>
      <w:r>
        <w:t>22</w:t>
      </w:r>
    </w:p>
    <w:p xmlns:w="http://schemas.openxmlformats.org/wordprocessingml/2006/main">
      <w:pPr>
        <w:pStyle w:val="TOC2"/>
        <w:tabs>
          <w:tab w:val="right" w:leader="dot" w:pos="9200"/>
        </w:tabs>
        <w:ind w:left="360"/>
      </w:pPr>
      <w:r>
        <w:t>Article 18: Overcoming the Collective Action Problem</w:t>
      </w:r>
      <w:r>
        <w:tab/>
      </w:r>
      <w:r>
        <w:t>22</w:t>
      </w:r>
    </w:p>
    <w:p xmlns:w="http://schemas.openxmlformats.org/wordprocessingml/2006/main">
      <w:pPr>
        <w:pStyle w:val="TOC1"/>
        <w:tabs>
          <w:tab w:val="right" w:leader="dot" w:pos="9200"/>
        </w:tabs>
        <w:ind w:left="0"/>
      </w:pPr>
      <w:r>
        <w:t>Part V: Coalition Discipline and Non-Defection</w:t>
      </w:r>
      <w:r>
        <w:tab/>
      </w:r>
      <w:r>
        <w:t>24</w:t>
      </w:r>
    </w:p>
    <w:p xmlns:w="http://schemas.openxmlformats.org/wordprocessingml/2006/main">
      <w:pPr>
        <w:pStyle w:val="TOC2"/>
        <w:tabs>
          <w:tab w:val="right" w:leader="dot" w:pos="9200"/>
        </w:tabs>
        <w:ind w:left="360"/>
      </w:pPr>
      <w:r>
        <w:t>Article 19: The Non-Defection Architecture</w:t>
      </w:r>
      <w:r>
        <w:tab/>
      </w:r>
      <w:r>
        <w:t>24</w:t>
      </w:r>
    </w:p>
    <w:p xmlns:w="http://schemas.openxmlformats.org/wordprocessingml/2006/main">
      <w:pPr>
        <w:pStyle w:val="TOC2"/>
        <w:tabs>
          <w:tab w:val="right" w:leader="dot" w:pos="9200"/>
        </w:tabs>
        <w:ind w:left="360"/>
      </w:pPr>
      <w:r>
        <w:t>Article 20: The No Side Deals Transparency Mechanism</w:t>
      </w:r>
      <w:r>
        <w:tab/>
      </w:r>
      <w:r>
        <w:t>24</w:t>
      </w:r>
    </w:p>
    <w:p xmlns:w="http://schemas.openxmlformats.org/wordprocessingml/2006/main">
      <w:pPr>
        <w:pStyle w:val="TOC2"/>
        <w:tabs>
          <w:tab w:val="right" w:leader="dot" w:pos="9200"/>
        </w:tabs>
        <w:ind w:left="360"/>
      </w:pPr>
      <w:r>
        <w:t>Article 21: The Minimum Tariff Floor and the Commitment Window</w:t>
      </w:r>
      <w:r>
        <w:tab/>
      </w:r>
      <w:r>
        <w:t>24</w:t>
      </w:r>
    </w:p>
    <w:p xmlns:w="http://schemas.openxmlformats.org/wordprocessingml/2006/main">
      <w:pPr>
        <w:pStyle w:val="TOC2"/>
        <w:tabs>
          <w:tab w:val="right" w:leader="dot" w:pos="9200"/>
        </w:tabs>
        <w:ind w:left="360"/>
      </w:pPr>
      <w:r>
        <w:t>Article 22: Consequences of Defection</w:t>
      </w:r>
      <w:r>
        <w:tab/>
      </w:r>
      <w:r>
        <w:t>25</w:t>
      </w:r>
    </w:p>
    <w:p xmlns:w="http://schemas.openxmlformats.org/wordprocessingml/2006/main">
      <w:pPr>
        <w:pStyle w:val="TOC1"/>
        <w:tabs>
          <w:tab w:val="right" w:leader="dot" w:pos="9200"/>
        </w:tabs>
        <w:ind w:left="0"/>
      </w:pPr>
      <w:r>
        <w:t>Part VI: Solidarity and Stabilization</w:t>
      </w:r>
      <w:r>
        <w:tab/>
      </w:r>
      <w:r>
        <w:t>26</w:t>
      </w:r>
    </w:p>
    <w:p xmlns:w="http://schemas.openxmlformats.org/wordprocessingml/2006/main">
      <w:pPr>
        <w:pStyle w:val="TOC2"/>
        <w:tabs>
          <w:tab w:val="right" w:leader="dot" w:pos="9200"/>
        </w:tabs>
        <w:ind w:left="360"/>
      </w:pPr>
      <w:r>
        <w:t>Article 23: Mutual Market Access Guarantees</w:t>
      </w:r>
      <w:r>
        <w:tab/>
      </w:r>
      <w:r>
        <w:t>26</w:t>
      </w:r>
    </w:p>
    <w:p xmlns:w="http://schemas.openxmlformats.org/wordprocessingml/2006/main">
      <w:pPr>
        <w:pStyle w:val="TOC2"/>
        <w:tabs>
          <w:tab w:val="right" w:leader="dot" w:pos="9200"/>
        </w:tabs>
        <w:ind w:left="360"/>
      </w:pPr>
      <w:r>
        <w:t>Article 24: The Emergency Stabilization Facility</w:t>
      </w:r>
      <w:r>
        <w:tab/>
      </w:r>
      <w:r>
        <w:t>26</w:t>
      </w:r>
    </w:p>
    <w:p xmlns:w="http://schemas.openxmlformats.org/wordprocessingml/2006/main">
      <w:pPr>
        <w:pStyle w:val="TOC2"/>
        <w:tabs>
          <w:tab w:val="right" w:leader="dot" w:pos="9200"/>
        </w:tabs>
        <w:ind w:left="360"/>
      </w:pPr>
      <w:r>
        <w:t>Article 25: Supply Chain Rewiring and Diversification Guarantees</w:t>
      </w:r>
      <w:r>
        <w:tab/>
      </w:r>
      <w:r>
        <w:t>27</w:t>
      </w:r>
    </w:p>
    <w:p xmlns:w="http://schemas.openxmlformats.org/wordprocessingml/2006/main">
      <w:pPr>
        <w:pStyle w:val="TOC2"/>
        <w:tabs>
          <w:tab w:val="right" w:leader="dot" w:pos="9200"/>
        </w:tabs>
        <w:ind w:left="360"/>
      </w:pPr>
      <w:r>
        <w:t>Article 26: The Agricultural Protection Protocol</w:t>
      </w:r>
      <w:r>
        <w:tab/>
      </w:r>
      <w:r>
        <w:t>27</w:t>
      </w:r>
    </w:p>
    <w:p xmlns:w="http://schemas.openxmlformats.org/wordprocessingml/2006/main">
      <w:pPr>
        <w:pStyle w:val="TOC2"/>
        <w:tabs>
          <w:tab w:val="right" w:leader="dot" w:pos="9200"/>
        </w:tabs>
        <w:ind w:left="360"/>
      </w:pPr>
      <w:r>
        <w:t>Article 27: Legal Shielding for Domestic Firms</w:t>
      </w:r>
      <w:r>
        <w:tab/>
      </w:r>
      <w:r>
        <w:t>28</w:t>
      </w:r>
    </w:p>
    <w:p xmlns:w="http://schemas.openxmlformats.org/wordprocessingml/2006/main">
      <w:pPr>
        <w:pStyle w:val="TOC1"/>
        <w:tabs>
          <w:tab w:val="right" w:leader="dot" w:pos="9200"/>
        </w:tabs>
        <w:ind w:left="0"/>
      </w:pPr>
      <w:r>
        <w:t>Part VII: Legal Strategy and the WTO Track</w:t>
      </w:r>
      <w:r>
        <w:tab/>
      </w:r>
      <w:r>
        <w:t>29</w:t>
      </w:r>
    </w:p>
    <w:p xmlns:w="http://schemas.openxmlformats.org/wordprocessingml/2006/main">
      <w:pPr>
        <w:pStyle w:val="TOC2"/>
        <w:tabs>
          <w:tab w:val="right" w:leader="dot" w:pos="9200"/>
        </w:tabs>
        <w:ind w:left="360"/>
      </w:pPr>
      <w:r>
        <w:t>Article 28: Joint and Parallel Dispute Filings</w:t>
      </w:r>
      <w:r>
        <w:tab/>
      </w:r>
      <w:r>
        <w:t>29</w:t>
      </w:r>
    </w:p>
    <w:p xmlns:w="http://schemas.openxmlformats.org/wordprocessingml/2006/main">
      <w:pPr>
        <w:pStyle w:val="TOC2"/>
        <w:tabs>
          <w:tab w:val="right" w:leader="dot" w:pos="9200"/>
        </w:tabs>
        <w:ind w:left="360"/>
      </w:pPr>
      <w:r>
        <w:t>Article 29: The Unified Legal Argument</w:t>
      </w:r>
      <w:r>
        <w:tab/>
      </w:r>
      <w:r>
        <w:t>29</w:t>
      </w:r>
    </w:p>
    <w:p xmlns:w="http://schemas.openxmlformats.org/wordprocessingml/2006/main">
      <w:pPr>
        <w:pStyle w:val="TOC2"/>
        <w:tabs>
          <w:tab w:val="right" w:leader="dot" w:pos="9200"/>
        </w:tabs>
        <w:ind w:left="360"/>
      </w:pPr>
      <w:r>
        <w:t>Article 30: Alternative Legal Pathways</w:t>
      </w:r>
      <w:r>
        <w:tab/>
      </w:r>
      <w:r>
        <w:t>30</w:t>
      </w:r>
    </w:p>
    <w:p xmlns:w="http://schemas.openxmlformats.org/wordprocessingml/2006/main">
      <w:pPr>
        <w:pStyle w:val="TOC2"/>
        <w:tabs>
          <w:tab w:val="right" w:leader="dot" w:pos="9200"/>
        </w:tabs>
        <w:ind w:left="360"/>
      </w:pPr>
      <w:r>
        <w:t>Article 31: Domestic Legal Lock-In</w:t>
      </w:r>
      <w:r>
        <w:tab/>
      </w:r>
      <w:r>
        <w:t>30</w:t>
      </w:r>
    </w:p>
    <w:p xmlns:w="http://schemas.openxmlformats.org/wordprocessingml/2006/main">
      <w:pPr>
        <w:pStyle w:val="TOC1"/>
        <w:tabs>
          <w:tab w:val="right" w:leader="dot" w:pos="9200"/>
        </w:tabs>
        <w:ind w:left="0"/>
      </w:pPr>
      <w:r>
        <w:t>Part VIII: Communications and Political Resilience</w:t>
      </w:r>
      <w:r>
        <w:tab/>
      </w:r>
      <w:r>
        <w:t>32</w:t>
      </w:r>
    </w:p>
    <w:p xmlns:w="http://schemas.openxmlformats.org/wordprocessingml/2006/main">
      <w:pPr>
        <w:pStyle w:val="TOC2"/>
        <w:tabs>
          <w:tab w:val="right" w:leader="dot" w:pos="9200"/>
        </w:tabs>
        <w:ind w:left="360"/>
      </w:pPr>
      <w:r>
        <w:t>Article 32: The Internal Secure Communications Channel</w:t>
      </w:r>
      <w:r>
        <w:tab/>
      </w:r>
      <w:r>
        <w:t>32</w:t>
      </w:r>
    </w:p>
    <w:p xmlns:w="http://schemas.openxmlformats.org/wordprocessingml/2006/main">
      <w:pPr>
        <w:pStyle w:val="TOC2"/>
        <w:tabs>
          <w:tab w:val="right" w:leader="dot" w:pos="9200"/>
        </w:tabs>
        <w:ind w:left="360"/>
      </w:pPr>
      <w:r>
        <w:t>Article 33: The External Unified Narrative</w:t>
      </w:r>
      <w:r>
        <w:tab/>
      </w:r>
      <w:r>
        <w:t>32</w:t>
      </w:r>
    </w:p>
    <w:p xmlns:w="http://schemas.openxmlformats.org/wordprocessingml/2006/main">
      <w:pPr>
        <w:pStyle w:val="TOC2"/>
        <w:tabs>
          <w:tab w:val="right" w:leader="dot" w:pos="9200"/>
        </w:tabs>
        <w:ind w:left="360"/>
      </w:pPr>
      <w:r>
        <w:t>Article 34: Domestic Shielding and Public Opinion Management</w:t>
      </w:r>
      <w:r>
        <w:tab/>
      </w:r>
      <w:r>
        <w:t>33</w:t>
      </w:r>
    </w:p>
    <w:p xmlns:w="http://schemas.openxmlformats.org/wordprocessingml/2006/main">
      <w:pPr>
        <w:pStyle w:val="TOC2"/>
        <w:tabs>
          <w:tab w:val="right" w:leader="dot" w:pos="9200"/>
        </w:tabs>
        <w:ind w:left="360"/>
      </w:pPr>
      <w:r>
        <w:t>Article 35: Intelligence Sharing and the Shadow Negotiation Team</w:t>
      </w:r>
      <w:r>
        <w:tab/>
      </w:r>
      <w:r>
        <w:t>33</w:t>
      </w:r>
    </w:p>
    <w:p xmlns:w="http://schemas.openxmlformats.org/wordprocessingml/2006/main">
      <w:pPr>
        <w:pStyle w:val="TOC1"/>
        <w:tabs>
          <w:tab w:val="right" w:leader="dot" w:pos="9200"/>
        </w:tabs>
        <w:ind w:left="0"/>
      </w:pPr>
      <w:r>
        <w:t>Part IX: Escalation, Deterrence, and Risk Management</w:t>
      </w:r>
      <w:r>
        <w:tab/>
      </w:r>
      <w:r>
        <w:t>35</w:t>
      </w:r>
    </w:p>
    <w:p xmlns:w="http://schemas.openxmlformats.org/wordprocessingml/2006/main">
      <w:pPr>
        <w:pStyle w:val="TOC2"/>
        <w:tabs>
          <w:tab w:val="right" w:leader="dot" w:pos="9200"/>
        </w:tabs>
        <w:ind w:left="360"/>
      </w:pPr>
      <w:r>
        <w:t>Article 36: The Retaliation Ladder</w:t>
      </w:r>
      <w:r>
        <w:tab/>
      </w:r>
      <w:r>
        <w:t>35</w:t>
      </w:r>
    </w:p>
    <w:p xmlns:w="http://schemas.openxmlformats.org/wordprocessingml/2006/main">
      <w:pPr>
        <w:pStyle w:val="TOC2"/>
        <w:tabs>
          <w:tab w:val="right" w:leader="dot" w:pos="9200"/>
        </w:tabs>
        <w:ind w:left="360"/>
      </w:pPr>
      <w:r>
        <w:t>Article 37: Collective Counter-Retaliation</w:t>
      </w:r>
      <w:r>
        <w:tab/>
      </w:r>
      <w:r>
        <w:t>35</w:t>
      </w:r>
    </w:p>
    <w:p xmlns:w="http://schemas.openxmlformats.org/wordprocessingml/2006/main">
      <w:pPr>
        <w:pStyle w:val="TOC2"/>
        <w:tabs>
          <w:tab w:val="right" w:leader="dot" w:pos="9200"/>
        </w:tabs>
        <w:ind w:left="360"/>
      </w:pPr>
      <w:r>
        <w:t>Article 38: The Risk Register and Mitigation Protocols</w:t>
      </w:r>
      <w:r>
        <w:tab/>
      </w:r>
      <w:r>
        <w:t>36</w:t>
      </w:r>
    </w:p>
    <w:p xmlns:w="http://schemas.openxmlformats.org/wordprocessingml/2006/main">
      <w:pPr>
        <w:pStyle w:val="TOC2"/>
        <w:tabs>
          <w:tab w:val="right" w:leader="dot" w:pos="9200"/>
        </w:tabs>
        <w:ind w:left="360"/>
      </w:pPr>
      <w:r>
        <w:t>Article 39: Escalation Deterrence Messaging</w:t>
      </w:r>
      <w:r>
        <w:tab/>
      </w:r>
      <w:r>
        <w:t>36</w:t>
      </w:r>
    </w:p>
    <w:p xmlns:w="http://schemas.openxmlformats.org/wordprocessingml/2006/main">
      <w:pPr>
        <w:pStyle w:val="TOC1"/>
        <w:tabs>
          <w:tab w:val="right" w:leader="dot" w:pos="9200"/>
        </w:tabs>
        <w:ind w:left="0"/>
      </w:pPr>
      <w:r>
        <w:t>Part X: Monitoring, Review, Settlement, and Final Provisions</w:t>
      </w:r>
      <w:r>
        <w:tab/>
      </w:r>
      <w:r>
        <w:t>38</w:t>
      </w:r>
    </w:p>
    <w:p xmlns:w="http://schemas.openxmlformats.org/wordprocessingml/2006/main">
      <w:pPr>
        <w:pStyle w:val="TOC2"/>
        <w:tabs>
          <w:tab w:val="right" w:leader="dot" w:pos="9200"/>
        </w:tabs>
        <w:ind w:left="360"/>
      </w:pPr>
      <w:r>
        <w:t>Article 40: The Success Metrics Dashboard</w:t>
      </w:r>
      <w:r>
        <w:tab/>
      </w:r>
      <w:r>
        <w:t>38</w:t>
      </w:r>
    </w:p>
    <w:p xmlns:w="http://schemas.openxmlformats.org/wordprocessingml/2006/main">
      <w:pPr>
        <w:pStyle w:val="TOC2"/>
        <w:tabs>
          <w:tab w:val="right" w:leader="dot" w:pos="9200"/>
        </w:tabs>
        <w:ind w:left="360"/>
      </w:pPr>
      <w:r>
        <w:t>Article 41: Periodic Review</w:t>
      </w:r>
      <w:r>
        <w:tab/>
      </w:r>
      <w:r>
        <w:t>38</w:t>
      </w:r>
    </w:p>
    <w:p xmlns:w="http://schemas.openxmlformats.org/wordprocessingml/2006/main">
      <w:pPr>
        <w:pStyle w:val="TOC2"/>
        <w:tabs>
          <w:tab w:val="right" w:leader="dot" w:pos="9200"/>
        </w:tabs>
        <w:ind w:left="360"/>
      </w:pPr>
      <w:r>
        <w:t>Article 42: Settlement Conditions and the Coordinated Rollback</w:t>
      </w:r>
      <w:r>
        <w:tab/>
      </w:r>
      <w:r>
        <w:t>39</w:t>
      </w:r>
    </w:p>
    <w:p xmlns:w="http://schemas.openxmlformats.org/wordprocessingml/2006/main">
      <w:pPr>
        <w:pStyle w:val="TOC2"/>
        <w:tabs>
          <w:tab w:val="right" w:leader="dot" w:pos="9200"/>
        </w:tabs>
        <w:ind w:left="360"/>
      </w:pPr>
      <w:r>
        <w:t>Article 43: Amendments, Depositary Functions, and Final Provisions</w:t>
      </w:r>
      <w:r>
        <w:tab/>
      </w:r>
      <w:r>
        <w:t>39</w:t>
      </w:r>
    </w:p>
    <w:p xmlns:w="http://schemas.openxmlformats.org/wordprocessingml/2006/main">
      <w:pPr>
        <w:pStyle w:val="TOC1"/>
        <w:tabs>
          <w:tab w:val="right" w:leader="dot" w:pos="9200"/>
        </w:tabs>
        <w:ind w:left="0"/>
      </w:pPr>
      <w:r>
        <w:t>Annex A: Model Domestic Implementing Provision</w:t>
      </w:r>
      <w:r>
        <w:tab/>
      </w:r>
      <w:r>
        <w:t>41</w:t>
      </w:r>
    </w:p>
    <w:p xmlns:w="http://schemas.openxmlformats.org/wordprocessingml/2006/main">
      <w:pPr>
        <w:pStyle w:val="TOC1"/>
        <w:tabs>
          <w:tab w:val="right" w:leader="dot" w:pos="9200"/>
        </w:tabs>
        <w:ind w:left="0"/>
      </w:pPr>
      <w:r>
        <w:t>Annex B: Agenda and Rules of the Founding Summit</w:t>
      </w:r>
      <w:r>
        <w:tab/>
      </w:r>
      <w:r>
        <w:t>42</w:t>
      </w:r>
    </w:p>
    <w:p xmlns:w="http://schemas.openxmlformats.org/wordprocessingml/2006/main">
      <w:pPr>
        <w:pStyle w:val="TOC1"/>
        <w:tabs>
          <w:tab w:val="right" w:leader="dot" w:pos="9200"/>
        </w:tabs>
        <w:ind w:left="0"/>
      </w:pPr>
      <w:r>
        <w:t>Annex C: Form of the Public Commitment Instrument</w:t>
      </w:r>
      <w:r>
        <w:tab/>
      </w:r>
      <w:r>
        <w:t>43</w:t>
      </w:r>
    </w:p>
    <w:p xmlns:w="http://schemas.openxmlformats.org/wordprocessingml/2006/main">
      <w:pPr>
        <w:pStyle w:val="TOC1"/>
        <w:tabs>
          <w:tab w:val="right" w:leader="dot" w:pos="9200"/>
        </w:tabs>
        <w:ind w:left="0"/>
      </w:pPr>
      <w:r>
        <w:t>Annex D: Consolidated Register of Coalition-Stabilizing Mechanisms</w:t>
      </w:r>
      <w:r>
        <w:tab/>
      </w:r>
      <w:r>
        <w:t>44</w:t>
      </w:r>
    </w:p>
    <w:p xmlns:w="http://schemas.openxmlformats.org/wordprocessingml/2006/main">
      <w:r>
        <w:fldChar w:fldCharType="end"/>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208" w:before="108" w:line="300"/>
      </w:pPr>
      <w:r>
        <w:rPr>
          <w:rFonts w:ascii="Calibri" w:cs="Calibri" w:eastAsia="SimHei" w:hAnsi="Calibri"/>
          <w:b/>
          <w:bCs/>
          <w:color w:val="0B2E6B"/>
          <w:spacing w:val="12"/>
          <w:sz w:val="32"/>
          <w:szCs w:val="32"/>
        </w:rPr>
        <w:t xml:space="preserve">Document Control</w:t>
      </w:r>
    </w:p>
    <w:p>
      <w:pPr>
        <w:spacing w:after="181" w:line="306"/>
        <w:jc w:val="both"/>
      </w:pPr>
      <w:r>
        <w:rPr>
          <w:rFonts w:ascii="Georgia" w:cs="Georgia" w:eastAsia="SimSun" w:hAnsi="Georgia"/>
          <w:color w:val="20242E"/>
          <w:sz w:val="22"/>
          <w:szCs w:val="22"/>
        </w:rPr>
        <w:t xml:space="preserve">This instrument bears the full title Framework Convention on Coordinated Plastics Tariff Measures, and the short title Cobalt Tariff Convention identifies it in diplomatic correspondence, summit communiques, and domestic implementing legislation. Version 1.0 constitutes the negotiating draft that Canada circulates to authorized participants in August 2026. Canada serves as Lead Nation and Depositary of the Convention, and the Standing Secretariat operates from Ottawa under the authority of the Coalition Council. The entire text adheres strictly to the Immutable Present-Tense Matrix, so every clause states a direct operational reality in the active present tense.</w:t>
      </w:r>
    </w:p>
    <w:p>
      <w:pPr>
        <w:spacing w:after="181" w:line="306"/>
        <w:jc w:val="both"/>
      </w:pPr>
      <w:r>
        <w:rPr>
          <w:rFonts w:ascii="Georgia" w:cs="Georgia" w:eastAsia="SimSun" w:hAnsi="Georgia"/>
          <w:color w:val="20242E"/>
          <w:sz w:val="22"/>
          <w:szCs w:val="22"/>
        </w:rPr>
        <w:t xml:space="preserve">The Convention functions as a genuine multilateral treaty rather than a statement of political intent. Each article creates operative obligations, automatic triggers, and institutional mandates that activate on the dates and conditions the text specifies. The Parties negotiate the text through the outreach architecture that Part IV establishes, and signature opens at the Ottawa Founding Summit. Ratification, accession, amendment, and termination follow the final provisions in Article 43. The Depositary maintains the authoritative register of instruments, notifications, and Council decisions.</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2600"/>
        <w:gridCol w:w="6800"/>
      </w:tblGrid>
      <w:tr>
        <w:trPr>
          <w:tblHeader/>
        </w:trPr>
        <w:tc>
          <w:tcPr>
            <w:tcW w:type="dxa" w:w="2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Field</w:t>
            </w:r>
          </w:p>
        </w:tc>
        <w:tc>
          <w:tcPr>
            <w:tcW w:type="dxa" w:w="68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Entry</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Full title</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Framework Convention on Coordinated Plastics Tariff Measures</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Short title</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Cobalt Tariff Convention</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Version</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1.0 (negotiating draft)</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Status</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Open for coalition consultation prior to the Ottawa Founding Summit</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Date of circulation</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August 2026</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Lead Nation</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Canada</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Depositary</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The Government of Canada, acting through Global Affairs Canada</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Working languages</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English and French, with equally authentic texts in the official languages of all Parties</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Review cycle</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Six-month impact reviews and annual strategic reviews under Article 41</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Classification</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Negotiating draft for authorized participants</w:t>
            </w:r>
          </w:p>
        </w:tc>
      </w:tr>
    </w:tbl>
    <w:p>
      <w:pPr>
        <w:spacing w:after="220" w:before="60" w:line="260"/>
        <w:jc w:val="center"/>
      </w:pPr>
      <w:r>
        <w:rPr>
          <w:rFonts w:ascii="Calibri" w:cs="Calibri" w:eastAsia="SimHei" w:hAnsi="Calibri"/>
          <w:i/>
          <w:iCs/>
          <w:color w:val="5B6E8C"/>
          <w:sz w:val="18"/>
          <w:szCs w:val="18"/>
        </w:rPr>
        <w:t xml:space="preserve">Document control register for the Framework Convention on Coordinated Plastics Tariff Measures.</w:t>
      </w:r>
    </w:p>
    <w:p>
      <w:pPr>
        <w:spacing w:after="181" w:line="306"/>
        <w:jc w:val="both"/>
      </w:pPr>
      <w:r>
        <w:rPr>
          <w:rFonts w:ascii="Georgia" w:cs="Georgia" w:eastAsia="SimSun" w:hAnsi="Georgia"/>
          <w:color w:val="20242E"/>
          <w:sz w:val="22"/>
          <w:szCs w:val="22"/>
        </w:rPr>
        <w:t xml:space="preserve">Amendment control operates through the Depositary. Any Party transmits a proposed amendment in writing to the Depositary, and the Depositary circulates the proposal to all Parties within fourteen days of receipt. Adoption of an amendment follows the supermajority rule in Article 43, and entry into force of an amendment follows the acceptance procedure that the same article prescribes. The Depositary records every version change in the control register and issues a new consolidated text after each adopted amendment. No provision of this Convention admits informal modification, side letters, or unilateral interpretive declarations that alter operative obligations.</w:t>
      </w:r>
    </w:p>
    <w:p>
      <w:pPr>
        <w:spacing w:after="181" w:line="306"/>
        <w:jc w:val="both"/>
      </w:pPr>
      <w:r>
        <w:rPr>
          <w:rFonts w:ascii="Georgia" w:cs="Georgia" w:eastAsia="SimSun" w:hAnsi="Georgia"/>
          <w:color w:val="20242E"/>
          <w:sz w:val="22"/>
          <w:szCs w:val="22"/>
        </w:rPr>
        <w:t xml:space="preserve">The Convention text, its annexes, and its consolidated versions remain public documents after entry into force. The transparency posture forms part of the coalition discipline architecture, because public commitments raise the domestic political cost of defection and give legislatures, industries, and electorates a stable reference point. Each Party publishes its instrument of ratification or accession together with its national implementing measure. The Depositary publishes the register of Parties, the current coverage schedules, and the record of Council decisions on a publicly accessible registry. Public visibility thereby becomes an enforcement instrument of the framework itself.</w:t>
      </w:r>
    </w:p>
    <w:p>
      <w:pPr>
        <w:pStyle w:val="Heading1"/>
        <w:keepNext/>
        <w:pageBreakBefore/>
        <w:spacing w:after="208" w:before="108" w:line="300"/>
      </w:pPr>
      <w:r>
        <w:rPr>
          <w:rFonts w:ascii="Calibri" w:cs="Calibri" w:eastAsia="SimHei" w:hAnsi="Calibri"/>
          <w:b/>
          <w:bCs/>
          <w:color w:val="0B2E6B"/>
          <w:spacing w:val="12"/>
          <w:sz w:val="32"/>
          <w:szCs w:val="32"/>
        </w:rPr>
        <w:t xml:space="preserve">The Cobalt Declaration of Principles</w:t>
      </w:r>
    </w:p>
    <w:p>
      <w:pPr>
        <w:spacing w:after="181" w:line="306"/>
        <w:jc w:val="both"/>
      </w:pPr>
      <w:r>
        <w:rPr>
          <w:rFonts w:ascii="Georgia" w:cs="Georgia" w:eastAsia="SimSun" w:hAnsi="Georgia"/>
          <w:color w:val="20242E"/>
          <w:sz w:val="22"/>
          <w:szCs w:val="22"/>
        </w:rPr>
        <w:t xml:space="preserve">The Parties to this Convention declare that the international trading system rests on rules, and that rules survive only when states defend them together. The Parties confront a pattern of discriminatory and unjustified tariff measures imposed by the United States against their exports, and they answer that pattern with a coordinated, proportionate, and lawful response. The Parties choose plastics as the sector of response because the sector concentrates United States export dependence, invites ready substitution, and responds measurably to tariff pressure. The Parties choose coordination because isolated retaliation invites circumvention, while a unified front converts individual vulnerability into collective strength.</w:t>
      </w:r>
    </w:p>
    <w:p>
      <w:pPr>
        <w:spacing w:after="181" w:line="306"/>
        <w:jc w:val="both"/>
      </w:pPr>
      <w:r>
        <w:rPr>
          <w:rFonts w:ascii="Georgia" w:cs="Georgia" w:eastAsia="SimSun" w:hAnsi="Georgia"/>
          <w:color w:val="20242E"/>
          <w:sz w:val="22"/>
          <w:szCs w:val="22"/>
        </w:rPr>
        <w:t xml:space="preserve">The Parties affirm that their measures are defensive in character and proportionate in scale. The coalition responds to measures already imposed upon its members; it does not initiate a trade conflict, and it does not seek one. The uniform rate of 20 percent ad valorem mirrors the level of the measures that coalition members face, and it stays below the threshold at which trade collapses into mutual destruction. The framework architecture excludes punitive ambition, extraterritorial coercion, and any measure unconnected to the restoration of lawful trade. Proportionality operates as a structural property of the Convention, not as a favor that any Party extends to another.</w:t>
      </w:r>
    </w:p>
    <w:p>
      <w:pPr>
        <w:spacing w:after="181" w:line="306"/>
        <w:jc w:val="both"/>
      </w:pPr>
      <w:r>
        <w:rPr>
          <w:rFonts w:ascii="Georgia" w:cs="Georgia" w:eastAsia="SimSun" w:hAnsi="Georgia"/>
          <w:color w:val="20242E"/>
          <w:sz w:val="22"/>
          <w:szCs w:val="22"/>
        </w:rPr>
        <w:t xml:space="preserve">The Parties affirm that unity constitutes the central asset of the coalition. A coalition of fifteen or more states achieves nearly sixty percent of the total global retaliatory impact that the plastics sector makes possible, and no single state acting alone approaches that figure. The framework therefore treats defection prevention as a design problem and answers it with lock-in commitments, transparency obligations, solidarity instruments, and shared benefits. Every member knows in advance what membership costs, what membership delivers, and what departure triggers. Predictability binds the coalition together more durably than exhortation ever does.</w:t>
      </w:r>
    </w:p>
    <w:p>
      <w:pPr>
        <w:spacing w:after="181" w:line="306"/>
        <w:jc w:val="both"/>
      </w:pPr>
      <w:r>
        <w:rPr>
          <w:rFonts w:ascii="Georgia" w:cs="Georgia" w:eastAsia="SimSun" w:hAnsi="Georgia"/>
          <w:color w:val="20242E"/>
          <w:sz w:val="22"/>
          <w:szCs w:val="22"/>
        </w:rPr>
        <w:t xml:space="preserve">The Parties affirm that the door to negotiation stays open at all times. The Convention states its settlement conditions plainly, and the coalition stands ready to suspend and terminate its measures through a synchronized rollback the moment the United States removes its discriminatory tariffs and a negotiated settlement consistent with World Trade Organization rules takes shape. The coalition prefers settlement to escalation, and it structures its escalation ladder to remain predictable, bounded, and reversible. Strength in the service of negotiation, rather than escalation for its own sake, defines the strategic character of this Convention.</w:t>
      </w:r>
    </w:p>
    <w:p>
      <w:pPr>
        <w:spacing w:after="181" w:line="306"/>
        <w:jc w:val="both"/>
      </w:pPr>
      <w:r>
        <w:rPr>
          <w:rFonts w:ascii="Georgia" w:cs="Georgia" w:eastAsia="SimSun" w:hAnsi="Georgia"/>
          <w:color w:val="20242E"/>
          <w:sz w:val="22"/>
          <w:szCs w:val="22"/>
        </w:rPr>
        <w:t xml:space="preserve">The Parties affirm finally that this Convention defends the rules-based trading system itself. Joint legal action at the World Trade Organization, faithful adherence to the procedural disciplines of dispute settlement, and the measured calibration of countermeasures all demonstrate that the coalition acts within the law even when others depart from it. The Parties invite every state and customs territory affected by discriminatory tariff measures to accede to this Convention on equal terms. They undertake these commitments as sovereign equals, bound by a shared architecture rather than by the direction of any single capital. In that spirit they adopt the articles that follow.</w:t>
      </w:r>
    </w:p>
    <w:p>
      <w:pPr>
        <w:pStyle w:val="Heading1"/>
        <w:keepNext/>
        <w:pageBreakBefore/>
        <w:spacing w:after="208" w:before="108" w:line="300"/>
      </w:pPr>
      <w:r>
        <w:rPr>
          <w:rFonts w:ascii="Calibri" w:cs="Calibri" w:eastAsia="SimHei" w:hAnsi="Calibri"/>
          <w:b/>
          <w:bCs/>
          <w:color w:val="0B2E6B"/>
          <w:spacing w:val="12"/>
          <w:sz w:val="32"/>
          <w:szCs w:val="32"/>
        </w:rPr>
        <w:t xml:space="preserve">Preamble: The Moment of the Tariff Shock</w:t>
      </w:r>
    </w:p>
    <w:p>
      <w:pPr>
        <w:spacing w:after="181" w:line="306"/>
        <w:jc w:val="both"/>
      </w:pPr>
      <w:r>
        <w:rPr>
          <w:rFonts w:ascii="Georgia" w:cs="Georgia" w:eastAsia="SimSun" w:hAnsi="Georgia"/>
          <w:color w:val="20242E"/>
          <w:sz w:val="22"/>
          <w:szCs w:val="22"/>
        </w:rPr>
        <w:t xml:space="preserve">The Parties recall that the United States maintains a plastics industry of exceptional scale and exceptional export dependence. Annual United States exports of plastic materials, resins, products, machinery, and molds total approximately 73.6 billion United States dollars, and nearly 47 percent of United States polyethylene production leaves the domestic market for foreign buyers. That dependence concentrates pain when foreign markets close, and it grants importing states unusual leverage when they act together. The Parties take note of the demonstrated sensitivity of the sector, recalling that earlier tariff measures imposed by China drove United States plastics exports down by more than 50 percent in several product categories.</w:t>
      </w:r>
    </w:p>
    <w:p>
      <w:pPr>
        <w:spacing w:after="181" w:line="306"/>
        <w:jc w:val="both"/>
      </w:pPr>
      <w:r>
        <w:rPr>
          <w:rFonts w:ascii="Georgia" w:cs="Georgia" w:eastAsia="SimSun" w:hAnsi="Georgia"/>
          <w:color w:val="20242E"/>
          <w:sz w:val="22"/>
          <w:szCs w:val="22"/>
        </w:rPr>
        <w:t xml:space="preserve">The Parties recall further that plastics trade possesses a commodity character that favors the retaliating coalition. Plastic resins are standardized, fungible, and interchangeable across suppliers, so coalition members source substitutes from Middle Eastern, Asian, and European producers without structural disruption to their own downstream industries. This substitutability minimizes the self-inflicted damage that ordinarily disciplines retaliation, and it converts the tariff into a surgical instrument rather than a blunt one. The Parties design their measures to maximize pressure on United States producers while sparing their own converters, manufacturers, and consumers.</w:t>
      </w:r>
    </w:p>
    <w:p>
      <w:pPr>
        <w:spacing w:after="181" w:line="306"/>
        <w:jc w:val="both"/>
      </w:pPr>
      <w:r>
        <w:rPr>
          <w:rFonts w:ascii="Georgia" w:cs="Georgia" w:eastAsia="SimSun" w:hAnsi="Georgia"/>
          <w:color w:val="20242E"/>
          <w:sz w:val="22"/>
          <w:szCs w:val="22"/>
        </w:rPr>
        <w:t xml:space="preserve">The Parties observe that the United States has imposed tariffs of varying severity across the coalition's membership, including rates of 46 percent on Vietnam, 39 percent on Switzerland, 36 percent on Thailand, 30 percent on South Africa, and 20 percent on Taiwan, alongside the reciprocal measures that Canada, China, the European Union, the United Kingdom, and Brazil already answer. These actions injure every coalition member and undermine the Most Favored Nation discipline at the heart of the multilateral trading order. Each Party brings to this Convention its own grievance, its own legal filing, and its own domestic mandate. The Convention converts those parallel grievances into a single coordinated instrument.</w:t>
      </w:r>
    </w:p>
    <w:p>
      <w:pPr>
        <w:spacing w:after="181" w:line="306"/>
        <w:jc w:val="both"/>
      </w:pPr>
      <w:r>
        <w:rPr>
          <w:rFonts w:ascii="Georgia" w:cs="Georgia" w:eastAsia="SimSun" w:hAnsi="Georgia"/>
          <w:color w:val="20242E"/>
          <w:sz w:val="22"/>
          <w:szCs w:val="22"/>
        </w:rPr>
        <w:t xml:space="preserve">The Parties recognize the collective action problem that confronts every retaliatory coalition. Each member faces the temptation of a separate bilateral arrangement with the United States, and each member knows that early defections cheapen the sacrifice of those who hold firm. The Convention therefore embeds a discipline architecture of public commitments, transparency obligations, solidarity instruments, and time-bound commitment windows. The architecture does not rest on trust; it rests on structure. The Parties accept these disciplines freely, because each discipline that binds one member protects all the others.</w:t>
      </w:r>
    </w:p>
    <w:p>
      <w:pPr>
        <w:spacing w:after="181" w:line="306"/>
        <w:jc w:val="both"/>
      </w:pPr>
      <w:r>
        <w:rPr>
          <w:rFonts w:ascii="Georgia" w:cs="Georgia" w:eastAsia="SimSun" w:hAnsi="Georgia"/>
          <w:color w:val="20242E"/>
          <w:sz w:val="22"/>
          <w:szCs w:val="22"/>
        </w:rPr>
        <w:t xml:space="preserve">The Parties resolve, accordingly, to establish the Framework Convention on Coordinated Plastics Tariff Measures. They create the institutions, the tariff regime, the outreach plan, the legal strategy, the solidarity mechanisms, and the review machinery that the articles below set out. They designate Canada as Lead Nation and Depositary in recognition of its existing retaliatory framework, its pending dispute filings, and its stated commitment to assemble a coalition of like-minded countries. They open the Convention for signature at the Ottawa Founding Summit and invite accession by all affected states and customs territories. They undertake these acts in the conviction that coordinated lawfulness outlasts unilateral coercion.</w:t>
      </w:r>
    </w:p>
    <w:p>
      <w:pPr>
        <w:pStyle w:val="Heading1"/>
        <w:keepNext/>
        <w:pageBreakBefore/>
        <w:spacing w:after="208" w:before="108" w:line="300"/>
      </w:pPr>
      <w:r>
        <w:rPr>
          <w:rFonts w:ascii="Calibri" w:cs="Calibri" w:eastAsia="SimHei" w:hAnsi="Calibri"/>
          <w:b/>
          <w:bCs/>
          <w:color w:val="0B2E6B"/>
          <w:spacing w:val="12"/>
          <w:sz w:val="32"/>
          <w:szCs w:val="32"/>
        </w:rPr>
        <w:t xml:space="preserve">Part I: Foundations</w:t>
      </w:r>
    </w:p>
    <w:p>
      <w:pPr>
        <w:pStyle w:val="Heading2"/>
        <w:keepNext/>
        <w:spacing w:after="128" w:before="235" w:line="300"/>
      </w:pPr>
      <w:r>
        <w:rPr>
          <w:rFonts w:ascii="Calibri" w:cs="Calibri" w:eastAsia="SimHei" w:hAnsi="Calibri"/>
          <w:b/>
          <w:bCs/>
          <w:color w:val="0047AB"/>
          <w:spacing w:val="8"/>
          <w:sz w:val="26"/>
          <w:szCs w:val="26"/>
        </w:rPr>
        <w:t xml:space="preserve">Article 1: Establishment, Name, and Purpose</w:t>
      </w:r>
    </w:p>
    <w:p>
      <w:pPr>
        <w:spacing w:after="181" w:line="306"/>
        <w:jc w:val="both"/>
      </w:pPr>
      <w:r>
        <w:rPr>
          <w:rFonts w:ascii="Georgia" w:cs="Georgia" w:eastAsia="SimSun" w:hAnsi="Georgia"/>
          <w:color w:val="20242E"/>
          <w:sz w:val="22"/>
          <w:szCs w:val="22"/>
        </w:rPr>
        <w:t xml:space="preserve">The Parties establish by this Convention a coordinated framework for the imposition of retaliatory tariffs of 20 percent ad valorem on imports of plastics and plastic articles originating in the United States. The framework answers discriminatory and unjustified United States tariff measures, and it operates until the United States removes those measures or until the Parties adopt a mutually agreed settlement. The framework bears the character of a defensive, proportionate, and reversible instrument, and every article of this Convention expresses that character in operative form. The Parties establish the institutions that the Convention names, and those institutions act from entry into force without further legislative delay at the international level.</w:t>
      </w:r>
    </w:p>
    <w:p>
      <w:pPr>
        <w:spacing w:after="181" w:line="306"/>
        <w:jc w:val="both"/>
      </w:pPr>
      <w:r>
        <w:rPr>
          <w:rFonts w:ascii="Calibri" w:cs="Calibri" w:eastAsia="SimHei" w:hAnsi="Calibri"/>
          <w:b/>
          <w:bCs/>
          <w:color w:val="0047AB"/>
          <w:sz w:val="22"/>
          <w:szCs w:val="22"/>
        </w:rPr>
        <w:t xml:space="preserve">1.1   </w:t>
      </w:r>
      <w:r>
        <w:rPr>
          <w:rFonts w:ascii="Georgia" w:cs="Georgia" w:eastAsia="SimSun" w:hAnsi="Georgia"/>
          <w:color w:val="20242E"/>
          <w:sz w:val="22"/>
          <w:szCs w:val="22"/>
        </w:rPr>
        <w:t xml:space="preserve">The Convention establishes the Coalition as a formal, rules-based grouping of states and customs territories. The Coalition possesses legal personality for the purposes of its secretariat functions, its registry, and its representation in coordinated legal proceedings. Each Party retains full sovereignty over its domestic tariff administration, and the Convention binds the Parties to common rates, common timing, and common discipline rather than to any supranational authority. The framework architecture distributes decision rights across the Coalition Council, the Steering Committee, and the Technical Working Groups exactly as Part III prescribes.</w:t>
      </w:r>
    </w:p>
    <w:p>
      <w:pPr>
        <w:spacing w:after="181" w:line="306"/>
        <w:jc w:val="both"/>
      </w:pPr>
      <w:r>
        <w:rPr>
          <w:rFonts w:ascii="Calibri" w:cs="Calibri" w:eastAsia="SimHei" w:hAnsi="Calibri"/>
          <w:b/>
          <w:bCs/>
          <w:color w:val="0047AB"/>
          <w:sz w:val="22"/>
          <w:szCs w:val="22"/>
        </w:rPr>
        <w:t xml:space="preserve">1.2   </w:t>
      </w:r>
      <w:r>
        <w:rPr>
          <w:rFonts w:ascii="Georgia" w:cs="Georgia" w:eastAsia="SimSun" w:hAnsi="Georgia"/>
          <w:color w:val="20242E"/>
          <w:sz w:val="22"/>
          <w:szCs w:val="22"/>
        </w:rPr>
        <w:t xml:space="preserve">The purpose of the Convention is threefold. The first purpose is economic: the Coalition concentrates demand-side pressure on the United States plastics sector at the point of its greatest export dependence. The second purpose is legal: the Coalition vindicates the Most Favored Nation discipline through coordinated dispute settlement and authorized countermeasures. The third purpose is political: the Coalition creates the conditions for a negotiated restoration of lawful trade, and it keeps the negotiating track open at every stage of the pressure campaign.</w:t>
      </w:r>
    </w:p>
    <w:p>
      <w:pPr>
        <w:spacing w:after="181" w:line="306"/>
        <w:jc w:val="both"/>
      </w:pPr>
      <w:r>
        <w:rPr>
          <w:rFonts w:ascii="Calibri" w:cs="Calibri" w:eastAsia="SimHei" w:hAnsi="Calibri"/>
          <w:b/>
          <w:bCs/>
          <w:color w:val="0047AB"/>
          <w:sz w:val="22"/>
          <w:szCs w:val="22"/>
        </w:rPr>
        <w:t xml:space="preserve">1.3   </w:t>
      </w:r>
      <w:r>
        <w:rPr>
          <w:rFonts w:ascii="Georgia" w:cs="Georgia" w:eastAsia="SimSun" w:hAnsi="Georgia"/>
          <w:color w:val="20242E"/>
          <w:sz w:val="22"/>
          <w:szCs w:val="22"/>
        </w:rPr>
        <w:t xml:space="preserve">The Convention binds each Party in accordance with its membership category. Full Members implement the complete tariff schedule in Article 5, and Associate Members implement no less than half of that schedule under a time-bound plan that the Steering Committee approves. The distinction between categories governs coverage only, and it never dilutes the discipline obligations of Part V. Every Party, regardless of category, accepts the non-defection architecture, the transparency obligations, and the coordinated rollback rule.</w:t>
      </w:r>
    </w:p>
    <w:p>
      <w:pPr>
        <w:spacing w:after="181" w:line="306"/>
        <w:jc w:val="both"/>
      </w:pPr>
      <w:r>
        <w:rPr>
          <w:rFonts w:ascii="Calibri" w:cs="Calibri" w:eastAsia="SimHei" w:hAnsi="Calibri"/>
          <w:b/>
          <w:bCs/>
          <w:color w:val="0047AB"/>
          <w:sz w:val="22"/>
          <w:szCs w:val="22"/>
        </w:rPr>
        <w:t xml:space="preserve">1.4   </w:t>
      </w:r>
      <w:r>
        <w:rPr>
          <w:rFonts w:ascii="Georgia" w:cs="Georgia" w:eastAsia="SimSun" w:hAnsi="Georgia"/>
          <w:color w:val="20242E"/>
          <w:sz w:val="22"/>
          <w:szCs w:val="22"/>
        </w:rPr>
        <w:t xml:space="preserve">The Convention operates in the active present tense from the moment of entry into force. Obligations engage automatically upon the conditions the text states, and no clause depends upon a future discretionary act unless the text names the deciding organ and the decision rule. Automatic triggers govern synchronization, defection consequences, counter-retaliation, and rollback. The Parties adopt this drafting discipline deliberately, because automaticity removes ambiguity, and ambiguity is the traditional refuge of the defector.</w:t>
      </w:r>
    </w:p>
    <w:p>
      <w:pPr>
        <w:pStyle w:val="Heading2"/>
        <w:keepNext/>
        <w:spacing w:after="128" w:before="235" w:line="300"/>
      </w:pPr>
      <w:r>
        <w:rPr>
          <w:rFonts w:ascii="Calibri" w:cs="Calibri" w:eastAsia="SimHei" w:hAnsi="Calibri"/>
          <w:b/>
          <w:bCs/>
          <w:color w:val="0047AB"/>
          <w:spacing w:val="8"/>
          <w:sz w:val="26"/>
          <w:szCs w:val="26"/>
        </w:rPr>
        <w:t xml:space="preserve">Article 2: Strategic Rationale</w:t>
      </w:r>
    </w:p>
    <w:p>
      <w:pPr>
        <w:spacing w:after="181" w:line="306"/>
        <w:jc w:val="both"/>
      </w:pPr>
      <w:r>
        <w:rPr>
          <w:rFonts w:ascii="Georgia" w:cs="Georgia" w:eastAsia="SimSun" w:hAnsi="Georgia"/>
          <w:color w:val="20242E"/>
          <w:sz w:val="22"/>
          <w:szCs w:val="22"/>
        </w:rPr>
        <w:t xml:space="preserve">The Parties ground this Convention in a shared strategic assessment, and they record that assessment here so that future Councils interpret the operative articles in its light. The assessment rests on four findings, and the Coalition's economists and customs authorities stand behind each of them. The findings address the choice of sector, the choice of rate, the choice of coalition form, and the choice of lead nation. Together they explain why this Convention takes the shape it does.</w:t>
      </w:r>
    </w:p>
    <w:p>
      <w:pPr>
        <w:spacing w:after="181" w:line="306"/>
        <w:jc w:val="both"/>
      </w:pPr>
      <w:r>
        <w:rPr>
          <w:rFonts w:ascii="Calibri" w:cs="Calibri" w:eastAsia="SimHei" w:hAnsi="Calibri"/>
          <w:b/>
          <w:bCs/>
          <w:color w:val="0047AB"/>
          <w:sz w:val="22"/>
          <w:szCs w:val="22"/>
        </w:rPr>
        <w:t xml:space="preserve">2.1   </w:t>
      </w:r>
      <w:r>
        <w:rPr>
          <w:rFonts w:ascii="Georgia" w:cs="Georgia" w:eastAsia="SimSun" w:hAnsi="Georgia"/>
          <w:color w:val="20242E"/>
          <w:sz w:val="22"/>
          <w:szCs w:val="22"/>
        </w:rPr>
        <w:t xml:space="preserve">The first finding identifies plastics as the optimal target sector. United States plastics exports total approximately 73.6 billion dollars annually across materials, resins, products, machinery, and molds, and nearly 47 percent of United States polyethylene production depends on foreign buyers. The commodity character of resins allows every Coalition member to substitute Middle Eastern, Asian, or European supply with limited friction. Historical experience confirms the sector's sensitivity, because earlier Chinese tariff measures cut United States plastics exports by more than half in several categories.</w:t>
      </w:r>
    </w:p>
    <w:p>
      <w:pPr>
        <w:spacing w:after="181" w:line="306"/>
        <w:jc w:val="both"/>
      </w:pPr>
      <w:r>
        <w:rPr>
          <w:rFonts w:ascii="Calibri" w:cs="Calibri" w:eastAsia="SimHei" w:hAnsi="Calibri"/>
          <w:b/>
          <w:bCs/>
          <w:color w:val="0047AB"/>
          <w:sz w:val="22"/>
          <w:szCs w:val="22"/>
        </w:rPr>
        <w:t xml:space="preserve">2.2   </w:t>
      </w:r>
      <w:r>
        <w:rPr>
          <w:rFonts w:ascii="Georgia" w:cs="Georgia" w:eastAsia="SimSun" w:hAnsi="Georgia"/>
          <w:color w:val="20242E"/>
          <w:sz w:val="22"/>
          <w:szCs w:val="22"/>
        </w:rPr>
        <w:t xml:space="preserve">The second finding fixes the rate at 20 percent ad valorem. The rate maximizes damage to United States producers while remaining below the level at which bilateral trade collapses entirely and leverage evaporates. The rate matches the reciprocal tariff level that the United States applies to key coalition members, including the 20 percent measure facing the European Union, and that symmetry anchors the Coalition's public defense of proportionality. A higher rate invites circumvention and political fracture, while a lower rate invites dismissal, so the Convention locks the rate and permits adjustment only through the Council's supermajority procedure.</w:t>
      </w:r>
    </w:p>
    <w:p>
      <w:pPr>
        <w:spacing w:after="181" w:line="306"/>
        <w:jc w:val="both"/>
      </w:pPr>
      <w:r>
        <w:rPr>
          <w:rFonts w:ascii="Calibri" w:cs="Calibri" w:eastAsia="SimHei" w:hAnsi="Calibri"/>
          <w:b/>
          <w:bCs/>
          <w:color w:val="0047AB"/>
          <w:sz w:val="22"/>
          <w:szCs w:val="22"/>
        </w:rPr>
        <w:t xml:space="preserve">2.3   </w:t>
      </w:r>
      <w:r>
        <w:rPr>
          <w:rFonts w:ascii="Georgia" w:cs="Georgia" w:eastAsia="SimSun" w:hAnsi="Georgia"/>
          <w:color w:val="20242E"/>
          <w:sz w:val="22"/>
          <w:szCs w:val="22"/>
        </w:rPr>
        <w:t xml:space="preserve">The third finding establishes the coalition form. A coordinated group of fifteen states achieves nearly sixty percent of the total global retaliatory impact that the plastics sector makes available, while isolated national actions achieve a fraction of that figure and invite circumvention through third-country rerouting. Unity also denies the target the divide-and-conquer strategy it applies against solitary retaliators. The Convention therefore treats coalition size as a strategic metric in its own right, and Article 40 assigns the Steering Committee a standing duty to grow it.</w:t>
      </w:r>
    </w:p>
    <w:p>
      <w:pPr>
        <w:spacing w:after="181" w:line="306"/>
        <w:jc w:val="both"/>
      </w:pPr>
      <w:r>
        <w:rPr>
          <w:rFonts w:ascii="Calibri" w:cs="Calibri" w:eastAsia="SimHei" w:hAnsi="Calibri"/>
          <w:b/>
          <w:bCs/>
          <w:color w:val="0047AB"/>
          <w:sz w:val="22"/>
          <w:szCs w:val="22"/>
        </w:rPr>
        <w:t xml:space="preserve">2.4   </w:t>
      </w:r>
      <w:r>
        <w:rPr>
          <w:rFonts w:ascii="Georgia" w:cs="Georgia" w:eastAsia="SimSun" w:hAnsi="Georgia"/>
          <w:color w:val="20242E"/>
          <w:sz w:val="22"/>
          <w:szCs w:val="22"/>
        </w:rPr>
        <w:t xml:space="preserve">The fourth finding designates Canada as Lead Nation. Canada possesses an existing retaliatory framework already in operation, pending dispute filings at the World Trade Organization, and a declared commitment to assemble a coalition of like-minded countries. Canada's convening record, including its hosting of the Group of Seven in 2025, equips it to stage the Founding Summit on the compressed timeline that Part IV prescribes. The Parties accept Canadian leadership as an architectural feature of the framework, and they pair it with the rotating composition of the Steering Committee so that leadership never hardens into hierarchy.</w:t>
      </w:r>
    </w:p>
    <w:p>
      <w:pPr>
        <w:spacing w:after="181" w:line="306"/>
        <w:jc w:val="both"/>
      </w:pPr>
      <w:r>
        <w:rPr>
          <w:rFonts w:ascii="Calibri" w:cs="Calibri" w:eastAsia="SimHei" w:hAnsi="Calibri"/>
          <w:b/>
          <w:bCs/>
          <w:color w:val="0047AB"/>
          <w:sz w:val="22"/>
          <w:szCs w:val="22"/>
        </w:rPr>
        <w:t xml:space="preserve">2.5   </w:t>
      </w:r>
      <w:r>
        <w:rPr>
          <w:rFonts w:ascii="Georgia" w:cs="Georgia" w:eastAsia="SimSun" w:hAnsi="Georgia"/>
          <w:color w:val="20242E"/>
          <w:sz w:val="22"/>
          <w:szCs w:val="22"/>
        </w:rPr>
        <w:t xml:space="preserve">The Parties acknowledge the principal strategic risk that accompanies this design. The United States retains the capacity to escalate into adjacent sectors, and agriculture stands first among its preferred retaliation targets because agricultural measures strike rural constituencies and generate immediate political pain. The Convention answers that risk in advance through the Agricultural Protection Protocol in Article 26 and the Collective Counter-Retaliation mechanism in Article 37. The Parties record their judgment that a pre-committed coalition absorbs escalation more readily than an improvised one.</w:t>
      </w:r>
    </w:p>
    <w:p>
      <w:pPr>
        <w:pStyle w:val="Heading2"/>
        <w:keepNext/>
        <w:spacing w:after="128" w:before="235" w:line="300"/>
      </w:pPr>
      <w:r>
        <w:rPr>
          <w:rFonts w:ascii="Calibri" w:cs="Calibri" w:eastAsia="SimHei" w:hAnsi="Calibri"/>
          <w:b/>
          <w:bCs/>
          <w:color w:val="0047AB"/>
          <w:spacing w:val="8"/>
          <w:sz w:val="26"/>
          <w:szCs w:val="26"/>
        </w:rPr>
        <w:t xml:space="preserve">Article 3: Definitions and Interpretation</w:t>
      </w:r>
    </w:p>
    <w:p>
      <w:pPr>
        <w:spacing w:after="181" w:line="306"/>
        <w:jc w:val="both"/>
      </w:pPr>
      <w:r>
        <w:rPr>
          <w:rFonts w:ascii="Calibri" w:cs="Calibri" w:eastAsia="SimHei" w:hAnsi="Calibri"/>
          <w:b/>
          <w:bCs/>
          <w:color w:val="0047AB"/>
          <w:sz w:val="22"/>
          <w:szCs w:val="22"/>
        </w:rPr>
        <w:t xml:space="preserve">3.1   </w:t>
      </w:r>
      <w:r>
        <w:rPr>
          <w:rFonts w:ascii="Georgia" w:cs="Georgia" w:eastAsia="SimSun" w:hAnsi="Georgia"/>
          <w:color w:val="20242E"/>
          <w:sz w:val="22"/>
          <w:szCs w:val="22"/>
        </w:rPr>
        <w:t xml:space="preserve">In this Convention, the term covered goods means the goods classified under the Harmonized System headings and subheadings that Article 5 and its coverage schedule enumerate. The term Coalition means the collectivity of Parties acting through the organs this Convention establishes. The term Council means the Coalition Council, and the term Committee means the Steering Committee. The term defection event carries the precise meaning that Article 22 assigns to it, and no other provision of this Convention enlarges or narrows that meaning.</w:t>
      </w:r>
    </w:p>
    <w:p>
      <w:pPr>
        <w:spacing w:after="181" w:line="306"/>
        <w:jc w:val="both"/>
      </w:pPr>
      <w:r>
        <w:rPr>
          <w:rFonts w:ascii="Calibri" w:cs="Calibri" w:eastAsia="SimHei" w:hAnsi="Calibri"/>
          <w:b/>
          <w:bCs/>
          <w:color w:val="0047AB"/>
          <w:sz w:val="22"/>
          <w:szCs w:val="22"/>
        </w:rPr>
        <w:t xml:space="preserve">3.2   </w:t>
      </w:r>
      <w:r>
        <w:rPr>
          <w:rFonts w:ascii="Georgia" w:cs="Georgia" w:eastAsia="SimSun" w:hAnsi="Georgia"/>
          <w:color w:val="20242E"/>
          <w:sz w:val="22"/>
          <w:szCs w:val="22"/>
        </w:rPr>
        <w:t xml:space="preserve">The term discriminatory United States measures means the tariff measures, together with their modifications and successors, that the United States applies against the exports of the Parties on grounds that the Parties jointly characterize as inconsistent with Most Favored Nation obligations. The term synchronized implementation date means the common date that Article 7 fixes for the entry into force of the core tariff across all Parties. The term commitment window means the period that Article 21 establishes, during which no Party reduces its coverage or concludes a separate arrangement. The term settlement carries the meaning that Article 42 prescribes for the coordinated termination of measures.</w:t>
      </w:r>
    </w:p>
    <w:p>
      <w:pPr>
        <w:spacing w:after="181" w:line="306"/>
        <w:jc w:val="both"/>
      </w:pPr>
      <w:r>
        <w:rPr>
          <w:rFonts w:ascii="Calibri" w:cs="Calibri" w:eastAsia="SimHei" w:hAnsi="Calibri"/>
          <w:b/>
          <w:bCs/>
          <w:color w:val="0047AB"/>
          <w:sz w:val="22"/>
          <w:szCs w:val="22"/>
        </w:rPr>
        <w:t xml:space="preserve">3.3   </w:t>
      </w:r>
      <w:r>
        <w:rPr>
          <w:rFonts w:ascii="Georgia" w:cs="Georgia" w:eastAsia="SimSun" w:hAnsi="Georgia"/>
          <w:color w:val="20242E"/>
          <w:sz w:val="22"/>
          <w:szCs w:val="22"/>
        </w:rPr>
        <w:t xml:space="preserve">Interpretation of this Convention follows the ordinary meaning of its terms in their context and in the light of the strategic rationale that Article 2 records. The annexes form an integral part of the Convention, and the coverage schedule prevails over any conflicting national tariff nomenclature. Headings serve convenience only and carry no interpretive weight. In case of divergence among equally authentic language texts, the Council adopts a reconciling interpretation by consensus, and the Depositary records that interpretation in the register of decisions.</w:t>
      </w:r>
    </w:p>
    <w:p>
      <w:pPr>
        <w:spacing w:after="181" w:line="306"/>
        <w:jc w:val="both"/>
      </w:pPr>
      <w:r>
        <w:rPr>
          <w:rFonts w:ascii="Calibri" w:cs="Calibri" w:eastAsia="SimHei" w:hAnsi="Calibri"/>
          <w:b/>
          <w:bCs/>
          <w:color w:val="0047AB"/>
          <w:sz w:val="22"/>
          <w:szCs w:val="22"/>
        </w:rPr>
        <w:t xml:space="preserve">3.4   </w:t>
      </w:r>
      <w:r>
        <w:rPr>
          <w:rFonts w:ascii="Georgia" w:cs="Georgia" w:eastAsia="SimSun" w:hAnsi="Georgia"/>
          <w:color w:val="20242E"/>
          <w:sz w:val="22"/>
          <w:szCs w:val="22"/>
        </w:rPr>
        <w:t xml:space="preserve">No reservation is permitted to this Convention except the narrowly defined critical input exemptions that Article 6 authorizes. A Party expresses any such exemption through the notification procedure that Article 6 establishes, and the exemption takes effect only upon registration by the Steering Committee. Interpretive declarations that purport to modify the legal effect of operative provisions carry no force within the framework. This discipline preserves the uniformity on which the Coalition's leverage depends.</w:t>
      </w:r>
    </w:p>
    <w:p>
      <w:pPr>
        <w:pStyle w:val="Heading2"/>
        <w:keepNext/>
        <w:spacing w:after="128" w:before="235" w:line="300"/>
      </w:pPr>
      <w:r>
        <w:rPr>
          <w:rFonts w:ascii="Calibri" w:cs="Calibri" w:eastAsia="SimHei" w:hAnsi="Calibri"/>
          <w:b/>
          <w:bCs/>
          <w:color w:val="0047AB"/>
          <w:spacing w:val="8"/>
          <w:sz w:val="26"/>
          <w:szCs w:val="26"/>
        </w:rPr>
        <w:t xml:space="preserve">Article 4: Core Operating Principles</w:t>
      </w:r>
    </w:p>
    <w:p>
      <w:pPr>
        <w:spacing w:after="181" w:line="306"/>
        <w:jc w:val="both"/>
      </w:pPr>
      <w:r>
        <w:rPr>
          <w:rFonts w:ascii="Calibri" w:cs="Calibri" w:eastAsia="SimHei" w:hAnsi="Calibri"/>
          <w:b/>
          <w:bCs/>
          <w:color w:val="0047AB"/>
          <w:sz w:val="22"/>
          <w:szCs w:val="22"/>
        </w:rPr>
        <w:t xml:space="preserve">4.1   </w:t>
      </w:r>
      <w:r>
        <w:rPr>
          <w:rFonts w:ascii="Georgia" w:cs="Georgia" w:eastAsia="SimSun" w:hAnsi="Georgia"/>
          <w:color w:val="20242E"/>
          <w:sz w:val="22"/>
          <w:szCs w:val="22"/>
        </w:rPr>
        <w:t xml:space="preserve">The principle of proportionality governs every measure the Coalition adopts. The framework architecture calibrates each tariff, each escalation step, and each counter-retaliation trigger to a defined relationship with the measures that provoke it. Proportionality operates automatically through the fixed rate, the defined ladder, and the pre-agreed response matrices of Part IX. No organ of the Coalition possesses discretion to exceed the calibrated response, and no organ possesses discretion to fall short of it.</w:t>
      </w:r>
    </w:p>
    <w:p>
      <w:pPr>
        <w:spacing w:after="181" w:line="306"/>
        <w:jc w:val="both"/>
      </w:pPr>
      <w:r>
        <w:rPr>
          <w:rFonts w:ascii="Calibri" w:cs="Calibri" w:eastAsia="SimHei" w:hAnsi="Calibri"/>
          <w:b/>
          <w:bCs/>
          <w:color w:val="0047AB"/>
          <w:sz w:val="22"/>
          <w:szCs w:val="22"/>
        </w:rPr>
        <w:t xml:space="preserve">4.2   </w:t>
      </w:r>
      <w:r>
        <w:rPr>
          <w:rFonts w:ascii="Georgia" w:cs="Georgia" w:eastAsia="SimSun" w:hAnsi="Georgia"/>
          <w:color w:val="20242E"/>
          <w:sz w:val="22"/>
          <w:szCs w:val="22"/>
        </w:rPr>
        <w:t xml:space="preserve">The principle of synchronization governs implementation across the membership. Tariff measures enter into force on the common date, escalate on common dates, and roll back on a common date. Synchronization converts fifteen national decisions into a single market event, and it prevents the target from sequencing its diplomacy against isolated members. The Steering Committee owns the synchronization calendar, and the calendar binds every Party.</w:t>
      </w:r>
    </w:p>
    <w:p>
      <w:pPr>
        <w:spacing w:after="181" w:line="306"/>
        <w:jc w:val="both"/>
      </w:pPr>
      <w:r>
        <w:rPr>
          <w:rFonts w:ascii="Calibri" w:cs="Calibri" w:eastAsia="SimHei" w:hAnsi="Calibri"/>
          <w:b/>
          <w:bCs/>
          <w:color w:val="0047AB"/>
          <w:sz w:val="22"/>
          <w:szCs w:val="22"/>
        </w:rPr>
        <w:t xml:space="preserve">4.3   </w:t>
      </w:r>
      <w:r>
        <w:rPr>
          <w:rFonts w:ascii="Georgia" w:cs="Georgia" w:eastAsia="SimSun" w:hAnsi="Georgia"/>
          <w:color w:val="20242E"/>
          <w:sz w:val="22"/>
          <w:szCs w:val="22"/>
        </w:rPr>
        <w:t xml:space="preserve">The principle of transparency governs relations among the Parties. Every offer, every exemption, every domestic impact assessment, and every negotiation contact enters the shared registry that Part V and Part VIII establish. Transparency forecloses the suspicion that corrodes coalitions from within, and it converts private vulnerability into shared knowledge. The framework treats concealment among Parties as a breach of discipline, and Article 22 assigns it consequences.</w:t>
      </w:r>
    </w:p>
    <w:p>
      <w:pPr>
        <w:spacing w:after="181" w:line="306"/>
        <w:jc w:val="both"/>
      </w:pPr>
      <w:r>
        <w:rPr>
          <w:rFonts w:ascii="Calibri" w:cs="Calibri" w:eastAsia="SimHei" w:hAnsi="Calibri"/>
          <w:b/>
          <w:bCs/>
          <w:color w:val="0047AB"/>
          <w:sz w:val="22"/>
          <w:szCs w:val="22"/>
        </w:rPr>
        <w:t xml:space="preserve">4.4   </w:t>
      </w:r>
      <w:r>
        <w:rPr>
          <w:rFonts w:ascii="Georgia" w:cs="Georgia" w:eastAsia="SimSun" w:hAnsi="Georgia"/>
          <w:color w:val="20242E"/>
          <w:sz w:val="22"/>
          <w:szCs w:val="22"/>
        </w:rPr>
        <w:t xml:space="preserve">The principle of mutual architecture governs the drafting and application of every prohibitive clause. Constraints in this Convention bind the framework as a whole, and they never appear as unilateral restraint by one Party for the benefit of another. The framework architecture excludes the prohibited conduct, and the exclusion applies identically to every member. This drafting rule preserves the sovereign equality of the Parties and removes any appearance of hierarchy, concession, or subordination.</w:t>
      </w:r>
    </w:p>
    <w:p>
      <w:pPr>
        <w:spacing w:after="181" w:line="306"/>
        <w:jc w:val="both"/>
      </w:pPr>
      <w:r>
        <w:rPr>
          <w:rFonts w:ascii="Calibri" w:cs="Calibri" w:eastAsia="SimHei" w:hAnsi="Calibri"/>
          <w:b/>
          <w:bCs/>
          <w:color w:val="0047AB"/>
          <w:sz w:val="22"/>
          <w:szCs w:val="22"/>
        </w:rPr>
        <w:t xml:space="preserve">4.5   </w:t>
      </w:r>
      <w:r>
        <w:rPr>
          <w:rFonts w:ascii="Georgia" w:cs="Georgia" w:eastAsia="SimSun" w:hAnsi="Georgia"/>
          <w:color w:val="20242E"/>
          <w:sz w:val="22"/>
          <w:szCs w:val="22"/>
        </w:rPr>
        <w:t xml:space="preserve">The principle of reversibility governs the entire pressure campaign. Every measure in this Convention carries a defined off-ramp, and Article 42 states the settlement conditions that release the Coalition from its measures in a synchronized manner. Reversibility signals to the target that compliance restores normal trade, and it signals to domestic constituencies that the Convention serves trade rather than conflict. The Coalition thereby holds open the door that its pressure exists to unlock.</w:t>
      </w:r>
    </w:p>
    <w:p>
      <w:pPr>
        <w:pStyle w:val="Heading1"/>
        <w:keepNext/>
        <w:pageBreakBefore/>
        <w:spacing w:after="208" w:before="108" w:line="300"/>
      </w:pPr>
      <w:r>
        <w:rPr>
          <w:rFonts w:ascii="Calibri" w:cs="Calibri" w:eastAsia="SimHei" w:hAnsi="Calibri"/>
          <w:b/>
          <w:bCs/>
          <w:color w:val="0B2E6B"/>
          <w:spacing w:val="12"/>
          <w:sz w:val="32"/>
          <w:szCs w:val="32"/>
        </w:rPr>
        <w:t xml:space="preserve">Part II: The Coordinated Tariff Regime</w:t>
      </w:r>
    </w:p>
    <w:p>
      <w:pPr>
        <w:pStyle w:val="Heading2"/>
        <w:keepNext/>
        <w:spacing w:after="128" w:before="235" w:line="300"/>
      </w:pPr>
      <w:r>
        <w:rPr>
          <w:rFonts w:ascii="Calibri" w:cs="Calibri" w:eastAsia="SimHei" w:hAnsi="Calibri"/>
          <w:b/>
          <w:bCs/>
          <w:color w:val="0047AB"/>
          <w:spacing w:val="8"/>
          <w:sz w:val="26"/>
          <w:szCs w:val="26"/>
        </w:rPr>
        <w:t xml:space="preserve">Article 5: Core Tariff Rate and Product Coverage</w:t>
      </w:r>
    </w:p>
    <w:p>
      <w:pPr>
        <w:spacing w:after="181" w:line="306"/>
        <w:jc w:val="both"/>
      </w:pPr>
      <w:r>
        <w:rPr>
          <w:rFonts w:ascii="Georgia" w:cs="Georgia" w:eastAsia="SimSun" w:hAnsi="Georgia"/>
          <w:color w:val="20242E"/>
          <w:sz w:val="22"/>
          <w:szCs w:val="22"/>
        </w:rPr>
        <w:t xml:space="preserve">The core instrument of the Coalition is a uniform tariff of 20 percent ad valorem applied to imports of covered goods originating in the United States. The uniformity of the rate is absolute across Full Members, and the coverage schedule below binds every Full Member in identical terms. The estimated trade coverage reaches between five and ten billion dollars of annual United States exports to Coalition members at founding, and the figure grows with every accession. The regime targets the point of maximum United States dependence and minimum Coalition dependence.</w:t>
      </w:r>
    </w:p>
    <w:p>
      <w:pPr>
        <w:spacing w:after="181" w:line="306"/>
        <w:jc w:val="both"/>
      </w:pPr>
      <w:r>
        <w:rPr>
          <w:rFonts w:ascii="Calibri" w:cs="Calibri" w:eastAsia="SimHei" w:hAnsi="Calibri"/>
          <w:b/>
          <w:bCs/>
          <w:color w:val="0047AB"/>
          <w:sz w:val="22"/>
          <w:szCs w:val="22"/>
        </w:rPr>
        <w:t xml:space="preserve">5.1   </w:t>
      </w:r>
      <w:r>
        <w:rPr>
          <w:rFonts w:ascii="Georgia" w:cs="Georgia" w:eastAsia="SimSun" w:hAnsi="Georgia"/>
          <w:color w:val="20242E"/>
          <w:sz w:val="22"/>
          <w:szCs w:val="22"/>
        </w:rPr>
        <w:t xml:space="preserve">The core rate stands at 20 percent ad valorem, calculated on the customs value of the covered good as each Party's customs law determines that value. The rate applies in addition to the most favored nation rate otherwise applicable, and it applies without quantitative restriction. No Party applies a rate below the core rate to any covered good, and no Party applies a rate above the core rate to any covered good except through the escalation mechanism of Article 36. The core rate changes only by a supermajority decision of the Council, and any such change takes effect on a synchronized date for all Parties.</w:t>
      </w:r>
    </w:p>
    <w:p>
      <w:pPr>
        <w:spacing w:after="181" w:line="306"/>
        <w:jc w:val="both"/>
      </w:pPr>
      <w:r>
        <w:rPr>
          <w:rFonts w:ascii="Calibri" w:cs="Calibri" w:eastAsia="SimHei" w:hAnsi="Calibri"/>
          <w:b/>
          <w:bCs/>
          <w:color w:val="0047AB"/>
          <w:sz w:val="22"/>
          <w:szCs w:val="22"/>
        </w:rPr>
        <w:t xml:space="preserve">5.2   </w:t>
      </w:r>
      <w:r>
        <w:rPr>
          <w:rFonts w:ascii="Georgia" w:cs="Georgia" w:eastAsia="SimSun" w:hAnsi="Georgia"/>
          <w:color w:val="20242E"/>
          <w:sz w:val="22"/>
          <w:szCs w:val="22"/>
        </w:rPr>
        <w:t xml:space="preserve">The coverage schedule at founding comprises the headings of Chapter 39 of the Harmonized System that the table below enumerates. The schedule captures the primary resin families, the semi-finished forms, and the finished plastic articles that dominate United States export composition. The Tariff and Customs Working Group maintains the schedule at the six-digit level, and it publishes the consolidated schedule through the Depositary. Each Party transposes the schedule into its national tariff nomenclature without subtraction.</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1400"/>
        <w:gridCol w:w="4600"/>
        <w:gridCol w:w="3400"/>
      </w:tblGrid>
      <w:tr>
        <w:trPr>
          <w:tblHeader/>
        </w:trPr>
        <w:tc>
          <w:tcPr>
            <w:tcW w:type="dxa" w:w="14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HS Heading</w:t>
            </w:r>
          </w:p>
        </w:tc>
        <w:tc>
          <w:tcPr>
            <w:tcW w:type="dxa" w:w="4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Product Family</w:t>
            </w:r>
          </w:p>
        </w:tc>
        <w:tc>
          <w:tcPr>
            <w:tcW w:type="dxa" w:w="34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Coalition Treatment</w:t>
            </w:r>
          </w:p>
        </w:tc>
      </w:tr>
      <w:tr>
        <w:tc>
          <w:tcPr>
            <w:tcW w:type="dxa" w:w="1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HS 3901</w:t>
            </w:r>
          </w:p>
        </w:tc>
        <w:tc>
          <w:tcPr>
            <w:tcW w:type="dxa" w:w="4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Polymers of ethylene, in primary forms (polyethylene)</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Core rate of 20 percent ad valorem from the synchronized implementation date</w:t>
            </w:r>
          </w:p>
        </w:tc>
      </w:tr>
      <w:tr>
        <w:tc>
          <w:tcPr>
            <w:tcW w:type="dxa" w:w="1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HS 3902</w:t>
            </w:r>
          </w:p>
        </w:tc>
        <w:tc>
          <w:tcPr>
            <w:tcW w:type="dxa" w:w="4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Polymers of propylene or other olefins, in primary forms (polypropylene)</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Core rate of 20 percent ad valorem from the synchronized implementation date</w:t>
            </w:r>
          </w:p>
        </w:tc>
      </w:tr>
      <w:tr>
        <w:tc>
          <w:tcPr>
            <w:tcW w:type="dxa" w:w="1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HS 3903</w:t>
            </w:r>
          </w:p>
        </w:tc>
        <w:tc>
          <w:tcPr>
            <w:tcW w:type="dxa" w:w="4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Polymers of styrene, in primary forms (polystyrene and copolymers)</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Core rate of 20 percent ad valorem from the synchronized implementation date</w:t>
            </w:r>
          </w:p>
        </w:tc>
      </w:tr>
      <w:tr>
        <w:tc>
          <w:tcPr>
            <w:tcW w:type="dxa" w:w="1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HS 3904</w:t>
            </w:r>
          </w:p>
        </w:tc>
        <w:tc>
          <w:tcPr>
            <w:tcW w:type="dxa" w:w="4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Polymers of vinyl chloride (PVC) and other halogenated olefins</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Core rate of 20 percent ad valorem from the synchronized implementation date</w:t>
            </w:r>
          </w:p>
        </w:tc>
      </w:tr>
      <w:tr>
        <w:tc>
          <w:tcPr>
            <w:tcW w:type="dxa" w:w="1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HS 3920</w:t>
            </w:r>
          </w:p>
        </w:tc>
        <w:tc>
          <w:tcPr>
            <w:tcW w:type="dxa" w:w="4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Plates, sheets, film, foil, and strip of plastics, non-cellular and not reinforced</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Core rate of 20 percent ad valorem from the synchronized implementation date</w:t>
            </w:r>
          </w:p>
        </w:tc>
      </w:tr>
      <w:tr>
        <w:tc>
          <w:tcPr>
            <w:tcW w:type="dxa" w:w="1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HS 3926</w:t>
            </w:r>
          </w:p>
        </w:tc>
        <w:tc>
          <w:tcPr>
            <w:tcW w:type="dxa" w:w="4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Other articles of plastics and articles of other materials of headings 3901 to 3914</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Core rate of 20 percent ad valorem from the synchronized implementation date</w:t>
            </w:r>
          </w:p>
        </w:tc>
      </w:tr>
    </w:tbl>
    <w:p>
      <w:pPr>
        <w:spacing w:after="220" w:before="60" w:line="260"/>
        <w:jc w:val="center"/>
      </w:pPr>
      <w:r>
        <w:rPr>
          <w:rFonts w:ascii="Calibri" w:cs="Calibri" w:eastAsia="SimHei" w:hAnsi="Calibri"/>
          <w:i/>
          <w:iCs/>
          <w:color w:val="5B6E8C"/>
          <w:sz w:val="18"/>
          <w:szCs w:val="18"/>
        </w:rPr>
        <w:t xml:space="preserve">Founding coverage schedule under Article 5, aligned to Harmonized System Chapter 39.</w:t>
      </w:r>
    </w:p>
    <w:p>
      <w:pPr>
        <w:spacing w:after="181" w:line="306"/>
        <w:jc w:val="both"/>
      </w:pPr>
      <w:r>
        <w:rPr>
          <w:rFonts w:ascii="Calibri" w:cs="Calibri" w:eastAsia="SimHei" w:hAnsi="Calibri"/>
          <w:b/>
          <w:bCs/>
          <w:color w:val="0047AB"/>
          <w:sz w:val="22"/>
          <w:szCs w:val="22"/>
        </w:rPr>
        <w:t xml:space="preserve">5.3   </w:t>
      </w:r>
      <w:r>
        <w:rPr>
          <w:rFonts w:ascii="Georgia" w:cs="Georgia" w:eastAsia="SimSun" w:hAnsi="Georgia"/>
          <w:color w:val="20242E"/>
          <w:sz w:val="22"/>
          <w:szCs w:val="22"/>
        </w:rPr>
        <w:t xml:space="preserve">The Council expands coverage beyond the founding schedule only through the escalation procedure in Article 36. Expansion candidates include plastics machinery and molds within Chapters 84 and 85, together with additional United States export categories that the Steering Committee designates. Expansion decisions demand a supermajority of seventy percent of the Parties, and they take effect on a synchronized date. The Tariff and Customs Working Group prepares each expansion file with an impact assessment and a substitution analysis before the Council votes.</w:t>
      </w:r>
    </w:p>
    <w:p>
      <w:pPr>
        <w:spacing w:after="181" w:line="306"/>
        <w:jc w:val="both"/>
      </w:pPr>
      <w:r>
        <w:rPr>
          <w:rFonts w:ascii="Calibri" w:cs="Calibri" w:eastAsia="SimHei" w:hAnsi="Calibri"/>
          <w:b/>
          <w:bCs/>
          <w:color w:val="0047AB"/>
          <w:sz w:val="22"/>
          <w:szCs w:val="22"/>
        </w:rPr>
        <w:t xml:space="preserve">5.4   </w:t>
      </w:r>
      <w:r>
        <w:rPr>
          <w:rFonts w:ascii="Georgia" w:cs="Georgia" w:eastAsia="SimSun" w:hAnsi="Georgia"/>
          <w:color w:val="20242E"/>
          <w:sz w:val="22"/>
          <w:szCs w:val="22"/>
        </w:rPr>
        <w:t xml:space="preserve">Each Party maintains its coverage schedule in a publicly accessible tariff publication. The Depositary maintains the consolidated register of all national transpositions, and the register records every exemption, every review adjustment, and every accession schedule. Divergence between a national publication and the consolidated register activates an automatic conformity review by the Steering Committee. The Committee reports the review outcome to the Council within thirty days.</w:t>
      </w:r>
    </w:p>
    <w:p>
      <w:pPr>
        <w:pStyle w:val="Heading2"/>
        <w:keepNext/>
        <w:spacing w:after="128" w:before="235" w:line="300"/>
      </w:pPr>
      <w:r>
        <w:rPr>
          <w:rFonts w:ascii="Calibri" w:cs="Calibri" w:eastAsia="SimHei" w:hAnsi="Calibri"/>
          <w:b/>
          <w:bCs/>
          <w:color w:val="0047AB"/>
          <w:spacing w:val="8"/>
          <w:sz w:val="26"/>
          <w:szCs w:val="26"/>
        </w:rPr>
        <w:t xml:space="preserve">Article 6: Exemptions and Safeguards</w:t>
      </w:r>
    </w:p>
    <w:p>
      <w:pPr>
        <w:spacing w:after="181" w:line="306"/>
        <w:jc w:val="both"/>
      </w:pPr>
      <w:r>
        <w:rPr>
          <w:rFonts w:ascii="Calibri" w:cs="Calibri" w:eastAsia="SimHei" w:hAnsi="Calibri"/>
          <w:b/>
          <w:bCs/>
          <w:color w:val="0047AB"/>
          <w:sz w:val="22"/>
          <w:szCs w:val="22"/>
        </w:rPr>
        <w:t xml:space="preserve">6.1   </w:t>
      </w:r>
      <w:r>
        <w:rPr>
          <w:rFonts w:ascii="Georgia" w:cs="Georgia" w:eastAsia="SimSun" w:hAnsi="Georgia"/>
          <w:color w:val="20242E"/>
          <w:sz w:val="22"/>
          <w:szCs w:val="22"/>
        </w:rPr>
        <w:t xml:space="preserve">The framework admits critical input exemptions under a narrow and disciplined procedure. An exemption covers a specific product at the subheading level, and a Party claims it only where no commercially viable alternative supply exists outside the United States. The claiming Party files a substitution analysis with the Supply Chain and Exemptions Working Group, and the Working Group validates the analysis against its supplier mapping. The Steering Committee registers the exemption, and registration fixes its duration at a maximum of twelve months subject to one renewal.</w:t>
      </w:r>
    </w:p>
    <w:p>
      <w:pPr>
        <w:spacing w:after="181" w:line="306"/>
        <w:jc w:val="both"/>
      </w:pPr>
      <w:r>
        <w:rPr>
          <w:rFonts w:ascii="Calibri" w:cs="Calibri" w:eastAsia="SimHei" w:hAnsi="Calibri"/>
          <w:b/>
          <w:bCs/>
          <w:color w:val="0047AB"/>
          <w:sz w:val="22"/>
          <w:szCs w:val="22"/>
        </w:rPr>
        <w:t xml:space="preserve">6.2   </w:t>
      </w:r>
      <w:r>
        <w:rPr>
          <w:rFonts w:ascii="Georgia" w:cs="Georgia" w:eastAsia="SimSun" w:hAnsi="Georgia"/>
          <w:color w:val="20242E"/>
          <w:sz w:val="22"/>
          <w:szCs w:val="22"/>
        </w:rPr>
        <w:t xml:space="preserve">The framework architecture excludes open-ended exemptions, product-category exemptions, and exemptions granted for diplomatic convenience. The aggregate value of any Party's registered exemptions stays below five percent of that Party's covered imports from the United States, measured on a trailing twelve-month basis. The Working Group monitors the aggregate ceiling continuously, and a breach of the ceiling automatically suspends the newest exemptions until the aggregate returns below the ceiling. Every exemption appears in the public register that Article 5 establishes.</w:t>
      </w:r>
    </w:p>
    <w:p>
      <w:pPr>
        <w:spacing w:after="181" w:line="306"/>
        <w:jc w:val="both"/>
      </w:pPr>
      <w:r>
        <w:rPr>
          <w:rFonts w:ascii="Calibri" w:cs="Calibri" w:eastAsia="SimHei" w:hAnsi="Calibri"/>
          <w:b/>
          <w:bCs/>
          <w:color w:val="0047AB"/>
          <w:sz w:val="22"/>
          <w:szCs w:val="22"/>
        </w:rPr>
        <w:t xml:space="preserve">6.3   </w:t>
      </w:r>
      <w:r>
        <w:rPr>
          <w:rFonts w:ascii="Georgia" w:cs="Georgia" w:eastAsia="SimSun" w:hAnsi="Georgia"/>
          <w:color w:val="20242E"/>
          <w:sz w:val="22"/>
          <w:szCs w:val="22"/>
        </w:rPr>
        <w:t xml:space="preserve">A safeguards track protects Parties against sudden supply disruption. Where a covered input enters shortage within a Party's territory, that Party activates a temporary safeguard by notification to the Steering Committee, and the notification states the product, the shortage evidence, and the mitigation plan. The safeguard authorizes duty suspension for the affected product for up to ninety days. The Working Group accelerates alternative sourcing for the affected product during the safeguard period, and the safeguard lapses automatically at the end of its term.</w:t>
      </w:r>
    </w:p>
    <w:p>
      <w:pPr>
        <w:spacing w:after="181" w:line="306"/>
        <w:jc w:val="both"/>
      </w:pPr>
      <w:r>
        <w:rPr>
          <w:rFonts w:ascii="Calibri" w:cs="Calibri" w:eastAsia="SimHei" w:hAnsi="Calibri"/>
          <w:b/>
          <w:bCs/>
          <w:color w:val="0047AB"/>
          <w:sz w:val="22"/>
          <w:szCs w:val="22"/>
        </w:rPr>
        <w:t xml:space="preserve">6.4   </w:t>
      </w:r>
      <w:r>
        <w:rPr>
          <w:rFonts w:ascii="Georgia" w:cs="Georgia" w:eastAsia="SimSun" w:hAnsi="Georgia"/>
          <w:color w:val="20242E"/>
          <w:sz w:val="22"/>
          <w:szCs w:val="22"/>
        </w:rPr>
        <w:t xml:space="preserve">The six-month review under Article 41 audits the exemption register in full. The audit tests each exemption against current market conditions, and it terminates exemptions whose substitution analysis no longer holds. The review also examines whether exemptions cluster in ways that erode the Coalition's collective pressure, and it reports clustering findings to the Council. The Council acts on clustering findings through the adjustment powers of Article 41.</w:t>
      </w:r>
    </w:p>
    <w:p>
      <w:pPr>
        <w:pStyle w:val="Heading2"/>
        <w:keepNext/>
        <w:spacing w:after="128" w:before="235" w:line="300"/>
      </w:pPr>
      <w:r>
        <w:rPr>
          <w:rFonts w:ascii="Calibri" w:cs="Calibri" w:eastAsia="SimHei" w:hAnsi="Calibri"/>
          <w:b/>
          <w:bCs/>
          <w:color w:val="0047AB"/>
          <w:spacing w:val="8"/>
          <w:sz w:val="26"/>
          <w:szCs w:val="26"/>
        </w:rPr>
        <w:t xml:space="preserve">Article 7: Synchronization, Effective Date, and Implementation Timeline</w:t>
      </w:r>
    </w:p>
    <w:p>
      <w:pPr>
        <w:spacing w:after="181" w:line="306"/>
        <w:jc w:val="both"/>
      </w:pPr>
      <w:r>
        <w:rPr>
          <w:rFonts w:ascii="Calibri" w:cs="Calibri" w:eastAsia="SimHei" w:hAnsi="Calibri"/>
          <w:b/>
          <w:bCs/>
          <w:color w:val="0047AB"/>
          <w:sz w:val="22"/>
          <w:szCs w:val="22"/>
        </w:rPr>
        <w:t xml:space="preserve">7.1   </w:t>
      </w:r>
      <w:r>
        <w:rPr>
          <w:rFonts w:ascii="Georgia" w:cs="Georgia" w:eastAsia="SimSun" w:hAnsi="Georgia"/>
          <w:color w:val="20242E"/>
          <w:sz w:val="22"/>
          <w:szCs w:val="22"/>
        </w:rPr>
        <w:t xml:space="preserve">The core tariff enters into force on a single synchronized implementation date across all Parties. The Council fixes the date at the Founding Summit, and the default rule places it ninety days after the signature of the Convention. The synchronized date converts a series of national acts into one market shock, and the shock carries the full signaling weight of the Coalition's unity. No Party advances or delays its own implementation relative to the synchronized date.</w:t>
      </w:r>
    </w:p>
    <w:p>
      <w:pPr>
        <w:spacing w:after="181" w:line="306"/>
        <w:jc w:val="both"/>
      </w:pPr>
      <w:r>
        <w:rPr>
          <w:rFonts w:ascii="Calibri" w:cs="Calibri" w:eastAsia="SimHei" w:hAnsi="Calibri"/>
          <w:b/>
          <w:bCs/>
          <w:color w:val="0047AB"/>
          <w:sz w:val="22"/>
          <w:szCs w:val="22"/>
        </w:rPr>
        <w:t xml:space="preserve">7.2   </w:t>
      </w:r>
      <w:r>
        <w:rPr>
          <w:rFonts w:ascii="Georgia" w:cs="Georgia" w:eastAsia="SimSun" w:hAnsi="Georgia"/>
          <w:color w:val="20242E"/>
          <w:sz w:val="22"/>
          <w:szCs w:val="22"/>
        </w:rPr>
        <w:t xml:space="preserve">The implementation timeline follows five phases, and the table below states them. Canada drives Phases One and Two through the outreach architecture of Part IV, and the Steering Committee drives Phases Three through Five. Each phase closes with a defined deliverable, and the deliverable of one phase activates the next phase automatically. The Council reviews the calendar at each of its sessions and confirms or adjusts it by consensus.</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1200"/>
        <w:gridCol w:w="1600"/>
        <w:gridCol w:w="6600"/>
      </w:tblGrid>
      <w:tr>
        <w:trPr>
          <w:tblHeader/>
        </w:trPr>
        <w:tc>
          <w:tcPr>
            <w:tcW w:type="dxa" w:w="1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Phase</w:t>
            </w:r>
          </w:p>
        </w:tc>
        <w:tc>
          <w:tcPr>
            <w:tcW w:type="dxa" w:w="1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Window</w:t>
            </w:r>
          </w:p>
        </w:tc>
        <w:tc>
          <w:tcPr>
            <w:tcW w:type="dxa" w:w="6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Activity and Deliverable</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Phase 1</w:t>
            </w:r>
          </w:p>
        </w:tc>
        <w:tc>
          <w:tcPr>
            <w:tcW w:type="dxa" w:w="1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Weeks 1 to 4</w:t>
            </w:r>
          </w:p>
        </w:tc>
        <w:tc>
          <w:tcPr>
            <w:tcW w:type="dxa" w:w="6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Bilateral diplomatic outreach to Tier 1 and Tier 2 targets; deliverable is a set of signed participation confirmations</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Phase 2</w:t>
            </w:r>
          </w:p>
        </w:tc>
        <w:tc>
          <w:tcPr>
            <w:tcW w:type="dxa" w:w="1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Weeks 5 to 8</w:t>
            </w:r>
          </w:p>
        </w:tc>
        <w:tc>
          <w:tcPr>
            <w:tcW w:type="dxa" w:w="6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Multilateral convening and the Founding Summit; deliverable is the signed Convention and the fixed synchronized implementation date</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Phase 3</w:t>
            </w:r>
          </w:p>
        </w:tc>
        <w:tc>
          <w:tcPr>
            <w:tcW w:type="dxa" w:w="1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Weeks 9 to 12</w:t>
            </w:r>
          </w:p>
        </w:tc>
        <w:tc>
          <w:tcPr>
            <w:tcW w:type="dxa" w:w="6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Coordinated legal filings and domestic approvals; deliverable is ratification and national transposition in every Party</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Phase 4</w:t>
            </w:r>
          </w:p>
        </w:tc>
        <w:tc>
          <w:tcPr>
            <w:tcW w:type="dxa" w:w="1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Week 13</w:t>
            </w:r>
          </w:p>
        </w:tc>
        <w:tc>
          <w:tcPr>
            <w:tcW w:type="dxa" w:w="6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Synchronized implementation; deliverable is entry into force of the core tariff across the entire Coalition on a single date</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Phase 5</w:t>
            </w:r>
          </w:p>
        </w:tc>
        <w:tc>
          <w:tcPr>
            <w:tcW w:type="dxa" w:w="1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Ongoing</w:t>
            </w:r>
          </w:p>
        </w:tc>
        <w:tc>
          <w:tcPr>
            <w:tcW w:type="dxa" w:w="6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Monitoring, enforcement, review, and negotiation; deliverable is the settlement and coordinated rollback of Article 42</w:t>
            </w:r>
          </w:p>
        </w:tc>
      </w:tr>
    </w:tbl>
    <w:p>
      <w:pPr>
        <w:spacing w:after="220" w:before="60" w:line="260"/>
        <w:jc w:val="center"/>
      </w:pPr>
      <w:r>
        <w:rPr>
          <w:rFonts w:ascii="Calibri" w:cs="Calibri" w:eastAsia="SimHei" w:hAnsi="Calibri"/>
          <w:i/>
          <w:iCs/>
          <w:color w:val="5B6E8C"/>
          <w:sz w:val="18"/>
          <w:szCs w:val="18"/>
        </w:rPr>
        <w:t xml:space="preserve">Five-phase implementation timeline under Article 7.</w:t>
      </w:r>
    </w:p>
    <w:p>
      <w:pPr>
        <w:spacing w:after="181" w:line="306"/>
        <w:jc w:val="both"/>
      </w:pPr>
      <w:r>
        <w:rPr>
          <w:rFonts w:ascii="Calibri" w:cs="Calibri" w:eastAsia="SimHei" w:hAnsi="Calibri"/>
          <w:b/>
          <w:bCs/>
          <w:color w:val="0047AB"/>
          <w:sz w:val="22"/>
          <w:szCs w:val="22"/>
        </w:rPr>
        <w:t xml:space="preserve">7.3   </w:t>
      </w:r>
      <w:r>
        <w:rPr>
          <w:rFonts w:ascii="Georgia" w:cs="Georgia" w:eastAsia="SimSun" w:hAnsi="Georgia"/>
          <w:color w:val="20242E"/>
          <w:sz w:val="22"/>
          <w:szCs w:val="22"/>
        </w:rPr>
        <w:t xml:space="preserve">Domestic approvals proceed in parallel across the membership during Phase Three. Each Party deposits its instrument of ratification with the Depositary upon completion of its domestic procedures, and the Depositary notifies all Parties of each deposit. The Convention enters into force on the thirtieth day after the deposit of the eighth instrument, provided that the synchronized implementation date follows entry into force. Late ratifying Parties accede under Article 9 and join the regime on the next synchronized date that the Council fixes.</w:t>
      </w:r>
    </w:p>
    <w:p>
      <w:pPr>
        <w:spacing w:after="181" w:line="306"/>
        <w:jc w:val="both"/>
      </w:pPr>
      <w:r>
        <w:rPr>
          <w:rFonts w:ascii="Calibri" w:cs="Calibri" w:eastAsia="SimHei" w:hAnsi="Calibri"/>
          <w:b/>
          <w:bCs/>
          <w:color w:val="0047AB"/>
          <w:sz w:val="22"/>
          <w:szCs w:val="22"/>
        </w:rPr>
        <w:t xml:space="preserve">7.4   </w:t>
      </w:r>
      <w:r>
        <w:rPr>
          <w:rFonts w:ascii="Georgia" w:cs="Georgia" w:eastAsia="SimSun" w:hAnsi="Georgia"/>
          <w:color w:val="20242E"/>
          <w:sz w:val="22"/>
          <w:szCs w:val="22"/>
        </w:rPr>
        <w:t xml:space="preserve">The duration of the measures tracks the duration of the discriminatory United States measures. The tariff regime remains in force until the settlement conditions of Article 42 are met, and no Party possesses a unilateral sunset option. The Council reviews duration at every annual strategic review, and the review records a formal finding on the persistence of the conditions that justify the regime. The framework thereby answers endurance with endurance.</w:t>
      </w:r>
    </w:p>
    <w:p>
      <w:pPr>
        <w:pStyle w:val="Heading2"/>
        <w:keepNext/>
        <w:spacing w:after="128" w:before="235" w:line="300"/>
      </w:pPr>
      <w:r>
        <w:rPr>
          <w:rFonts w:ascii="Calibri" w:cs="Calibri" w:eastAsia="SimHei" w:hAnsi="Calibri"/>
          <w:b/>
          <w:bCs/>
          <w:color w:val="0047AB"/>
          <w:spacing w:val="8"/>
          <w:sz w:val="26"/>
          <w:szCs w:val="26"/>
        </w:rPr>
        <w:t xml:space="preserve">Article 8: Customs Administration and Origin Verification</w:t>
      </w:r>
    </w:p>
    <w:p>
      <w:pPr>
        <w:spacing w:after="181" w:line="306"/>
        <w:jc w:val="both"/>
      </w:pPr>
      <w:r>
        <w:rPr>
          <w:rFonts w:ascii="Calibri" w:cs="Calibri" w:eastAsia="SimHei" w:hAnsi="Calibri"/>
          <w:b/>
          <w:bCs/>
          <w:color w:val="0047AB"/>
          <w:sz w:val="22"/>
          <w:szCs w:val="22"/>
        </w:rPr>
        <w:t xml:space="preserve">8.1   </w:t>
      </w:r>
      <w:r>
        <w:rPr>
          <w:rFonts w:ascii="Georgia" w:cs="Georgia" w:eastAsia="SimSun" w:hAnsi="Georgia"/>
          <w:color w:val="20242E"/>
          <w:sz w:val="22"/>
          <w:szCs w:val="22"/>
        </w:rPr>
        <w:t xml:space="preserve">Each Party administers the tariff through its national customs authority under its national law, and this Convention imposes uniformity of rate, coverage, and timing rather than uniformity of procedure. The Tariff and Customs Working Group issues common guidance on valuation questions, classification disputes, and documentation standards. The guidance binds the interpretation that national authorities give to the coverage schedule. The Working Group resolves divergent classifications through a standing consultation procedure that concludes within thirty days.</w:t>
      </w:r>
    </w:p>
    <w:p>
      <w:pPr>
        <w:spacing w:after="181" w:line="306"/>
        <w:jc w:val="both"/>
      </w:pPr>
      <w:r>
        <w:rPr>
          <w:rFonts w:ascii="Calibri" w:cs="Calibri" w:eastAsia="SimHei" w:hAnsi="Calibri"/>
          <w:b/>
          <w:bCs/>
          <w:color w:val="0047AB"/>
          <w:sz w:val="22"/>
          <w:szCs w:val="22"/>
        </w:rPr>
        <w:t xml:space="preserve">8.2   </w:t>
      </w:r>
      <w:r>
        <w:rPr>
          <w:rFonts w:ascii="Georgia" w:cs="Georgia" w:eastAsia="SimSun" w:hAnsi="Georgia"/>
          <w:color w:val="20242E"/>
          <w:sz w:val="22"/>
          <w:szCs w:val="22"/>
        </w:rPr>
        <w:t xml:space="preserve">Origin verification prevents circumvention through third-country transshipment. The Coalition applies the origin rules of each Party's national law, and the Working Group aligns those rules through a common minimum standard that demands substantial transformation for conferral of non-United States origin. Customs authorities share declaration data through the secure channel of Article 32, and they flag anomalous routing patterns for joint review. Detected transshipment activates the anti-circumvention procedure, and the procedure adds the implicated routing to the common watch list.</w:t>
      </w:r>
    </w:p>
    <w:p>
      <w:pPr>
        <w:spacing w:after="181" w:line="306"/>
        <w:jc w:val="both"/>
      </w:pPr>
      <w:r>
        <w:rPr>
          <w:rFonts w:ascii="Calibri" w:cs="Calibri" w:eastAsia="SimHei" w:hAnsi="Calibri"/>
          <w:b/>
          <w:bCs/>
          <w:color w:val="0047AB"/>
          <w:sz w:val="22"/>
          <w:szCs w:val="22"/>
        </w:rPr>
        <w:t xml:space="preserve">8.3   </w:t>
      </w:r>
      <w:r>
        <w:rPr>
          <w:rFonts w:ascii="Georgia" w:cs="Georgia" w:eastAsia="SimSun" w:hAnsi="Georgia"/>
          <w:color w:val="20242E"/>
          <w:sz w:val="22"/>
          <w:szCs w:val="22"/>
        </w:rPr>
        <w:t xml:space="preserve">The anti-circumvention procedure operates in real time. A customs authority that identifies a suspected circumvention channel notifies the Working Group, and the Working Group convenes the affected Parties within ten working days. A confirmed channel triggers a synchronized tightening of documentation requirements for the channel across all Parties. The framework treats circumvention as a collective threat, and it answers the threat collectively.</w:t>
      </w:r>
    </w:p>
    <w:p>
      <w:pPr>
        <w:spacing w:after="181" w:line="306"/>
        <w:jc w:val="both"/>
      </w:pPr>
      <w:r>
        <w:rPr>
          <w:rFonts w:ascii="Calibri" w:cs="Calibri" w:eastAsia="SimHei" w:hAnsi="Calibri"/>
          <w:b/>
          <w:bCs/>
          <w:color w:val="0047AB"/>
          <w:sz w:val="22"/>
          <w:szCs w:val="22"/>
        </w:rPr>
        <w:t xml:space="preserve">8.4   </w:t>
      </w:r>
      <w:r>
        <w:rPr>
          <w:rFonts w:ascii="Georgia" w:cs="Georgia" w:eastAsia="SimSun" w:hAnsi="Georgia"/>
          <w:color w:val="20242E"/>
          <w:sz w:val="22"/>
          <w:szCs w:val="22"/>
        </w:rPr>
        <w:t xml:space="preserve">The Coalition maintains a common statistical baseline for measuring the regime's effect. Each Party reports monthly import data for covered goods by origin, volume, and value to the Standing Secretariat. The Secretariat consolidates the data into the monitoring dashboard of Article 40, and the dashboard tracks United States export volumes into the Coalition against the pre-regime baseline. Accurate measurement disciplines the review process and anchors the Coalition's public claims.</w:t>
      </w:r>
    </w:p>
    <w:p>
      <w:pPr>
        <w:pStyle w:val="Heading1"/>
        <w:keepNext/>
        <w:pageBreakBefore/>
        <w:spacing w:after="208" w:before="108" w:line="300"/>
      </w:pPr>
      <w:r>
        <w:rPr>
          <w:rFonts w:ascii="Calibri" w:cs="Calibri" w:eastAsia="SimHei" w:hAnsi="Calibri"/>
          <w:b/>
          <w:bCs/>
          <w:color w:val="0B2E6B"/>
          <w:spacing w:val="12"/>
          <w:sz w:val="32"/>
          <w:szCs w:val="32"/>
        </w:rPr>
        <w:t xml:space="preserve">Part III: Membership and Institutional Architecture</w:t>
      </w:r>
    </w:p>
    <w:p>
      <w:pPr>
        <w:pStyle w:val="Heading2"/>
        <w:keepNext/>
        <w:spacing w:after="128" w:before="235" w:line="300"/>
      </w:pPr>
      <w:r>
        <w:rPr>
          <w:rFonts w:ascii="Calibri" w:cs="Calibri" w:eastAsia="SimHei" w:hAnsi="Calibri"/>
          <w:b/>
          <w:bCs/>
          <w:color w:val="0047AB"/>
          <w:spacing w:val="8"/>
          <w:sz w:val="26"/>
          <w:szCs w:val="26"/>
        </w:rPr>
        <w:t xml:space="preserve">Article 9: Membership, Accession, and the Tiered Engagement Map</w:t>
      </w:r>
    </w:p>
    <w:p>
      <w:pPr>
        <w:spacing w:after="181" w:line="306"/>
        <w:jc w:val="both"/>
      </w:pPr>
      <w:r>
        <w:rPr>
          <w:rFonts w:ascii="Georgia" w:cs="Georgia" w:eastAsia="SimSun" w:hAnsi="Georgia"/>
          <w:color w:val="20242E"/>
          <w:sz w:val="22"/>
          <w:szCs w:val="22"/>
        </w:rPr>
        <w:t xml:space="preserve">Membership in the Coalition is open to every state and customs territory affected by discriminatory United States tariff measures. The Convention recognizes two membership categories, and both categories carry identical discipline obligations. The Coalition targets a founding membership of fifteen or more, and the tiered engagement map below organizes the outreach universe that Article 15 operationalizes. The map reflects each target's current posture toward the United States measures.</w:t>
      </w:r>
    </w:p>
    <w:p>
      <w:pPr>
        <w:spacing w:after="181" w:line="306"/>
        <w:jc w:val="both"/>
      </w:pPr>
      <w:r>
        <w:rPr>
          <w:rFonts w:ascii="Calibri" w:cs="Calibri" w:eastAsia="SimHei" w:hAnsi="Calibri"/>
          <w:b/>
          <w:bCs/>
          <w:color w:val="0047AB"/>
          <w:sz w:val="22"/>
          <w:szCs w:val="22"/>
        </w:rPr>
        <w:t xml:space="preserve">9.1   </w:t>
      </w:r>
      <w:r>
        <w:rPr>
          <w:rFonts w:ascii="Georgia" w:cs="Georgia" w:eastAsia="SimSun" w:hAnsi="Georgia"/>
          <w:color w:val="20242E"/>
          <w:sz w:val="22"/>
          <w:szCs w:val="22"/>
        </w:rPr>
        <w:t xml:space="preserve">Founding Parties are the states and customs territories that sign and ratify the Convention within twelve months of its opening for signature. Any state or customs territory accedes thereafter by notification of intent, adoption of the tariff measures of Article 5, and acceptance by a simple majority of existing Parties. The Depositary administers the accession file, and the Steering Committee verifies the adopting Party's schedule conformity before the Council votes. Accession takes effect on the synchronized date that the Council fixes for the acceding Party.</w:t>
      </w:r>
    </w:p>
    <w:p>
      <w:pPr>
        <w:spacing w:after="181" w:line="306"/>
        <w:jc w:val="both"/>
      </w:pPr>
      <w:r>
        <w:rPr>
          <w:rFonts w:ascii="Calibri" w:cs="Calibri" w:eastAsia="SimHei" w:hAnsi="Calibri"/>
          <w:b/>
          <w:bCs/>
          <w:color w:val="0047AB"/>
          <w:sz w:val="22"/>
          <w:szCs w:val="22"/>
        </w:rPr>
        <w:t xml:space="preserve">9.2   </w:t>
      </w:r>
      <w:r>
        <w:rPr>
          <w:rFonts w:ascii="Georgia" w:cs="Georgia" w:eastAsia="SimSun" w:hAnsi="Georgia"/>
          <w:color w:val="20242E"/>
          <w:sz w:val="22"/>
          <w:szCs w:val="22"/>
        </w:rPr>
        <w:t xml:space="preserve">Full Members implement the complete coverage schedule from their implementation date. Associate Members implement no less than half of the schedule by value, and they file with the Steering Committee a time-bound plan that reaches full implementation within eighteen months. Associate status suits members whose supply chains carry heavier United States dependence, and the category exists to widen the coalition without diluting the core. The Committee reviews each Associate plan quarterly, and a lapsed plan converts the membership file into a Council agenda item.</w:t>
      </w:r>
    </w:p>
    <w:p>
      <w:pPr>
        <w:spacing w:after="181" w:line="306"/>
        <w:jc w:val="both"/>
      </w:pPr>
      <w:r>
        <w:rPr>
          <w:rFonts w:ascii="Calibri" w:cs="Calibri" w:eastAsia="SimHei" w:hAnsi="Calibri"/>
          <w:b/>
          <w:bCs/>
          <w:color w:val="0047AB"/>
          <w:sz w:val="22"/>
          <w:szCs w:val="22"/>
        </w:rPr>
        <w:t xml:space="preserve">9.3   </w:t>
      </w:r>
      <w:r>
        <w:rPr>
          <w:rFonts w:ascii="Georgia" w:cs="Georgia" w:eastAsia="SimSun" w:hAnsi="Georgia"/>
          <w:color w:val="20242E"/>
          <w:sz w:val="22"/>
          <w:szCs w:val="22"/>
        </w:rPr>
        <w:t xml:space="preserve">The tiered engagement map assigns every outreach target to one of three tiers. Tier One comprises states already retaliating against the United States, and these targets anchor the founding group. Tier Two comprises states actively threatening or preparing retaliation, and these targets form the second ring of the coalition. Tier Three comprises significantly affected states whose tariff exposure creates a clear incentive to join, and these targets complete the path to the fifteen-member threshold and beyond. The Steering Committee revises the map quarterly as postures evolve.</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1200"/>
        <w:gridCol w:w="2200"/>
        <w:gridCol w:w="6000"/>
      </w:tblGrid>
      <w:tr>
        <w:trPr>
          <w:tblHeader/>
        </w:trPr>
        <w:tc>
          <w:tcPr>
            <w:tcW w:type="dxa" w:w="1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Tier</w:t>
            </w:r>
          </w:p>
        </w:tc>
        <w:tc>
          <w:tcPr>
            <w:tcW w:type="dxa" w:w="2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Target</w:t>
            </w:r>
          </w:p>
        </w:tc>
        <w:tc>
          <w:tcPr>
            <w:tcW w:type="dxa" w:w="60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Current Posture</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1</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China</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Retaliatory tariffs of 125 percent on United States goods in force</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1</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European Union</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Retaliation package of 26 billion euro adopted and notified to the World Trade Organization</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1</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Kingdom</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Notification of intent to retaliate filed at the World Trade Organization</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1</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Brazil</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Complaint filed at the World Trade Organization and domestic retaliation law enacted</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2</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Mexico</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Retaliatory tariffs ordered by executive decision</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2</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India</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Dispute consultations requested at the World Trade Organization</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2</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Japan</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Retaliation under active consideration; faces a 15 percent United States tariff</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2</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South Korea</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Retaliation under active consideration</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Taiwan</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20 percent United States tariff</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Vietnam</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46 percent United States tariff</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Thailand</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36 percent United States tariff</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Indonesia</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19 percent United States tariff</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Malaysia</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19 percent United States tariff</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Philippines</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19 percent United States tariff</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South Africa</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30 percent United States tariff</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Switzerland</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39 percent United States tariff</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Norway</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Faces a 15 percent United States tariff</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New Zealand</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Challenge filed at the World Trade Organization</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Tier 3</w:t>
            </w:r>
          </w:p>
        </w:tc>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Australia</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Public criticism voiced; legal options under review</w:t>
            </w:r>
          </w:p>
        </w:tc>
      </w:tr>
    </w:tbl>
    <w:p>
      <w:pPr>
        <w:spacing w:after="220" w:before="60" w:line="260"/>
        <w:jc w:val="center"/>
      </w:pPr>
      <w:r>
        <w:rPr>
          <w:rFonts w:ascii="Calibri" w:cs="Calibri" w:eastAsia="SimHei" w:hAnsi="Calibri"/>
          <w:i/>
          <w:iCs/>
          <w:color w:val="5B6E8C"/>
          <w:sz w:val="18"/>
          <w:szCs w:val="18"/>
        </w:rPr>
        <w:t xml:space="preserve">Tiered engagement map under Article 9, yielding a potential coalition of eighteen to twenty-two states.</w:t>
      </w:r>
    </w:p>
    <w:p>
      <w:pPr>
        <w:spacing w:after="181" w:line="306"/>
        <w:jc w:val="both"/>
      </w:pPr>
      <w:r>
        <w:rPr>
          <w:rFonts w:ascii="Calibri" w:cs="Calibri" w:eastAsia="SimHei" w:hAnsi="Calibri"/>
          <w:b/>
          <w:bCs/>
          <w:color w:val="0047AB"/>
          <w:sz w:val="22"/>
          <w:szCs w:val="22"/>
        </w:rPr>
        <w:t xml:space="preserve">9.4   </w:t>
      </w:r>
      <w:r>
        <w:rPr>
          <w:rFonts w:ascii="Georgia" w:cs="Georgia" w:eastAsia="SimSun" w:hAnsi="Georgia"/>
          <w:color w:val="20242E"/>
          <w:sz w:val="22"/>
          <w:szCs w:val="22"/>
        </w:rPr>
        <w:t xml:space="preserve">Membership carries no dues beyond the assessed contributions to the Standing Secretariat budget that the Council approves annually. The Council sets the assessment scale by consensus, and the scale reflects each Party's share of Coalition trade in covered goods. Contributions fund the Secretariat, the registry, the litigation support function, and the administration of the Stabilization Facility. Arrears of more than twelve months suspend voting rights until settled.</w:t>
      </w:r>
    </w:p>
    <w:p>
      <w:pPr>
        <w:pStyle w:val="Heading2"/>
        <w:keepNext/>
        <w:spacing w:after="128" w:before="235" w:line="300"/>
      </w:pPr>
      <w:r>
        <w:rPr>
          <w:rFonts w:ascii="Calibri" w:cs="Calibri" w:eastAsia="SimHei" w:hAnsi="Calibri"/>
          <w:b/>
          <w:bCs/>
          <w:color w:val="0047AB"/>
          <w:spacing w:val="8"/>
          <w:sz w:val="26"/>
          <w:szCs w:val="26"/>
        </w:rPr>
        <w:t xml:space="preserve">Article 10: The Coalition Council</w:t>
      </w:r>
    </w:p>
    <w:p>
      <w:pPr>
        <w:spacing w:after="181" w:line="306"/>
        <w:jc w:val="both"/>
      </w:pPr>
      <w:r>
        <w:rPr>
          <w:rFonts w:ascii="Calibri" w:cs="Calibri" w:eastAsia="SimHei" w:hAnsi="Calibri"/>
          <w:b/>
          <w:bCs/>
          <w:color w:val="0047AB"/>
          <w:sz w:val="22"/>
          <w:szCs w:val="22"/>
        </w:rPr>
        <w:t xml:space="preserve">10.1   </w:t>
      </w:r>
      <w:r>
        <w:rPr>
          <w:rFonts w:ascii="Georgia" w:cs="Georgia" w:eastAsia="SimSun" w:hAnsi="Georgia"/>
          <w:color w:val="20242E"/>
          <w:sz w:val="22"/>
          <w:szCs w:val="22"/>
        </w:rPr>
        <w:t xml:space="preserve">The Coalition Council is the principal decision-making body of the Coalition. Every Party seats one representative on the Council, and the Council meets in ordinary session twice yearly and in extraordinary session at the call of the Steering Committee or of one third of the Parties. The Council adopts its own rules of procedure at its first session. Canada chairs the first ordinary session, and thereafter the chair rotates among the Parties annually.</w:t>
      </w:r>
    </w:p>
    <w:p>
      <w:pPr>
        <w:spacing w:after="181" w:line="306"/>
        <w:jc w:val="both"/>
      </w:pPr>
      <w:r>
        <w:rPr>
          <w:rFonts w:ascii="Calibri" w:cs="Calibri" w:eastAsia="SimHei" w:hAnsi="Calibri"/>
          <w:b/>
          <w:bCs/>
          <w:color w:val="0047AB"/>
          <w:sz w:val="22"/>
          <w:szCs w:val="22"/>
        </w:rPr>
        <w:t xml:space="preserve">10.2   </w:t>
      </w:r>
      <w:r>
        <w:rPr>
          <w:rFonts w:ascii="Georgia" w:cs="Georgia" w:eastAsia="SimSun" w:hAnsi="Georgia"/>
          <w:color w:val="20242E"/>
          <w:sz w:val="22"/>
          <w:szCs w:val="22"/>
        </w:rPr>
        <w:t xml:space="preserve">The Council decides questions of substance by a supermajority of seventy percent of the Parties, and it decides operational and procedural questions by simple majority. Questions of substance include coverage expansion, core rate adjustment, escalation ladder movement, settlement approval, and amendment adoption. Operational questions include calendar management, budget approval, working group mandates, and registry administration. Every decision enters the register of decisions that the Depositary maintains.</w:t>
      </w:r>
    </w:p>
    <w:p>
      <w:pPr>
        <w:spacing w:after="181" w:line="306"/>
        <w:jc w:val="both"/>
      </w:pPr>
      <w:r>
        <w:rPr>
          <w:rFonts w:ascii="Calibri" w:cs="Calibri" w:eastAsia="SimHei" w:hAnsi="Calibri"/>
          <w:b/>
          <w:bCs/>
          <w:color w:val="0047AB"/>
          <w:sz w:val="22"/>
          <w:szCs w:val="22"/>
        </w:rPr>
        <w:t xml:space="preserve">10.3   </w:t>
      </w:r>
      <w:r>
        <w:rPr>
          <w:rFonts w:ascii="Georgia" w:cs="Georgia" w:eastAsia="SimSun" w:hAnsi="Georgia"/>
          <w:color w:val="20242E"/>
          <w:sz w:val="22"/>
          <w:szCs w:val="22"/>
        </w:rPr>
        <w:t xml:space="preserve">The Council holds exclusive authority over the coordinated rollback of Article 42. No other organ suspends, terminates, or dilutes the core measures. The Council exercises this authority only when the settlement conditions are met, and it acts through a synchronized rollback decision that binds every Party on a common date. The concentration of this authority in the full membership forecloses fragmented exits.</w:t>
      </w:r>
    </w:p>
    <w:p>
      <w:pPr>
        <w:pStyle w:val="Heading2"/>
        <w:keepNext/>
        <w:spacing w:after="128" w:before="235" w:line="300"/>
      </w:pPr>
      <w:r>
        <w:rPr>
          <w:rFonts w:ascii="Calibri" w:cs="Calibri" w:eastAsia="SimHei" w:hAnsi="Calibri"/>
          <w:b/>
          <w:bCs/>
          <w:color w:val="0047AB"/>
          <w:spacing w:val="8"/>
          <w:sz w:val="26"/>
          <w:szCs w:val="26"/>
        </w:rPr>
        <w:t xml:space="preserve">Article 11: The Steering Committee</w:t>
      </w:r>
    </w:p>
    <w:p>
      <w:pPr>
        <w:spacing w:after="181" w:line="306"/>
        <w:jc w:val="both"/>
      </w:pPr>
      <w:r>
        <w:rPr>
          <w:rFonts w:ascii="Calibri" w:cs="Calibri" w:eastAsia="SimHei" w:hAnsi="Calibri"/>
          <w:b/>
          <w:bCs/>
          <w:color w:val="0047AB"/>
          <w:sz w:val="22"/>
          <w:szCs w:val="22"/>
        </w:rPr>
        <w:t xml:space="preserve">11.1   </w:t>
      </w:r>
      <w:r>
        <w:rPr>
          <w:rFonts w:ascii="Georgia" w:cs="Georgia" w:eastAsia="SimSun" w:hAnsi="Georgia"/>
          <w:color w:val="20242E"/>
          <w:sz w:val="22"/>
          <w:szCs w:val="22"/>
        </w:rPr>
        <w:t xml:space="preserve">The Steering Committee directs the day-to-day operation of the Coalition. Canada chairs the Committee as Lead Nation, and four to six additional members rotate through the Committee on twelve-month terms drawn from the major regional groupings of the membership. The founding rotation seats the European Union, China, Brazil, Mexico, and India alongside Canada. The Council elects subsequent rotations by simple majority.</w:t>
      </w:r>
    </w:p>
    <w:p>
      <w:pPr>
        <w:spacing w:after="181" w:line="306"/>
        <w:jc w:val="both"/>
      </w:pPr>
      <w:r>
        <w:rPr>
          <w:rFonts w:ascii="Calibri" w:cs="Calibri" w:eastAsia="SimHei" w:hAnsi="Calibri"/>
          <w:b/>
          <w:bCs/>
          <w:color w:val="0047AB"/>
          <w:sz w:val="22"/>
          <w:szCs w:val="22"/>
        </w:rPr>
        <w:t xml:space="preserve">11.2   </w:t>
      </w:r>
      <w:r>
        <w:rPr>
          <w:rFonts w:ascii="Georgia" w:cs="Georgia" w:eastAsia="SimSun" w:hAnsi="Georgia"/>
          <w:color w:val="20242E"/>
          <w:sz w:val="22"/>
          <w:szCs w:val="22"/>
        </w:rPr>
        <w:t xml:space="preserve">The Committee oversees the implementation timeline of Article 7 and the synchronization calendar. It coordinates the legal strategy of Part VII, the communications doctrine of Part VIII, and the escalation ladder of Part IX. It monitors United States actions continuously, and it recommends unified responses to the Council. It approves Associate Member implementation plans, registers exemptions, and administers the defection procedures of Part V.</w:t>
      </w:r>
    </w:p>
    <w:p>
      <w:pPr>
        <w:spacing w:after="181" w:line="306"/>
        <w:jc w:val="both"/>
      </w:pPr>
      <w:r>
        <w:rPr>
          <w:rFonts w:ascii="Calibri" w:cs="Calibri" w:eastAsia="SimHei" w:hAnsi="Calibri"/>
          <w:b/>
          <w:bCs/>
          <w:color w:val="0047AB"/>
          <w:sz w:val="22"/>
          <w:szCs w:val="22"/>
        </w:rPr>
        <w:t xml:space="preserve">11.3   </w:t>
      </w:r>
      <w:r>
        <w:rPr>
          <w:rFonts w:ascii="Georgia" w:cs="Georgia" w:eastAsia="SimSun" w:hAnsi="Georgia"/>
          <w:color w:val="20242E"/>
          <w:sz w:val="22"/>
          <w:szCs w:val="22"/>
        </w:rPr>
        <w:t xml:space="preserve">The Committee meets weekly during Phases One through Four and biweekly thereafter. Meetings proceed by secure video conference, and the Committee convenes in person at the margins of the Council's ordinary sessions. A quorum consists of two thirds of the Committee's members, and the Committee decides by consensus where possible and by simple majority otherwise. The Secretariat services the Committee and circulates its decisions within twenty-four hours.</w:t>
      </w:r>
    </w:p>
    <w:p>
      <w:pPr>
        <w:spacing w:after="181" w:line="306"/>
        <w:jc w:val="both"/>
      </w:pPr>
      <w:r>
        <w:rPr>
          <w:rFonts w:ascii="Calibri" w:cs="Calibri" w:eastAsia="SimHei" w:hAnsi="Calibri"/>
          <w:b/>
          <w:bCs/>
          <w:color w:val="0047AB"/>
          <w:sz w:val="22"/>
          <w:szCs w:val="22"/>
        </w:rPr>
        <w:t xml:space="preserve">11.4   </w:t>
      </w:r>
      <w:r>
        <w:rPr>
          <w:rFonts w:ascii="Georgia" w:cs="Georgia" w:eastAsia="SimSun" w:hAnsi="Georgia"/>
          <w:color w:val="20242E"/>
          <w:sz w:val="22"/>
          <w:szCs w:val="22"/>
        </w:rPr>
        <w:t xml:space="preserve">The Committee commands no authority to alter the core rate, to expand coverage, or to approve settlement, because those powers belong to the Council alone. The Committee's authority is executive and coordinative, and every Committee decision remains subject to review by the Council at the request of any three Parties. This division of authority keeps the framework fast in operation and deliberate in strategy. The structure also distributes leadership visibly across the membership.</w:t>
      </w:r>
    </w:p>
    <w:p>
      <w:pPr>
        <w:pStyle w:val="Heading2"/>
        <w:keepNext/>
        <w:spacing w:after="128" w:before="235" w:line="300"/>
      </w:pPr>
      <w:r>
        <w:rPr>
          <w:rFonts w:ascii="Calibri" w:cs="Calibri" w:eastAsia="SimHei" w:hAnsi="Calibri"/>
          <w:b/>
          <w:bCs/>
          <w:color w:val="0047AB"/>
          <w:spacing w:val="8"/>
          <w:sz w:val="26"/>
          <w:szCs w:val="26"/>
        </w:rPr>
        <w:t xml:space="preserve">Article 12: The Technical Working Groups</w:t>
      </w:r>
    </w:p>
    <w:p>
      <w:pPr>
        <w:spacing w:after="181" w:line="306"/>
        <w:jc w:val="both"/>
      </w:pPr>
      <w:r>
        <w:rPr>
          <w:rFonts w:ascii="Calibri" w:cs="Calibri" w:eastAsia="SimHei" w:hAnsi="Calibri"/>
          <w:b/>
          <w:bCs/>
          <w:color w:val="0047AB"/>
          <w:sz w:val="22"/>
          <w:szCs w:val="22"/>
        </w:rPr>
        <w:t xml:space="preserve">12.1   </w:t>
      </w:r>
      <w:r>
        <w:rPr>
          <w:rFonts w:ascii="Georgia" w:cs="Georgia" w:eastAsia="SimSun" w:hAnsi="Georgia"/>
          <w:color w:val="20242E"/>
          <w:sz w:val="22"/>
          <w:szCs w:val="22"/>
        </w:rPr>
        <w:t xml:space="preserve">The Council establishes four standing Technical Working Groups, and each Working Group reports to the Steering Committee. The Legal Working Group prepares the joint and parallel dispute filings of Article 28, maintains the unified legal argument of Article 29, and drafts the alternative pathway instruments of Article 30. The Tariff and Customs Working Group maintains the coverage schedule, the classification guidance, and the anti-circumvention watch list. Each Working Group meets at least monthly and more often as its caseload demands.</w:t>
      </w:r>
    </w:p>
    <w:p>
      <w:pPr>
        <w:spacing w:after="181" w:line="306"/>
        <w:jc w:val="both"/>
      </w:pPr>
      <w:r>
        <w:rPr>
          <w:rFonts w:ascii="Calibri" w:cs="Calibri" w:eastAsia="SimHei" w:hAnsi="Calibri"/>
          <w:b/>
          <w:bCs/>
          <w:color w:val="0047AB"/>
          <w:sz w:val="22"/>
          <w:szCs w:val="22"/>
        </w:rPr>
        <w:t xml:space="preserve">12.2   </w:t>
      </w:r>
      <w:r>
        <w:rPr>
          <w:rFonts w:ascii="Georgia" w:cs="Georgia" w:eastAsia="SimSun" w:hAnsi="Georgia"/>
          <w:color w:val="20242E"/>
          <w:sz w:val="22"/>
          <w:szCs w:val="22"/>
        </w:rPr>
        <w:t xml:space="preserve">The Supply Chain and Exemptions Working Group maintains the supplier mapping on which substitution depends. It validates exemption claims under Article 6, accelerates alternative sourcing during safeguards, and administers the rewiring agreements of Article 25. The Communications and Public Messaging Working Group operates the secure channel of Article 32, drafts the unified external narrative of Article 33, and prepares the domestic shielding materials of Article 34. The table below summarizes the mandates.</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2200"/>
        <w:gridCol w:w="3600"/>
        <w:gridCol w:w="3600"/>
      </w:tblGrid>
      <w:tr>
        <w:trPr>
          <w:tblHeader/>
        </w:trPr>
        <w:tc>
          <w:tcPr>
            <w:tcW w:type="dxa" w:w="2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Working Group</w:t>
            </w:r>
          </w:p>
        </w:tc>
        <w:tc>
          <w:tcPr>
            <w:tcW w:type="dxa" w:w="3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Core Mandate</w:t>
            </w:r>
          </w:p>
        </w:tc>
        <w:tc>
          <w:tcPr>
            <w:tcW w:type="dxa" w:w="3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Standing Outputs</w:t>
            </w:r>
          </w:p>
        </w:tc>
      </w:tr>
      <w:tr>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Legal</w:t>
            </w:r>
          </w:p>
        </w:tc>
        <w:tc>
          <w:tcPr>
            <w:tcW w:type="dxa" w:w="3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Joint and parallel World Trade Organization filings; unified legal argument; alternative pathway instruments</w:t>
            </w:r>
          </w:p>
        </w:tc>
        <w:tc>
          <w:tcPr>
            <w:tcW w:type="dxa" w:w="3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Consolidated dispute files; model pleadings; authorization strategy memoranda</w:t>
            </w:r>
          </w:p>
        </w:tc>
      </w:tr>
      <w:tr>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Tariff and Customs</w:t>
            </w:r>
          </w:p>
        </w:tc>
        <w:tc>
          <w:tcPr>
            <w:tcW w:type="dxa" w:w="3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Coverage schedule; classification guidance; origin verification; anti-circumvention watch list</w:t>
            </w:r>
          </w:p>
        </w:tc>
        <w:tc>
          <w:tcPr>
            <w:tcW w:type="dxa" w:w="3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Consolidated schedule; guidance circulars; watch list updates</w:t>
            </w:r>
          </w:p>
        </w:tc>
      </w:tr>
      <w:tr>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Supply Chain and Exemptions</w:t>
            </w:r>
          </w:p>
        </w:tc>
        <w:tc>
          <w:tcPr>
            <w:tcW w:type="dxa" w:w="3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Supplier mapping; exemption validation; safeguard sourcing; rewiring agreements</w:t>
            </w:r>
          </w:p>
        </w:tc>
        <w:tc>
          <w:tcPr>
            <w:tcW w:type="dxa" w:w="3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Substitution analyses; sourcing directories; rewiring compacts</w:t>
            </w:r>
          </w:p>
        </w:tc>
      </w:tr>
      <w:tr>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Communications and Public Messaging</w:t>
            </w:r>
          </w:p>
        </w:tc>
        <w:tc>
          <w:tcPr>
            <w:tcW w:type="dxa" w:w="3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Secure channel; unified narrative; domestic shielding materials</w:t>
            </w:r>
          </w:p>
        </w:tc>
        <w:tc>
          <w:tcPr>
            <w:tcW w:type="dxa" w:w="3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Message matrices; press lines; industry briefing packs</w:t>
            </w:r>
          </w:p>
        </w:tc>
      </w:tr>
    </w:tbl>
    <w:p>
      <w:pPr>
        <w:spacing w:after="220" w:before="60" w:line="260"/>
        <w:jc w:val="center"/>
      </w:pPr>
      <w:r>
        <w:rPr>
          <w:rFonts w:ascii="Calibri" w:cs="Calibri" w:eastAsia="SimHei" w:hAnsi="Calibri"/>
          <w:i/>
          <w:iCs/>
          <w:color w:val="5B6E8C"/>
          <w:sz w:val="18"/>
          <w:szCs w:val="18"/>
        </w:rPr>
        <w:t xml:space="preserve">Standing Technical Working Groups under Article 12.</w:t>
      </w:r>
    </w:p>
    <w:p>
      <w:pPr>
        <w:spacing w:after="181" w:line="306"/>
        <w:jc w:val="both"/>
      </w:pPr>
      <w:r>
        <w:rPr>
          <w:rFonts w:ascii="Calibri" w:cs="Calibri" w:eastAsia="SimHei" w:hAnsi="Calibri"/>
          <w:b/>
          <w:bCs/>
          <w:color w:val="0047AB"/>
          <w:sz w:val="22"/>
          <w:szCs w:val="22"/>
        </w:rPr>
        <w:t xml:space="preserve">12.3   </w:t>
      </w:r>
      <w:r>
        <w:rPr>
          <w:rFonts w:ascii="Georgia" w:cs="Georgia" w:eastAsia="SimSun" w:hAnsi="Georgia"/>
          <w:color w:val="20242E"/>
          <w:sz w:val="22"/>
          <w:szCs w:val="22"/>
        </w:rPr>
        <w:t xml:space="preserve">Each Working Group comprises technical experts whom the Parties nominate, and each Party seats at least one expert in the group of its choice. The Steering Committee appoints a convenor for each group from among the nominated experts, and convenors serve twelve-month terms. Working Groups decide by consensus, and they escalate unresolved questions to the Steering Committee with a full record of positions. The groups possess advisory and preparatory authority, while decision authority remains with the Committee and the Council.</w:t>
      </w:r>
    </w:p>
    <w:p>
      <w:pPr>
        <w:pStyle w:val="Heading2"/>
        <w:keepNext/>
        <w:spacing w:after="128" w:before="235" w:line="300"/>
      </w:pPr>
      <w:r>
        <w:rPr>
          <w:rFonts w:ascii="Calibri" w:cs="Calibri" w:eastAsia="SimHei" w:hAnsi="Calibri"/>
          <w:b/>
          <w:bCs/>
          <w:color w:val="0047AB"/>
          <w:spacing w:val="8"/>
          <w:sz w:val="26"/>
          <w:szCs w:val="26"/>
        </w:rPr>
        <w:t xml:space="preserve">Article 13: The Depositary and the Standing Secretariat</w:t>
      </w:r>
    </w:p>
    <w:p>
      <w:pPr>
        <w:spacing w:after="181" w:line="306"/>
        <w:jc w:val="both"/>
      </w:pPr>
      <w:r>
        <w:rPr>
          <w:rFonts w:ascii="Calibri" w:cs="Calibri" w:eastAsia="SimHei" w:hAnsi="Calibri"/>
          <w:b/>
          <w:bCs/>
          <w:color w:val="0047AB"/>
          <w:sz w:val="22"/>
          <w:szCs w:val="22"/>
        </w:rPr>
        <w:t xml:space="preserve">13.1   </w:t>
      </w:r>
      <w:r>
        <w:rPr>
          <w:rFonts w:ascii="Georgia" w:cs="Georgia" w:eastAsia="SimSun" w:hAnsi="Georgia"/>
          <w:color w:val="20242E"/>
          <w:sz w:val="22"/>
          <w:szCs w:val="22"/>
        </w:rPr>
        <w:t xml:space="preserve">Canada acts as Depositary of the Convention. The Depositary receives and registers instruments of ratification and accession, notifications of exemption and safeguard, records of Council and Committee decisions, and the consolidated coverage schedules. The Depositary notifies all Parties of every registration within seven days. The Depositary also convenes the first session of the Council and certifies the authentic texts of the Convention.</w:t>
      </w:r>
    </w:p>
    <w:p>
      <w:pPr>
        <w:spacing w:after="181" w:line="306"/>
        <w:jc w:val="both"/>
      </w:pPr>
      <w:r>
        <w:rPr>
          <w:rFonts w:ascii="Calibri" w:cs="Calibri" w:eastAsia="SimHei" w:hAnsi="Calibri"/>
          <w:b/>
          <w:bCs/>
          <w:color w:val="0047AB"/>
          <w:sz w:val="22"/>
          <w:szCs w:val="22"/>
        </w:rPr>
        <w:t xml:space="preserve">13.2   </w:t>
      </w:r>
      <w:r>
        <w:rPr>
          <w:rFonts w:ascii="Georgia" w:cs="Georgia" w:eastAsia="SimSun" w:hAnsi="Georgia"/>
          <w:color w:val="20242E"/>
          <w:sz w:val="22"/>
          <w:szCs w:val="22"/>
        </w:rPr>
        <w:t xml:space="preserve">The Standing Secretariat operates from Ottawa under the authority of the Council, and the Committee directs its daily work. The Secretariat maintains the registry, the monitoring dashboard, the secure communications channel, and the meeting calendar. It services every organ of the Coalition, and it publishes the public register that Article 5 establishes. The Council approves the Secretariat's budget and staffing table annually.</w:t>
      </w:r>
    </w:p>
    <w:p>
      <w:pPr>
        <w:spacing w:after="181" w:line="306"/>
        <w:jc w:val="both"/>
      </w:pPr>
      <w:r>
        <w:rPr>
          <w:rFonts w:ascii="Calibri" w:cs="Calibri" w:eastAsia="SimHei" w:hAnsi="Calibri"/>
          <w:b/>
          <w:bCs/>
          <w:color w:val="0047AB"/>
          <w:sz w:val="22"/>
          <w:szCs w:val="22"/>
        </w:rPr>
        <w:t xml:space="preserve">13.3   </w:t>
      </w:r>
      <w:r>
        <w:rPr>
          <w:rFonts w:ascii="Georgia" w:cs="Georgia" w:eastAsia="SimSun" w:hAnsi="Georgia"/>
          <w:color w:val="20242E"/>
          <w:sz w:val="22"/>
          <w:szCs w:val="22"/>
        </w:rPr>
        <w:t xml:space="preserve">The Secretariat functions with strict neutrality among the Parties notwithstanding its Canadian hosting. Its staff owe their duties to the Coalition as a whole, and the host state applies no instruction to the Secretariat's substantive work. The Committee evaluates the Secretariat's performance annually, and the Council renews or relocates the hosting arrangement by consensus every five years. The framework thereby separates the honor of hosting from the risks of capture.</w:t>
      </w:r>
    </w:p>
    <w:p>
      <w:pPr>
        <w:pStyle w:val="Heading1"/>
        <w:keepNext/>
        <w:pageBreakBefore/>
        <w:spacing w:after="208" w:before="108" w:line="300"/>
      </w:pPr>
      <w:r>
        <w:rPr>
          <w:rFonts w:ascii="Calibri" w:cs="Calibri" w:eastAsia="SimHei" w:hAnsi="Calibri"/>
          <w:b/>
          <w:bCs/>
          <w:color w:val="0B2E6B"/>
          <w:spacing w:val="12"/>
          <w:sz w:val="32"/>
          <w:szCs w:val="32"/>
        </w:rPr>
        <w:t xml:space="preserve">Part IV: The Canada Outreach Plan</w:t>
      </w:r>
    </w:p>
    <w:p>
      <w:pPr>
        <w:pStyle w:val="Heading2"/>
        <w:keepNext/>
        <w:spacing w:after="128" w:before="235" w:line="300"/>
      </w:pPr>
      <w:r>
        <w:rPr>
          <w:rFonts w:ascii="Calibri" w:cs="Calibri" w:eastAsia="SimHei" w:hAnsi="Calibri"/>
          <w:b/>
          <w:bCs/>
          <w:color w:val="0047AB"/>
          <w:spacing w:val="8"/>
          <w:sz w:val="26"/>
          <w:szCs w:val="26"/>
        </w:rPr>
        <w:t xml:space="preserve">Article 14: The Lead Nation Mandate</w:t>
      </w:r>
    </w:p>
    <w:p>
      <w:pPr>
        <w:spacing w:after="181" w:line="306"/>
        <w:jc w:val="both"/>
      </w:pPr>
      <w:r>
        <w:rPr>
          <w:rFonts w:ascii="Georgia" w:cs="Georgia" w:eastAsia="SimSun" w:hAnsi="Georgia"/>
          <w:color w:val="20242E"/>
          <w:sz w:val="22"/>
          <w:szCs w:val="22"/>
        </w:rPr>
        <w:t xml:space="preserve">This Part constitutes the outreach plan by which Canada organizes the Coalition, and it forms an operative part of the Convention rather than a political annex. The mandate assigns Canada specific duties, specific timelines, and specific deliverables, and the Steering Committee tracks Canada's performance against each of them. The mandate reflects the finding of Article 2 that Canada possesses the existing retaliatory framework, the pending dispute filings, and the declared coalition-building commitment that leadership demands. Canada accepts the mandate upon signature.</w:t>
      </w:r>
    </w:p>
    <w:p>
      <w:pPr>
        <w:spacing w:after="181" w:line="306"/>
        <w:jc w:val="both"/>
      </w:pPr>
      <w:r>
        <w:rPr>
          <w:rFonts w:ascii="Calibri" w:cs="Calibri" w:eastAsia="SimHei" w:hAnsi="Calibri"/>
          <w:b/>
          <w:bCs/>
          <w:color w:val="0047AB"/>
          <w:sz w:val="22"/>
          <w:szCs w:val="22"/>
        </w:rPr>
        <w:t xml:space="preserve">14.1   </w:t>
      </w:r>
      <w:r>
        <w:rPr>
          <w:rFonts w:ascii="Georgia" w:cs="Georgia" w:eastAsia="SimSun" w:hAnsi="Georgia"/>
          <w:color w:val="20242E"/>
          <w:sz w:val="22"/>
          <w:szCs w:val="22"/>
        </w:rPr>
        <w:t xml:space="preserve">Canada designates a senior diplomat of ambassadorial rank as Coalition Envoy within seven days of the Convention's opening for signature. The Envoy directs the bilateral outreach phase, prepares the briefing materials for every target state, and reports weekly to the Prime Minister's Office and to the Steering Committee. Global Affairs Canada provides the Envoy with a dedicated directorate, and the Minister of International Trade carries the political level engagement. The Prime Minister's Office owns head-of-government outreach to Tier One targets.</w:t>
      </w:r>
    </w:p>
    <w:p>
      <w:pPr>
        <w:spacing w:after="181" w:line="306"/>
        <w:jc w:val="both"/>
      </w:pPr>
      <w:r>
        <w:rPr>
          <w:rFonts w:ascii="Calibri" w:cs="Calibri" w:eastAsia="SimHei" w:hAnsi="Calibri"/>
          <w:b/>
          <w:bCs/>
          <w:color w:val="0047AB"/>
          <w:sz w:val="22"/>
          <w:szCs w:val="22"/>
        </w:rPr>
        <w:t xml:space="preserve">14.2   </w:t>
      </w:r>
      <w:r>
        <w:rPr>
          <w:rFonts w:ascii="Georgia" w:cs="Georgia" w:eastAsia="SimSun" w:hAnsi="Georgia"/>
          <w:color w:val="20242E"/>
          <w:sz w:val="22"/>
          <w:szCs w:val="22"/>
        </w:rPr>
        <w:t xml:space="preserve">The lead agencies of the outreach campaign are Global Affairs Canada, the Prime Minister's Office, and the Minister of International Trade. Global Affairs Canada runs the diplomatic machinery, drafts the model instruments, and services the Envoy. The Prime Minister's Office directs strategy and conducts leader-level engagement. The Minister of International Trade carries the trade policy case into every capital and aligns the outreach with Canada's existing retaliatory framework. The three agencies operate a joint task force for the duration of Phases One and Two.</w:t>
      </w:r>
    </w:p>
    <w:p>
      <w:pPr>
        <w:spacing w:after="181" w:line="306"/>
        <w:jc w:val="both"/>
      </w:pPr>
      <w:r>
        <w:rPr>
          <w:rFonts w:ascii="Calibri" w:cs="Calibri" w:eastAsia="SimHei" w:hAnsi="Calibri"/>
          <w:b/>
          <w:bCs/>
          <w:color w:val="0047AB"/>
          <w:sz w:val="22"/>
          <w:szCs w:val="22"/>
        </w:rPr>
        <w:t xml:space="preserve">14.3   </w:t>
      </w:r>
      <w:r>
        <w:rPr>
          <w:rFonts w:ascii="Georgia" w:cs="Georgia" w:eastAsia="SimSun" w:hAnsi="Georgia"/>
          <w:color w:val="20242E"/>
          <w:sz w:val="22"/>
          <w:szCs w:val="22"/>
        </w:rPr>
        <w:t xml:space="preserve">Canada prepares a standard outreach package for every target state. The package contains the negotiating draft of this Convention, a country-specific impact assessment, the supplier substitution analysis, the model domestic implementing provision of Annex A, and the communications pack of Article 33. The Envoy tailors each package to the target's tariff exposure, trade composition, and domestic political calendar. The package travels in the working languages of the target wherever the Secretariat's translation capacity permits.</w:t>
      </w:r>
    </w:p>
    <w:p>
      <w:pPr>
        <w:spacing w:after="181" w:line="306"/>
        <w:jc w:val="both"/>
      </w:pPr>
      <w:r>
        <w:rPr>
          <w:rFonts w:ascii="Calibri" w:cs="Calibri" w:eastAsia="SimHei" w:hAnsi="Calibri"/>
          <w:b/>
          <w:bCs/>
          <w:color w:val="0047AB"/>
          <w:sz w:val="22"/>
          <w:szCs w:val="22"/>
        </w:rPr>
        <w:t xml:space="preserve">14.4   </w:t>
      </w:r>
      <w:r>
        <w:rPr>
          <w:rFonts w:ascii="Georgia" w:cs="Georgia" w:eastAsia="SimSun" w:hAnsi="Georgia"/>
          <w:color w:val="20242E"/>
          <w:sz w:val="22"/>
          <w:szCs w:val="22"/>
        </w:rPr>
        <w:t xml:space="preserve">Canada funds the startup costs of the outreach campaign and the Founding Summit from its own appropriations. The Lead Nation presents a full accounting of startup costs to the Council at its first ordinary session. The accounting enters the register, and the Council determines the treatment of startup costs within the Secretariat budget. The Lead Nation thereby absorbs the organizer's burden without converting it into a claim of privilege.</w:t>
      </w:r>
    </w:p>
    <w:p>
      <w:pPr>
        <w:pStyle w:val="Heading2"/>
        <w:keepNext/>
        <w:spacing w:after="128" w:before="235" w:line="300"/>
      </w:pPr>
      <w:r>
        <w:rPr>
          <w:rFonts w:ascii="Calibri" w:cs="Calibri" w:eastAsia="SimHei" w:hAnsi="Calibri"/>
          <w:b/>
          <w:bCs/>
          <w:color w:val="0047AB"/>
          <w:spacing w:val="8"/>
          <w:sz w:val="26"/>
          <w:szCs w:val="26"/>
        </w:rPr>
        <w:t xml:space="preserve">Article 15: The Bilateral Outreach Phase</w:t>
      </w:r>
    </w:p>
    <w:p>
      <w:pPr>
        <w:spacing w:after="181" w:line="306"/>
        <w:jc w:val="both"/>
      </w:pPr>
      <w:r>
        <w:rPr>
          <w:rFonts w:ascii="Calibri" w:cs="Calibri" w:eastAsia="SimHei" w:hAnsi="Calibri"/>
          <w:b/>
          <w:bCs/>
          <w:color w:val="0047AB"/>
          <w:sz w:val="22"/>
          <w:szCs w:val="22"/>
        </w:rPr>
        <w:t xml:space="preserve">15.1   </w:t>
      </w:r>
      <w:r>
        <w:rPr>
          <w:rFonts w:ascii="Georgia" w:cs="Georgia" w:eastAsia="SimSun" w:hAnsi="Georgia"/>
          <w:color w:val="20242E"/>
          <w:sz w:val="22"/>
          <w:szCs w:val="22"/>
        </w:rPr>
        <w:t xml:space="preserve">The bilateral outreach phase occupies Weeks One through Four of the implementation timeline. The Envoy conducts direct, one-on-one diplomatic engagements with every target on the tiered engagement map, beginning with the Tier One anchors. The Envoy completes first-round contact with China, the European Union, the United Kingdom, and Brazil within the first ten days. Each engagement seeks a signed participation confirmation, and the confirmations accumulate toward the founding threshold of fifteen.</w:t>
      </w:r>
    </w:p>
    <w:p>
      <w:pPr>
        <w:spacing w:after="181" w:line="306"/>
        <w:jc w:val="both"/>
      </w:pPr>
      <w:r>
        <w:rPr>
          <w:rFonts w:ascii="Calibri" w:cs="Calibri" w:eastAsia="SimHei" w:hAnsi="Calibri"/>
          <w:b/>
          <w:bCs/>
          <w:color w:val="0047AB"/>
          <w:sz w:val="22"/>
          <w:szCs w:val="22"/>
        </w:rPr>
        <w:t xml:space="preserve">15.2   </w:t>
      </w:r>
      <w:r>
        <w:rPr>
          <w:rFonts w:ascii="Georgia" w:cs="Georgia" w:eastAsia="SimSun" w:hAnsi="Georgia"/>
          <w:color w:val="20242E"/>
          <w:sz w:val="22"/>
          <w:szCs w:val="22"/>
        </w:rPr>
        <w:t xml:space="preserve">The Envoy sequences the outreach to build visible momentum. Tier One confirmations come first because they signal inevitability to every later target, and each signed confirmation enters the public register within twenty-four hours. Tier Two engagements run in parallel through deputy-level teams, and the Envoy personally closes each Tier Two file. Tier Three engagement begins in Week Three and draws on the demonstration effect of the earlier tiers. The sequencing logic turns time itself into an organizing instrument.</w:t>
      </w:r>
    </w:p>
    <w:p>
      <w:pPr>
        <w:spacing w:after="181" w:line="306"/>
        <w:jc w:val="both"/>
      </w:pPr>
      <w:r>
        <w:rPr>
          <w:rFonts w:ascii="Calibri" w:cs="Calibri" w:eastAsia="SimHei" w:hAnsi="Calibri"/>
          <w:b/>
          <w:bCs/>
          <w:color w:val="0047AB"/>
          <w:sz w:val="22"/>
          <w:szCs w:val="22"/>
        </w:rPr>
        <w:t xml:space="preserve">15.3   </w:t>
      </w:r>
      <w:r>
        <w:rPr>
          <w:rFonts w:ascii="Georgia" w:cs="Georgia" w:eastAsia="SimSun" w:hAnsi="Georgia"/>
          <w:color w:val="20242E"/>
          <w:sz w:val="22"/>
          <w:szCs w:val="22"/>
        </w:rPr>
        <w:t xml:space="preserve">Every bilateral engagement follows a common discipline. The Envoy presents the outreach package, records the target's concerns, and logs every United States offer or pressure signal that the target discloses. The Envoy makes no bilateral concessions on the core rate, the coverage schedule, or the discipline architecture, because those elements belong to the framework and not to any negotiator. The Envoy refers every demand for modification to the Steering Committee. The log of each engagement enters the secure channel for the entire Coalition to read.</w:t>
      </w:r>
    </w:p>
    <w:p>
      <w:pPr>
        <w:spacing w:after="181" w:line="306"/>
        <w:jc w:val="both"/>
      </w:pPr>
      <w:r>
        <w:rPr>
          <w:rFonts w:ascii="Calibri" w:cs="Calibri" w:eastAsia="SimHei" w:hAnsi="Calibri"/>
          <w:b/>
          <w:bCs/>
          <w:color w:val="0047AB"/>
          <w:sz w:val="22"/>
          <w:szCs w:val="22"/>
        </w:rPr>
        <w:t xml:space="preserve">15.4   </w:t>
      </w:r>
      <w:r>
        <w:rPr>
          <w:rFonts w:ascii="Georgia" w:cs="Georgia" w:eastAsia="SimSun" w:hAnsi="Georgia"/>
          <w:color w:val="20242E"/>
          <w:sz w:val="22"/>
          <w:szCs w:val="22"/>
        </w:rPr>
        <w:t xml:space="preserve">The bilateral phase closes with a defined deliverable. The Envoy reports the full tally of participation confirmations, conditional confirmations, and refusals to the Steering Committee at the end of Week Four. The report includes the Envoy's assessment of each outstanding file and a recommended convening list for the Founding Summit. The Committee adopts the convening list within three days, and the Depositary issues the summit invitations. The phase thereby hands a concrete foundation to the convening phase.</w:t>
      </w:r>
    </w:p>
    <w:p>
      <w:pPr>
        <w:pStyle w:val="Heading2"/>
        <w:keepNext/>
        <w:spacing w:after="128" w:before="235" w:line="300"/>
      </w:pPr>
      <w:r>
        <w:rPr>
          <w:rFonts w:ascii="Calibri" w:cs="Calibri" w:eastAsia="SimHei" w:hAnsi="Calibri"/>
          <w:b/>
          <w:bCs/>
          <w:color w:val="0047AB"/>
          <w:spacing w:val="8"/>
          <w:sz w:val="26"/>
          <w:szCs w:val="26"/>
        </w:rPr>
        <w:t xml:space="preserve">Article 16: The Multilateral Convening Phase and the Founding Summit</w:t>
      </w:r>
    </w:p>
    <w:p>
      <w:pPr>
        <w:spacing w:after="181" w:line="306"/>
        <w:jc w:val="both"/>
      </w:pPr>
      <w:r>
        <w:rPr>
          <w:rFonts w:ascii="Calibri" w:cs="Calibri" w:eastAsia="SimHei" w:hAnsi="Calibri"/>
          <w:b/>
          <w:bCs/>
          <w:color w:val="0047AB"/>
          <w:sz w:val="22"/>
          <w:szCs w:val="22"/>
        </w:rPr>
        <w:t xml:space="preserve">16.1   </w:t>
      </w:r>
      <w:r>
        <w:rPr>
          <w:rFonts w:ascii="Georgia" w:cs="Georgia" w:eastAsia="SimSun" w:hAnsi="Georgia"/>
          <w:color w:val="20242E"/>
          <w:sz w:val="22"/>
          <w:szCs w:val="22"/>
        </w:rPr>
        <w:t xml:space="preserve">The multilateral convening phase occupies Weeks Five through Eight. Canada hosts the Founding Summit in Ottawa, in person wherever conditions permit and by secure video conference as a standing alternative. The summit gathers every state that has signed a participation confirmation, and it opens the Convention for signature. The Depositary administers the signature ceremony, and the signed texts enter the register on the day of signature.</w:t>
      </w:r>
    </w:p>
    <w:p>
      <w:pPr>
        <w:spacing w:after="181" w:line="306"/>
        <w:jc w:val="both"/>
      </w:pPr>
      <w:r>
        <w:rPr>
          <w:rFonts w:ascii="Calibri" w:cs="Calibri" w:eastAsia="SimHei" w:hAnsi="Calibri"/>
          <w:b/>
          <w:bCs/>
          <w:color w:val="0047AB"/>
          <w:sz w:val="22"/>
          <w:szCs w:val="22"/>
        </w:rPr>
        <w:t xml:space="preserve">16.2   </w:t>
      </w:r>
      <w:r>
        <w:rPr>
          <w:rFonts w:ascii="Georgia" w:cs="Georgia" w:eastAsia="SimSun" w:hAnsi="Georgia"/>
          <w:color w:val="20242E"/>
          <w:sz w:val="22"/>
          <w:szCs w:val="22"/>
        </w:rPr>
        <w:t xml:space="preserve">The summit agenda follows a fixed order. The participants first share intelligence on United States plastics export data and sector vulnerabilities, and the Secretariat consolidates the contributions into the baseline dataset of Article 8. The participants then adopt the common rate of 20 percent and the synchronized implementation date. The participants next coordinate the legal strategy of Part VII and adopt the joint communications plan of Article 33. The participants finally constitute the Steering Committee, confirm the working group convenors, and adopt the summit communique.</w:t>
      </w:r>
    </w:p>
    <w:p>
      <w:pPr>
        <w:spacing w:after="181" w:line="306"/>
        <w:jc w:val="both"/>
      </w:pPr>
      <w:r>
        <w:rPr>
          <w:rFonts w:ascii="Calibri" w:cs="Calibri" w:eastAsia="SimHei" w:hAnsi="Calibri"/>
          <w:b/>
          <w:bCs/>
          <w:color w:val="0047AB"/>
          <w:sz w:val="22"/>
          <w:szCs w:val="22"/>
        </w:rPr>
        <w:t xml:space="preserve">16.3   </w:t>
      </w:r>
      <w:r>
        <w:rPr>
          <w:rFonts w:ascii="Georgia" w:cs="Georgia" w:eastAsia="SimSun" w:hAnsi="Georgia"/>
          <w:color w:val="20242E"/>
          <w:sz w:val="22"/>
          <w:szCs w:val="22"/>
        </w:rPr>
        <w:t xml:space="preserve">Canada supplements the Founding Summit with engagement at standing multilateral venues. The Envoy places the Convention on the margins of Group of Seven processes, drawing on Canada's hosting relationships from its 2025 presidency year. The Coalition's members coordinate their interventions at World Trade Organization ministerial sessions to present the Convention as the lawful answer to unlawful measures. Virtual ministerial checkpoints between the summit and the implementation date hold the coalition's alignment. Every venue serves the single purpose of widening and deepening the Coalition.</w:t>
      </w:r>
    </w:p>
    <w:p>
      <w:pPr>
        <w:spacing w:after="181" w:line="306"/>
        <w:jc w:val="both"/>
      </w:pPr>
      <w:r>
        <w:rPr>
          <w:rFonts w:ascii="Calibri" w:cs="Calibri" w:eastAsia="SimHei" w:hAnsi="Calibri"/>
          <w:b/>
          <w:bCs/>
          <w:color w:val="0047AB"/>
          <w:sz w:val="22"/>
          <w:szCs w:val="22"/>
        </w:rPr>
        <w:t xml:space="preserve">16.4   </w:t>
      </w:r>
      <w:r>
        <w:rPr>
          <w:rFonts w:ascii="Georgia" w:cs="Georgia" w:eastAsia="SimSun" w:hAnsi="Georgia"/>
          <w:color w:val="20242E"/>
          <w:sz w:val="22"/>
          <w:szCs w:val="22"/>
        </w:rPr>
        <w:t xml:space="preserve">The convening phase closes with three deliverables. The first deliverable is the signed Convention with its founding membership. The second deliverable is the fixed synchronized implementation date, announced jointly by the founding Parties. The third deliverable is the constitutive decision of the Steering Committee and the working group convenors. The Depositary circulates all three deliverables within forty-eight hours of the summit's close.</w:t>
      </w:r>
    </w:p>
    <w:p>
      <w:pPr>
        <w:pStyle w:val="Heading2"/>
        <w:keepNext/>
        <w:spacing w:after="128" w:before="235" w:line="300"/>
      </w:pPr>
      <w:r>
        <w:rPr>
          <w:rFonts w:ascii="Calibri" w:cs="Calibri" w:eastAsia="SimHei" w:hAnsi="Calibri"/>
          <w:b/>
          <w:bCs/>
          <w:color w:val="0047AB"/>
          <w:spacing w:val="8"/>
          <w:sz w:val="26"/>
          <w:szCs w:val="26"/>
        </w:rPr>
        <w:t xml:space="preserve">Article 17: The Outreach Messaging Doctrine</w:t>
      </w:r>
    </w:p>
    <w:p>
      <w:pPr>
        <w:spacing w:after="181" w:line="306"/>
        <w:jc w:val="both"/>
      </w:pPr>
      <w:r>
        <w:rPr>
          <w:rFonts w:ascii="Calibri" w:cs="Calibri" w:eastAsia="SimHei" w:hAnsi="Calibri"/>
          <w:b/>
          <w:bCs/>
          <w:color w:val="0047AB"/>
          <w:sz w:val="22"/>
          <w:szCs w:val="22"/>
        </w:rPr>
        <w:t xml:space="preserve">17.1   </w:t>
      </w:r>
      <w:r>
        <w:rPr>
          <w:rFonts w:ascii="Georgia" w:cs="Georgia" w:eastAsia="SimSun" w:hAnsi="Georgia"/>
          <w:color w:val="20242E"/>
          <w:sz w:val="22"/>
          <w:szCs w:val="22"/>
        </w:rPr>
        <w:t xml:space="preserve">The outreach campaign speaks with one voice in every capital. The core message states that the United States tariffs are illegal under World Trade Organization rules and harm every target alike. The second message states that each state alone is vulnerable, while the states together are unstoppable. The third message states that a coordinated 20 percent tariff on United States plastics is a surgical strike that imposes maximum pressure on the United States and minimum pain on the coalition. The Envoy delivers all three messages in every engagement, and the communications pack carries them in writing.</w:t>
      </w:r>
    </w:p>
    <w:p>
      <w:pPr>
        <w:spacing w:after="181" w:line="306"/>
        <w:jc w:val="both"/>
      </w:pPr>
      <w:r>
        <w:rPr>
          <w:rFonts w:ascii="Calibri" w:cs="Calibri" w:eastAsia="SimHei" w:hAnsi="Calibri"/>
          <w:b/>
          <w:bCs/>
          <w:color w:val="0047AB"/>
          <w:sz w:val="22"/>
          <w:szCs w:val="22"/>
        </w:rPr>
        <w:t xml:space="preserve">17.2   </w:t>
      </w:r>
      <w:r>
        <w:rPr>
          <w:rFonts w:ascii="Georgia" w:cs="Georgia" w:eastAsia="SimSun" w:hAnsi="Georgia"/>
          <w:color w:val="20242E"/>
          <w:sz w:val="22"/>
          <w:szCs w:val="22"/>
        </w:rPr>
        <w:t xml:space="preserve">The messaging doctrine tailors emphasis without altering substance. For Tier One targets, the Envoy emphasizes consolidation of existing retaliation into the common front. For Tier Two targets, the Envoy emphasizes the safety that numbers confer and the side benefits of Article 23 through Article 27. For Tier Three targets, the Envoy emphasizes the substitution analysis and the modest fiscal exposure that the tariff entails. Every variation stays inside the approved message matrix, and improvisation on substance is prohibited.</w:t>
      </w:r>
    </w:p>
    <w:p>
      <w:pPr>
        <w:spacing w:after="181" w:line="306"/>
        <w:jc w:val="both"/>
      </w:pPr>
      <w:r>
        <w:rPr>
          <w:rFonts w:ascii="Calibri" w:cs="Calibri" w:eastAsia="SimHei" w:hAnsi="Calibri"/>
          <w:b/>
          <w:bCs/>
          <w:color w:val="0047AB"/>
          <w:sz w:val="22"/>
          <w:szCs w:val="22"/>
        </w:rPr>
        <w:t xml:space="preserve">17.3   </w:t>
      </w:r>
      <w:r>
        <w:rPr>
          <w:rFonts w:ascii="Georgia" w:cs="Georgia" w:eastAsia="SimSun" w:hAnsi="Georgia"/>
          <w:color w:val="20242E"/>
          <w:sz w:val="22"/>
          <w:szCs w:val="22"/>
        </w:rPr>
        <w:t xml:space="preserve">The doctrine addresses the hardest question directly. Every target asks what happens when the United States offers a separate deal, and the doctrine answers with the discipline architecture of Part V: the public commitment, the transparency register, the commitment window, and the solidarity instruments. The Envoy presents these mechanisms as protection for the target rather than as constraint upon it. The frame matters, because a coalition that looks like a trap gathers no members. The doctrine therefore presents discipline as mutual insurance.</w:t>
      </w:r>
    </w:p>
    <w:p>
      <w:pPr>
        <w:spacing w:after="181" w:line="306"/>
        <w:jc w:val="both"/>
      </w:pPr>
      <w:r>
        <w:rPr>
          <w:rFonts w:ascii="Calibri" w:cs="Calibri" w:eastAsia="SimHei" w:hAnsi="Calibri"/>
          <w:b/>
          <w:bCs/>
          <w:color w:val="0047AB"/>
          <w:sz w:val="22"/>
          <w:szCs w:val="22"/>
        </w:rPr>
        <w:t xml:space="preserve">17.4   </w:t>
      </w:r>
      <w:r>
        <w:rPr>
          <w:rFonts w:ascii="Georgia" w:cs="Georgia" w:eastAsia="SimSun" w:hAnsi="Georgia"/>
          <w:color w:val="20242E"/>
          <w:sz w:val="22"/>
          <w:szCs w:val="22"/>
        </w:rPr>
        <w:t xml:space="preserve">The doctrine assigns message discipline to the Coalition's entire leadership. Ministers, ambassadors, and spokespersons of the Parties draw on the same message matrix in every public and private setting. The Communications Working Group updates the matrix as circumstances evolve, and updates circulate through the secure channel within one working day. Contradictory public statements by any Party trigger an immediate clarification duty. Consistency of voice is itself a show of strength.</w:t>
      </w:r>
    </w:p>
    <w:p>
      <w:pPr>
        <w:pStyle w:val="Heading2"/>
        <w:keepNext/>
        <w:spacing w:after="128" w:before="235" w:line="300"/>
      </w:pPr>
      <w:r>
        <w:rPr>
          <w:rFonts w:ascii="Calibri" w:cs="Calibri" w:eastAsia="SimHei" w:hAnsi="Calibri"/>
          <w:b/>
          <w:bCs/>
          <w:color w:val="0047AB"/>
          <w:spacing w:val="8"/>
          <w:sz w:val="26"/>
          <w:szCs w:val="26"/>
        </w:rPr>
        <w:t xml:space="preserve">Article 18: Overcoming the Collective Action Problem</w:t>
      </w:r>
    </w:p>
    <w:p>
      <w:pPr>
        <w:spacing w:after="181" w:line="306"/>
        <w:jc w:val="both"/>
      </w:pPr>
      <w:r>
        <w:rPr>
          <w:rFonts w:ascii="Calibri" w:cs="Calibri" w:eastAsia="SimHei" w:hAnsi="Calibri"/>
          <w:b/>
          <w:bCs/>
          <w:color w:val="0047AB"/>
          <w:sz w:val="22"/>
          <w:szCs w:val="22"/>
        </w:rPr>
        <w:t xml:space="preserve">18.1   </w:t>
      </w:r>
      <w:r>
        <w:rPr>
          <w:rFonts w:ascii="Georgia" w:cs="Georgia" w:eastAsia="SimSun" w:hAnsi="Georgia"/>
          <w:color w:val="20242E"/>
          <w:sz w:val="22"/>
          <w:szCs w:val="22"/>
        </w:rPr>
        <w:t xml:space="preserve">The Parties acknowledge that the coalition confronts a classic prisoner's dilemma, in which each member faces the temptation of a separate arrangement with the United States. The Convention answers the dilemma structurally rather than rhetorically. The lock-in mechanism of Article 19 makes backsliding politically costly through public commitment. The side benefits of Part VI make membership economically sticky through market access, stabilization finance, and intelligence support. The defection consequences of Article 22 make departure expensive. Together these mechanisms change the payoff on every side of the table.</w:t>
      </w:r>
    </w:p>
    <w:p>
      <w:pPr>
        <w:spacing w:after="181" w:line="306"/>
        <w:jc w:val="both"/>
      </w:pPr>
      <w:r>
        <w:rPr>
          <w:rFonts w:ascii="Calibri" w:cs="Calibri" w:eastAsia="SimHei" w:hAnsi="Calibri"/>
          <w:b/>
          <w:bCs/>
          <w:color w:val="0047AB"/>
          <w:sz w:val="22"/>
          <w:szCs w:val="22"/>
        </w:rPr>
        <w:t xml:space="preserve">18.2   </w:t>
      </w:r>
      <w:r>
        <w:rPr>
          <w:rFonts w:ascii="Georgia" w:cs="Georgia" w:eastAsia="SimSun" w:hAnsi="Georgia"/>
          <w:color w:val="20242E"/>
          <w:sz w:val="22"/>
          <w:szCs w:val="22"/>
        </w:rPr>
        <w:t xml:space="preserve">The first structural answer is the public lock-in. Each acceding Party issues a public commitment instrument in the form of Annex C, and the instrument states the Party's adherence to the core rate, the commitment window, and the no-side-deals rule. Public commitments raise the domestic political cost of reversal, because reversal then reads as capitulation before a watching electorate. The Depositary publishes every commitment instrument. Visibility does the work that trust alone cannot.</w:t>
      </w:r>
    </w:p>
    <w:p>
      <w:pPr>
        <w:spacing w:after="181" w:line="306"/>
        <w:jc w:val="both"/>
      </w:pPr>
      <w:r>
        <w:rPr>
          <w:rFonts w:ascii="Calibri" w:cs="Calibri" w:eastAsia="SimHei" w:hAnsi="Calibri"/>
          <w:b/>
          <w:bCs/>
          <w:color w:val="0047AB"/>
          <w:sz w:val="22"/>
          <w:szCs w:val="22"/>
        </w:rPr>
        <w:t xml:space="preserve">18.3   </w:t>
      </w:r>
      <w:r>
        <w:rPr>
          <w:rFonts w:ascii="Georgia" w:cs="Georgia" w:eastAsia="SimSun" w:hAnsi="Georgia"/>
          <w:color w:val="20242E"/>
          <w:sz w:val="22"/>
          <w:szCs w:val="22"/>
        </w:rPr>
        <w:t xml:space="preserve">The second structural answer is the benefit stack. Members in good standing draw on the mutual market access guarantees, the Stabilization Facility, the supply chain rewiring compacts, the agricultural protection protocol, and the legal shielding program. Each benefit arrives only through membership, and each benefit disappears upon defection. The benefit stack converts the coalition from a burden-sharing arrangement into a benefit-sharing arrangement. The Parties design the stack so that the rational calculation favors staying.</w:t>
      </w:r>
    </w:p>
    <w:p>
      <w:pPr>
        <w:spacing w:after="181" w:line="306"/>
        <w:jc w:val="both"/>
      </w:pPr>
      <w:r>
        <w:rPr>
          <w:rFonts w:ascii="Calibri" w:cs="Calibri" w:eastAsia="SimHei" w:hAnsi="Calibri"/>
          <w:b/>
          <w:bCs/>
          <w:color w:val="0047AB"/>
          <w:sz w:val="22"/>
          <w:szCs w:val="22"/>
        </w:rPr>
        <w:t xml:space="preserve">18.4   </w:t>
      </w:r>
      <w:r>
        <w:rPr>
          <w:rFonts w:ascii="Georgia" w:cs="Georgia" w:eastAsia="SimSun" w:hAnsi="Georgia"/>
          <w:color w:val="20242E"/>
          <w:sz w:val="22"/>
          <w:szCs w:val="22"/>
        </w:rPr>
        <w:t xml:space="preserve">The third structural answer is time. The commitment window of Article 21 fixes a horizon of twelve to eighteen months during which no member reduces coverage or signs a separate arrangement. The window defeats shock tactics that depend on stampeding individual governments in the first weeks of pressure. The window also creates a stable planning horizon for the negotiation track. Time itself becomes a coalition asset.</w:t>
      </w:r>
    </w:p>
    <w:p>
      <w:pPr>
        <w:pStyle w:val="Heading1"/>
        <w:keepNext/>
        <w:pageBreakBefore/>
        <w:spacing w:after="208" w:before="108" w:line="300"/>
      </w:pPr>
      <w:r>
        <w:rPr>
          <w:rFonts w:ascii="Calibri" w:cs="Calibri" w:eastAsia="SimHei" w:hAnsi="Calibri"/>
          <w:b/>
          <w:bCs/>
          <w:color w:val="0B2E6B"/>
          <w:spacing w:val="12"/>
          <w:sz w:val="32"/>
          <w:szCs w:val="32"/>
        </w:rPr>
        <w:t xml:space="preserve">Part V: Coalition Discipline and Non-Defection</w:t>
      </w:r>
    </w:p>
    <w:p>
      <w:pPr>
        <w:pStyle w:val="Heading2"/>
        <w:keepNext/>
        <w:spacing w:after="128" w:before="235" w:line="300"/>
      </w:pPr>
      <w:r>
        <w:rPr>
          <w:rFonts w:ascii="Calibri" w:cs="Calibri" w:eastAsia="SimHei" w:hAnsi="Calibri"/>
          <w:b/>
          <w:bCs/>
          <w:color w:val="0047AB"/>
          <w:spacing w:val="8"/>
          <w:sz w:val="26"/>
          <w:szCs w:val="26"/>
        </w:rPr>
        <w:t xml:space="preserve">Article 19: The Non-Defection Architecture</w:t>
      </w:r>
    </w:p>
    <w:p>
      <w:pPr>
        <w:spacing w:after="181" w:line="306"/>
        <w:jc w:val="both"/>
      </w:pPr>
      <w:r>
        <w:rPr>
          <w:rFonts w:ascii="Calibri" w:cs="Calibri" w:eastAsia="SimHei" w:hAnsi="Calibri"/>
          <w:b/>
          <w:bCs/>
          <w:color w:val="0047AB"/>
          <w:sz w:val="22"/>
          <w:szCs w:val="22"/>
        </w:rPr>
        <w:t xml:space="preserve">19.1   </w:t>
      </w:r>
      <w:r>
        <w:rPr>
          <w:rFonts w:ascii="Georgia" w:cs="Georgia" w:eastAsia="SimSun" w:hAnsi="Georgia"/>
          <w:color w:val="20242E"/>
          <w:sz w:val="22"/>
          <w:szCs w:val="22"/>
        </w:rPr>
        <w:t xml:space="preserve">The framework architecture includes a mutual non-defection pact as a founding feature. Every Party commits publicly to the coalition's measures, and the commitment carries two automatic edges. A Party that breaks ranks loses access to every coalition benefit, and a Party that holds firm retains guaranteed support from the entire membership. The pact operates as a structural property of the framework rather than as a promise exchanged between governments of the day.</w:t>
      </w:r>
    </w:p>
    <w:p>
      <w:pPr>
        <w:spacing w:after="181" w:line="306"/>
        <w:jc w:val="both"/>
      </w:pPr>
      <w:r>
        <w:rPr>
          <w:rFonts w:ascii="Calibri" w:cs="Calibri" w:eastAsia="SimHei" w:hAnsi="Calibri"/>
          <w:b/>
          <w:bCs/>
          <w:color w:val="0047AB"/>
          <w:sz w:val="22"/>
          <w:szCs w:val="22"/>
        </w:rPr>
        <w:t xml:space="preserve">19.2   </w:t>
      </w:r>
      <w:r>
        <w:rPr>
          <w:rFonts w:ascii="Georgia" w:cs="Georgia" w:eastAsia="SimSun" w:hAnsi="Georgia"/>
          <w:color w:val="20242E"/>
          <w:sz w:val="22"/>
          <w:szCs w:val="22"/>
        </w:rPr>
        <w:t xml:space="preserve">The pact takes written form in the public commitment instrument of Annex C. Each Party's head of government or foreign minister signs the instrument at accession, and the Depositary publishes it immediately. The instrument states the core rate, the commitment window, the no-side-deals rule, and the rollback rule in plain language. Domestic publication forms part of the instrument, and each Party circulates it through its official gazette or equivalent publication.</w:t>
      </w:r>
    </w:p>
    <w:p>
      <w:pPr>
        <w:spacing w:after="181" w:line="306"/>
        <w:jc w:val="both"/>
      </w:pPr>
      <w:r>
        <w:rPr>
          <w:rFonts w:ascii="Calibri" w:cs="Calibri" w:eastAsia="SimHei" w:hAnsi="Calibri"/>
          <w:b/>
          <w:bCs/>
          <w:color w:val="0047AB"/>
          <w:sz w:val="22"/>
          <w:szCs w:val="22"/>
        </w:rPr>
        <w:t xml:space="preserve">19.3   </w:t>
      </w:r>
      <w:r>
        <w:rPr>
          <w:rFonts w:ascii="Georgia" w:cs="Georgia" w:eastAsia="SimSun" w:hAnsi="Georgia"/>
          <w:color w:val="20242E"/>
          <w:sz w:val="22"/>
          <w:szCs w:val="22"/>
        </w:rPr>
        <w:t xml:space="preserve">The pact binds successors as well as signatories. A change of government within a Party leaves the commitment untouched, because the commitment attaches to the state rather than to the administration. The domestic legal lock-in of Article 31 reinforces this continuity at the national level. A Party that seeks to exit follows only the coordinated rollback path of Article 42. The architecture thereby survives the electoral cycles of every member.</w:t>
      </w:r>
    </w:p>
    <w:p>
      <w:pPr>
        <w:pStyle w:val="Heading2"/>
        <w:keepNext/>
        <w:spacing w:after="128" w:before="235" w:line="300"/>
      </w:pPr>
      <w:r>
        <w:rPr>
          <w:rFonts w:ascii="Calibri" w:cs="Calibri" w:eastAsia="SimHei" w:hAnsi="Calibri"/>
          <w:b/>
          <w:bCs/>
          <w:color w:val="0047AB"/>
          <w:spacing w:val="8"/>
          <w:sz w:val="26"/>
          <w:szCs w:val="26"/>
        </w:rPr>
        <w:t xml:space="preserve">Article 20: The No Side Deals Transparency Mechanism</w:t>
      </w:r>
    </w:p>
    <w:p>
      <w:pPr>
        <w:spacing w:after="181" w:line="306"/>
        <w:jc w:val="both"/>
      </w:pPr>
      <w:r>
        <w:rPr>
          <w:rFonts w:ascii="Calibri" w:cs="Calibri" w:eastAsia="SimHei" w:hAnsi="Calibri"/>
          <w:b/>
          <w:bCs/>
          <w:color w:val="0047AB"/>
          <w:sz w:val="22"/>
          <w:szCs w:val="22"/>
        </w:rPr>
        <w:t xml:space="preserve">20.1   </w:t>
      </w:r>
      <w:r>
        <w:rPr>
          <w:rFonts w:ascii="Georgia" w:cs="Georgia" w:eastAsia="SimSun" w:hAnsi="Georgia"/>
          <w:color w:val="20242E"/>
          <w:sz w:val="22"/>
          <w:szCs w:val="22"/>
        </w:rPr>
        <w:t xml:space="preserve">The framework operates a transparency mechanism that forecloses quiet divide-and-conquer diplomacy. Any Party that receives a United States offer touching its plastics tariffs, its coalition commitments, or any related trade concession discloses the offer to the Steering Committee within five working days. The disclosure states the offer's terms, its channel, and its conditionality. The Committee circulates the disclosure to all Parties through the secure channel.</w:t>
      </w:r>
    </w:p>
    <w:p>
      <w:pPr>
        <w:spacing w:after="181" w:line="306"/>
        <w:jc w:val="both"/>
      </w:pPr>
      <w:r>
        <w:rPr>
          <w:rFonts w:ascii="Calibri" w:cs="Calibri" w:eastAsia="SimHei" w:hAnsi="Calibri"/>
          <w:b/>
          <w:bCs/>
          <w:color w:val="0047AB"/>
          <w:sz w:val="22"/>
          <w:szCs w:val="22"/>
        </w:rPr>
        <w:t xml:space="preserve">20.2   </w:t>
      </w:r>
      <w:r>
        <w:rPr>
          <w:rFonts w:ascii="Georgia" w:cs="Georgia" w:eastAsia="SimSun" w:hAnsi="Georgia"/>
          <w:color w:val="20242E"/>
          <w:sz w:val="22"/>
          <w:szCs w:val="22"/>
        </w:rPr>
        <w:t xml:space="preserve">The framework architecture excludes acceptance of bilateral arrangements that reduce a Party's coverage below the coalition floor during the commitment window. A Party that receives such an offer consults the Committee before responding, and the consultation concludes within ten working days. The Committee records the Party's response and the offer's disposition in the register. The mechanism never forbids dialogue; it forbids only the concealed deal.</w:t>
      </w:r>
    </w:p>
    <w:p>
      <w:pPr>
        <w:spacing w:after="181" w:line="306"/>
        <w:jc w:val="both"/>
      </w:pPr>
      <w:r>
        <w:rPr>
          <w:rFonts w:ascii="Calibri" w:cs="Calibri" w:eastAsia="SimHei" w:hAnsi="Calibri"/>
          <w:b/>
          <w:bCs/>
          <w:color w:val="0047AB"/>
          <w:sz w:val="22"/>
          <w:szCs w:val="22"/>
        </w:rPr>
        <w:t xml:space="preserve">20.3   </w:t>
      </w:r>
      <w:r>
        <w:rPr>
          <w:rFonts w:ascii="Georgia" w:cs="Georgia" w:eastAsia="SimSun" w:hAnsi="Georgia"/>
          <w:color w:val="20242E"/>
          <w:sz w:val="22"/>
          <w:szCs w:val="22"/>
        </w:rPr>
        <w:t xml:space="preserve">Concealment is itself a discipline breach. A Party that fails to disclose a covered offer faces the graduated consequences of Article 22, and the Council determines the grade after hearing the Party. The register records every breach determination, and the record remains public. The certainty of exposure deters the concealed approach before it begins. Transparency thereby functions as the coalition's early warning system.</w:t>
      </w:r>
    </w:p>
    <w:p>
      <w:pPr>
        <w:pStyle w:val="Heading2"/>
        <w:keepNext/>
        <w:spacing w:after="128" w:before="235" w:line="300"/>
      </w:pPr>
      <w:r>
        <w:rPr>
          <w:rFonts w:ascii="Calibri" w:cs="Calibri" w:eastAsia="SimHei" w:hAnsi="Calibri"/>
          <w:b/>
          <w:bCs/>
          <w:color w:val="0047AB"/>
          <w:spacing w:val="8"/>
          <w:sz w:val="26"/>
          <w:szCs w:val="26"/>
        </w:rPr>
        <w:t xml:space="preserve">Article 21: The Minimum Tariff Floor and the Commitment Window</w:t>
      </w:r>
    </w:p>
    <w:p>
      <w:pPr>
        <w:spacing w:after="181" w:line="306"/>
        <w:jc w:val="both"/>
      </w:pPr>
      <w:r>
        <w:rPr>
          <w:rFonts w:ascii="Calibri" w:cs="Calibri" w:eastAsia="SimHei" w:hAnsi="Calibri"/>
          <w:b/>
          <w:bCs/>
          <w:color w:val="0047AB"/>
          <w:sz w:val="22"/>
          <w:szCs w:val="22"/>
        </w:rPr>
        <w:t xml:space="preserve">21.1   </w:t>
      </w:r>
      <w:r>
        <w:rPr>
          <w:rFonts w:ascii="Georgia" w:cs="Georgia" w:eastAsia="SimSun" w:hAnsi="Georgia"/>
          <w:color w:val="20242E"/>
          <w:sz w:val="22"/>
          <w:szCs w:val="22"/>
        </w:rPr>
        <w:t xml:space="preserve">Every Full Member maintains the core rate of 20 percent ad valorem on the full coverage schedule as an absolute floor. Exemptions operate only within the narrow procedure of Article 6, and safeguards operate only within the time limits of that article. No domestic process lowers the floor, because the floor is a treaty obligation of fixed content. The floor binds every Full Member identically, and the register displays compliance continuously.</w:t>
      </w:r>
    </w:p>
    <w:p>
      <w:pPr>
        <w:spacing w:after="181" w:line="306"/>
        <w:jc w:val="both"/>
      </w:pPr>
      <w:r>
        <w:rPr>
          <w:rFonts w:ascii="Calibri" w:cs="Calibri" w:eastAsia="SimHei" w:hAnsi="Calibri"/>
          <w:b/>
          <w:bCs/>
          <w:color w:val="0047AB"/>
          <w:sz w:val="22"/>
          <w:szCs w:val="22"/>
        </w:rPr>
        <w:t xml:space="preserve">21.2   </w:t>
      </w:r>
      <w:r>
        <w:rPr>
          <w:rFonts w:ascii="Georgia" w:cs="Georgia" w:eastAsia="SimSun" w:hAnsi="Georgia"/>
          <w:color w:val="20242E"/>
          <w:sz w:val="22"/>
          <w:szCs w:val="22"/>
        </w:rPr>
        <w:t xml:space="preserve">The commitment window opens on each Party's implementation date and runs for twelve months, extendable to eighteen by Council decision. Within the window, no Party reduces its coverage, suspends the core rate outside the safeguard procedure, or concludes a separate arrangement with the United States touching the covered goods. The window ends early only upon a Council decision to open the negotiation track under Article 42. The fixed horizon steadies every member through the period of maximum pressure.</w:t>
      </w:r>
    </w:p>
    <w:p>
      <w:pPr>
        <w:spacing w:after="181" w:line="306"/>
        <w:jc w:val="both"/>
      </w:pPr>
      <w:r>
        <w:rPr>
          <w:rFonts w:ascii="Calibri" w:cs="Calibri" w:eastAsia="SimHei" w:hAnsi="Calibri"/>
          <w:b/>
          <w:bCs/>
          <w:color w:val="0047AB"/>
          <w:sz w:val="22"/>
          <w:szCs w:val="22"/>
        </w:rPr>
        <w:t xml:space="preserve">21.3   </w:t>
      </w:r>
      <w:r>
        <w:rPr>
          <w:rFonts w:ascii="Georgia" w:cs="Georgia" w:eastAsia="SimSun" w:hAnsi="Georgia"/>
          <w:color w:val="20242E"/>
          <w:sz w:val="22"/>
          <w:szCs w:val="22"/>
        </w:rPr>
        <w:t xml:space="preserve">The window's design anticipates the shock tactics of the opening phase. Experience shows that coercive pressure concentrates in the first ninety days of a coalition's life, when unity is untested and defections carry demonstration value. The window answers by removing the option of early exit from the menu entirely. Members plan their domestic politics around the fixed horizon, and the horizon converts short-term pain into a bounded, survivable quantity.</w:t>
      </w:r>
    </w:p>
    <w:p>
      <w:pPr>
        <w:pStyle w:val="Heading2"/>
        <w:keepNext/>
        <w:spacing w:after="128" w:before="235" w:line="300"/>
      </w:pPr>
      <w:r>
        <w:rPr>
          <w:rFonts w:ascii="Calibri" w:cs="Calibri" w:eastAsia="SimHei" w:hAnsi="Calibri"/>
          <w:b/>
          <w:bCs/>
          <w:color w:val="0047AB"/>
          <w:spacing w:val="8"/>
          <w:sz w:val="26"/>
          <w:szCs w:val="26"/>
        </w:rPr>
        <w:t xml:space="preserve">Article 22: Consequences of Defection</w:t>
      </w:r>
    </w:p>
    <w:p>
      <w:pPr>
        <w:spacing w:after="181" w:line="306"/>
        <w:jc w:val="both"/>
      </w:pPr>
      <w:r>
        <w:rPr>
          <w:rFonts w:ascii="Calibri" w:cs="Calibri" w:eastAsia="SimHei" w:hAnsi="Calibri"/>
          <w:b/>
          <w:bCs/>
          <w:color w:val="0047AB"/>
          <w:sz w:val="22"/>
          <w:szCs w:val="22"/>
        </w:rPr>
        <w:t xml:space="preserve">22.1   </w:t>
      </w:r>
      <w:r>
        <w:rPr>
          <w:rFonts w:ascii="Georgia" w:cs="Georgia" w:eastAsia="SimSun" w:hAnsi="Georgia"/>
          <w:color w:val="20242E"/>
          <w:sz w:val="22"/>
          <w:szCs w:val="22"/>
        </w:rPr>
        <w:t xml:space="preserve">A defection event occurs when a Party reduces its coverage below the floor outside the authorized procedures, conceals a covered offer beyond the disclosure deadline, or concludes a separate arrangement in breach of the commitment window. The Steering Committee determines the occurrence of a defection event on the evidence, and the affected Party receives a hearing before the determination enters the register. The Committee notifies the Council of every determination within forty-eight hours. The register records the event, the evidence, and the hearing outcome.</w:t>
      </w:r>
    </w:p>
    <w:p>
      <w:pPr>
        <w:spacing w:after="181" w:line="306"/>
        <w:jc w:val="both"/>
      </w:pPr>
      <w:r>
        <w:rPr>
          <w:rFonts w:ascii="Calibri" w:cs="Calibri" w:eastAsia="SimHei" w:hAnsi="Calibri"/>
          <w:b/>
          <w:bCs/>
          <w:color w:val="0047AB"/>
          <w:sz w:val="22"/>
          <w:szCs w:val="22"/>
        </w:rPr>
        <w:t xml:space="preserve">22.2   </w:t>
      </w:r>
      <w:r>
        <w:rPr>
          <w:rFonts w:ascii="Georgia" w:cs="Georgia" w:eastAsia="SimSun" w:hAnsi="Georgia"/>
          <w:color w:val="20242E"/>
          <w:sz w:val="22"/>
          <w:szCs w:val="22"/>
        </w:rPr>
        <w:t xml:space="preserve">A defection event triggers automatic consequences. The defecting Party loses access to the mutual market access guarantees, the Stabilization Facility, the rewiring compacts, the agricultural protection protocol, and the intelligence channel, and the loss takes effect on the day the determination enters the register. The remaining Parties adjust their own commercial treatment of the defecting Party's exports in accordance with the graduated schedule that the Council adopts. The framework architecture applies these consequences as structural features, not as acts of collective punishment.</w:t>
      </w:r>
    </w:p>
    <w:p>
      <w:pPr>
        <w:spacing w:after="181" w:line="306"/>
        <w:jc w:val="both"/>
      </w:pPr>
      <w:r>
        <w:rPr>
          <w:rFonts w:ascii="Calibri" w:cs="Calibri" w:eastAsia="SimHei" w:hAnsi="Calibri"/>
          <w:b/>
          <w:bCs/>
          <w:color w:val="0047AB"/>
          <w:sz w:val="22"/>
          <w:szCs w:val="22"/>
        </w:rPr>
        <w:t xml:space="preserve">22.3   </w:t>
      </w:r>
      <w:r>
        <w:rPr>
          <w:rFonts w:ascii="Georgia" w:cs="Georgia" w:eastAsia="SimSun" w:hAnsi="Georgia"/>
          <w:color w:val="20242E"/>
          <w:sz w:val="22"/>
          <w:szCs w:val="22"/>
        </w:rPr>
        <w:t xml:space="preserve">The framework preserves a return path. A defecting Party that restores full compliance and repairs the disclosure record petitions the Council for restoration of benefits. The Council decides the petition by simple majority, and restoration takes effect on the date the Council fixes. The register records the restoration. The return path keeps the door open without cheapening the exit.</w:t>
      </w:r>
    </w:p>
    <w:p>
      <w:pPr>
        <w:spacing w:after="181" w:line="306"/>
        <w:jc w:val="both"/>
      </w:pPr>
      <w:r>
        <w:rPr>
          <w:rFonts w:ascii="Calibri" w:cs="Calibri" w:eastAsia="SimHei" w:hAnsi="Calibri"/>
          <w:b/>
          <w:bCs/>
          <w:color w:val="0047AB"/>
          <w:sz w:val="22"/>
          <w:szCs w:val="22"/>
        </w:rPr>
        <w:t xml:space="preserve">22.4   </w:t>
      </w:r>
      <w:r>
        <w:rPr>
          <w:rFonts w:ascii="Georgia" w:cs="Georgia" w:eastAsia="SimSun" w:hAnsi="Georgia"/>
          <w:color w:val="20242E"/>
          <w:sz w:val="22"/>
          <w:szCs w:val="22"/>
        </w:rPr>
        <w:t xml:space="preserve">The discipline system as a whole pursues a single goal: it makes the coalition the safest place to stand. Every mechanism in this Part raises the cost of departure, raises the value of membership, or raises the visibility of conduct. The mechanisms reinforce one another, and no single mechanism carries the load alone. The Parties adopt this redundancy deliberately, because coalitions fail at their weakest link. Redundant discipline is the coalition's spine.</w:t>
      </w:r>
    </w:p>
    <w:p>
      <w:pPr>
        <w:pStyle w:val="Heading1"/>
        <w:keepNext/>
        <w:pageBreakBefore/>
        <w:spacing w:after="208" w:before="108" w:line="300"/>
      </w:pPr>
      <w:r>
        <w:rPr>
          <w:rFonts w:ascii="Calibri" w:cs="Calibri" w:eastAsia="SimHei" w:hAnsi="Calibri"/>
          <w:b/>
          <w:bCs/>
          <w:color w:val="0B2E6B"/>
          <w:spacing w:val="12"/>
          <w:sz w:val="32"/>
          <w:szCs w:val="32"/>
        </w:rPr>
        <w:t xml:space="preserve">Part VI: Solidarity and Stabilization</w:t>
      </w:r>
    </w:p>
    <w:p>
      <w:pPr>
        <w:pStyle w:val="Heading2"/>
        <w:keepNext/>
        <w:spacing w:after="128" w:before="235" w:line="300"/>
      </w:pPr>
      <w:r>
        <w:rPr>
          <w:rFonts w:ascii="Calibri" w:cs="Calibri" w:eastAsia="SimHei" w:hAnsi="Calibri"/>
          <w:b/>
          <w:bCs/>
          <w:color w:val="0047AB"/>
          <w:spacing w:val="8"/>
          <w:sz w:val="26"/>
          <w:szCs w:val="26"/>
        </w:rPr>
        <w:t xml:space="preserve">Article 23: Mutual Market Access Guarantees</w:t>
      </w:r>
    </w:p>
    <w:p>
      <w:pPr>
        <w:spacing w:after="181" w:line="306"/>
        <w:jc w:val="both"/>
      </w:pPr>
      <w:r>
        <w:rPr>
          <w:rFonts w:ascii="Calibri" w:cs="Calibri" w:eastAsia="SimHei" w:hAnsi="Calibri"/>
          <w:b/>
          <w:bCs/>
          <w:color w:val="0047AB"/>
          <w:sz w:val="22"/>
          <w:szCs w:val="22"/>
        </w:rPr>
        <w:t xml:space="preserve">23.1   </w:t>
      </w:r>
      <w:r>
        <w:rPr>
          <w:rFonts w:ascii="Georgia" w:cs="Georgia" w:eastAsia="SimSun" w:hAnsi="Georgia"/>
          <w:color w:val="20242E"/>
          <w:sz w:val="22"/>
          <w:szCs w:val="22"/>
        </w:rPr>
        <w:t xml:space="preserve">The Parties guarantee one another market access against the contingency of United States counter-retaliation. Where the United States targets a member's exports, the other Parties extend temporary preferential access for the affected product categories. The guarantee operates through pre-negotiated preference schedules that the Tariff and Customs Working Group maintains for each member's principal export lines. Activation of a preference schedule follows a notification from the affected Party and a confirmation by the Steering Committee within ten working days.</w:t>
      </w:r>
    </w:p>
    <w:p>
      <w:pPr>
        <w:spacing w:after="181" w:line="306"/>
        <w:jc w:val="both"/>
      </w:pPr>
      <w:r>
        <w:rPr>
          <w:rFonts w:ascii="Calibri" w:cs="Calibri" w:eastAsia="SimHei" w:hAnsi="Calibri"/>
          <w:b/>
          <w:bCs/>
          <w:color w:val="0047AB"/>
          <w:sz w:val="22"/>
          <w:szCs w:val="22"/>
        </w:rPr>
        <w:t xml:space="preserve">23.2   </w:t>
      </w:r>
      <w:r>
        <w:rPr>
          <w:rFonts w:ascii="Georgia" w:cs="Georgia" w:eastAsia="SimSun" w:hAnsi="Georgia"/>
          <w:color w:val="20242E"/>
          <w:sz w:val="22"/>
          <w:szCs w:val="22"/>
        </w:rPr>
        <w:t xml:space="preserve">The guarantee carries a concrete design. If United States measures strike Brazilian agricultural exports, the European Union, China, and the other Parties expand imports of the affected lines under their pre-negotiated schedules. If United States measures strike Vietnamese or Mexican manufactures, the same mechanism opens alternative demand. The schedules run for twelve months with one renewal, and they stay within each granting Party's overall trade policy framework. The register records every activation.</w:t>
      </w:r>
    </w:p>
    <w:p>
      <w:pPr>
        <w:spacing w:after="181" w:line="306"/>
        <w:jc w:val="both"/>
      </w:pPr>
      <w:r>
        <w:rPr>
          <w:rFonts w:ascii="Calibri" w:cs="Calibri" w:eastAsia="SimHei" w:hAnsi="Calibri"/>
          <w:b/>
          <w:bCs/>
          <w:color w:val="0047AB"/>
          <w:sz w:val="22"/>
          <w:szCs w:val="22"/>
        </w:rPr>
        <w:t xml:space="preserve">23.3   </w:t>
      </w:r>
      <w:r>
        <w:rPr>
          <w:rFonts w:ascii="Georgia" w:cs="Georgia" w:eastAsia="SimSun" w:hAnsi="Georgia"/>
          <w:color w:val="20242E"/>
          <w:sz w:val="22"/>
          <w:szCs w:val="22"/>
        </w:rPr>
        <w:t xml:space="preserve">The guarantee's value lies in its existence as much as in its use. A target that contemplates picking off one coalition member confronts the knowledge that the coalition absorbs the blow. The deterrent effect reduces the frequency of activations, and the register demonstrates the mechanism's credibility. The Parties fund no standing transfers under this article, because the instrument is market access rather than money. Access commitments cost little in calm times and deliver much in storms.</w:t>
      </w:r>
    </w:p>
    <w:p>
      <w:pPr>
        <w:pStyle w:val="Heading2"/>
        <w:keepNext/>
        <w:spacing w:after="128" w:before="235" w:line="300"/>
      </w:pPr>
      <w:r>
        <w:rPr>
          <w:rFonts w:ascii="Calibri" w:cs="Calibri" w:eastAsia="SimHei" w:hAnsi="Calibri"/>
          <w:b/>
          <w:bCs/>
          <w:color w:val="0047AB"/>
          <w:spacing w:val="8"/>
          <w:sz w:val="26"/>
          <w:szCs w:val="26"/>
        </w:rPr>
        <w:t xml:space="preserve">Article 24: The Emergency Stabilization Facility</w:t>
      </w:r>
    </w:p>
    <w:p>
      <w:pPr>
        <w:spacing w:after="181" w:line="306"/>
        <w:jc w:val="both"/>
      </w:pPr>
      <w:r>
        <w:rPr>
          <w:rFonts w:ascii="Calibri" w:cs="Calibri" w:eastAsia="SimHei" w:hAnsi="Calibri"/>
          <w:b/>
          <w:bCs/>
          <w:color w:val="0047AB"/>
          <w:sz w:val="22"/>
          <w:szCs w:val="22"/>
        </w:rPr>
        <w:t xml:space="preserve">24.1   </w:t>
      </w:r>
      <w:r>
        <w:rPr>
          <w:rFonts w:ascii="Georgia" w:cs="Georgia" w:eastAsia="SimSun" w:hAnsi="Georgia"/>
          <w:color w:val="20242E"/>
          <w:sz w:val="22"/>
          <w:szCs w:val="22"/>
        </w:rPr>
        <w:t xml:space="preserve">The Parties establish an Emergency Stabilization Facility under the administration of the Standing Secretariat. The Facility pools modest financial contributions with coordinated export credit and loan guarantee capacity. The Facility offsets short-term losses that United States countermeasures inflict on member industries, and it finances bridge support for firms reorienting away from the United States market. The Council approves the Facility's operating rules at its first session.</w:t>
      </w:r>
    </w:p>
    <w:p>
      <w:pPr>
        <w:spacing w:after="181" w:line="306"/>
        <w:jc w:val="both"/>
      </w:pPr>
      <w:r>
        <w:rPr>
          <w:rFonts w:ascii="Calibri" w:cs="Calibri" w:eastAsia="SimHei" w:hAnsi="Calibri"/>
          <w:b/>
          <w:bCs/>
          <w:color w:val="0047AB"/>
          <w:sz w:val="22"/>
          <w:szCs w:val="22"/>
        </w:rPr>
        <w:t xml:space="preserve">24.2   </w:t>
      </w:r>
      <w:r>
        <w:rPr>
          <w:rFonts w:ascii="Georgia" w:cs="Georgia" w:eastAsia="SimSun" w:hAnsi="Georgia"/>
          <w:color w:val="20242E"/>
          <w:sz w:val="22"/>
          <w:szCs w:val="22"/>
        </w:rPr>
        <w:t xml:space="preserve">The Facility's parameters appear in the table below. The scale is deliberately modest, because the Facility's function is signaling and bridge finance rather than compensation. Even a symbolic fund carries political weight, because it demonstrates that the coalition shares pain as well as pressure. The Facility reports to the Council through the Steering Committee, and it publishes an annual statement of operations.</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2600"/>
        <w:gridCol w:w="6800"/>
      </w:tblGrid>
      <w:tr>
        <w:trPr>
          <w:tblHeader/>
        </w:trPr>
        <w:tc>
          <w:tcPr>
            <w:tcW w:type="dxa" w:w="2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Parameter</w:t>
            </w:r>
          </w:p>
        </w:tc>
        <w:tc>
          <w:tcPr>
            <w:tcW w:type="dxa" w:w="68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Design</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Capital structure</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Assessed contributions scaled to each Party's share of Coalition trade in covered goods, plus voluntary supplements</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Instruments</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Short-term bridge loans, export credit windows, and loan guarantees for reorienting firms</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Activation trigger</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Notification by an affected Party with evidence of United States countermeasure impact, confirmed by the Steering Committee</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Decision timeline</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Committee confirmation within ten working days of a complete notification</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Term limits</w:t>
            </w:r>
          </w:p>
        </w:tc>
        <w:tc>
          <w:tcPr>
            <w:tcW w:type="dxa" w:w="6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Individual support operations run for a maximum of twelve months with one renewal</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Governance</w:t>
            </w:r>
          </w:p>
        </w:tc>
        <w:tc>
          <w:tcPr>
            <w:tcW w:type="dxa" w:w="6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Administered by the Standing Secretariat under operating rules approved by the Council</w:t>
            </w:r>
          </w:p>
        </w:tc>
      </w:tr>
    </w:tbl>
    <w:p>
      <w:pPr>
        <w:spacing w:after="220" w:before="60" w:line="260"/>
        <w:jc w:val="center"/>
      </w:pPr>
      <w:r>
        <w:rPr>
          <w:rFonts w:ascii="Calibri" w:cs="Calibri" w:eastAsia="SimHei" w:hAnsi="Calibri"/>
          <w:i/>
          <w:iCs/>
          <w:color w:val="5B6E8C"/>
          <w:sz w:val="18"/>
          <w:szCs w:val="18"/>
        </w:rPr>
        <w:t xml:space="preserve">Operating parameters of the Emergency Stabilization Facility under Article 24.</w:t>
      </w:r>
    </w:p>
    <w:p>
      <w:pPr>
        <w:spacing w:after="181" w:line="306"/>
        <w:jc w:val="both"/>
      </w:pPr>
      <w:r>
        <w:rPr>
          <w:rFonts w:ascii="Calibri" w:cs="Calibri" w:eastAsia="SimHei" w:hAnsi="Calibri"/>
          <w:b/>
          <w:bCs/>
          <w:color w:val="0047AB"/>
          <w:sz w:val="22"/>
          <w:szCs w:val="22"/>
        </w:rPr>
        <w:t xml:space="preserve">24.3   </w:t>
      </w:r>
      <w:r>
        <w:rPr>
          <w:rFonts w:ascii="Georgia" w:cs="Georgia" w:eastAsia="SimSun" w:hAnsi="Georgia"/>
          <w:color w:val="20242E"/>
          <w:sz w:val="22"/>
          <w:szCs w:val="22"/>
        </w:rPr>
        <w:t xml:space="preserve">The Facility complements rather than replaces domestic adjustment measures. Each Party retains primary responsibility for its own firms, and the Facility operates at the margin where speed matters most. The Facility's activation record feeds the review process of Article 41, and persistent draw patterns inform the Council's strategic assessment. The instrument thereby serves both relief and intelligence functions.</w:t>
      </w:r>
    </w:p>
    <w:p>
      <w:pPr>
        <w:pStyle w:val="Heading2"/>
        <w:keepNext/>
        <w:spacing w:after="128" w:before="235" w:line="300"/>
      </w:pPr>
      <w:r>
        <w:rPr>
          <w:rFonts w:ascii="Calibri" w:cs="Calibri" w:eastAsia="SimHei" w:hAnsi="Calibri"/>
          <w:b/>
          <w:bCs/>
          <w:color w:val="0047AB"/>
          <w:spacing w:val="8"/>
          <w:sz w:val="26"/>
          <w:szCs w:val="26"/>
        </w:rPr>
        <w:t xml:space="preserve">Article 25: Supply Chain Rewiring and Diversification Guarantees</w:t>
      </w:r>
    </w:p>
    <w:p>
      <w:pPr>
        <w:spacing w:after="181" w:line="306"/>
        <w:jc w:val="both"/>
      </w:pPr>
      <w:r>
        <w:rPr>
          <w:rFonts w:ascii="Calibri" w:cs="Calibri" w:eastAsia="SimHei" w:hAnsi="Calibri"/>
          <w:b/>
          <w:bCs/>
          <w:color w:val="0047AB"/>
          <w:sz w:val="22"/>
          <w:szCs w:val="22"/>
        </w:rPr>
        <w:t xml:space="preserve">25.1   </w:t>
      </w:r>
      <w:r>
        <w:rPr>
          <w:rFonts w:ascii="Georgia" w:cs="Georgia" w:eastAsia="SimSun" w:hAnsi="Georgia"/>
          <w:color w:val="20242E"/>
          <w:sz w:val="22"/>
          <w:szCs w:val="22"/>
        </w:rPr>
        <w:t xml:space="preserve">The Parties pre-arrange the supply chain rewiring that the tariff regime presupposes. The Supply Chain and Exemptions Working Group maintains a directory of alternative suppliers for every covered product family, and the directory identifies Middle Eastern, Asian, and European sources at commercially verified capacity. Each Party's procurement agencies and industry associations receive the directory at accession. The Working Group refreshes the directory quarterly.</w:t>
      </w:r>
    </w:p>
    <w:p>
      <w:pPr>
        <w:spacing w:after="181" w:line="306"/>
        <w:jc w:val="both"/>
      </w:pPr>
      <w:r>
        <w:rPr>
          <w:rFonts w:ascii="Calibri" w:cs="Calibri" w:eastAsia="SimHei" w:hAnsi="Calibri"/>
          <w:b/>
          <w:bCs/>
          <w:color w:val="0047AB"/>
          <w:sz w:val="22"/>
          <w:szCs w:val="22"/>
        </w:rPr>
        <w:t xml:space="preserve">25.2   </w:t>
      </w:r>
      <w:r>
        <w:rPr>
          <w:rFonts w:ascii="Georgia" w:cs="Georgia" w:eastAsia="SimSun" w:hAnsi="Georgia"/>
          <w:color w:val="20242E"/>
          <w:sz w:val="22"/>
          <w:szCs w:val="22"/>
        </w:rPr>
        <w:t xml:space="preserve">The Parties conclude rewiring compacts among themselves. Under a compact, two or more Parties pre-commit to purchase covered goods from one another, redirect imports toward non-United States suppliers, and coordinate logistics rerouting where shipping patterns require adjustment. The compacts take the form of government-to-government memoranda with industry annexes. The register records every compact, and the Working Group monitors delivery against compact volumes.</w:t>
      </w:r>
    </w:p>
    <w:p>
      <w:pPr>
        <w:spacing w:after="181" w:line="306"/>
        <w:jc w:val="both"/>
      </w:pPr>
      <w:r>
        <w:rPr>
          <w:rFonts w:ascii="Calibri" w:cs="Calibri" w:eastAsia="SimHei" w:hAnsi="Calibri"/>
          <w:b/>
          <w:bCs/>
          <w:color w:val="0047AB"/>
          <w:sz w:val="22"/>
          <w:szCs w:val="22"/>
        </w:rPr>
        <w:t xml:space="preserve">25.3   </w:t>
      </w:r>
      <w:r>
        <w:rPr>
          <w:rFonts w:ascii="Georgia" w:cs="Georgia" w:eastAsia="SimSun" w:hAnsi="Georgia"/>
          <w:color w:val="20242E"/>
          <w:sz w:val="22"/>
          <w:szCs w:val="22"/>
        </w:rPr>
        <w:t xml:space="preserve">Diversification guarantees extend to buyers as well as suppliers. Where a member's exporters lose United States market access for plastics or adjacent goods, the other Parties' directories and compacts open substitute demand. The mechanism mirrors the market access guarantee of Article 23 on the input side of the ledger. Together the two instruments rewire both ends of the coalition's trade. The rewiring reduces every member's exposure to sudden import bans and export cutoffs.</w:t>
      </w:r>
    </w:p>
    <w:p>
      <w:pPr>
        <w:pStyle w:val="Heading2"/>
        <w:keepNext/>
        <w:spacing w:after="128" w:before="235" w:line="300"/>
      </w:pPr>
      <w:r>
        <w:rPr>
          <w:rFonts w:ascii="Calibri" w:cs="Calibri" w:eastAsia="SimHei" w:hAnsi="Calibri"/>
          <w:b/>
          <w:bCs/>
          <w:color w:val="0047AB"/>
          <w:spacing w:val="8"/>
          <w:sz w:val="26"/>
          <w:szCs w:val="26"/>
        </w:rPr>
        <w:t xml:space="preserve">Article 26: The Agricultural Protection Protocol</w:t>
      </w:r>
    </w:p>
    <w:p>
      <w:pPr>
        <w:spacing w:after="181" w:line="306"/>
        <w:jc w:val="both"/>
      </w:pPr>
      <w:r>
        <w:rPr>
          <w:rFonts w:ascii="Calibri" w:cs="Calibri" w:eastAsia="SimHei" w:hAnsi="Calibri"/>
          <w:b/>
          <w:bCs/>
          <w:color w:val="0047AB"/>
          <w:sz w:val="22"/>
          <w:szCs w:val="22"/>
        </w:rPr>
        <w:t xml:space="preserve">26.1   </w:t>
      </w:r>
      <w:r>
        <w:rPr>
          <w:rFonts w:ascii="Georgia" w:cs="Georgia" w:eastAsia="SimSun" w:hAnsi="Georgia"/>
          <w:color w:val="20242E"/>
          <w:sz w:val="22"/>
          <w:szCs w:val="22"/>
        </w:rPr>
        <w:t xml:space="preserve">The Parties establish an Agricultural Protection Protocol in anticipation of the most probable United States countermeasure. Agriculture is the target's preferred retaliation weapon because it strikes rural constituencies, generates immediate political pain, and presents an easy reciprocity narrative. The Protocol therefore pre-commits the coalition before the first blow lands. The Protocol operates as a standing annex of mutual purchase commitments, temporary subsidy coordination, and supply redirection.</w:t>
      </w:r>
    </w:p>
    <w:p>
      <w:pPr>
        <w:spacing w:after="181" w:line="306"/>
        <w:jc w:val="both"/>
      </w:pPr>
      <w:r>
        <w:rPr>
          <w:rFonts w:ascii="Calibri" w:cs="Calibri" w:eastAsia="SimHei" w:hAnsi="Calibri"/>
          <w:b/>
          <w:bCs/>
          <w:color w:val="0047AB"/>
          <w:sz w:val="22"/>
          <w:szCs w:val="22"/>
        </w:rPr>
        <w:t xml:space="preserve">26.2   </w:t>
      </w:r>
      <w:r>
        <w:rPr>
          <w:rFonts w:ascii="Georgia" w:cs="Georgia" w:eastAsia="SimSun" w:hAnsi="Georgia"/>
          <w:color w:val="20242E"/>
          <w:sz w:val="22"/>
          <w:szCs w:val="22"/>
        </w:rPr>
        <w:t xml:space="preserve">Under the Protocol, each Party files a schedule of its vulnerable agricultural export lines with the Steering Committee. Each other Party attaches a corresponding purchase commitment or market opening for a defined share of those lines. When United States measures strike a scheduled line, the commitments activate automatically upon the affected Party's notification. The Secretariat coordinates redirection logistics, and the register records every activation and its volumes.</w:t>
      </w:r>
    </w:p>
    <w:p>
      <w:pPr>
        <w:spacing w:after="181" w:line="306"/>
        <w:jc w:val="both"/>
      </w:pPr>
      <w:r>
        <w:rPr>
          <w:rFonts w:ascii="Calibri" w:cs="Calibri" w:eastAsia="SimHei" w:hAnsi="Calibri"/>
          <w:b/>
          <w:bCs/>
          <w:color w:val="0047AB"/>
          <w:sz w:val="22"/>
          <w:szCs w:val="22"/>
        </w:rPr>
        <w:t xml:space="preserve">26.3   </w:t>
      </w:r>
      <w:r>
        <w:rPr>
          <w:rFonts w:ascii="Georgia" w:cs="Georgia" w:eastAsia="SimSun" w:hAnsi="Georgia"/>
          <w:color w:val="20242E"/>
          <w:sz w:val="22"/>
          <w:szCs w:val="22"/>
        </w:rPr>
        <w:t xml:space="preserve">The Protocol covers the members whose exposure is greatest, including Brazil, Australia, the European Union member states, and Mexico. The commitments calibrate to absorb no less than forty percent of the displaced volume for the first twelve months of any countermeasure. The Council reviews the absorption rate at each six-month review and adjusts the schedules. The Protocol thereby converts the target's favorite weapon into a manageable, pre-answered contingency.</w:t>
      </w:r>
    </w:p>
    <w:p>
      <w:pPr>
        <w:pStyle w:val="Heading2"/>
        <w:keepNext/>
        <w:spacing w:after="128" w:before="235" w:line="300"/>
      </w:pPr>
      <w:r>
        <w:rPr>
          <w:rFonts w:ascii="Calibri" w:cs="Calibri" w:eastAsia="SimHei" w:hAnsi="Calibri"/>
          <w:b/>
          <w:bCs/>
          <w:color w:val="0047AB"/>
          <w:spacing w:val="8"/>
          <w:sz w:val="26"/>
          <w:szCs w:val="26"/>
        </w:rPr>
        <w:t xml:space="preserve">Article 27: Legal Shielding for Domestic Firms</w:t>
      </w:r>
    </w:p>
    <w:p>
      <w:pPr>
        <w:spacing w:after="181" w:line="306"/>
        <w:jc w:val="both"/>
      </w:pPr>
      <w:r>
        <w:rPr>
          <w:rFonts w:ascii="Calibri" w:cs="Calibri" w:eastAsia="SimHei" w:hAnsi="Calibri"/>
          <w:b/>
          <w:bCs/>
          <w:color w:val="0047AB"/>
          <w:sz w:val="22"/>
          <w:szCs w:val="22"/>
        </w:rPr>
        <w:t xml:space="preserve">27.1   </w:t>
      </w:r>
      <w:r>
        <w:rPr>
          <w:rFonts w:ascii="Georgia" w:cs="Georgia" w:eastAsia="SimSun" w:hAnsi="Georgia"/>
          <w:color w:val="20242E"/>
          <w:sz w:val="22"/>
          <w:szCs w:val="22"/>
        </w:rPr>
        <w:t xml:space="preserve">Each Party shields its own firms against the domestic economic shock of the tariff regime and of United States countermeasures. The shielding menu includes temporary tax relief for affected importers and exporters, export credits for firms developing substitute markets, and loan guarantees for firms financing reorientation investments. Each Party selects from the menu according to its domestic law, and it reports its selections to the Steering Committee. The register aggregates the selections into a coalition-wide picture of firm-level resilience.</w:t>
      </w:r>
    </w:p>
    <w:p>
      <w:pPr>
        <w:spacing w:after="181" w:line="306"/>
        <w:jc w:val="both"/>
      </w:pPr>
      <w:r>
        <w:rPr>
          <w:rFonts w:ascii="Calibri" w:cs="Calibri" w:eastAsia="SimHei" w:hAnsi="Calibri"/>
          <w:b/>
          <w:bCs/>
          <w:color w:val="0047AB"/>
          <w:sz w:val="22"/>
          <w:szCs w:val="22"/>
        </w:rPr>
        <w:t xml:space="preserve">27.2   </w:t>
      </w:r>
      <w:r>
        <w:rPr>
          <w:rFonts w:ascii="Georgia" w:cs="Georgia" w:eastAsia="SimSun" w:hAnsi="Georgia"/>
          <w:color w:val="20242E"/>
          <w:sz w:val="22"/>
          <w:szCs w:val="22"/>
        </w:rPr>
        <w:t xml:space="preserve">The shielding program serves the discipline architecture directly. Firms that feel protected press their governments to hold the line, while firms that feel abandoned press for capitulation. The program therefore converts the domestic business community from a defection lobby into a coalition constituency. The Communications Working Group carries this message into its industry briefings. Domestic shielding and coalition discipline rise or fall together.</w:t>
      </w:r>
    </w:p>
    <w:p>
      <w:pPr>
        <w:spacing w:after="181" w:line="306"/>
        <w:jc w:val="both"/>
      </w:pPr>
      <w:r>
        <w:rPr>
          <w:rFonts w:ascii="Calibri" w:cs="Calibri" w:eastAsia="SimHei" w:hAnsi="Calibri"/>
          <w:b/>
          <w:bCs/>
          <w:color w:val="0047AB"/>
          <w:sz w:val="22"/>
          <w:szCs w:val="22"/>
        </w:rPr>
        <w:t xml:space="preserve">27.3   </w:t>
      </w:r>
      <w:r>
        <w:rPr>
          <w:rFonts w:ascii="Georgia" w:cs="Georgia" w:eastAsia="SimSun" w:hAnsi="Georgia"/>
          <w:color w:val="20242E"/>
          <w:sz w:val="22"/>
          <w:szCs w:val="22"/>
        </w:rPr>
        <w:t xml:space="preserve">The Parties coordinate the shielding menu through the Secretariat to avoid subsidy races among themselves. The Secretariat circulates each Party's measures, flags overlaps and asymmetries, and recommends adjustments. The Council reviews the shielding landscape at each six-month review. Coordination keeps the instruments complementary, and complementarity keeps the coalition's internal market calm.</w:t>
      </w:r>
    </w:p>
    <w:p>
      <w:pPr>
        <w:pStyle w:val="Heading1"/>
        <w:keepNext/>
        <w:pageBreakBefore/>
        <w:spacing w:after="208" w:before="108" w:line="300"/>
      </w:pPr>
      <w:r>
        <w:rPr>
          <w:rFonts w:ascii="Calibri" w:cs="Calibri" w:eastAsia="SimHei" w:hAnsi="Calibri"/>
          <w:b/>
          <w:bCs/>
          <w:color w:val="0B2E6B"/>
          <w:spacing w:val="12"/>
          <w:sz w:val="32"/>
          <w:szCs w:val="32"/>
        </w:rPr>
        <w:t xml:space="preserve">Part VII: Legal Strategy and the WTO Track</w:t>
      </w:r>
    </w:p>
    <w:p>
      <w:pPr>
        <w:pStyle w:val="Heading2"/>
        <w:keepNext/>
        <w:spacing w:after="128" w:before="235" w:line="300"/>
      </w:pPr>
      <w:r>
        <w:rPr>
          <w:rFonts w:ascii="Calibri" w:cs="Calibri" w:eastAsia="SimHei" w:hAnsi="Calibri"/>
          <w:b/>
          <w:bCs/>
          <w:color w:val="0047AB"/>
          <w:spacing w:val="8"/>
          <w:sz w:val="26"/>
          <w:szCs w:val="26"/>
        </w:rPr>
        <w:t xml:space="preserve">Article 28: Joint and Parallel Dispute Filings</w:t>
      </w:r>
    </w:p>
    <w:p>
      <w:pPr>
        <w:spacing w:after="181" w:line="306"/>
        <w:jc w:val="both"/>
      </w:pPr>
      <w:r>
        <w:rPr>
          <w:rFonts w:ascii="Georgia" w:cs="Georgia" w:eastAsia="SimSun" w:hAnsi="Georgia"/>
          <w:color w:val="20242E"/>
          <w:sz w:val="22"/>
          <w:szCs w:val="22"/>
        </w:rPr>
        <w:t xml:space="preserve">The Coalition grounds its measures in law, and the legal track runs in parallel with the tariff track from the first day. Canada, China, and Brazil already carry complaints against the United States measures at the World Trade Organization, and the United Kingdom has notified its intent to retaliate. The Convention converts these parallel national actions into a coordinated legal front. The Legal Working Group directs the front under the Steering Committee's authority.</w:t>
      </w:r>
    </w:p>
    <w:p>
      <w:pPr>
        <w:spacing w:after="181" w:line="306"/>
        <w:jc w:val="both"/>
      </w:pPr>
      <w:r>
        <w:rPr>
          <w:rFonts w:ascii="Calibri" w:cs="Calibri" w:eastAsia="SimHei" w:hAnsi="Calibri"/>
          <w:b/>
          <w:bCs/>
          <w:color w:val="0047AB"/>
          <w:sz w:val="22"/>
          <w:szCs w:val="22"/>
        </w:rPr>
        <w:t xml:space="preserve">28.1   </w:t>
      </w:r>
      <w:r>
        <w:rPr>
          <w:rFonts w:ascii="Georgia" w:cs="Georgia" w:eastAsia="SimSun" w:hAnsi="Georgia"/>
          <w:color w:val="20242E"/>
          <w:sz w:val="22"/>
          <w:szCs w:val="22"/>
        </w:rPr>
        <w:t xml:space="preserve">Every Party files or joins dispute settlement consultations against the discriminatory United States measures. The filings proceed jointly where procedure permits and in parallel where it does not, and the parallel filings deploy the unified legal argument of Article 29 in coordinated form. The Legal Working Group sequences the filings to maximize procedural pressure and media visibility. The Secretariat maintains the consolidated docket of every coalition filing.</w:t>
      </w:r>
    </w:p>
    <w:p>
      <w:pPr>
        <w:spacing w:after="181" w:line="306"/>
        <w:jc w:val="both"/>
      </w:pPr>
      <w:r>
        <w:rPr>
          <w:rFonts w:ascii="Calibri" w:cs="Calibri" w:eastAsia="SimHei" w:hAnsi="Calibri"/>
          <w:b/>
          <w:bCs/>
          <w:color w:val="0047AB"/>
          <w:sz w:val="22"/>
          <w:szCs w:val="22"/>
        </w:rPr>
        <w:t xml:space="preserve">28.2   </w:t>
      </w:r>
      <w:r>
        <w:rPr>
          <w:rFonts w:ascii="Georgia" w:cs="Georgia" w:eastAsia="SimSun" w:hAnsi="Georgia"/>
          <w:color w:val="20242E"/>
          <w:sz w:val="22"/>
          <w:szCs w:val="22"/>
        </w:rPr>
        <w:t xml:space="preserve">The filings seek findings that the United States measures violate Most Favored Nation obligations, that the national security justification lacks any genuine security nexus, and that the measures are discriminatory and disproportionate. The filings further seek authorization for retaliatory measures through the dispute settlement system. Coordinated filings raise the legal and reputational cost of the target's position, and they frame the coalition's tariffs as the lawful answer rather than the provocation. The docket itself becomes a public exhibit of the coalition's lawfulness.</w:t>
      </w:r>
    </w:p>
    <w:p>
      <w:pPr>
        <w:spacing w:after="181" w:line="306"/>
        <w:jc w:val="both"/>
      </w:pPr>
      <w:r>
        <w:rPr>
          <w:rFonts w:ascii="Calibri" w:cs="Calibri" w:eastAsia="SimHei" w:hAnsi="Calibri"/>
          <w:b/>
          <w:bCs/>
          <w:color w:val="0047AB"/>
          <w:sz w:val="22"/>
          <w:szCs w:val="22"/>
        </w:rPr>
        <w:t xml:space="preserve">28.3   </w:t>
      </w:r>
      <w:r>
        <w:rPr>
          <w:rFonts w:ascii="Georgia" w:cs="Georgia" w:eastAsia="SimSun" w:hAnsi="Georgia"/>
          <w:color w:val="20242E"/>
          <w:sz w:val="22"/>
          <w:szCs w:val="22"/>
        </w:rPr>
        <w:t xml:space="preserve">The Legal Working Group supports smaller members throughout the litigation track. It supplies model pleadings, coordinates evidence gathering, and shares the litigation costs of common work product. Smaller members thereby litigate at a level that their national services alone rarely reach. The support function doubles as a membership benefit, and the benefit figures in every outreach conversation of Part IV.</w:t>
      </w:r>
    </w:p>
    <w:p>
      <w:pPr>
        <w:pStyle w:val="Heading2"/>
        <w:keepNext/>
        <w:spacing w:after="128" w:before="235" w:line="300"/>
      </w:pPr>
      <w:r>
        <w:rPr>
          <w:rFonts w:ascii="Calibri" w:cs="Calibri" w:eastAsia="SimHei" w:hAnsi="Calibri"/>
          <w:b/>
          <w:bCs/>
          <w:color w:val="0047AB"/>
          <w:spacing w:val="8"/>
          <w:sz w:val="26"/>
          <w:szCs w:val="26"/>
        </w:rPr>
        <w:t xml:space="preserve">Article 29: The Unified Legal Argument</w:t>
      </w:r>
    </w:p>
    <w:p>
      <w:pPr>
        <w:spacing w:after="181" w:line="306"/>
        <w:jc w:val="both"/>
      </w:pPr>
      <w:r>
        <w:rPr>
          <w:rFonts w:ascii="Calibri" w:cs="Calibri" w:eastAsia="SimHei" w:hAnsi="Calibri"/>
          <w:b/>
          <w:bCs/>
          <w:color w:val="0047AB"/>
          <w:sz w:val="22"/>
          <w:szCs w:val="22"/>
        </w:rPr>
        <w:t xml:space="preserve">29.1   </w:t>
      </w:r>
      <w:r>
        <w:rPr>
          <w:rFonts w:ascii="Georgia" w:cs="Georgia" w:eastAsia="SimSun" w:hAnsi="Georgia"/>
          <w:color w:val="20242E"/>
          <w:sz w:val="22"/>
          <w:szCs w:val="22"/>
        </w:rPr>
        <w:t xml:space="preserve">The unified legal argument rests on three pillars. The first pillar holds that the United States measures violate the Most Favored Nation obligation by discriminating among trading partners without legal justification. The second pillar holds that the national security exception cannot carry measures whose design, timing, and targeting reveal a trade policy purpose. The third pillar holds that the measures are disproportionate to any legitimate objective they invoke. Every coalition filing advances all three pillars in common language.</w:t>
      </w:r>
    </w:p>
    <w:p>
      <w:pPr>
        <w:spacing w:after="181" w:line="306"/>
        <w:jc w:val="both"/>
      </w:pPr>
      <w:r>
        <w:rPr>
          <w:rFonts w:ascii="Calibri" w:cs="Calibri" w:eastAsia="SimHei" w:hAnsi="Calibri"/>
          <w:b/>
          <w:bCs/>
          <w:color w:val="0047AB"/>
          <w:sz w:val="22"/>
          <w:szCs w:val="22"/>
        </w:rPr>
        <w:t xml:space="preserve">29.2   </w:t>
      </w:r>
      <w:r>
        <w:rPr>
          <w:rFonts w:ascii="Georgia" w:cs="Georgia" w:eastAsia="SimSun" w:hAnsi="Georgia"/>
          <w:color w:val="20242E"/>
          <w:sz w:val="22"/>
          <w:szCs w:val="22"/>
        </w:rPr>
        <w:t xml:space="preserve">The argument treats the coalition's own measures with equal legal care. The coalition presents its tariffs as proportionate countermeasures, calibrated at a rate that mirrors the measures they answer and confined to a sector chosen for substitutability. The presentation emphasizes the coalition's readiness to roll back upon settlement, and it documents the reversibility architecture of Article 42. Lawful character, narrow targeting, and open exit define the coalition's legal posture.</w:t>
      </w:r>
    </w:p>
    <w:p>
      <w:pPr>
        <w:spacing w:after="181" w:line="306"/>
        <w:jc w:val="both"/>
      </w:pPr>
      <w:r>
        <w:rPr>
          <w:rFonts w:ascii="Calibri" w:cs="Calibri" w:eastAsia="SimHei" w:hAnsi="Calibri"/>
          <w:b/>
          <w:bCs/>
          <w:color w:val="0047AB"/>
          <w:sz w:val="22"/>
          <w:szCs w:val="22"/>
        </w:rPr>
        <w:t xml:space="preserve">29.3   </w:t>
      </w:r>
      <w:r>
        <w:rPr>
          <w:rFonts w:ascii="Georgia" w:cs="Georgia" w:eastAsia="SimSun" w:hAnsi="Georgia"/>
          <w:color w:val="20242E"/>
          <w:sz w:val="22"/>
          <w:szCs w:val="22"/>
        </w:rPr>
        <w:t xml:space="preserve">The Legal Working Group maintains the argument as a living document. It updates the argument to absorb panel practice, to answer new United States justifications, and to incorporate each acceding Party's national legal traditions. Updates circulate through the secure channel and enter the register. The unity of the argument matters as much as its content, because divergent national theories would hand the target an easy divide. One argument, many voices: that is the litigation design.</w:t>
      </w:r>
    </w:p>
    <w:p>
      <w:pPr>
        <w:pStyle w:val="Heading2"/>
        <w:keepNext/>
        <w:spacing w:after="128" w:before="235" w:line="300"/>
      </w:pPr>
      <w:r>
        <w:rPr>
          <w:rFonts w:ascii="Calibri" w:cs="Calibri" w:eastAsia="SimHei" w:hAnsi="Calibri"/>
          <w:b/>
          <w:bCs/>
          <w:color w:val="0047AB"/>
          <w:spacing w:val="8"/>
          <w:sz w:val="26"/>
          <w:szCs w:val="26"/>
        </w:rPr>
        <w:t xml:space="preserve">Article 30: Alternative Legal Pathways</w:t>
      </w:r>
    </w:p>
    <w:p>
      <w:pPr>
        <w:spacing w:after="181" w:line="306"/>
        <w:jc w:val="both"/>
      </w:pPr>
      <w:r>
        <w:rPr>
          <w:rFonts w:ascii="Calibri" w:cs="Calibri" w:eastAsia="SimHei" w:hAnsi="Calibri"/>
          <w:b/>
          <w:bCs/>
          <w:color w:val="0047AB"/>
          <w:sz w:val="22"/>
          <w:szCs w:val="22"/>
        </w:rPr>
        <w:t xml:space="preserve">30.1   </w:t>
      </w:r>
      <w:r>
        <w:rPr>
          <w:rFonts w:ascii="Georgia" w:cs="Georgia" w:eastAsia="SimSun" w:hAnsi="Georgia"/>
          <w:color w:val="20242E"/>
          <w:sz w:val="22"/>
          <w:szCs w:val="22"/>
        </w:rPr>
        <w:t xml:space="preserve">The Coalition prepares for the contingency that the dispute settlement system fails to deliver authorization within a reasonable period. The first alternative pathway invokes the renegotiation procedures of Article XXVIII of the General Agreement on Tariffs and Trade, under which the Parties modify or withdraw concessions in response to the target's impairment of the bargain. The Legal Working Group prepares the renegotiation files for every Party in advance. Preparation signals seriousness, and the files stand ready for synchronized activation.</w:t>
      </w:r>
    </w:p>
    <w:p>
      <w:pPr>
        <w:spacing w:after="181" w:line="306"/>
        <w:jc w:val="both"/>
      </w:pPr>
      <w:r>
        <w:rPr>
          <w:rFonts w:ascii="Calibri" w:cs="Calibri" w:eastAsia="SimHei" w:hAnsi="Calibri"/>
          <w:b/>
          <w:bCs/>
          <w:color w:val="0047AB"/>
          <w:sz w:val="22"/>
          <w:szCs w:val="22"/>
        </w:rPr>
        <w:t xml:space="preserve">30.2   </w:t>
      </w:r>
      <w:r>
        <w:rPr>
          <w:rFonts w:ascii="Georgia" w:cs="Georgia" w:eastAsia="SimSun" w:hAnsi="Georgia"/>
          <w:color w:val="20242E"/>
          <w:sz w:val="22"/>
          <w:szCs w:val="22"/>
        </w:rPr>
        <w:t xml:space="preserve">The second alternative pathway operates through regional and plurilateral trade agreements. Parties that share membership in the Comprehensive and Progressive Agreement for Trans-Pacific Partnership, the European Union's trade agreements, or other regional frameworks coordinate the suspension of relevant bindings through those frameworks' own mechanisms. The pathway adds legal cover and institutional momentum. The Legal Working Group maps every available regional hook for every member.</w:t>
      </w:r>
    </w:p>
    <w:p>
      <w:pPr>
        <w:spacing w:after="181" w:line="306"/>
        <w:jc w:val="both"/>
      </w:pPr>
      <w:r>
        <w:rPr>
          <w:rFonts w:ascii="Calibri" w:cs="Calibri" w:eastAsia="SimHei" w:hAnsi="Calibri"/>
          <w:b/>
          <w:bCs/>
          <w:color w:val="0047AB"/>
          <w:sz w:val="22"/>
          <w:szCs w:val="22"/>
        </w:rPr>
        <w:t xml:space="preserve">30.3   </w:t>
      </w:r>
      <w:r>
        <w:rPr>
          <w:rFonts w:ascii="Georgia" w:cs="Georgia" w:eastAsia="SimSun" w:hAnsi="Georgia"/>
          <w:color w:val="20242E"/>
          <w:sz w:val="22"/>
          <w:szCs w:val="22"/>
        </w:rPr>
        <w:t xml:space="preserve">The alternative pathways never displace the primary dispute track. The Coalition continues to press its filings to conclusion, because a favorable ruling carries a legitimating force that no alternative pathway matches. The alternatives exist to deny the target the strategic benefit of paralysis. The framework thereby treats legal obstruction as a planning contingency rather than a defeat. Law remains the coalition's terrain of choice.</w:t>
      </w:r>
    </w:p>
    <w:p>
      <w:pPr>
        <w:pStyle w:val="Heading2"/>
        <w:keepNext/>
        <w:spacing w:after="128" w:before="235" w:line="300"/>
      </w:pPr>
      <w:r>
        <w:rPr>
          <w:rFonts w:ascii="Calibri" w:cs="Calibri" w:eastAsia="SimHei" w:hAnsi="Calibri"/>
          <w:b/>
          <w:bCs/>
          <w:color w:val="0047AB"/>
          <w:spacing w:val="8"/>
          <w:sz w:val="26"/>
          <w:szCs w:val="26"/>
        </w:rPr>
        <w:t xml:space="preserve">Article 31: Domestic Legal Lock-In</w:t>
      </w:r>
    </w:p>
    <w:p>
      <w:pPr>
        <w:spacing w:after="181" w:line="306"/>
        <w:jc w:val="both"/>
      </w:pPr>
      <w:r>
        <w:rPr>
          <w:rFonts w:ascii="Calibri" w:cs="Calibri" w:eastAsia="SimHei" w:hAnsi="Calibri"/>
          <w:b/>
          <w:bCs/>
          <w:color w:val="0047AB"/>
          <w:sz w:val="22"/>
          <w:szCs w:val="22"/>
        </w:rPr>
        <w:t xml:space="preserve">31.1   </w:t>
      </w:r>
      <w:r>
        <w:rPr>
          <w:rFonts w:ascii="Georgia" w:cs="Georgia" w:eastAsia="SimSun" w:hAnsi="Georgia"/>
          <w:color w:val="20242E"/>
          <w:sz w:val="22"/>
          <w:szCs w:val="22"/>
        </w:rPr>
        <w:t xml:space="preserve">Each Party embeds the core measures in its domestic law. The national implementing measure adopts the 20 percent rate, the coverage schedule, the exemption procedure, and the commitment window as binding domestic law for the duration of the Convention's operation. The measure follows the model provision of Annex A, adapted to each Party's constitutional requirements. Embedding the measures in legislation raises the domestic cost of reversal, because reversal then demands a parliamentary act rather than an executive signature.</w:t>
      </w:r>
    </w:p>
    <w:p>
      <w:pPr>
        <w:spacing w:after="181" w:line="306"/>
        <w:jc w:val="both"/>
      </w:pPr>
      <w:r>
        <w:rPr>
          <w:rFonts w:ascii="Calibri" w:cs="Calibri" w:eastAsia="SimHei" w:hAnsi="Calibri"/>
          <w:b/>
          <w:bCs/>
          <w:color w:val="0047AB"/>
          <w:sz w:val="22"/>
          <w:szCs w:val="22"/>
        </w:rPr>
        <w:t xml:space="preserve">31.2   </w:t>
      </w:r>
      <w:r>
        <w:rPr>
          <w:rFonts w:ascii="Georgia" w:cs="Georgia" w:eastAsia="SimSun" w:hAnsi="Georgia"/>
          <w:color w:val="20242E"/>
          <w:sz w:val="22"/>
          <w:szCs w:val="22"/>
        </w:rPr>
        <w:t xml:space="preserve">The lock-in serves the coalition's credibility outward as well as inward. The target reads each national statute as evidence that the coalition's commitments outlast headlines and election cycles. Negotiating counterparts discount threats that rest on revocable executive acts, and they respect commitments that rest on enacted law. The lock-in thereby strengthens the coalition's hand at the negotiating table it seeks to convene.</w:t>
      </w:r>
    </w:p>
    <w:p>
      <w:pPr>
        <w:spacing w:after="181" w:line="306"/>
        <w:jc w:val="both"/>
      </w:pPr>
      <w:r>
        <w:rPr>
          <w:rFonts w:ascii="Calibri" w:cs="Calibri" w:eastAsia="SimHei" w:hAnsi="Calibri"/>
          <w:b/>
          <w:bCs/>
          <w:color w:val="0047AB"/>
          <w:sz w:val="22"/>
          <w:szCs w:val="22"/>
        </w:rPr>
        <w:t xml:space="preserve">31.3   </w:t>
      </w:r>
      <w:r>
        <w:rPr>
          <w:rFonts w:ascii="Georgia" w:cs="Georgia" w:eastAsia="SimSun" w:hAnsi="Georgia"/>
          <w:color w:val="20242E"/>
          <w:sz w:val="22"/>
          <w:szCs w:val="22"/>
        </w:rPr>
        <w:t xml:space="preserve">The Depositary receives a certified copy of each national implementing measure, and the register records each measure's status. A Party whose domestic process stalls notifies the Steering Committee, and the Committee deploys legal drafting support through the Legal Working Group. The Committee tracks the ratification map continuously, and the map appears in every Council report. Domestic law is the coalition's bedrock, and the framework tends it accordingly.</w:t>
      </w:r>
    </w:p>
    <w:p>
      <w:pPr>
        <w:pStyle w:val="Heading1"/>
        <w:keepNext/>
        <w:pageBreakBefore/>
        <w:spacing w:after="208" w:before="108" w:line="300"/>
      </w:pPr>
      <w:r>
        <w:rPr>
          <w:rFonts w:ascii="Calibri" w:cs="Calibri" w:eastAsia="SimHei" w:hAnsi="Calibri"/>
          <w:b/>
          <w:bCs/>
          <w:color w:val="0B2E6B"/>
          <w:spacing w:val="12"/>
          <w:sz w:val="32"/>
          <w:szCs w:val="32"/>
        </w:rPr>
        <w:t xml:space="preserve">Part VIII: Communications and Political Resilience</w:t>
      </w:r>
    </w:p>
    <w:p>
      <w:pPr>
        <w:pStyle w:val="Heading2"/>
        <w:keepNext/>
        <w:spacing w:after="128" w:before="235" w:line="300"/>
      </w:pPr>
      <w:r>
        <w:rPr>
          <w:rFonts w:ascii="Calibri" w:cs="Calibri" w:eastAsia="SimHei" w:hAnsi="Calibri"/>
          <w:b/>
          <w:bCs/>
          <w:color w:val="0047AB"/>
          <w:spacing w:val="8"/>
          <w:sz w:val="26"/>
          <w:szCs w:val="26"/>
        </w:rPr>
        <w:t xml:space="preserve">Article 32: The Internal Secure Communications Channel</w:t>
      </w:r>
    </w:p>
    <w:p>
      <w:pPr>
        <w:spacing w:after="181" w:line="306"/>
        <w:jc w:val="both"/>
      </w:pPr>
      <w:r>
        <w:rPr>
          <w:rFonts w:ascii="Calibri" w:cs="Calibri" w:eastAsia="SimHei" w:hAnsi="Calibri"/>
          <w:b/>
          <w:bCs/>
          <w:color w:val="0047AB"/>
          <w:sz w:val="22"/>
          <w:szCs w:val="22"/>
        </w:rPr>
        <w:t xml:space="preserve">32.1   </w:t>
      </w:r>
      <w:r>
        <w:rPr>
          <w:rFonts w:ascii="Georgia" w:cs="Georgia" w:eastAsia="SimSun" w:hAnsi="Georgia"/>
          <w:color w:val="20242E"/>
          <w:sz w:val="22"/>
          <w:szCs w:val="22"/>
        </w:rPr>
        <w:t xml:space="preserve">The Coalition operates a secure, encrypted communications network that links the foreign ministries, trade ministries, and customs authorities of every Party. The Standing Secretariat administers the network, and access follows the accreditation rules that the Steering Committee adopts. The network carries the engagement logs of Article 15, the disclosures of Article 20, the monitoring dashboard of Article 40, and the working documents of every organ. The network stands ready from the date of entry into force.</w:t>
      </w:r>
    </w:p>
    <w:p>
      <w:pPr>
        <w:spacing w:after="181" w:line="306"/>
        <w:jc w:val="both"/>
      </w:pPr>
      <w:r>
        <w:rPr>
          <w:rFonts w:ascii="Calibri" w:cs="Calibri" w:eastAsia="SimHei" w:hAnsi="Calibri"/>
          <w:b/>
          <w:bCs/>
          <w:color w:val="0047AB"/>
          <w:sz w:val="22"/>
          <w:szCs w:val="22"/>
        </w:rPr>
        <w:t xml:space="preserve">32.2   </w:t>
      </w:r>
      <w:r>
        <w:rPr>
          <w:rFonts w:ascii="Georgia" w:cs="Georgia" w:eastAsia="SimSun" w:hAnsi="Georgia"/>
          <w:color w:val="20242E"/>
          <w:sz w:val="22"/>
          <w:szCs w:val="22"/>
        </w:rPr>
        <w:t xml:space="preserve">The network runs on a defined rhythm. Weekly coordination calls connect the Steering Committee during Phases One through Four, and biweekly calls continue thereafter. Flash notifications travel within hours whenever the United States announces a measure, an offer, or a threat against any member. Quarterly written situation reports consolidate the picture for ministers. The rhythm keeps every capital inside the same information cycle.</w:t>
      </w:r>
    </w:p>
    <w:p>
      <w:pPr>
        <w:spacing w:after="181" w:line="306"/>
        <w:jc w:val="both"/>
      </w:pPr>
      <w:r>
        <w:rPr>
          <w:rFonts w:ascii="Calibri" w:cs="Calibri" w:eastAsia="SimHei" w:hAnsi="Calibri"/>
          <w:b/>
          <w:bCs/>
          <w:color w:val="0047AB"/>
          <w:sz w:val="22"/>
          <w:szCs w:val="22"/>
        </w:rPr>
        <w:t xml:space="preserve">32.3   </w:t>
      </w:r>
      <w:r>
        <w:rPr>
          <w:rFonts w:ascii="Georgia" w:cs="Georgia" w:eastAsia="SimSun" w:hAnsi="Georgia"/>
          <w:color w:val="20242E"/>
          <w:sz w:val="22"/>
          <w:szCs w:val="22"/>
        </w:rPr>
        <w:t xml:space="preserve">The channel's discipline matters as much as its technology. Members post significant contacts, offers, and intelligence to the channel rather than hoarding them bilaterally. The transparency rule of Article 20 draws its raw material from this practice. A coalition that shares information quickly corrects rumors, calms anxieties, and coordinates responses. The channel thereby functions as the coalition's nervous system.</w:t>
      </w:r>
    </w:p>
    <w:p>
      <w:pPr>
        <w:pStyle w:val="Heading2"/>
        <w:keepNext/>
        <w:spacing w:after="128" w:before="235" w:line="300"/>
      </w:pPr>
      <w:r>
        <w:rPr>
          <w:rFonts w:ascii="Calibri" w:cs="Calibri" w:eastAsia="SimHei" w:hAnsi="Calibri"/>
          <w:b/>
          <w:bCs/>
          <w:color w:val="0047AB"/>
          <w:spacing w:val="8"/>
          <w:sz w:val="26"/>
          <w:szCs w:val="26"/>
        </w:rPr>
        <w:t xml:space="preserve">Article 33: The External Unified Narrative</w:t>
      </w:r>
    </w:p>
    <w:p>
      <w:pPr>
        <w:spacing w:after="181" w:line="306"/>
        <w:jc w:val="both"/>
      </w:pPr>
      <w:r>
        <w:rPr>
          <w:rFonts w:ascii="Calibri" w:cs="Calibri" w:eastAsia="SimHei" w:hAnsi="Calibri"/>
          <w:b/>
          <w:bCs/>
          <w:color w:val="0047AB"/>
          <w:sz w:val="22"/>
          <w:szCs w:val="22"/>
        </w:rPr>
        <w:t xml:space="preserve">33.1   </w:t>
      </w:r>
      <w:r>
        <w:rPr>
          <w:rFonts w:ascii="Georgia" w:cs="Georgia" w:eastAsia="SimSun" w:hAnsi="Georgia"/>
          <w:color w:val="20242E"/>
          <w:sz w:val="22"/>
          <w:szCs w:val="22"/>
        </w:rPr>
        <w:t xml:space="preserve">The Coalition speaks to the world with one voice. The unified external message states that the Parties respond to unjustified tariffs rather than initiate conflict, that the 20 percent rate matches the measures the Parties face, that the coalition stands together against unfair trade practices, and that the Parties remain open to negotiations the moment the discriminatory measures come down. Every ministerial statement, press briefing, and summit communique carries this message. The Communications Working Group maintains the message matrix and updates it as events require.</w:t>
      </w:r>
    </w:p>
    <w:p>
      <w:pPr>
        <w:spacing w:after="181" w:line="306"/>
        <w:jc w:val="both"/>
      </w:pPr>
      <w:r>
        <w:rPr>
          <w:rFonts w:ascii="Calibri" w:cs="Calibri" w:eastAsia="SimHei" w:hAnsi="Calibri"/>
          <w:b/>
          <w:bCs/>
          <w:color w:val="0047AB"/>
          <w:sz w:val="22"/>
          <w:szCs w:val="22"/>
        </w:rPr>
        <w:t xml:space="preserve">33.2   </w:t>
      </w:r>
      <w:r>
        <w:rPr>
          <w:rFonts w:ascii="Georgia" w:cs="Georgia" w:eastAsia="SimSun" w:hAnsi="Georgia"/>
          <w:color w:val="20242E"/>
          <w:sz w:val="22"/>
          <w:szCs w:val="22"/>
        </w:rPr>
        <w:t xml:space="preserve">The narrative assigns tailored lines to each audience, and the table below states them. The tailoring adjusts emphasis and vocabulary while holding the substance constant. United States policymakers hear that their exporters are hurting and that negotiation ends the pain. The United States plastics industry hears that its own government holds the key, and that lobbying for removal serves its interests. Global media hear a story of coordinated lawfulness, and domestic publics hear a government standing up for its workers and industries.</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2600"/>
        <w:gridCol w:w="3400"/>
        <w:gridCol w:w="3400"/>
      </w:tblGrid>
      <w:tr>
        <w:trPr>
          <w:tblHeader/>
        </w:trPr>
        <w:tc>
          <w:tcPr>
            <w:tcW w:type="dxa" w:w="26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Audience</w:t>
            </w:r>
          </w:p>
        </w:tc>
        <w:tc>
          <w:tcPr>
            <w:tcW w:type="dxa" w:w="34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Core Line</w:t>
            </w:r>
          </w:p>
        </w:tc>
        <w:tc>
          <w:tcPr>
            <w:tcW w:type="dxa" w:w="34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Secondary Line</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States policymakers</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Your exporters are hurting; negotiate.</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Removal of discriminatory measures triggers synchronized rollback.</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States plastics industry</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Lobby your government to end this.</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Every month of delay deepens lost market share to substitute suppliers.</w:t>
            </w:r>
          </w:p>
        </w:tc>
      </w:tr>
      <w:tr>
        <w:tc>
          <w:tcPr>
            <w:tcW w:type="dxa" w:w="26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Global media</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This is a coordinated, lawful, proportionate response.</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The coalition acts through the World Trade Organization and in the open.</w:t>
            </w:r>
          </w:p>
        </w:tc>
      </w:tr>
      <w:tr>
        <w:tc>
          <w:tcPr>
            <w:tcW w:type="dxa" w:w="26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Domestic publics in each Party</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Your government stands up for its workers and industries.</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Exemptions and safeguards protect critical inputs and supply chains.</w:t>
            </w:r>
          </w:p>
        </w:tc>
      </w:tr>
    </w:tbl>
    <w:p>
      <w:pPr>
        <w:spacing w:after="220" w:before="60" w:line="260"/>
        <w:jc w:val="center"/>
      </w:pPr>
      <w:r>
        <w:rPr>
          <w:rFonts w:ascii="Calibri" w:cs="Calibri" w:eastAsia="SimHei" w:hAnsi="Calibri"/>
          <w:i/>
          <w:iCs/>
          <w:color w:val="5B6E8C"/>
          <w:sz w:val="18"/>
          <w:szCs w:val="18"/>
        </w:rPr>
        <w:t xml:space="preserve">Audience message matrix under Article 33.</w:t>
      </w:r>
    </w:p>
    <w:p>
      <w:pPr>
        <w:spacing w:after="181" w:line="306"/>
        <w:jc w:val="both"/>
      </w:pPr>
      <w:r>
        <w:rPr>
          <w:rFonts w:ascii="Calibri" w:cs="Calibri" w:eastAsia="SimHei" w:hAnsi="Calibri"/>
          <w:b/>
          <w:bCs/>
          <w:color w:val="0047AB"/>
          <w:sz w:val="22"/>
          <w:szCs w:val="22"/>
        </w:rPr>
        <w:t xml:space="preserve">33.3   </w:t>
      </w:r>
      <w:r>
        <w:rPr>
          <w:rFonts w:ascii="Georgia" w:cs="Georgia" w:eastAsia="SimSun" w:hAnsi="Georgia"/>
          <w:color w:val="20242E"/>
          <w:sz w:val="22"/>
          <w:szCs w:val="22"/>
        </w:rPr>
        <w:t xml:space="preserve">The narrative follows four standing themes: the coalition is defensive and not aggressive, proportionate and not punitive, united and not divisible, and open to dialogue and not to coercion. The themes recur in every product of the Communications Working Group, from press lines to ministerial talking points. Repetition builds the frame through which every event is read. The coalition that defines the frame wins the narrative war that accompanies every trade conflict.</w:t>
      </w:r>
    </w:p>
    <w:p>
      <w:pPr>
        <w:pStyle w:val="Heading2"/>
        <w:keepNext/>
        <w:spacing w:after="128" w:before="235" w:line="300"/>
      </w:pPr>
      <w:r>
        <w:rPr>
          <w:rFonts w:ascii="Calibri" w:cs="Calibri" w:eastAsia="SimHei" w:hAnsi="Calibri"/>
          <w:b/>
          <w:bCs/>
          <w:color w:val="0047AB"/>
          <w:spacing w:val="8"/>
          <w:sz w:val="26"/>
          <w:szCs w:val="26"/>
        </w:rPr>
        <w:t xml:space="preserve">Article 34: Domestic Shielding and Public Opinion Management</w:t>
      </w:r>
    </w:p>
    <w:p>
      <w:pPr>
        <w:spacing w:after="181" w:line="306"/>
        <w:jc w:val="both"/>
      </w:pPr>
      <w:r>
        <w:rPr>
          <w:rFonts w:ascii="Calibri" w:cs="Calibri" w:eastAsia="SimHei" w:hAnsi="Calibri"/>
          <w:b/>
          <w:bCs/>
          <w:color w:val="0047AB"/>
          <w:sz w:val="22"/>
          <w:szCs w:val="22"/>
        </w:rPr>
        <w:t xml:space="preserve">34.1   </w:t>
      </w:r>
      <w:r>
        <w:rPr>
          <w:rFonts w:ascii="Georgia" w:cs="Georgia" w:eastAsia="SimSun" w:hAnsi="Georgia"/>
          <w:color w:val="20242E"/>
          <w:sz w:val="22"/>
          <w:szCs w:val="22"/>
        </w:rPr>
        <w:t xml:space="preserve">Each Party prepares its domestic ground before the pressure arrives. The preparation kit includes sector-specific impact assessments, industry briefings, union consultations, and media briefing books, all drawn from the common templates that the Communications Working Group maintains. The preparation begins at accession and completes before the Party's implementation date. Governments that brief early rarely face panic later.</w:t>
      </w:r>
    </w:p>
    <w:p>
      <w:pPr>
        <w:spacing w:after="181" w:line="306"/>
        <w:jc w:val="both"/>
      </w:pPr>
      <w:r>
        <w:rPr>
          <w:rFonts w:ascii="Calibri" w:cs="Calibri" w:eastAsia="SimHei" w:hAnsi="Calibri"/>
          <w:b/>
          <w:bCs/>
          <w:color w:val="0047AB"/>
          <w:sz w:val="22"/>
          <w:szCs w:val="22"/>
        </w:rPr>
        <w:t xml:space="preserve">34.2   </w:t>
      </w:r>
      <w:r>
        <w:rPr>
          <w:rFonts w:ascii="Georgia" w:cs="Georgia" w:eastAsia="SimSun" w:hAnsi="Georgia"/>
          <w:color w:val="20242E"/>
          <w:sz w:val="22"/>
          <w:szCs w:val="22"/>
        </w:rPr>
        <w:t xml:space="preserve">The shielding program anticipates the moment when the target's threats arrive. Threats aim to trigger domestic panic and force a political retreat, and the program denies them that effect. Pre-positioned talking points answer the first frightening headline, pre-briefed industry leaders answer the first frightened call, and pre-published impact assessments answer the first exaggerated projection. The program converts surprise into routine.</w:t>
      </w:r>
    </w:p>
    <w:p>
      <w:pPr>
        <w:spacing w:after="181" w:line="306"/>
        <w:jc w:val="both"/>
      </w:pPr>
      <w:r>
        <w:rPr>
          <w:rFonts w:ascii="Calibri" w:cs="Calibri" w:eastAsia="SimHei" w:hAnsi="Calibri"/>
          <w:b/>
          <w:bCs/>
          <w:color w:val="0047AB"/>
          <w:sz w:val="22"/>
          <w:szCs w:val="22"/>
        </w:rPr>
        <w:t xml:space="preserve">34.3   </w:t>
      </w:r>
      <w:r>
        <w:rPr>
          <w:rFonts w:ascii="Georgia" w:cs="Georgia" w:eastAsia="SimSun" w:hAnsi="Georgia"/>
          <w:color w:val="20242E"/>
          <w:sz w:val="22"/>
          <w:szCs w:val="22"/>
        </w:rPr>
        <w:t xml:space="preserve">The Parties coordinate the timing of domestic communications. Major announcements, review outcomes, and escalation steps carry synchronized national rollouts that the Communications Working Group schedules. Synchronized rollouts amplify every message, because fifteen governments speaking on one day command more attention than one government speaking on fifteen days. The register records each rollout, and the Working Group evaluates its reach. Communications discipline is force multiplication.</w:t>
      </w:r>
    </w:p>
    <w:p>
      <w:pPr>
        <w:pStyle w:val="Heading2"/>
        <w:keepNext/>
        <w:spacing w:after="128" w:before="235" w:line="300"/>
      </w:pPr>
      <w:r>
        <w:rPr>
          <w:rFonts w:ascii="Calibri" w:cs="Calibri" w:eastAsia="SimHei" w:hAnsi="Calibri"/>
          <w:b/>
          <w:bCs/>
          <w:color w:val="0047AB"/>
          <w:spacing w:val="8"/>
          <w:sz w:val="26"/>
          <w:szCs w:val="26"/>
        </w:rPr>
        <w:t xml:space="preserve">Article 35: Intelligence Sharing and the Shadow Negotiation Team</w:t>
      </w:r>
    </w:p>
    <w:p>
      <w:pPr>
        <w:spacing w:after="181" w:line="306"/>
        <w:jc w:val="both"/>
      </w:pPr>
      <w:r>
        <w:rPr>
          <w:rFonts w:ascii="Calibri" w:cs="Calibri" w:eastAsia="SimHei" w:hAnsi="Calibri"/>
          <w:b/>
          <w:bCs/>
          <w:color w:val="0047AB"/>
          <w:sz w:val="22"/>
          <w:szCs w:val="22"/>
        </w:rPr>
        <w:t xml:space="preserve">35.1   </w:t>
      </w:r>
      <w:r>
        <w:rPr>
          <w:rFonts w:ascii="Georgia" w:cs="Georgia" w:eastAsia="SimSun" w:hAnsi="Georgia"/>
          <w:color w:val="20242E"/>
          <w:sz w:val="22"/>
          <w:szCs w:val="22"/>
        </w:rPr>
        <w:t xml:space="preserve">The Parties share intelligence relevant to the coalition's purposes through the secure channel. Shared material covers United States negotiation tactics, industry lobbying signals, congressional dynamics, and internal political developments that bear on the target's tariff policy. Each Party contributes according to its capacity, and the Secretariat curates the flow. Shared intelligence reduces uncertainty, and reduced uncertainty stiffens resolve.</w:t>
      </w:r>
    </w:p>
    <w:p>
      <w:pPr>
        <w:spacing w:after="181" w:line="306"/>
        <w:jc w:val="both"/>
      </w:pPr>
      <w:r>
        <w:rPr>
          <w:rFonts w:ascii="Calibri" w:cs="Calibri" w:eastAsia="SimHei" w:hAnsi="Calibri"/>
          <w:b/>
          <w:bCs/>
          <w:color w:val="0047AB"/>
          <w:sz w:val="22"/>
          <w:szCs w:val="22"/>
        </w:rPr>
        <w:t xml:space="preserve">35.2   </w:t>
      </w:r>
      <w:r>
        <w:rPr>
          <w:rFonts w:ascii="Georgia" w:cs="Georgia" w:eastAsia="SimSun" w:hAnsi="Georgia"/>
          <w:color w:val="20242E"/>
          <w:sz w:val="22"/>
          <w:szCs w:val="22"/>
        </w:rPr>
        <w:t xml:space="preserve">The Coalition maintains a Shadow Negotiation Team drawn from senior trade negotiators of the Parties. The Team monitors every United States signal, prepares unified negotiating positions in advance of any talks, and stands ready to deploy on the Council's decision. The Team's existence forecloses the isolation tactic, in which the target draws one member into side talks and shapes the agenda before others engage. When negotiation comes, the coalition arrives prepared and together.</w:t>
      </w:r>
    </w:p>
    <w:p>
      <w:pPr>
        <w:spacing w:after="181" w:line="306"/>
        <w:jc w:val="both"/>
      </w:pPr>
      <w:r>
        <w:rPr>
          <w:rFonts w:ascii="Calibri" w:cs="Calibri" w:eastAsia="SimHei" w:hAnsi="Calibri"/>
          <w:b/>
          <w:bCs/>
          <w:color w:val="0047AB"/>
          <w:sz w:val="22"/>
          <w:szCs w:val="22"/>
        </w:rPr>
        <w:t xml:space="preserve">35.3   </w:t>
      </w:r>
      <w:r>
        <w:rPr>
          <w:rFonts w:ascii="Georgia" w:cs="Georgia" w:eastAsia="SimSun" w:hAnsi="Georgia"/>
          <w:color w:val="20242E"/>
          <w:sz w:val="22"/>
          <w:szCs w:val="22"/>
        </w:rPr>
        <w:t xml:space="preserve">The Shadow Negotiation Team reports to the Steering Committee and works alongside the Legal Working Group. Its preparatory outputs include draft terms of reference for negotiations, fallback positions, sequencing options, and a settlement architecture compatible with Article 42. The Team updates its files after every Council session. Preparation converts the opening of talks from a moment of maximum vulnerability into a moment of maximum readiness. The coalition that prepares together negotiates together.</w:t>
      </w:r>
    </w:p>
    <w:p>
      <w:pPr>
        <w:pStyle w:val="Heading1"/>
        <w:keepNext/>
        <w:pageBreakBefore/>
        <w:spacing w:after="208" w:before="108" w:line="300"/>
      </w:pPr>
      <w:r>
        <w:rPr>
          <w:rFonts w:ascii="Calibri" w:cs="Calibri" w:eastAsia="SimHei" w:hAnsi="Calibri"/>
          <w:b/>
          <w:bCs/>
          <w:color w:val="0B2E6B"/>
          <w:spacing w:val="12"/>
          <w:sz w:val="32"/>
          <w:szCs w:val="32"/>
        </w:rPr>
        <w:t xml:space="preserve">Part IX: Escalation, Deterrence, and Risk Management</w:t>
      </w:r>
    </w:p>
    <w:p>
      <w:pPr>
        <w:pStyle w:val="Heading2"/>
        <w:keepNext/>
        <w:spacing w:after="128" w:before="235" w:line="300"/>
      </w:pPr>
      <w:r>
        <w:rPr>
          <w:rFonts w:ascii="Calibri" w:cs="Calibri" w:eastAsia="SimHei" w:hAnsi="Calibri"/>
          <w:b/>
          <w:bCs/>
          <w:color w:val="0047AB"/>
          <w:spacing w:val="8"/>
          <w:sz w:val="26"/>
          <w:szCs w:val="26"/>
        </w:rPr>
        <w:t xml:space="preserve">Article 36: The Retaliation Ladder</w:t>
      </w:r>
    </w:p>
    <w:p>
      <w:pPr>
        <w:spacing w:after="181" w:line="306"/>
        <w:jc w:val="both"/>
      </w:pPr>
      <w:r>
        <w:rPr>
          <w:rFonts w:ascii="Georgia" w:cs="Georgia" w:eastAsia="SimSun" w:hAnsi="Georgia"/>
          <w:color w:val="20242E"/>
          <w:sz w:val="22"/>
          <w:szCs w:val="22"/>
        </w:rPr>
        <w:t xml:space="preserve">The Coalition plans its escalation in advance, because improvised escalation fractures coalitions and planned escalation steadies them. The ladder below fixes three levels, and each level carries a defined trigger, a defined scope, and a defined decision rule. The ladder begins at the founding measures themselves, and it extends as far as the Council's supermajority chooses to climb. Predictability on the coalition's side deters recklessness on the other.</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1200"/>
        <w:gridCol w:w="4200"/>
        <w:gridCol w:w="4000"/>
      </w:tblGrid>
      <w:tr>
        <w:trPr>
          <w:tblHeader/>
        </w:trPr>
        <w:tc>
          <w:tcPr>
            <w:tcW w:type="dxa" w:w="1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Level</w:t>
            </w:r>
          </w:p>
        </w:tc>
        <w:tc>
          <w:tcPr>
            <w:tcW w:type="dxa" w:w="4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Scope</w:t>
            </w:r>
          </w:p>
        </w:tc>
        <w:tc>
          <w:tcPr>
            <w:tcW w:type="dxa" w:w="40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Decision Rule and Trigger</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Level 1</w:t>
            </w:r>
          </w:p>
        </w:tc>
        <w:tc>
          <w:tcPr>
            <w:tcW w:type="dxa" w:w="4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Twenty percent ad valorem tariff on the founding coverage schedule of Harmonized System Chapter 39</w:t>
            </w:r>
          </w:p>
        </w:tc>
        <w:tc>
          <w:tcPr>
            <w:tcW w:type="dxa" w:w="4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Automatic upon the synchronized implementation date of Article 7</w:t>
            </w:r>
          </w:p>
        </w:tc>
      </w:tr>
      <w:tr>
        <w:tc>
          <w:tcPr>
            <w:tcW w:type="dxa" w:w="1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Level 2</w:t>
            </w:r>
          </w:p>
        </w:tc>
        <w:tc>
          <w:tcPr>
            <w:tcW w:type="dxa" w:w="4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Expansion to plastics machinery and molds within Chapters 84 and 85</w:t>
            </w:r>
          </w:p>
        </w:tc>
        <w:tc>
          <w:tcPr>
            <w:tcW w:type="dxa" w:w="4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Council supermajority of seventy percent; trigger is material United States escalation or obstruction of the legal track</w:t>
            </w:r>
          </w:p>
        </w:tc>
      </w:tr>
      <w:tr>
        <w:tc>
          <w:tcPr>
            <w:tcW w:type="dxa" w:w="1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Level 3</w:t>
            </w:r>
          </w:p>
        </w:tc>
        <w:tc>
          <w:tcPr>
            <w:tcW w:type="dxa" w:w="4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Additional United States export categories, including selected chemicals and consumer goods designated by the Steering Committee</w:t>
            </w:r>
          </w:p>
        </w:tc>
        <w:tc>
          <w:tcPr>
            <w:tcW w:type="dxa" w:w="4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Council supermajority of seventy percent; trigger is disproportionate United States retaliation against any member</w:t>
            </w:r>
          </w:p>
        </w:tc>
      </w:tr>
    </w:tbl>
    <w:p>
      <w:pPr>
        <w:spacing w:after="220" w:before="60" w:line="260"/>
        <w:jc w:val="center"/>
      </w:pPr>
      <w:r>
        <w:rPr>
          <w:rFonts w:ascii="Calibri" w:cs="Calibri" w:eastAsia="SimHei" w:hAnsi="Calibri"/>
          <w:i/>
          <w:iCs/>
          <w:color w:val="5B6E8C"/>
          <w:sz w:val="18"/>
          <w:szCs w:val="18"/>
        </w:rPr>
        <w:t xml:space="preserve">The retaliation ladder under Article 36.</w:t>
      </w:r>
    </w:p>
    <w:p>
      <w:pPr>
        <w:spacing w:after="181" w:line="306"/>
        <w:jc w:val="both"/>
      </w:pPr>
      <w:r>
        <w:rPr>
          <w:rFonts w:ascii="Calibri" w:cs="Calibri" w:eastAsia="SimHei" w:hAnsi="Calibri"/>
          <w:b/>
          <w:bCs/>
          <w:color w:val="0047AB"/>
          <w:sz w:val="22"/>
          <w:szCs w:val="22"/>
        </w:rPr>
        <w:t xml:space="preserve">36.1   </w:t>
      </w:r>
      <w:r>
        <w:rPr>
          <w:rFonts w:ascii="Georgia" w:cs="Georgia" w:eastAsia="SimSun" w:hAnsi="Georgia"/>
          <w:color w:val="20242E"/>
          <w:sz w:val="22"/>
          <w:szCs w:val="22"/>
        </w:rPr>
        <w:t xml:space="preserve">Movement up the ladder follows the decision rules in the table, and no organ skips a level except in response to an equivalent jump by the target. Each step takes effect on a synchronized date across all Parties. The Steering Committee prepares the implementing file for each level in advance, so a Council decision converts into national action within thirty days. Prepared files turn political decisions into customs reality without delay.</w:t>
      </w:r>
    </w:p>
    <w:p>
      <w:pPr>
        <w:spacing w:after="181" w:line="306"/>
        <w:jc w:val="both"/>
      </w:pPr>
      <w:r>
        <w:rPr>
          <w:rFonts w:ascii="Calibri" w:cs="Calibri" w:eastAsia="SimHei" w:hAnsi="Calibri"/>
          <w:b/>
          <w:bCs/>
          <w:color w:val="0047AB"/>
          <w:sz w:val="22"/>
          <w:szCs w:val="22"/>
        </w:rPr>
        <w:t xml:space="preserve">36.2   </w:t>
      </w:r>
      <w:r>
        <w:rPr>
          <w:rFonts w:ascii="Georgia" w:cs="Georgia" w:eastAsia="SimSun" w:hAnsi="Georgia"/>
          <w:color w:val="20242E"/>
          <w:sz w:val="22"/>
          <w:szCs w:val="22"/>
        </w:rPr>
        <w:t xml:space="preserve">Movement down the ladder mirrors movement up. Where the target reverses the conduct that triggered a step, the Council reverses the step by the same majority that adopted it. The ladder thereby disciplines both sides: escalation is always available, and de-escalation is always possible. The framework keeps the ladder's rungs visible to the target at all times, because a known ladder deters better than a hidden one.</w:t>
      </w:r>
    </w:p>
    <w:p>
      <w:pPr>
        <w:pStyle w:val="Heading2"/>
        <w:keepNext/>
        <w:spacing w:after="128" w:before="235" w:line="300"/>
      </w:pPr>
      <w:r>
        <w:rPr>
          <w:rFonts w:ascii="Calibri" w:cs="Calibri" w:eastAsia="SimHei" w:hAnsi="Calibri"/>
          <w:b/>
          <w:bCs/>
          <w:color w:val="0047AB"/>
          <w:spacing w:val="8"/>
          <w:sz w:val="26"/>
          <w:szCs w:val="26"/>
        </w:rPr>
        <w:t xml:space="preserve">Article 37: Collective Counter-Retaliation</w:t>
      </w:r>
    </w:p>
    <w:p>
      <w:pPr>
        <w:spacing w:after="181" w:line="306"/>
        <w:jc w:val="both"/>
      </w:pPr>
      <w:r>
        <w:rPr>
          <w:rFonts w:ascii="Calibri" w:cs="Calibri" w:eastAsia="SimHei" w:hAnsi="Calibri"/>
          <w:b/>
          <w:bCs/>
          <w:color w:val="0047AB"/>
          <w:sz w:val="22"/>
          <w:szCs w:val="22"/>
        </w:rPr>
        <w:t xml:space="preserve">37.1   </w:t>
      </w:r>
      <w:r>
        <w:rPr>
          <w:rFonts w:ascii="Georgia" w:cs="Georgia" w:eastAsia="SimSun" w:hAnsi="Georgia"/>
          <w:color w:val="20242E"/>
          <w:sz w:val="22"/>
          <w:szCs w:val="22"/>
        </w:rPr>
        <w:t xml:space="preserve">The framework architecture includes a collective counter-retaliation mechanism. Where the United States targets any single member with additional coercive measures, all members apply a pre-agreed additional tariff of five to ten percent on a designated United States product list. The Steering Committee maintains the designated list, and the Council approves it at its first session. Activation follows the affected member's notification and the Committee's confirmation within five working days.</w:t>
      </w:r>
    </w:p>
    <w:p>
      <w:pPr>
        <w:spacing w:after="181" w:line="306"/>
        <w:jc w:val="both"/>
      </w:pPr>
      <w:r>
        <w:rPr>
          <w:rFonts w:ascii="Calibri" w:cs="Calibri" w:eastAsia="SimHei" w:hAnsi="Calibri"/>
          <w:b/>
          <w:bCs/>
          <w:color w:val="0047AB"/>
          <w:sz w:val="22"/>
          <w:szCs w:val="22"/>
        </w:rPr>
        <w:t xml:space="preserve">37.2   </w:t>
      </w:r>
      <w:r>
        <w:rPr>
          <w:rFonts w:ascii="Georgia" w:cs="Georgia" w:eastAsia="SimSun" w:hAnsi="Georgia"/>
          <w:color w:val="20242E"/>
          <w:sz w:val="22"/>
          <w:szCs w:val="22"/>
        </w:rPr>
        <w:t xml:space="preserve">The mechanism inverts the target's favorite tactic. Divide-and-conquer depends on the calculation that punishing one member frightens the others into silence, and the mechanism converts that calculation into its opposite: punishing one member triggers fifteen. The deterrent effect operates before the first blow, and it grows with every accession. The register publishes the designated list, so the deterrent never depends on bluff.</w:t>
      </w:r>
    </w:p>
    <w:p>
      <w:pPr>
        <w:spacing w:after="181" w:line="306"/>
        <w:jc w:val="both"/>
      </w:pPr>
      <w:r>
        <w:rPr>
          <w:rFonts w:ascii="Calibri" w:cs="Calibri" w:eastAsia="SimHei" w:hAnsi="Calibri"/>
          <w:b/>
          <w:bCs/>
          <w:color w:val="0047AB"/>
          <w:sz w:val="22"/>
          <w:szCs w:val="22"/>
        </w:rPr>
        <w:t xml:space="preserve">37.3   </w:t>
      </w:r>
      <w:r>
        <w:rPr>
          <w:rFonts w:ascii="Georgia" w:cs="Georgia" w:eastAsia="SimSun" w:hAnsi="Georgia"/>
          <w:color w:val="20242E"/>
          <w:sz w:val="22"/>
          <w:szCs w:val="22"/>
        </w:rPr>
        <w:t xml:space="preserve">The mechanism pairs with the solidarity instruments of Part VI. The member under attack receives the market access guarantee, the Facility window, and the agricultural protocol at the same moment that the coalition's counter-measures engage. Pressure on one thus produces solidarity from all and cost for the aggressor. The combination closes the tactical space that bilateral coercion requires. The framework treats an attack on one as a trigger for all.</w:t>
      </w:r>
    </w:p>
    <w:p>
      <w:pPr>
        <w:pStyle w:val="Heading2"/>
        <w:keepNext/>
        <w:spacing w:after="128" w:before="235" w:line="300"/>
      </w:pPr>
      <w:r>
        <w:rPr>
          <w:rFonts w:ascii="Calibri" w:cs="Calibri" w:eastAsia="SimHei" w:hAnsi="Calibri"/>
          <w:b/>
          <w:bCs/>
          <w:color w:val="0047AB"/>
          <w:spacing w:val="8"/>
          <w:sz w:val="26"/>
          <w:szCs w:val="26"/>
        </w:rPr>
        <w:t xml:space="preserve">Article 38: The Risk Register and Mitigation Protocols</w:t>
      </w:r>
    </w:p>
    <w:p>
      <w:pPr>
        <w:spacing w:after="181" w:line="306"/>
        <w:jc w:val="both"/>
      </w:pPr>
      <w:r>
        <w:rPr>
          <w:rFonts w:ascii="Georgia" w:cs="Georgia" w:eastAsia="SimSun" w:hAnsi="Georgia"/>
          <w:color w:val="20242E"/>
          <w:sz w:val="22"/>
          <w:szCs w:val="22"/>
        </w:rPr>
        <w:t xml:space="preserve">The Coalition plans against its own failure modes. The risk register below states the principal risks, and the mitigation protocols state the standing answers. The Steering Committee owns the register, updates it quarterly, and reports material changes to the Council. Risk planning converts surprises into scenarios and scenarios into drills.</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3400"/>
        <w:gridCol w:w="6000"/>
      </w:tblGrid>
      <w:tr>
        <w:trPr>
          <w:tblHeader/>
        </w:trPr>
        <w:tc>
          <w:tcPr>
            <w:tcW w:type="dxa" w:w="34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Risk</w:t>
            </w:r>
          </w:p>
        </w:tc>
        <w:tc>
          <w:tcPr>
            <w:tcW w:type="dxa" w:w="60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Standing Mitigation</w:t>
            </w:r>
          </w:p>
        </w:tc>
      </w:tr>
      <w:tr>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Members break ranks under bilateral pressure</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Public lock-in instruments; benefit stack of Part VI; commitment window of Article 21; defection consequences of Article 22</w:t>
            </w:r>
          </w:p>
        </w:tc>
      </w:tr>
      <w:tr>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States escalates into adjacent sectors</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Pre-agreed retaliation ladder of Article 36; collective counter-retaliation of Article 37; agricultural protocol of Article 26</w:t>
            </w:r>
          </w:p>
        </w:tc>
      </w:tr>
      <w:tr>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Dispute settlement system rules against the coalition or stalls</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Alternative legal pathways of Article 30; continuation of lawful countermeasures; negotiated settlement track</w:t>
            </w:r>
          </w:p>
        </w:tc>
      </w:tr>
      <w:tr>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Domestic political backlash in member states</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Shielding program of Article 27; public opinion management of Article 34; exemptions and safeguards of Article 6</w:t>
            </w:r>
          </w:p>
        </w:tc>
      </w:tr>
      <w:tr>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Supply chain disruption in covered inputs</w:t>
            </w:r>
          </w:p>
        </w:tc>
        <w:tc>
          <w:tcPr>
            <w:tcW w:type="dxa" w:w="60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Supplier directory and rewiring compacts of Article 25; safeguard track of Article 6; phased implementation option for Associates</w:t>
            </w:r>
          </w:p>
        </w:tc>
      </w:tr>
      <w:tr>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Circumvention through third-country transshipment</w:t>
            </w:r>
          </w:p>
        </w:tc>
        <w:tc>
          <w:tcPr>
            <w:tcW w:type="dxa" w:w="60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Origin verification and anti-circumvention procedure of Article 8; shared customs data on the secure channel</w:t>
            </w:r>
          </w:p>
        </w:tc>
      </w:tr>
    </w:tbl>
    <w:p>
      <w:pPr>
        <w:spacing w:after="220" w:before="60" w:line="260"/>
        <w:jc w:val="center"/>
      </w:pPr>
      <w:r>
        <w:rPr>
          <w:rFonts w:ascii="Calibri" w:cs="Calibri" w:eastAsia="SimHei" w:hAnsi="Calibri"/>
          <w:i/>
          <w:iCs/>
          <w:color w:val="5B6E8C"/>
          <w:sz w:val="18"/>
          <w:szCs w:val="18"/>
        </w:rPr>
        <w:t xml:space="preserve">Risk register and standing mitigations under Article 38.</w:t>
      </w:r>
    </w:p>
    <w:p>
      <w:pPr>
        <w:spacing w:after="181" w:line="306"/>
        <w:jc w:val="both"/>
      </w:pPr>
      <w:r>
        <w:rPr>
          <w:rFonts w:ascii="Calibri" w:cs="Calibri" w:eastAsia="SimHei" w:hAnsi="Calibri"/>
          <w:b/>
          <w:bCs/>
          <w:color w:val="0047AB"/>
          <w:sz w:val="22"/>
          <w:szCs w:val="22"/>
        </w:rPr>
        <w:t xml:space="preserve">38.1   </w:t>
      </w:r>
      <w:r>
        <w:rPr>
          <w:rFonts w:ascii="Georgia" w:cs="Georgia" w:eastAsia="SimSun" w:hAnsi="Georgia"/>
          <w:color w:val="20242E"/>
          <w:sz w:val="22"/>
          <w:szCs w:val="22"/>
        </w:rPr>
        <w:t xml:space="preserve">The register treats coalition fracture as the paramount risk and assigns it the deepest mitigation stack. Every other risk is manageable in isolation; fracture multiplies all of them. The discipline architecture of Part V and the solidarity instruments of Part VI therefore receive the Coalition's continuous attention and its first call on Secretariat resources. The Committee reviews the fracture indicators monthly, and the indicators include disclosure delays, exemption clustering, and messaging drift.</w:t>
      </w:r>
    </w:p>
    <w:p>
      <w:pPr>
        <w:spacing w:after="181" w:line="306"/>
        <w:jc w:val="both"/>
      </w:pPr>
      <w:r>
        <w:rPr>
          <w:rFonts w:ascii="Calibri" w:cs="Calibri" w:eastAsia="SimHei" w:hAnsi="Calibri"/>
          <w:b/>
          <w:bCs/>
          <w:color w:val="0047AB"/>
          <w:sz w:val="22"/>
          <w:szCs w:val="22"/>
        </w:rPr>
        <w:t xml:space="preserve">38.2   </w:t>
      </w:r>
      <w:r>
        <w:rPr>
          <w:rFonts w:ascii="Georgia" w:cs="Georgia" w:eastAsia="SimSun" w:hAnsi="Georgia"/>
          <w:color w:val="20242E"/>
          <w:sz w:val="22"/>
          <w:szCs w:val="22"/>
        </w:rPr>
        <w:t xml:space="preserve">The register also tracks the risk that the coalition succeeds too slowly. A pressure campaign that drifts without milestones loses domestic support and invites the target to wait it out. The metrics dashboard of Article 40 therefore carries time-bound targets, and the review process of Article 41 attaches decisions to them. The coalition measures itself honestly, and it adjusts its instruments when the measurement demands it. Self-correction is a designed feature of the framework.</w:t>
      </w:r>
    </w:p>
    <w:p>
      <w:pPr>
        <w:pStyle w:val="Heading2"/>
        <w:keepNext/>
        <w:spacing w:after="128" w:before="235" w:line="300"/>
      </w:pPr>
      <w:r>
        <w:rPr>
          <w:rFonts w:ascii="Calibri" w:cs="Calibri" w:eastAsia="SimHei" w:hAnsi="Calibri"/>
          <w:b/>
          <w:bCs/>
          <w:color w:val="0047AB"/>
          <w:spacing w:val="8"/>
          <w:sz w:val="26"/>
          <w:szCs w:val="26"/>
        </w:rPr>
        <w:t xml:space="preserve">Article 39: Escalation Deterrence Messaging</w:t>
      </w:r>
    </w:p>
    <w:p>
      <w:pPr>
        <w:spacing w:after="181" w:line="306"/>
        <w:jc w:val="both"/>
      </w:pPr>
      <w:r>
        <w:rPr>
          <w:rFonts w:ascii="Calibri" w:cs="Calibri" w:eastAsia="SimHei" w:hAnsi="Calibri"/>
          <w:b/>
          <w:bCs/>
          <w:color w:val="0047AB"/>
          <w:sz w:val="22"/>
          <w:szCs w:val="22"/>
        </w:rPr>
        <w:t xml:space="preserve">39.1   </w:t>
      </w:r>
      <w:r>
        <w:rPr>
          <w:rFonts w:ascii="Georgia" w:cs="Georgia" w:eastAsia="SimSun" w:hAnsi="Georgia"/>
          <w:color w:val="20242E"/>
          <w:sz w:val="22"/>
          <w:szCs w:val="22"/>
        </w:rPr>
        <w:t xml:space="preserve">The Coalition pairs its material deterrents with declaratory deterrence. The standing public line states that any disproportionate retaliation against one member triggers a coordinated response from all. The line appears in summit communiques, ministerial statements, and World Trade Organization interventions. The line never varies, because variation reads as doubt.</w:t>
      </w:r>
    </w:p>
    <w:p>
      <w:pPr>
        <w:spacing w:after="181" w:line="306"/>
        <w:jc w:val="both"/>
      </w:pPr>
      <w:r>
        <w:rPr>
          <w:rFonts w:ascii="Calibri" w:cs="Calibri" w:eastAsia="SimHei" w:hAnsi="Calibri"/>
          <w:b/>
          <w:bCs/>
          <w:color w:val="0047AB"/>
          <w:sz w:val="22"/>
          <w:szCs w:val="22"/>
        </w:rPr>
        <w:t xml:space="preserve">39.2   </w:t>
      </w:r>
      <w:r>
        <w:rPr>
          <w:rFonts w:ascii="Georgia" w:cs="Georgia" w:eastAsia="SimSun" w:hAnsi="Georgia"/>
          <w:color w:val="20242E"/>
          <w:sz w:val="22"/>
          <w:szCs w:val="22"/>
        </w:rPr>
        <w:t xml:space="preserve">The deterrence message reaches its audience through every channel the Coalition commands. Joint demarches deliver it in the target's capital, joint statements carry it to global media, and coordinated ambassador-level engagement repeats it across the diplomatic circuit. Repetition across channels builds credibility, and credibility deters. The Communications Working Group scripts each delivery, and the register records each occasion.</w:t>
      </w:r>
    </w:p>
    <w:p>
      <w:pPr>
        <w:spacing w:after="181" w:line="306"/>
        <w:jc w:val="both"/>
      </w:pPr>
      <w:r>
        <w:rPr>
          <w:rFonts w:ascii="Calibri" w:cs="Calibri" w:eastAsia="SimHei" w:hAnsi="Calibri"/>
          <w:b/>
          <w:bCs/>
          <w:color w:val="0047AB"/>
          <w:sz w:val="22"/>
          <w:szCs w:val="22"/>
        </w:rPr>
        <w:t xml:space="preserve">39.3   </w:t>
      </w:r>
      <w:r>
        <w:rPr>
          <w:rFonts w:ascii="Georgia" w:cs="Georgia" w:eastAsia="SimSun" w:hAnsi="Georgia"/>
          <w:color w:val="20242E"/>
          <w:sz w:val="22"/>
          <w:szCs w:val="22"/>
        </w:rPr>
        <w:t xml:space="preserve">The message binds the sender as well as the audience. A coalition that declares its response in advance finds that declaration tested, and the framework's automatic triggers ensure the test is met. Declaratory deterrence and automatic mechanism reinforce one another: the message warns, and the trigger performs. The target therefore prices the warning accurately. Deterrence succeeds when the other side believes the wiring, and the wiring is real.</w:t>
      </w:r>
    </w:p>
    <w:p>
      <w:pPr>
        <w:pStyle w:val="Heading1"/>
        <w:keepNext/>
        <w:pageBreakBefore/>
        <w:spacing w:after="208" w:before="108" w:line="300"/>
      </w:pPr>
      <w:r>
        <w:rPr>
          <w:rFonts w:ascii="Calibri" w:cs="Calibri" w:eastAsia="SimHei" w:hAnsi="Calibri"/>
          <w:b/>
          <w:bCs/>
          <w:color w:val="0B2E6B"/>
          <w:spacing w:val="12"/>
          <w:sz w:val="32"/>
          <w:szCs w:val="32"/>
        </w:rPr>
        <w:t xml:space="preserve">Part X: Monitoring, Review, Settlement, and Final Provisions</w:t>
      </w:r>
    </w:p>
    <w:p>
      <w:pPr>
        <w:pStyle w:val="Heading2"/>
        <w:keepNext/>
        <w:spacing w:after="128" w:before="235" w:line="300"/>
      </w:pPr>
      <w:r>
        <w:rPr>
          <w:rFonts w:ascii="Calibri" w:cs="Calibri" w:eastAsia="SimHei" w:hAnsi="Calibri"/>
          <w:b/>
          <w:bCs/>
          <w:color w:val="0047AB"/>
          <w:spacing w:val="8"/>
          <w:sz w:val="26"/>
          <w:szCs w:val="26"/>
        </w:rPr>
        <w:t xml:space="preserve">Article 40: The Success Metrics Dashboard</w:t>
      </w:r>
    </w:p>
    <w:p>
      <w:pPr>
        <w:spacing w:after="181" w:line="306"/>
        <w:jc w:val="both"/>
      </w:pPr>
      <w:r>
        <w:rPr>
          <w:rFonts w:ascii="Calibri" w:cs="Calibri" w:eastAsia="SimHei" w:hAnsi="Calibri"/>
          <w:b/>
          <w:bCs/>
          <w:color w:val="0047AB"/>
          <w:sz w:val="22"/>
          <w:szCs w:val="22"/>
        </w:rPr>
        <w:t xml:space="preserve">40.1   </w:t>
      </w:r>
      <w:r>
        <w:rPr>
          <w:rFonts w:ascii="Georgia" w:cs="Georgia" w:eastAsia="SimSun" w:hAnsi="Georgia"/>
          <w:color w:val="20242E"/>
          <w:sz w:val="22"/>
          <w:szCs w:val="22"/>
        </w:rPr>
        <w:t xml:space="preserve">The Coalition measures its campaign against a defined dashboard, and the Standing Secretariat maintains the dashboard on the secure channel. The dashboard tracks coalition size, United States plastics export volumes into the Coalition, evidence of United States industry lobbying for removal, negotiation progress, and the status of the legal track. The Secretariat updates the dashboard monthly from the customs reporting of Article 8. The dashboard is the Coalition's instrument panel, and every review begins from it.</w:t>
      </w:r>
    </w:p>
    <w:tbl>
      <w:tblPr>
        <w:tblW w:type="dxa" w:w="9400"/>
        <w:tblBorders>
          <w:top w:val="single" w:color="B9C9E6" w:sz="4"/>
          <w:left w:val="single" w:color="B9C9E6" w:sz="4"/>
          <w:bottom w:val="single" w:color="B9C9E6" w:sz="4"/>
          <w:right w:val="single" w:color="B9C9E6" w:sz="4"/>
          <w:insideH w:val="single" w:color="B9C9E6" w:sz="4"/>
          <w:insideV w:val="single" w:color="B9C9E6" w:sz="4"/>
        </w:tblBorders>
      </w:tblPr>
      <w:tblGrid>
        <w:gridCol w:w="2200"/>
        <w:gridCol w:w="3800"/>
        <w:gridCol w:w="3400"/>
      </w:tblGrid>
      <w:tr>
        <w:trPr>
          <w:tblHeader/>
        </w:trPr>
        <w:tc>
          <w:tcPr>
            <w:tcW w:type="dxa" w:w="22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Metric</w:t>
            </w:r>
          </w:p>
        </w:tc>
        <w:tc>
          <w:tcPr>
            <w:tcW w:type="dxa" w:w="38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Target</w:t>
            </w:r>
          </w:p>
        </w:tc>
        <w:tc>
          <w:tcPr>
            <w:tcW w:type="dxa" w:w="3400"/>
            <w:shd w:fill="0047AB" w:val="clear"/>
            <w:tcMar>
              <w:top w:type="dxa" w:w="90"/>
              <w:left w:type="dxa" w:w="110"/>
              <w:bottom w:type="dxa" w:w="90"/>
              <w:right w:type="dxa" w:w="110"/>
            </w:tcMar>
          </w:tcPr>
          <w:p>
            <w:pPr>
              <w:spacing w:after="30" w:line="260"/>
            </w:pPr>
            <w:r>
              <w:rPr>
                <w:rFonts w:ascii="Calibri" w:cs="Calibri" w:eastAsia="SimHei" w:hAnsi="Calibri"/>
                <w:b/>
                <w:bCs/>
                <w:color w:val="FFFFFF"/>
                <w:sz w:val="18"/>
                <w:szCs w:val="18"/>
              </w:rPr>
              <w:t xml:space="preserve">Measurement</w:t>
            </w:r>
          </w:p>
        </w:tc>
      </w:tr>
      <w:tr>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Coalition size</w:t>
            </w:r>
          </w:p>
        </w:tc>
        <w:tc>
          <w:tcPr>
            <w:tcW w:type="dxa" w:w="3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Fifteen or more Parties at implementation; growth thereafter</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Register of ratifications and accessions maintained by the Depositary</w:t>
            </w:r>
          </w:p>
        </w:tc>
      </w:tr>
      <w:tr>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States plastics export decline</w:t>
            </w:r>
          </w:p>
        </w:tc>
        <w:tc>
          <w:tcPr>
            <w:tcW w:type="dxa" w:w="3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Thirty to fifty percent decline into Coalition markets within six to twelve months</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Monthly customs reporting consolidated by the Secretariat</w:t>
            </w:r>
          </w:p>
        </w:tc>
      </w:tr>
      <w:tr>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States political pressure</w:t>
            </w:r>
          </w:p>
        </w:tc>
        <w:tc>
          <w:tcPr>
            <w:tcW w:type="dxa" w:w="3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Visible lobbying by the United States plastics industry for tariff removal</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Intelligence channel reporting and public lobbying disclosures</w:t>
            </w:r>
          </w:p>
        </w:tc>
      </w:tr>
      <w:tr>
        <w:tc>
          <w:tcPr>
            <w:tcW w:type="dxa" w:w="22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Negotiation progress</w:t>
            </w:r>
          </w:p>
        </w:tc>
        <w:tc>
          <w:tcPr>
            <w:tcW w:type="dxa" w:w="38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United States agreement to negotiate within six months</w:t>
            </w:r>
          </w:p>
        </w:tc>
        <w:tc>
          <w:tcPr>
            <w:tcW w:type="dxa" w:w="3400"/>
            <w:shd w:fill="EAF0FB" w:val="clear"/>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Formal record of negotiation contacts maintained by the Shadow Negotiation Team</w:t>
            </w:r>
          </w:p>
        </w:tc>
      </w:tr>
      <w:tr>
        <w:tc>
          <w:tcPr>
            <w:tcW w:type="dxa" w:w="22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Legal track</w:t>
            </w:r>
          </w:p>
        </w:tc>
        <w:tc>
          <w:tcPr>
            <w:tcW w:type="dxa" w:w="38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Favorable ruling or settlement</w:t>
            </w:r>
          </w:p>
        </w:tc>
        <w:tc>
          <w:tcPr>
            <w:tcW w:type="dxa" w:w="3400"/>
            <w:tcMar>
              <w:top w:type="dxa" w:w="80"/>
              <w:left w:type="dxa" w:w="110"/>
              <w:bottom w:type="dxa" w:w="80"/>
              <w:right w:type="dxa" w:w="110"/>
            </w:tcMar>
          </w:tcPr>
          <w:p>
            <w:pPr>
              <w:spacing w:after="30" w:line="260"/>
            </w:pPr>
            <w:r>
              <w:rPr>
                <w:rFonts w:ascii="Calibri" w:cs="Calibri" w:eastAsia="SimHei" w:hAnsi="Calibri"/>
                <w:color w:val="20242E"/>
                <w:sz w:val="18"/>
                <w:szCs w:val="18"/>
              </w:rPr>
              <w:t xml:space="preserve">Consolidated dispute docket maintained by the Legal Working Group</w:t>
            </w:r>
          </w:p>
        </w:tc>
      </w:tr>
    </w:tbl>
    <w:p>
      <w:pPr>
        <w:spacing w:after="220" w:before="60" w:line="260"/>
        <w:jc w:val="center"/>
      </w:pPr>
      <w:r>
        <w:rPr>
          <w:rFonts w:ascii="Calibri" w:cs="Calibri" w:eastAsia="SimHei" w:hAnsi="Calibri"/>
          <w:i/>
          <w:iCs/>
          <w:color w:val="5B6E8C"/>
          <w:sz w:val="18"/>
          <w:szCs w:val="18"/>
        </w:rPr>
        <w:t xml:space="preserve">Success metrics dashboard under Article 40.</w:t>
      </w:r>
    </w:p>
    <w:p>
      <w:pPr>
        <w:spacing w:after="181" w:line="306"/>
        <w:jc w:val="both"/>
      </w:pPr>
      <w:r>
        <w:rPr>
          <w:rFonts w:ascii="Calibri" w:cs="Calibri" w:eastAsia="SimHei" w:hAnsi="Calibri"/>
          <w:b/>
          <w:bCs/>
          <w:color w:val="0047AB"/>
          <w:sz w:val="22"/>
          <w:szCs w:val="22"/>
        </w:rPr>
        <w:t xml:space="preserve">40.2   </w:t>
      </w:r>
      <w:r>
        <w:rPr>
          <w:rFonts w:ascii="Georgia" w:cs="Georgia" w:eastAsia="SimSun" w:hAnsi="Georgia"/>
          <w:color w:val="20242E"/>
          <w:sz w:val="22"/>
          <w:szCs w:val="22"/>
        </w:rPr>
        <w:t xml:space="preserve">The dashboard serves discipline as well as strategy. Public metrics hold every organ to account, and the Council reviews performance against the targets at each session. A metric that misses its target twice triggers a strategy paper from the Steering Committee. The Committee's paper identifies the cause and proposes the adjustment. Measurement thereby drives adaptation.</w:t>
      </w:r>
    </w:p>
    <w:p>
      <w:pPr>
        <w:spacing w:after="181" w:line="306"/>
        <w:jc w:val="both"/>
      </w:pPr>
      <w:r>
        <w:rPr>
          <w:rFonts w:ascii="Calibri" w:cs="Calibri" w:eastAsia="SimHei" w:hAnsi="Calibri"/>
          <w:b/>
          <w:bCs/>
          <w:color w:val="0047AB"/>
          <w:sz w:val="22"/>
          <w:szCs w:val="22"/>
        </w:rPr>
        <w:t xml:space="preserve">40.3   </w:t>
      </w:r>
      <w:r>
        <w:rPr>
          <w:rFonts w:ascii="Georgia" w:cs="Georgia" w:eastAsia="SimSun" w:hAnsi="Georgia"/>
          <w:color w:val="20242E"/>
          <w:sz w:val="22"/>
          <w:szCs w:val="22"/>
        </w:rPr>
        <w:t xml:space="preserve">The Coalition publishes the non-sensitive portion of the dashboard. Publication demonstrates momentum to outside observers, to prospective members, and to the target's own constituencies. Demonstrated momentum recruits new members and weakens the target's waiting strategy. The dashboard thus doubles as a communications asset. What the Coalition measures, the world sees.</w:t>
      </w:r>
    </w:p>
    <w:p>
      <w:pPr>
        <w:pStyle w:val="Heading2"/>
        <w:keepNext/>
        <w:spacing w:after="128" w:before="235" w:line="300"/>
      </w:pPr>
      <w:r>
        <w:rPr>
          <w:rFonts w:ascii="Calibri" w:cs="Calibri" w:eastAsia="SimHei" w:hAnsi="Calibri"/>
          <w:b/>
          <w:bCs/>
          <w:color w:val="0047AB"/>
          <w:spacing w:val="8"/>
          <w:sz w:val="26"/>
          <w:szCs w:val="26"/>
        </w:rPr>
        <w:t xml:space="preserve">Article 41: Periodic Review</w:t>
      </w:r>
    </w:p>
    <w:p>
      <w:pPr>
        <w:spacing w:after="181" w:line="306"/>
        <w:jc w:val="both"/>
      </w:pPr>
      <w:r>
        <w:rPr>
          <w:rFonts w:ascii="Calibri" w:cs="Calibri" w:eastAsia="SimHei" w:hAnsi="Calibri"/>
          <w:b/>
          <w:bCs/>
          <w:color w:val="0047AB"/>
          <w:sz w:val="22"/>
          <w:szCs w:val="22"/>
        </w:rPr>
        <w:t xml:space="preserve">41.1   </w:t>
      </w:r>
      <w:r>
        <w:rPr>
          <w:rFonts w:ascii="Georgia" w:cs="Georgia" w:eastAsia="SimSun" w:hAnsi="Georgia"/>
          <w:color w:val="20242E"/>
          <w:sz w:val="22"/>
          <w:szCs w:val="22"/>
        </w:rPr>
        <w:t xml:space="preserve">The Council conducts a formal impact review six months after the synchronized implementation date. The review assesses the regime's economic impact on the Parties, audits the exemption register under Article 6, evaluates the substitution program of Article 25, and examines the dashboard of Article 40. The review adjusts product coverage and exemption parameters where the evidence demands, and it preserves the core rate intact unless the Council decides otherwise by supermajority. The Secretariat publishes the review's principal findings.</w:t>
      </w:r>
    </w:p>
    <w:p>
      <w:pPr>
        <w:spacing w:after="181" w:line="306"/>
        <w:jc w:val="both"/>
      </w:pPr>
      <w:r>
        <w:rPr>
          <w:rFonts w:ascii="Calibri" w:cs="Calibri" w:eastAsia="SimHei" w:hAnsi="Calibri"/>
          <w:b/>
          <w:bCs/>
          <w:color w:val="0047AB"/>
          <w:sz w:val="22"/>
          <w:szCs w:val="22"/>
        </w:rPr>
        <w:t xml:space="preserve">41.2   </w:t>
      </w:r>
      <w:r>
        <w:rPr>
          <w:rFonts w:ascii="Georgia" w:cs="Georgia" w:eastAsia="SimSun" w:hAnsi="Georgia"/>
          <w:color w:val="20242E"/>
          <w:sz w:val="22"/>
          <w:szCs w:val="22"/>
        </w:rPr>
        <w:t xml:space="preserve">The Council conducts an annual strategic review thereafter. The strategic review examines the persistence of the conditions that justify the regime, the state of the legal track, the posture of the target, and the health of the coalition itself. The review decides among maintaining, adjusting, escalating, or winding down the measures, always within the decision rules of this Convention. The review records a formal finding on each question.</w:t>
      </w:r>
    </w:p>
    <w:p>
      <w:pPr>
        <w:spacing w:after="181" w:line="306"/>
        <w:jc w:val="both"/>
      </w:pPr>
      <w:r>
        <w:rPr>
          <w:rFonts w:ascii="Calibri" w:cs="Calibri" w:eastAsia="SimHei" w:hAnsi="Calibri"/>
          <w:b/>
          <w:bCs/>
          <w:color w:val="0047AB"/>
          <w:sz w:val="22"/>
          <w:szCs w:val="22"/>
        </w:rPr>
        <w:t xml:space="preserve">41.3   </w:t>
      </w:r>
      <w:r>
        <w:rPr>
          <w:rFonts w:ascii="Georgia" w:cs="Georgia" w:eastAsia="SimSun" w:hAnsi="Georgia"/>
          <w:color w:val="20242E"/>
          <w:sz w:val="22"/>
          <w:szCs w:val="22"/>
        </w:rPr>
        <w:t xml:space="preserve">Review is the Coalition's answer to fatigue. Trade campaigns fail when members stop asking whether the campaign works, and the review calendar forbids that failure. Every review ends with decisions, not observations. The decisions enter the register and bind the organs. A coalition that reviews itself on schedule stays awake.</w:t>
      </w:r>
    </w:p>
    <w:p>
      <w:pPr>
        <w:pStyle w:val="Heading2"/>
        <w:keepNext/>
        <w:spacing w:after="128" w:before="235" w:line="300"/>
      </w:pPr>
      <w:r>
        <w:rPr>
          <w:rFonts w:ascii="Calibri" w:cs="Calibri" w:eastAsia="SimHei" w:hAnsi="Calibri"/>
          <w:b/>
          <w:bCs/>
          <w:color w:val="0047AB"/>
          <w:spacing w:val="8"/>
          <w:sz w:val="26"/>
          <w:szCs w:val="26"/>
        </w:rPr>
        <w:t xml:space="preserve">Article 42: Settlement Conditions and the Coordinated Rollback</w:t>
      </w:r>
    </w:p>
    <w:p>
      <w:pPr>
        <w:spacing w:after="181" w:line="306"/>
        <w:jc w:val="both"/>
      </w:pPr>
      <w:r>
        <w:rPr>
          <w:rFonts w:ascii="Calibri" w:cs="Calibri" w:eastAsia="SimHei" w:hAnsi="Calibri"/>
          <w:b/>
          <w:bCs/>
          <w:color w:val="0047AB"/>
          <w:sz w:val="22"/>
          <w:szCs w:val="22"/>
        </w:rPr>
        <w:t xml:space="preserve">42.1   </w:t>
      </w:r>
      <w:r>
        <w:rPr>
          <w:rFonts w:ascii="Georgia" w:cs="Georgia" w:eastAsia="SimSun" w:hAnsi="Georgia"/>
          <w:color w:val="20242E"/>
          <w:sz w:val="22"/>
          <w:szCs w:val="22"/>
        </w:rPr>
        <w:t xml:space="preserve">The Coalition suspends or terminates its measures when two conditions are met. The first condition is the removal of the discriminatory United States tariffs that the regime answers. The second condition is the conclusion of a negotiated settlement consistent with World Trade Organization rules. The Council determines the satisfaction of both conditions by supermajority, and the Shadow Negotiation Team supports every negotiation that the conditions require.</w:t>
      </w:r>
    </w:p>
    <w:p>
      <w:pPr>
        <w:spacing w:after="181" w:line="306"/>
        <w:jc w:val="both"/>
      </w:pPr>
      <w:r>
        <w:rPr>
          <w:rFonts w:ascii="Calibri" w:cs="Calibri" w:eastAsia="SimHei" w:hAnsi="Calibri"/>
          <w:b/>
          <w:bCs/>
          <w:color w:val="0047AB"/>
          <w:sz w:val="22"/>
          <w:szCs w:val="22"/>
        </w:rPr>
        <w:t xml:space="preserve">42.2   </w:t>
      </w:r>
      <w:r>
        <w:rPr>
          <w:rFonts w:ascii="Georgia" w:cs="Georgia" w:eastAsia="SimSun" w:hAnsi="Georgia"/>
          <w:color w:val="20242E"/>
          <w:sz w:val="22"/>
          <w:szCs w:val="22"/>
        </w:rPr>
        <w:t xml:space="preserve">Rollback proceeds synchronously across the entire membership. The Council fixes a common rollback date, and every Party lifts its measures on that date. No Party exits early, because early exits fragment the coalition's remaining leverage and reward defection. The synchronized rollback is announced jointly, and the announcement credits the settlement to the coalition's unity. The exit from the campaign displays the same discipline as the campaign itself.</w:t>
      </w:r>
    </w:p>
    <w:p>
      <w:pPr>
        <w:spacing w:after="181" w:line="306"/>
        <w:jc w:val="both"/>
      </w:pPr>
      <w:r>
        <w:rPr>
          <w:rFonts w:ascii="Calibri" w:cs="Calibri" w:eastAsia="SimHei" w:hAnsi="Calibri"/>
          <w:b/>
          <w:bCs/>
          <w:color w:val="0047AB"/>
          <w:sz w:val="22"/>
          <w:szCs w:val="22"/>
        </w:rPr>
        <w:t xml:space="preserve">42.3   </w:t>
      </w:r>
      <w:r>
        <w:rPr>
          <w:rFonts w:ascii="Georgia" w:cs="Georgia" w:eastAsia="SimSun" w:hAnsi="Georgia"/>
          <w:color w:val="20242E"/>
          <w:sz w:val="22"/>
          <w:szCs w:val="22"/>
        </w:rPr>
        <w:t xml:space="preserve">The settlement track remains open at every stage of the regime. The Coalition states its conditions publicly, updates them only through the Council, and holds its negotiating team in permanent readiness. The framework treats negotiation as the campaign's destination rather than its interruption. Pressure and openness operate together, each strengthening the other. The Convention ends where diplomacy succeeds.</w:t>
      </w:r>
    </w:p>
    <w:p>
      <w:pPr>
        <w:pStyle w:val="Heading2"/>
        <w:keepNext/>
        <w:spacing w:after="128" w:before="235" w:line="300"/>
      </w:pPr>
      <w:r>
        <w:rPr>
          <w:rFonts w:ascii="Calibri" w:cs="Calibri" w:eastAsia="SimHei" w:hAnsi="Calibri"/>
          <w:b/>
          <w:bCs/>
          <w:color w:val="0047AB"/>
          <w:spacing w:val="8"/>
          <w:sz w:val="26"/>
          <w:szCs w:val="26"/>
        </w:rPr>
        <w:t xml:space="preserve">Article 43: Amendments, Depositary Functions, and Final Provisions</w:t>
      </w:r>
    </w:p>
    <w:p>
      <w:pPr>
        <w:spacing w:after="181" w:line="306"/>
        <w:jc w:val="both"/>
      </w:pPr>
      <w:r>
        <w:rPr>
          <w:rFonts w:ascii="Calibri" w:cs="Calibri" w:eastAsia="SimHei" w:hAnsi="Calibri"/>
          <w:b/>
          <w:bCs/>
          <w:color w:val="0047AB"/>
          <w:sz w:val="22"/>
          <w:szCs w:val="22"/>
        </w:rPr>
        <w:t xml:space="preserve">43.1   </w:t>
      </w:r>
      <w:r>
        <w:rPr>
          <w:rFonts w:ascii="Georgia" w:cs="Georgia" w:eastAsia="SimSun" w:hAnsi="Georgia"/>
          <w:color w:val="20242E"/>
          <w:sz w:val="22"/>
          <w:szCs w:val="22"/>
        </w:rPr>
        <w:t xml:space="preserve">The Parties amend this Convention by a supermajority of seventy percent. A Party transmits a proposed amendment to the Depositary, the Depositary circulates it within fourteen days, and the Council considers it at its next session. An adopted amendment enters into force for accepting Parties upon deposit of their instruments of acceptance. The Depositary issues a consolidated text after each amendment enters into force.</w:t>
      </w:r>
    </w:p>
    <w:p>
      <w:pPr>
        <w:spacing w:after="181" w:line="306"/>
        <w:jc w:val="both"/>
      </w:pPr>
      <w:r>
        <w:rPr>
          <w:rFonts w:ascii="Calibri" w:cs="Calibri" w:eastAsia="SimHei" w:hAnsi="Calibri"/>
          <w:b/>
          <w:bCs/>
          <w:color w:val="0047AB"/>
          <w:sz w:val="22"/>
          <w:szCs w:val="22"/>
        </w:rPr>
        <w:t xml:space="preserve">43.2   </w:t>
      </w:r>
      <w:r>
        <w:rPr>
          <w:rFonts w:ascii="Georgia" w:cs="Georgia" w:eastAsia="SimSun" w:hAnsi="Georgia"/>
          <w:color w:val="20242E"/>
          <w:sz w:val="22"/>
          <w:szCs w:val="22"/>
        </w:rPr>
        <w:t xml:space="preserve">Canada acts as Depositary and maintains the instruments of ratification and accession, the notifications and disclosures of this Convention, the register of decisions, and the consolidated coverage schedules. The Depositary certifies the authentic texts and notifies every registration within seven days. The Depositary convenes the first session of the Council. Depositary functions transfer to another Party only by consensus of the Council.</w:t>
      </w:r>
    </w:p>
    <w:p>
      <w:pPr>
        <w:spacing w:after="181" w:line="306"/>
        <w:jc w:val="both"/>
      </w:pPr>
      <w:r>
        <w:rPr>
          <w:rFonts w:ascii="Calibri" w:cs="Calibri" w:eastAsia="SimHei" w:hAnsi="Calibri"/>
          <w:b/>
          <w:bCs/>
          <w:color w:val="0047AB"/>
          <w:sz w:val="22"/>
          <w:szCs w:val="22"/>
        </w:rPr>
        <w:t xml:space="preserve">43.3   </w:t>
      </w:r>
      <w:r>
        <w:rPr>
          <w:rFonts w:ascii="Georgia" w:cs="Georgia" w:eastAsia="SimSun" w:hAnsi="Georgia"/>
          <w:color w:val="20242E"/>
          <w:sz w:val="22"/>
          <w:szCs w:val="22"/>
        </w:rPr>
        <w:t xml:space="preserve">The Convention is equally authentic in all official languages of the Parties. Signature opens at the Ottawa Founding Summit and remains open for twelve months. Accession thereafter follows Article 9. The Convention enters into force in accordance with Article 7, and it remains in force until the coordinated rollback of Article 42 completes. In witness of these undertakings, the representatives of the Parties sign this Convention at Ottawa.</w:t>
      </w:r>
    </w:p>
    <w:p>
      <w:pPr>
        <w:spacing w:after="181" w:line="306"/>
        <w:jc w:val="both"/>
      </w:pPr>
      <w:r>
        <w:rPr>
          <w:rFonts w:ascii="Calibri" w:cs="Calibri" w:eastAsia="SimHei" w:hAnsi="Calibri"/>
          <w:b/>
          <w:bCs/>
          <w:color w:val="0047AB"/>
          <w:sz w:val="22"/>
          <w:szCs w:val="22"/>
        </w:rPr>
        <w:t xml:space="preserve">43.4   </w:t>
      </w:r>
      <w:r>
        <w:rPr>
          <w:rFonts w:ascii="Georgia" w:cs="Georgia" w:eastAsia="SimSun" w:hAnsi="Georgia"/>
          <w:color w:val="20242E"/>
          <w:sz w:val="22"/>
          <w:szCs w:val="22"/>
        </w:rPr>
        <w:t xml:space="preserve">The annexes form an integral part of the Convention. Annex A carries the model domestic implementing provision. Annex B carries the agenda and rules of the Founding Summit. Annex C carries the form of the public commitment instrument. Annex D carries the consolidated register of the coalition-stabilizing mechanisms that this Convention operationalizes.</w:t>
      </w:r>
    </w:p>
    <w:p>
      <w:pPr>
        <w:pStyle w:val="Heading1"/>
        <w:keepNext/>
        <w:pageBreakBefore/>
        <w:spacing w:after="208" w:before="108" w:line="300"/>
      </w:pPr>
      <w:r>
        <w:rPr>
          <w:rFonts w:ascii="Calibri" w:cs="Calibri" w:eastAsia="SimHei" w:hAnsi="Calibri"/>
          <w:b/>
          <w:bCs/>
          <w:color w:val="0B2E6B"/>
          <w:spacing w:val="12"/>
          <w:sz w:val="32"/>
          <w:szCs w:val="32"/>
        </w:rPr>
        <w:t xml:space="preserve">Annex A: Model Domestic Implementing Provision</w:t>
      </w:r>
    </w:p>
    <w:p>
      <w:pPr>
        <w:spacing w:after="181" w:line="306"/>
        <w:jc w:val="both"/>
      </w:pPr>
      <w:r>
        <w:rPr>
          <w:rFonts w:ascii="Georgia" w:cs="Georgia" w:eastAsia="SimSun" w:hAnsi="Georgia"/>
          <w:color w:val="20242E"/>
          <w:sz w:val="22"/>
          <w:szCs w:val="22"/>
        </w:rPr>
        <w:t xml:space="preserve">This annex carries the model provision that each Party adapts into its domestic law under Article 31. The model uses the operative drafting style of the Convention, and each national drafter adjusts the institutional references to its own legal order. The model's function is speed: a Party with a ready-made text completes Phase Three inside the timeline of Article 7. The Legal Working Group assists any Party that requests drafting support.</w:t>
      </w:r>
    </w:p>
    <w:p>
      <w:pPr>
        <w:spacing w:after="181" w:line="306"/>
        <w:jc w:val="both"/>
      </w:pPr>
      <w:r>
        <w:rPr>
          <w:rFonts w:ascii="Calibri" w:cs="Calibri" w:eastAsia="SimHei" w:hAnsi="Calibri"/>
          <w:b/>
          <w:bCs/>
          <w:color w:val="0047AB"/>
          <w:sz w:val="22"/>
          <w:szCs w:val="22"/>
        </w:rPr>
        <w:t xml:space="preserve">A.1   </w:t>
      </w:r>
      <w:r>
        <w:rPr>
          <w:rFonts w:ascii="Georgia" w:cs="Georgia" w:eastAsia="SimSun" w:hAnsi="Georgia"/>
          <w:color w:val="20242E"/>
          <w:sz w:val="22"/>
          <w:szCs w:val="22"/>
        </w:rPr>
        <w:t xml:space="preserve">The model provision establishes the core obligation in domestic terms. The national customs authority applies a duty of 20 percent ad valorem to goods of United States origin falling within the coverage schedule annexed to this Convention. The duty takes effect on the synchronized implementation date and remains in force until the coordinated rollback date that the Coalition Council fixes. The national authority administers the duty under the national customs law, and the duty operates in addition to any other applicable duty. The schedule, the rate, and the timing admit no domestic variation.</w:t>
      </w:r>
    </w:p>
    <w:p>
      <w:pPr>
        <w:spacing w:after="181" w:line="306"/>
        <w:jc w:val="both"/>
      </w:pPr>
      <w:r>
        <w:rPr>
          <w:rFonts w:ascii="Calibri" w:cs="Calibri" w:eastAsia="SimHei" w:hAnsi="Calibri"/>
          <w:b/>
          <w:bCs/>
          <w:color w:val="0047AB"/>
          <w:sz w:val="22"/>
          <w:szCs w:val="22"/>
        </w:rPr>
        <w:t xml:space="preserve">A.2   </w:t>
      </w:r>
      <w:r>
        <w:rPr>
          <w:rFonts w:ascii="Georgia" w:cs="Georgia" w:eastAsia="SimSun" w:hAnsi="Georgia"/>
          <w:color w:val="20242E"/>
          <w:sz w:val="22"/>
          <w:szCs w:val="22"/>
        </w:rPr>
        <w:t xml:space="preserve">The model provision establishes the exemption and safeguard machinery. The national authority grants a critical input exemption only upon the procedure of Article 6, and every exemption enters the national register and the coalition register simultaneously. The national authority activates a temporary safeguard only upon the notification procedure of Article 6, and the safeguard lapses automatically at the end of its term. The national authority reports every exemption and safeguard to the Standing Secretariat within seven days. The reporting duty continues for the life of the regime.</w:t>
      </w:r>
    </w:p>
    <w:p>
      <w:pPr>
        <w:spacing w:after="181" w:line="306"/>
        <w:jc w:val="both"/>
      </w:pPr>
      <w:r>
        <w:rPr>
          <w:rFonts w:ascii="Calibri" w:cs="Calibri" w:eastAsia="SimHei" w:hAnsi="Calibri"/>
          <w:b/>
          <w:bCs/>
          <w:color w:val="0047AB"/>
          <w:sz w:val="22"/>
          <w:szCs w:val="22"/>
        </w:rPr>
        <w:t xml:space="preserve">A.3   </w:t>
      </w:r>
      <w:r>
        <w:rPr>
          <w:rFonts w:ascii="Georgia" w:cs="Georgia" w:eastAsia="SimSun" w:hAnsi="Georgia"/>
          <w:color w:val="20242E"/>
          <w:sz w:val="22"/>
          <w:szCs w:val="22"/>
        </w:rPr>
        <w:t xml:space="preserve">The model provision establishes the lock-in. During the commitment window of Article 21, no national measure reduces the duty, narrows the schedule, or suspends the regime outside the authorized procedures. Any legislative proposal with that effect identifies itself on its face as a measure contrary to the state's treaty obligations. The provision thereby forces every reversal debate into the open. Transparency at the domestic level mirrors transparency at the coalition level.</w:t>
      </w:r>
    </w:p>
    <w:p>
      <w:pPr>
        <w:spacing w:after="181" w:line="306"/>
        <w:jc w:val="both"/>
      </w:pPr>
      <w:r>
        <w:rPr>
          <w:rFonts w:ascii="Calibri" w:cs="Calibri" w:eastAsia="SimHei" w:hAnsi="Calibri"/>
          <w:b/>
          <w:bCs/>
          <w:color w:val="0047AB"/>
          <w:sz w:val="22"/>
          <w:szCs w:val="22"/>
        </w:rPr>
        <w:t xml:space="preserve">A.4   </w:t>
      </w:r>
      <w:r>
        <w:rPr>
          <w:rFonts w:ascii="Georgia" w:cs="Georgia" w:eastAsia="SimSun" w:hAnsi="Georgia"/>
          <w:color w:val="20242E"/>
          <w:sz w:val="22"/>
          <w:szCs w:val="22"/>
        </w:rPr>
        <w:t xml:space="preserve">The model provision establishes the reporting and coordination duties. The national authority transmits monthly import data for covered goods to the Standing Secretariat. The national authority designates its liaison officers to the Technical Working Groups. The national authority maintains its transposition of the coverage schedule in current published form. These duties keep the coalition's shared picture accurate and current.</w:t>
      </w:r>
    </w:p>
    <w:p>
      <w:pPr>
        <w:pStyle w:val="Heading1"/>
        <w:keepNext/>
        <w:pageBreakBefore/>
        <w:spacing w:after="208" w:before="108" w:line="300"/>
      </w:pPr>
      <w:r>
        <w:rPr>
          <w:rFonts w:ascii="Calibri" w:cs="Calibri" w:eastAsia="SimHei" w:hAnsi="Calibri"/>
          <w:b/>
          <w:bCs/>
          <w:color w:val="0B2E6B"/>
          <w:spacing w:val="12"/>
          <w:sz w:val="32"/>
          <w:szCs w:val="32"/>
        </w:rPr>
        <w:t xml:space="preserve">Annex B: Agenda and Rules of the Founding Summit</w:t>
      </w:r>
    </w:p>
    <w:p>
      <w:pPr>
        <w:spacing w:after="181" w:line="306"/>
        <w:jc w:val="both"/>
      </w:pPr>
      <w:r>
        <w:rPr>
          <w:rFonts w:ascii="Georgia" w:cs="Georgia" w:eastAsia="SimSun" w:hAnsi="Georgia"/>
          <w:color w:val="20242E"/>
          <w:sz w:val="22"/>
          <w:szCs w:val="22"/>
        </w:rPr>
        <w:t xml:space="preserve">This annex fixes the agenda and rules of the Ottawa Founding Summit that Article 16 convenes. The fixed agenda compresses the work of the summit into a program that a single week accommodates. Canada circulates the annotated agenda with the summit invitations. The Steering Committee adopts the summit rules as its own first act.</w:t>
      </w:r>
    </w:p>
    <w:p>
      <w:pPr>
        <w:spacing w:after="181" w:line="306"/>
        <w:jc w:val="both"/>
      </w:pPr>
      <w:r>
        <w:rPr>
          <w:rFonts w:ascii="Calibri" w:cs="Calibri" w:eastAsia="SimHei" w:hAnsi="Calibri"/>
          <w:b/>
          <w:bCs/>
          <w:color w:val="0047AB"/>
          <w:sz w:val="22"/>
          <w:szCs w:val="22"/>
        </w:rPr>
        <w:t xml:space="preserve">B.1   </w:t>
      </w:r>
      <w:r>
        <w:rPr>
          <w:rFonts w:ascii="Georgia" w:cs="Georgia" w:eastAsia="SimSun" w:hAnsi="Georgia"/>
          <w:color w:val="20242E"/>
          <w:sz w:val="22"/>
          <w:szCs w:val="22"/>
        </w:rPr>
        <w:t xml:space="preserve">The summit opens with the intelligence session. Each participating state contributes its data on United States plastics exports, sector vulnerabilities, and substitution options, and the Secretariat consolidates the contributions into the baseline dataset. The session closes with the adoption of the baseline as the Coalition's common reference. Shared facts precede shared commitments, because a coalition that argues about data never reaches decisions. The baseline session occupies the first day.</w:t>
      </w:r>
    </w:p>
    <w:p>
      <w:pPr>
        <w:spacing w:after="181" w:line="306"/>
        <w:jc w:val="both"/>
      </w:pPr>
      <w:r>
        <w:rPr>
          <w:rFonts w:ascii="Calibri" w:cs="Calibri" w:eastAsia="SimHei" w:hAnsi="Calibri"/>
          <w:b/>
          <w:bCs/>
          <w:color w:val="0047AB"/>
          <w:sz w:val="22"/>
          <w:szCs w:val="22"/>
        </w:rPr>
        <w:t xml:space="preserve">B.2   </w:t>
      </w:r>
      <w:r>
        <w:rPr>
          <w:rFonts w:ascii="Georgia" w:cs="Georgia" w:eastAsia="SimSun" w:hAnsi="Georgia"/>
          <w:color w:val="20242E"/>
          <w:sz w:val="22"/>
          <w:szCs w:val="22"/>
        </w:rPr>
        <w:t xml:space="preserve">The second day adopts the substantive instruments. The participants adopt the common rate of 20 percent and the founding coverage schedule. The participants fix the synchronized implementation date under the default rule of Article 7. The participants adopt the joint communications plan and the designated product list of Article 37. Each adoption proceeds by consensus among the founding Parties.</w:t>
      </w:r>
    </w:p>
    <w:p>
      <w:pPr>
        <w:spacing w:after="181" w:line="306"/>
        <w:jc w:val="both"/>
      </w:pPr>
      <w:r>
        <w:rPr>
          <w:rFonts w:ascii="Calibri" w:cs="Calibri" w:eastAsia="SimHei" w:hAnsi="Calibri"/>
          <w:b/>
          <w:bCs/>
          <w:color w:val="0047AB"/>
          <w:sz w:val="22"/>
          <w:szCs w:val="22"/>
        </w:rPr>
        <w:t xml:space="preserve">B.3   </w:t>
      </w:r>
      <w:r>
        <w:rPr>
          <w:rFonts w:ascii="Georgia" w:cs="Georgia" w:eastAsia="SimSun" w:hAnsi="Georgia"/>
          <w:color w:val="20242E"/>
          <w:sz w:val="22"/>
          <w:szCs w:val="22"/>
        </w:rPr>
        <w:t xml:space="preserve">The third day constitutes the institutions. The participants sign the Convention in the ceremony that the Depositary administers. The participants constitute the Steering Committee with its founding rotation and appoint the working group convenors. The participants adopt the summit communique that Article 33's message matrix frames. The Depositary closes the summit by registering the signed texts and issuing them to the public register.</w:t>
      </w:r>
    </w:p>
    <w:p>
      <w:pPr>
        <w:spacing w:after="181" w:line="306"/>
        <w:jc w:val="both"/>
      </w:pPr>
      <w:r>
        <w:rPr>
          <w:rFonts w:ascii="Calibri" w:cs="Calibri" w:eastAsia="SimHei" w:hAnsi="Calibri"/>
          <w:b/>
          <w:bCs/>
          <w:color w:val="0047AB"/>
          <w:sz w:val="22"/>
          <w:szCs w:val="22"/>
        </w:rPr>
        <w:t xml:space="preserve">B.4   </w:t>
      </w:r>
      <w:r>
        <w:rPr>
          <w:rFonts w:ascii="Georgia" w:cs="Georgia" w:eastAsia="SimSun" w:hAnsi="Georgia"/>
          <w:color w:val="20242E"/>
          <w:sz w:val="22"/>
          <w:szCs w:val="22"/>
        </w:rPr>
        <w:t xml:space="preserve">The summit rules provide for closed working sessions and open ceremonial sessions. Working sessions admit accredited delegations only, and their records enter the secure channel. Ceremonial sessions admit media under the Communications Working Group's pool arrangements. Every delegation holds one vote, and consensus governs the founding acts. The rules preserve speed without sacrificing legitimacy.</w:t>
      </w:r>
    </w:p>
    <w:p>
      <w:pPr>
        <w:pStyle w:val="Heading1"/>
        <w:keepNext/>
        <w:pageBreakBefore/>
        <w:spacing w:after="208" w:before="108" w:line="300"/>
      </w:pPr>
      <w:r>
        <w:rPr>
          <w:rFonts w:ascii="Calibri" w:cs="Calibri" w:eastAsia="SimHei" w:hAnsi="Calibri"/>
          <w:b/>
          <w:bCs/>
          <w:color w:val="0B2E6B"/>
          <w:spacing w:val="12"/>
          <w:sz w:val="32"/>
          <w:szCs w:val="32"/>
        </w:rPr>
        <w:t xml:space="preserve">Annex C: Form of the Public Commitment Instrument</w:t>
      </w:r>
    </w:p>
    <w:p>
      <w:pPr>
        <w:spacing w:after="181" w:line="306"/>
        <w:jc w:val="both"/>
      </w:pPr>
      <w:r>
        <w:rPr>
          <w:rFonts w:ascii="Georgia" w:cs="Georgia" w:eastAsia="SimSun" w:hAnsi="Georgia"/>
          <w:color w:val="20242E"/>
          <w:sz w:val="22"/>
          <w:szCs w:val="22"/>
        </w:rPr>
        <w:t xml:space="preserve">This annex states the form of the public commitment instrument that Article 18 and Article 19 require of every acceding Party. The instrument is short by design, because its audience is the domestic public as much as the coalition. The head of government or foreign minister signs the instrument, and the Depositary publishes it on the day of signature. Domestic publication in the official gazette or equivalent completes the lock-in.</w:t>
      </w:r>
    </w:p>
    <w:p>
      <w:pPr>
        <w:spacing w:after="181" w:line="306"/>
        <w:jc w:val="both"/>
      </w:pPr>
      <w:r>
        <w:rPr>
          <w:rFonts w:ascii="Calibri" w:cs="Calibri" w:eastAsia="SimHei" w:hAnsi="Calibri"/>
          <w:b/>
          <w:bCs/>
          <w:color w:val="0047AB"/>
          <w:sz w:val="22"/>
          <w:szCs w:val="22"/>
        </w:rPr>
        <w:t xml:space="preserve">C.1   </w:t>
      </w:r>
      <w:r>
        <w:rPr>
          <w:rFonts w:ascii="Georgia" w:cs="Georgia" w:eastAsia="SimSun" w:hAnsi="Georgia"/>
          <w:color w:val="20242E"/>
          <w:sz w:val="22"/>
          <w:szCs w:val="22"/>
        </w:rPr>
        <w:t xml:space="preserve">The instrument opens with the commitment to the core measures. The signing state declares its adherence to the 20 percent ad valorem rate, to the full coverage schedule, and to the synchronized implementation date. The declaration states the state's membership category and, for Associate Members, the time-bound plan to full implementation. The declaration names the Convention and the date of signature. The language is declaratory and unconditional.</w:t>
      </w:r>
    </w:p>
    <w:p>
      <w:pPr>
        <w:spacing w:after="181" w:line="306"/>
        <w:jc w:val="both"/>
      </w:pPr>
      <w:r>
        <w:rPr>
          <w:rFonts w:ascii="Calibri" w:cs="Calibri" w:eastAsia="SimHei" w:hAnsi="Calibri"/>
          <w:b/>
          <w:bCs/>
          <w:color w:val="0047AB"/>
          <w:sz w:val="22"/>
          <w:szCs w:val="22"/>
        </w:rPr>
        <w:t xml:space="preserve">C.2   </w:t>
      </w:r>
      <w:r>
        <w:rPr>
          <w:rFonts w:ascii="Georgia" w:cs="Georgia" w:eastAsia="SimSun" w:hAnsi="Georgia"/>
          <w:color w:val="20242E"/>
          <w:sz w:val="22"/>
          <w:szCs w:val="22"/>
        </w:rPr>
        <w:t xml:space="preserve">The instrument continues with the discipline commitments. The signing state declares its adherence to the commitment window, to the no-side-deals transparency rule, and to the coordinated rollback rule. The declaration acknowledges the automatic consequences of Article 22. The declaration commits the state to domestic publication and to the legislative lock-in of Article 31. Each commitment appears in plain language that a public audience understands.</w:t>
      </w:r>
    </w:p>
    <w:p>
      <w:pPr>
        <w:spacing w:after="181" w:line="306"/>
        <w:jc w:val="both"/>
      </w:pPr>
      <w:r>
        <w:rPr>
          <w:rFonts w:ascii="Calibri" w:cs="Calibri" w:eastAsia="SimHei" w:hAnsi="Calibri"/>
          <w:b/>
          <w:bCs/>
          <w:color w:val="0047AB"/>
          <w:sz w:val="22"/>
          <w:szCs w:val="22"/>
        </w:rPr>
        <w:t xml:space="preserve">C.3   </w:t>
      </w:r>
      <w:r>
        <w:rPr>
          <w:rFonts w:ascii="Georgia" w:cs="Georgia" w:eastAsia="SimSun" w:hAnsi="Georgia"/>
          <w:color w:val="20242E"/>
          <w:sz w:val="22"/>
          <w:szCs w:val="22"/>
        </w:rPr>
        <w:t xml:space="preserve">The instrument closes with the solidarity commitments. The signing state declares its participation in the mutual market access guarantees, the Stabilization Facility, the rewiring program, and the agricultural protocol. The declaration records the state's adherence to the unified narrative and the collective deterrence message. The instrument ends with the signature, the date, and the seal of the signing state. The whole instrument fits on a single page.</w:t>
      </w:r>
    </w:p>
    <w:p>
      <w:pPr>
        <w:pStyle w:val="Heading1"/>
        <w:keepNext/>
        <w:pageBreakBefore/>
        <w:spacing w:after="208" w:before="108" w:line="300"/>
      </w:pPr>
      <w:r>
        <w:rPr>
          <w:rFonts w:ascii="Calibri" w:cs="Calibri" w:eastAsia="SimHei" w:hAnsi="Calibri"/>
          <w:b/>
          <w:bCs/>
          <w:color w:val="0B2E6B"/>
          <w:spacing w:val="12"/>
          <w:sz w:val="32"/>
          <w:szCs w:val="32"/>
        </w:rPr>
        <w:t xml:space="preserve">Annex D: Consolidated Register of Coalition-Stabilizing Mechanisms</w:t>
      </w:r>
    </w:p>
    <w:p>
      <w:pPr>
        <w:spacing w:after="181" w:line="306"/>
        <w:jc w:val="both"/>
      </w:pPr>
      <w:r>
        <w:rPr>
          <w:rFonts w:ascii="Georgia" w:cs="Georgia" w:eastAsia="SimSun" w:hAnsi="Georgia"/>
          <w:color w:val="20242E"/>
          <w:sz w:val="22"/>
          <w:szCs w:val="22"/>
        </w:rPr>
        <w:t xml:space="preserve">This annex consolidates the twenty stabilizing mechanisms that the Convention operationalizes across its Parts. The register serves as a checklist for the Steering Committee's quarterly discipline review, and it serves as a map for new members learning the architecture. Each entry names the mechanism, locates its operative article, and states its function in the architecture. The register closes the Convention's operative text.</w:t>
      </w:r>
    </w:p>
    <w:p>
      <w:pPr>
        <w:spacing w:after="181" w:line="306"/>
        <w:jc w:val="both"/>
      </w:pPr>
      <w:r>
        <w:rPr>
          <w:rFonts w:ascii="Calibri" w:cs="Calibri" w:eastAsia="SimHei" w:hAnsi="Calibri"/>
          <w:b/>
          <w:bCs/>
          <w:color w:val="0047AB"/>
          <w:sz w:val="22"/>
          <w:szCs w:val="22"/>
        </w:rPr>
        <w:t xml:space="preserve">D.1   </w:t>
      </w:r>
      <w:r>
        <w:rPr>
          <w:rFonts w:ascii="Georgia" w:cs="Georgia" w:eastAsia="SimSun" w:hAnsi="Georgia"/>
          <w:color w:val="20242E"/>
          <w:sz w:val="22"/>
          <w:szCs w:val="22"/>
        </w:rPr>
        <w:t xml:space="preserve">The first cluster secures commitment. The mutual non-defection pact of Article 19 makes defection politically costly through public commitment. The no-side-deals transparency mechanism of Article 20 exposes every bilateral approach to the whole coalition. The minimum tariff floor and commitment window of Article 21 fix the rate and the horizon. The defection consequences of Article 22 price departure in advance.</w:t>
      </w:r>
    </w:p>
    <w:p>
      <w:pPr>
        <w:spacing w:after="181" w:line="306"/>
        <w:jc w:val="both"/>
      </w:pPr>
      <w:r>
        <w:rPr>
          <w:rFonts w:ascii="Calibri" w:cs="Calibri" w:eastAsia="SimHei" w:hAnsi="Calibri"/>
          <w:b/>
          <w:bCs/>
          <w:color w:val="0047AB"/>
          <w:sz w:val="22"/>
          <w:szCs w:val="22"/>
        </w:rPr>
        <w:t xml:space="preserve">D.2   </w:t>
      </w:r>
      <w:r>
        <w:rPr>
          <w:rFonts w:ascii="Georgia" w:cs="Georgia" w:eastAsia="SimSun" w:hAnsi="Georgia"/>
          <w:color w:val="20242E"/>
          <w:sz w:val="22"/>
          <w:szCs w:val="22"/>
        </w:rPr>
        <w:t xml:space="preserve">The second cluster secures resilience. The rapid support packages of Article 23 deliver market access, temporary preferences, and substitution supply to any member under threat. The collective counter-retaliation clause of Article 37 converts an attack on one into a response from all. The diversification guarantees of Article 25 pre-arrange alternative suppliers, buyers, and shipping routes. The coordinated litigation of Article 28 multiplies the legal and reputational cost borne by the target.</w:t>
      </w:r>
    </w:p>
    <w:p>
      <w:pPr>
        <w:spacing w:after="181" w:line="306"/>
        <w:jc w:val="both"/>
      </w:pPr>
      <w:r>
        <w:rPr>
          <w:rFonts w:ascii="Calibri" w:cs="Calibri" w:eastAsia="SimHei" w:hAnsi="Calibri"/>
          <w:b/>
          <w:bCs/>
          <w:color w:val="0047AB"/>
          <w:sz w:val="22"/>
          <w:szCs w:val="22"/>
        </w:rPr>
        <w:t xml:space="preserve">D.3   </w:t>
      </w:r>
      <w:r>
        <w:rPr>
          <w:rFonts w:ascii="Georgia" w:cs="Georgia" w:eastAsia="SimSun" w:hAnsi="Georgia"/>
          <w:color w:val="20242E"/>
          <w:sz w:val="22"/>
          <w:szCs w:val="22"/>
        </w:rPr>
        <w:t xml:space="preserve">The third cluster secures cohesion. The joint communications strategy of Article 33 keeps fifteen governments on one message. The domestic political shielding of Article 34 equips every government with talking points, industry briefings, and impact assessments before the pressure arrives. The Emergency Stabilization Facility of Article 24 offsets losses, stabilizes industries, and signals long-term commitment. The agricultural protection coordination of Article 26 blunts the target's preferred weapon through pre-committed purchases, subsidies, and redirection.</w:t>
      </w:r>
    </w:p>
    <w:p>
      <w:pPr>
        <w:spacing w:after="181" w:line="306"/>
        <w:jc w:val="both"/>
      </w:pPr>
      <w:r>
        <w:rPr>
          <w:rFonts w:ascii="Calibri" w:cs="Calibri" w:eastAsia="SimHei" w:hAnsi="Calibri"/>
          <w:b/>
          <w:bCs/>
          <w:color w:val="0047AB"/>
          <w:sz w:val="22"/>
          <w:szCs w:val="22"/>
        </w:rPr>
        <w:t xml:space="preserve">D.4   </w:t>
      </w:r>
      <w:r>
        <w:rPr>
          <w:rFonts w:ascii="Georgia" w:cs="Georgia" w:eastAsia="SimSun" w:hAnsi="Georgia"/>
          <w:color w:val="20242E"/>
          <w:sz w:val="22"/>
          <w:szCs w:val="22"/>
        </w:rPr>
        <w:t xml:space="preserve">The fourth cluster secures foresight. The retaliation ladder of Article 36 plans the first, second, and third response levels before any crisis. The diplomatic shielding of Article 39 coordinates joint demarches, joint statements, and joint ambassador-level pressure. The intelligence sharing of Article 35 pools knowledge of negotiation tactics, lobbying signals, and political dynamics. The supply chain rewiring agreements of Article 25 pre-commit members to buy from one another and to redirect imports away from retaliation-sensitive goods.</w:t>
      </w:r>
    </w:p>
    <w:p>
      <w:pPr>
        <w:spacing w:after="181" w:line="306"/>
        <w:jc w:val="both"/>
      </w:pPr>
      <w:r>
        <w:rPr>
          <w:rFonts w:ascii="Calibri" w:cs="Calibri" w:eastAsia="SimHei" w:hAnsi="Calibri"/>
          <w:b/>
          <w:bCs/>
          <w:color w:val="0047AB"/>
          <w:sz w:val="22"/>
          <w:szCs w:val="22"/>
        </w:rPr>
        <w:t xml:space="preserve">D.5   </w:t>
      </w:r>
      <w:r>
        <w:rPr>
          <w:rFonts w:ascii="Georgia" w:cs="Georgia" w:eastAsia="SimSun" w:hAnsi="Georgia"/>
          <w:color w:val="20242E"/>
          <w:sz w:val="22"/>
          <w:szCs w:val="22"/>
        </w:rPr>
        <w:t xml:space="preserve">The fifth cluster secures the landing zone. The safe harbor market access of Article 23 absorbs displaced goods when the target cuts off a member's exports. The coordinated public opinion management of Article 34 prevents domestic pressure from forcing retreat. The legal shielding of Article 27 delivers tax relief, export credits, and loan guarantees to firms under strain. The pre-negotiated no-capitulation window of Article 21 fixes a stable horizon of no bilateral deals and no tariff reductions.</w:t>
      </w:r>
    </w:p>
    <w:p>
      <w:pPr>
        <w:spacing w:after="181" w:line="306"/>
        <w:jc w:val="both"/>
      </w:pPr>
      <w:r>
        <w:rPr>
          <w:rFonts w:ascii="Calibri" w:cs="Calibri" w:eastAsia="SimHei" w:hAnsi="Calibri"/>
          <w:b/>
          <w:bCs/>
          <w:color w:val="0047AB"/>
          <w:sz w:val="22"/>
          <w:szCs w:val="22"/>
        </w:rPr>
        <w:t xml:space="preserve">D.6   </w:t>
      </w:r>
      <w:r>
        <w:rPr>
          <w:rFonts w:ascii="Georgia" w:cs="Georgia" w:eastAsia="SimSun" w:hAnsi="Georgia"/>
          <w:color w:val="20242E"/>
          <w:sz w:val="22"/>
          <w:szCs w:val="22"/>
        </w:rPr>
        <w:t xml:space="preserve">The sixth cluster secures the endgame. The Shadow Negotiation Team of Article 35 monitors signals, prepares unified positions, and prevents isolation. The escalation deterrence messaging of Article 39 warns publicly that disproportionate retaliation triggers a unified response. The settlement architecture of Article 42 holds the exit open on defined conditions. The coordinated rollback of Article 42 delivers the synchronized, joint exit that preserves leverage to the last day.</w:t>
      </w:r>
    </w:p>
    <w:p>
      <w:pPr>
        <w:spacing w:after="181" w:line="306"/>
        <w:jc w:val="both"/>
      </w:pPr>
      <w:r>
        <w:rPr>
          <w:rFonts w:ascii="Georgia" w:cs="Georgia" w:eastAsia="SimSun" w:hAnsi="Georgia"/>
          <w:color w:val="20242E"/>
          <w:sz w:val="22"/>
          <w:szCs w:val="22"/>
        </w:rPr>
        <w:t xml:space="preserve">The register's twenty mechanisms share one design philosophy: the coalition makes staying easy, defecting hard, and attacking any member expensive. Every mechanism operates automatically, publicly, and in advance, because mechanisms that depend on improvisation fail precisely when they matter most. The Parties adopt the register as the standing checklist of coalition health, and the Steering Committee scores the Coalition against it every quarter. A coalition that maintains its mechanisms maintains itself. The Convention rests.</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Hei" w:hAnsi="Calibri"/>
        <w:color w:val="5B6E8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Hei" w:hAnsi="Calibri"/>
        <w:color w:val="5B6E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4F7" w:sz="4" w:space="4"/>
      </w:pBdr>
      <w:spacing w:after="120"/>
      <w:jc w:val="center"/>
    </w:pPr>
    <w:r>
      <w:rPr>
        <w:rFonts w:ascii="Calibri" w:cs="Calibri" w:eastAsia="SimHei" w:hAnsi="Calibri"/>
        <w:color w:val="0047AB"/>
        <w:spacing w:val="10"/>
        <w:sz w:val="16"/>
        <w:szCs w:val="16"/>
      </w:rPr>
      <w:t xml:space="preserve">Framework Convention on Coordinated Plastics Tariff Measures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4F7" w:sz="4" w:space="4"/>
      </w:pBdr>
      <w:spacing w:after="120"/>
      <w:jc w:val="center"/>
    </w:pPr>
    <w:r>
      <w:rPr>
        <w:rFonts w:ascii="Calibri" w:cs="Calibri" w:eastAsia="SimHei" w:hAnsi="Calibri"/>
        <w:color w:val="0047AB"/>
        <w:spacing w:val="10"/>
        <w:sz w:val="16"/>
        <w:szCs w:val="16"/>
      </w:rPr>
      <w:t xml:space="preserve">Framework Convention on Coordinated Plastics Tariff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SimSun" w:hAnsi="Georgia"/>
        <w:color w:val="2024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pPr>
      <w:spacing w:after="40" w:before="120" w:line="260"/>
    </w:pPr>
    <w:rPr>
      <w:rFonts w:ascii="Calibri" w:cs="Calibri" w:eastAsia="SimHei" w:hAnsi="Calibri"/>
      <w:b/>
      <w:bCs/>
      <w:color w:val="0B2E6B"/>
      <w:sz w:val="21"/>
      <w:szCs w:val="21"/>
    </w:rPr>
  </w:style>
  <w:style w:type="paragraph" w:styleId="TOC2">
    <w:name w:val="toc 2"/>
    <w:basedOn w:val="Normal"/>
    <w:pPr>
      <w:spacing w:after="20" w:line="260"/>
    </w:pPr>
    <w:rPr>
      <w:rFonts w:ascii="Calibri" w:cs="Calibri" w:eastAsia="SimHei" w:hAnsi="Calibri"/>
      <w:color w:val="20242E"/>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2026-08-29T12:28:51.042Z</dcterms:created>
  <dcterms:modified xsi:type="dcterms:W3CDTF">2026-08-29T12:28:51.042Z</dcterms:modified>
</cp:coreProperties>
</file>

<file path=docProps/custom.xml><?xml version="1.0" encoding="utf-8"?>
<Properties xmlns="http://schemas.openxmlformats.org/officeDocument/2006/custom-properties" xmlns:vt="http://schemas.openxmlformats.org/officeDocument/2006/docPropsVTypes"/>
</file>