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i w:val="0"/>
          <w:color w:val="37474F"/>
          <w:sz w:val="60"/>
        </w:rPr>
        <w:t>CUSMA-PLUS MODULAR MODERNIZATION PROTOCOL</w:t>
      </w:r>
    </w:p>
    <w:p>
      <w:pPr>
        <w:spacing w:after="480"/>
        <w:jc w:val="center"/>
      </w:pPr>
      <w:r>
        <w:rPr>
          <w:rFonts w:ascii="Calibri" w:hAnsi="Calibri"/>
          <w:b w:val="0"/>
          <w:i/>
          <w:color w:val="546E7A"/>
          <w:sz w:val="27"/>
        </w:rPr>
        <w:t>Eight Stand-Alone, Incorporable Annexes for Canada–United States–Mexico Trade Modernization</w:t>
      </w:r>
    </w:p>
    <w:p>
      <w:pPr>
        <w:spacing w:after="240"/>
        <w:jc w:val="center"/>
      </w:pPr>
    </w:p>
    <w:p>
      <w:pPr>
        <w:spacing w:after="160"/>
        <w:jc w:val="center"/>
      </w:pPr>
      <w:r>
        <w:rPr>
          <w:rFonts w:ascii="Calibri" w:hAnsi="Calibri"/>
          <w:b w:val="0"/>
          <w:i w:val="0"/>
          <w:sz w:val="24"/>
        </w:rPr>
        <w:t>Version 1.0  ·  September 2026</w:t>
      </w:r>
    </w:p>
    <w:p>
      <w:pPr>
        <w:spacing w:after="160"/>
        <w:jc w:val="center"/>
      </w:pPr>
      <w:r>
        <w:rPr>
          <w:rFonts w:ascii="Calibri" w:hAnsi="Calibri"/>
          <w:b w:val="0"/>
          <w:i w:val="0"/>
          <w:color w:val="546E7A"/>
          <w:sz w:val="22"/>
        </w:rPr>
        <w:t>Negotiating Draft  ·  Model Text for Discussion and Public-Domain Use</w:t>
      </w:r>
    </w:p>
    <w:p>
      <w:pPr>
        <w:spacing w:after="1080"/>
        <w:jc w:val="center"/>
      </w:pPr>
      <w:r>
        <w:rPr>
          <w:rFonts w:ascii="Calibri" w:hAnsi="Calibri"/>
          <w:b w:val="0"/>
          <w:i/>
          <w:color w:val="78909C"/>
          <w:sz w:val="20"/>
        </w:rPr>
        <w:t>Designed for individual adoption, grouped adoption, incorporation by reference, or later consolidation</w:t>
      </w:r>
    </w:p>
    <w:p>
      <w:pPr>
        <w:spacing w:after="160"/>
        <w:jc w:val="center"/>
      </w:pPr>
      <w:r>
        <w:rPr>
          <w:rFonts w:ascii="Calibri" w:hAnsi="Calibri"/>
          <w:b/>
          <w:i w:val="0"/>
          <w:color w:val="37474F"/>
          <w:sz w:val="22"/>
        </w:rPr>
        <w:t>Canada  ·  United States  ·  Mexico</w:t>
      </w:r>
    </w:p>
    <w:p>
      <w:pPr>
        <w:spacing w:after="160"/>
        <w:jc w:val="center"/>
      </w:pPr>
      <w:r>
        <w:rPr>
          <w:rFonts w:ascii="Calibri" w:hAnsi="Calibri"/>
          <w:b w:val="0"/>
          <w:i w:val="0"/>
          <w:color w:val="546E7A"/>
          <w:sz w:val="20"/>
        </w:rPr>
        <w:t>Modular supplemental architecture for CUSMA / USMCA / T-MEC modernization</w:t>
      </w:r>
    </w:p>
    <w:p>
      <w:pPr>
        <w:spacing w:after="0"/>
        <w:jc w:val="center"/>
      </w:pPr>
      <w:r>
        <w:rPr>
          <w:rFonts w:ascii="Calibri" w:hAnsi="Calibri"/>
          <w:b w:val="0"/>
          <w:i/>
          <w:color w:val="78909C"/>
          <w:sz w:val="18"/>
        </w:rPr>
        <w:t>Trade-adapted Cothrom verification  ·  Chapter 31 interface  ·  Independent annex adoption</w:t>
      </w:r>
    </w:p>
    <w:p>
      <w:pPr>
        <w:pageBreakBefore w:val="1"/>
      </w:pPr>
      <w:r>
        <w:rPr>
          <w:b/>
          <w:sz w:val="32"/>
          <w:color w:val="37474F"/>
        </w:rPr>
        <w:t>Table of Contents</w:t>
      </w:r>
    </w:p>
    <w:p>
      <w:pPr>
        <w:ind w:left="0"/>
        <w:tabs>
          <w:tab w:val="right" w:leader="dot" w:pos="9000"/>
        </w:tabs>
      </w:pPr>
      <w:r>
        <w:rPr>
          <w:sz w:val="20"/>
          <w:b/>
        </w:rPr>
        <w:t>DOCUMENT CONTROL, STATUS, AND ADOPTION ARCHITECTURE</w:t>
      </w:r>
      <w:r>
        <w:tab/>
      </w:r>
      <w:r>
        <w:t>8</w:t>
      </w:r>
    </w:p>
    <w:p>
      <w:pPr>
        <w:ind w:left="360"/>
        <w:tabs>
          <w:tab w:val="right" w:leader="dot" w:pos="9000"/>
        </w:tabs>
      </w:pPr>
      <w:r>
        <w:rPr>
          <w:sz w:val="19"/>
        </w:rPr>
        <w:t>Verified 2026 Canada–United States Friction Map Used in Drafting</w:t>
      </w:r>
      <w:r>
        <w:tab/>
      </w:r>
      <w:r>
        <w:t>8</w:t>
      </w:r>
    </w:p>
    <w:p>
      <w:pPr>
        <w:ind w:left="360"/>
        <w:tabs>
          <w:tab w:val="right" w:leader="dot" w:pos="9000"/>
        </w:tabs>
      </w:pPr>
      <w:r>
        <w:rPr>
          <w:sz w:val="19"/>
        </w:rPr>
        <w:t>Common Incorporation Clause</w:t>
      </w:r>
      <w:r>
        <w:tab/>
      </w:r>
      <w:r>
        <w:t>9</w:t>
      </w:r>
    </w:p>
    <w:p>
      <w:pPr>
        <w:ind w:left="0"/>
        <w:tabs>
          <w:tab w:val="right" w:leader="dot" w:pos="9000"/>
        </w:tabs>
      </w:pPr>
      <w:r>
        <w:rPr>
          <w:sz w:val="20"/>
          <w:b/>
        </w:rPr>
        <w:t>PART I — COMMON RULES FOR EVERY MODULAR ANNEX</w:t>
      </w:r>
      <w:r>
        <w:tab/>
      </w:r>
      <w:r>
        <w:t>9</w:t>
      </w:r>
    </w:p>
    <w:p>
      <w:pPr>
        <w:ind w:left="360"/>
        <w:tabs>
          <w:tab w:val="right" w:leader="dot" w:pos="9000"/>
        </w:tabs>
      </w:pPr>
      <w:r>
        <w:rPr>
          <w:sz w:val="19"/>
        </w:rPr>
        <w:t>Article G.1 — Independence and Severability</w:t>
      </w:r>
      <w:r>
        <w:tab/>
      </w:r>
      <w:r>
        <w:t>9</w:t>
      </w:r>
    </w:p>
    <w:p>
      <w:pPr>
        <w:ind w:left="360"/>
        <w:tabs>
          <w:tab w:val="right" w:leader="dot" w:pos="9000"/>
        </w:tabs>
      </w:pPr>
      <w:r>
        <w:rPr>
          <w:sz w:val="19"/>
        </w:rPr>
        <w:t>Article G.2 — Participation Geometry</w:t>
      </w:r>
      <w:r>
        <w:tab/>
      </w:r>
      <w:r>
        <w:t>9</w:t>
      </w:r>
    </w:p>
    <w:p>
      <w:pPr>
        <w:ind w:left="360"/>
        <w:tabs>
          <w:tab w:val="right" w:leader="dot" w:pos="9000"/>
        </w:tabs>
      </w:pPr>
      <w:r>
        <w:rPr>
          <w:sz w:val="19"/>
        </w:rPr>
        <w:t>Article G.3 — Domestic Authority and Subnational Participation</w:t>
      </w:r>
      <w:r>
        <w:tab/>
      </w:r>
      <w:r>
        <w:t>9</w:t>
      </w:r>
    </w:p>
    <w:p>
      <w:pPr>
        <w:ind w:left="360"/>
        <w:tabs>
          <w:tab w:val="right" w:leader="dot" w:pos="9000"/>
        </w:tabs>
      </w:pPr>
      <w:r>
        <w:rPr>
          <w:sz w:val="19"/>
        </w:rPr>
        <w:t>Article G.4 — Publication and Administrative Record</w:t>
      </w:r>
      <w:r>
        <w:tab/>
      </w:r>
      <w:r>
        <w:t>10</w:t>
      </w:r>
    </w:p>
    <w:p>
      <w:pPr>
        <w:ind w:left="360"/>
        <w:tabs>
          <w:tab w:val="right" w:leader="dot" w:pos="9000"/>
        </w:tabs>
      </w:pPr>
      <w:r>
        <w:rPr>
          <w:sz w:val="19"/>
        </w:rPr>
        <w:t>Article G.5 — Technology Neutrality</w:t>
      </w:r>
      <w:r>
        <w:tab/>
      </w:r>
      <w:r>
        <w:t>10</w:t>
      </w:r>
    </w:p>
    <w:p>
      <w:pPr>
        <w:ind w:left="360"/>
        <w:tabs>
          <w:tab w:val="right" w:leader="dot" w:pos="9000"/>
        </w:tabs>
      </w:pPr>
      <w:r>
        <w:rPr>
          <w:sz w:val="19"/>
        </w:rPr>
        <w:t>Article G.6 — Review and Updating</w:t>
      </w:r>
      <w:r>
        <w:tab/>
      </w:r>
      <w:r>
        <w:t>10</w:t>
      </w:r>
    </w:p>
    <w:p>
      <w:pPr>
        <w:ind w:left="360"/>
        <w:tabs>
          <w:tab w:val="right" w:leader="dot" w:pos="9000"/>
        </w:tabs>
      </w:pPr>
      <w:r>
        <w:rPr>
          <w:sz w:val="19"/>
        </w:rPr>
        <w:t>Article G.7 — Cothrom Verification Baseline</w:t>
      </w:r>
      <w:r>
        <w:tab/>
      </w:r>
      <w:r>
        <w:t>10</w:t>
      </w:r>
    </w:p>
    <w:p>
      <w:pPr>
        <w:ind w:left="0"/>
        <w:tabs>
          <w:tab w:val="right" w:leader="dot" w:pos="9000"/>
        </w:tabs>
      </w:pPr>
      <w:r>
        <w:rPr>
          <w:sz w:val="20"/>
          <w:b/>
        </w:rPr>
        <w:t>ANNEX 1 — DIGITAL TRADE MODERNIZATION</w:t>
      </w:r>
      <w:r>
        <w:tab/>
      </w:r>
      <w:r>
        <w:t>10</w:t>
      </w:r>
    </w:p>
    <w:p>
      <w:pPr>
        <w:ind w:left="360"/>
        <w:tabs>
          <w:tab w:val="right" w:leader="dot" w:pos="9000"/>
        </w:tabs>
      </w:pPr>
      <w:r>
        <w:rPr>
          <w:sz w:val="19"/>
        </w:rPr>
        <w:t>A1.1 Objective and Scope</w:t>
      </w:r>
      <w:r>
        <w:tab/>
      </w:r>
      <w:r>
        <w:t>11</w:t>
      </w:r>
    </w:p>
    <w:p>
      <w:pPr>
        <w:ind w:left="360"/>
        <w:tabs>
          <w:tab w:val="right" w:leader="dot" w:pos="9000"/>
        </w:tabs>
      </w:pPr>
      <w:r>
        <w:rPr>
          <w:sz w:val="19"/>
        </w:rPr>
        <w:t>A1.2 Cross-Border Data Transfers</w:t>
      </w:r>
      <w:r>
        <w:tab/>
      </w:r>
      <w:r>
        <w:t>11</w:t>
      </w:r>
    </w:p>
    <w:p>
      <w:pPr>
        <w:ind w:left="360"/>
        <w:tabs>
          <w:tab w:val="right" w:leader="dot" w:pos="9000"/>
        </w:tabs>
      </w:pPr>
      <w:r>
        <w:rPr>
          <w:sz w:val="19"/>
        </w:rPr>
        <w:t>A1.3 Computing Facilities and Cloud Reciprocity</w:t>
      </w:r>
      <w:r>
        <w:tab/>
      </w:r>
      <w:r>
        <w:t>11</w:t>
      </w:r>
    </w:p>
    <w:p>
      <w:pPr>
        <w:ind w:left="360"/>
        <w:tabs>
          <w:tab w:val="right" w:leader="dot" w:pos="9000"/>
        </w:tabs>
      </w:pPr>
      <w:r>
        <w:rPr>
          <w:sz w:val="19"/>
        </w:rPr>
        <w:t>A1.4 Privacy and Data Protection Interoperability</w:t>
      </w:r>
      <w:r>
        <w:tab/>
      </w:r>
      <w:r>
        <w:t>11</w:t>
      </w:r>
    </w:p>
    <w:p>
      <w:pPr>
        <w:ind w:left="360"/>
        <w:tabs>
          <w:tab w:val="right" w:leader="dot" w:pos="9000"/>
        </w:tabs>
      </w:pPr>
      <w:r>
        <w:rPr>
          <w:sz w:val="19"/>
        </w:rPr>
        <w:t>A1.5 Artificial Intelligence Governance</w:t>
      </w:r>
      <w:r>
        <w:tab/>
      </w:r>
      <w:r>
        <w:t>11</w:t>
      </w:r>
    </w:p>
    <w:p>
      <w:pPr>
        <w:ind w:left="360"/>
        <w:tabs>
          <w:tab w:val="right" w:leader="dot" w:pos="9000"/>
        </w:tabs>
      </w:pPr>
      <w:r>
        <w:rPr>
          <w:sz w:val="19"/>
        </w:rPr>
        <w:t>A1.6 Cybersecurity Cooperation</w:t>
      </w:r>
      <w:r>
        <w:tab/>
      </w:r>
      <w:r>
        <w:t>11</w:t>
      </w:r>
    </w:p>
    <w:p>
      <w:pPr>
        <w:ind w:left="360"/>
        <w:tabs>
          <w:tab w:val="right" w:leader="dot" w:pos="9000"/>
        </w:tabs>
      </w:pPr>
      <w:r>
        <w:rPr>
          <w:sz w:val="19"/>
        </w:rPr>
        <w:t>A1.7 Source Code, Encryption, and Security Testing</w:t>
      </w:r>
      <w:r>
        <w:tab/>
      </w:r>
      <w:r>
        <w:t>11</w:t>
      </w:r>
    </w:p>
    <w:p>
      <w:pPr>
        <w:ind w:left="360"/>
        <w:tabs>
          <w:tab w:val="right" w:leader="dot" w:pos="9000"/>
        </w:tabs>
      </w:pPr>
      <w:r>
        <w:rPr>
          <w:sz w:val="19"/>
        </w:rPr>
        <w:t>A1.8 Digital Cultural and Public-Interest Measures</w:t>
      </w:r>
      <w:r>
        <w:tab/>
      </w:r>
      <w:r>
        <w:t>12</w:t>
      </w:r>
    </w:p>
    <w:p>
      <w:pPr>
        <w:ind w:left="360"/>
        <w:tabs>
          <w:tab w:val="right" w:leader="dot" w:pos="9000"/>
        </w:tabs>
      </w:pPr>
      <w:r>
        <w:rPr>
          <w:sz w:val="19"/>
        </w:rPr>
        <w:t>A1.9 SME Digital Access</w:t>
      </w:r>
      <w:r>
        <w:tab/>
      </w:r>
      <w:r>
        <w:t>12</w:t>
      </w:r>
    </w:p>
    <w:p>
      <w:pPr>
        <w:ind w:left="360"/>
        <w:tabs>
          <w:tab w:val="right" w:leader="dot" w:pos="9000"/>
        </w:tabs>
      </w:pPr>
      <w:r>
        <w:rPr>
          <w:sz w:val="19"/>
        </w:rPr>
        <w:t>A1.10 Governance and Review</w:t>
      </w:r>
      <w:r>
        <w:tab/>
      </w:r>
      <w:r>
        <w:t>12</w:t>
      </w:r>
    </w:p>
    <w:p>
      <w:pPr>
        <w:ind w:left="360"/>
        <w:tabs>
          <w:tab w:val="right" w:leader="dot" w:pos="9000"/>
        </w:tabs>
      </w:pPr>
      <w:r>
        <w:rPr>
          <w:sz w:val="19"/>
        </w:rPr>
        <w:t>IMPLEMENTATION SCHEDULE 1-A — FIRST 180 DAYS</w:t>
      </w:r>
      <w:r>
        <w:tab/>
      </w:r>
      <w:r>
        <w:t>12</w:t>
      </w:r>
    </w:p>
    <w:p>
      <w:pPr>
        <w:ind w:left="360"/>
        <w:tabs>
          <w:tab w:val="right" w:leader="dot" w:pos="9000"/>
        </w:tabs>
      </w:pPr>
      <w:r>
        <w:rPr>
          <w:sz w:val="19"/>
        </w:rPr>
        <w:t>VERIFICATION MATRIX 1-B — COTHROM ADAPTATION</w:t>
      </w:r>
      <w:r>
        <w:tab/>
      </w:r>
      <w:r>
        <w:t>12</w:t>
      </w:r>
    </w:p>
    <w:p>
      <w:pPr>
        <w:ind w:left="360"/>
        <w:tabs>
          <w:tab w:val="right" w:leader="dot" w:pos="9000"/>
        </w:tabs>
      </w:pPr>
      <w:r>
        <w:rPr>
          <w:sz w:val="19"/>
        </w:rPr>
        <w:t>MODEL NOTICE 1-C — ANNEX ISSUE REGISTRATION</w:t>
      </w:r>
      <w:r>
        <w:tab/>
      </w:r>
      <w:r>
        <w:t>13</w:t>
      </w:r>
    </w:p>
    <w:p>
      <w:pPr>
        <w:ind w:left="360"/>
        <w:tabs>
          <w:tab w:val="right" w:leader="dot" w:pos="9000"/>
        </w:tabs>
      </w:pPr>
      <w:r>
        <w:rPr>
          <w:sz w:val="19"/>
        </w:rPr>
        <w:t>DATA AND RECORDS SCHEDULE 1-D</w:t>
      </w:r>
      <w:r>
        <w:tab/>
      </w:r>
      <w:r>
        <w:t>13</w:t>
      </w:r>
    </w:p>
    <w:p>
      <w:pPr>
        <w:ind w:left="360"/>
        <w:tabs>
          <w:tab w:val="right" w:leader="dot" w:pos="9000"/>
        </w:tabs>
      </w:pPr>
      <w:r>
        <w:rPr>
          <w:sz w:val="19"/>
        </w:rPr>
        <w:t>STAKEHOLDER AND SME ACCESS SCHEDULE 1-E</w:t>
      </w:r>
      <w:r>
        <w:tab/>
      </w:r>
      <w:r>
        <w:t>13</w:t>
      </w:r>
    </w:p>
    <w:p>
      <w:pPr>
        <w:ind w:left="360"/>
        <w:tabs>
          <w:tab w:val="right" w:leader="dot" w:pos="9000"/>
        </w:tabs>
      </w:pPr>
      <w:r>
        <w:rPr>
          <w:sz w:val="19"/>
        </w:rPr>
        <w:t>FAILURE-MODE PLAYBOOK 1-F</w:t>
      </w:r>
      <w:r>
        <w:tab/>
      </w:r>
      <w:r>
        <w:t>13</w:t>
      </w:r>
    </w:p>
    <w:p>
      <w:pPr>
        <w:ind w:left="0"/>
        <w:tabs>
          <w:tab w:val="right" w:leader="dot" w:pos="9000"/>
        </w:tabs>
      </w:pPr>
      <w:r>
        <w:rPr>
          <w:sz w:val="20"/>
          <w:b/>
        </w:rPr>
        <w:t>ANNEX 2 — CUSTOMS, ORIGIN ENFORCEMENT, AND TRADE FACILITATION</w:t>
      </w:r>
      <w:r>
        <w:tab/>
      </w:r>
      <w:r>
        <w:t>14</w:t>
      </w:r>
    </w:p>
    <w:p>
      <w:pPr>
        <w:ind w:left="360"/>
        <w:tabs>
          <w:tab w:val="right" w:leader="dot" w:pos="9000"/>
        </w:tabs>
      </w:pPr>
      <w:r>
        <w:rPr>
          <w:sz w:val="19"/>
        </w:rPr>
        <w:t>A2.1 Objective</w:t>
      </w:r>
      <w:r>
        <w:tab/>
      </w:r>
      <w:r>
        <w:t>14</w:t>
      </w:r>
    </w:p>
    <w:p>
      <w:pPr>
        <w:ind w:left="360"/>
        <w:tabs>
          <w:tab w:val="right" w:leader="dot" w:pos="9000"/>
        </w:tabs>
      </w:pPr>
      <w:r>
        <w:rPr>
          <w:sz w:val="19"/>
        </w:rPr>
        <w:t>A2.2 Single-Window Interoperability</w:t>
      </w:r>
      <w:r>
        <w:tab/>
      </w:r>
      <w:r>
        <w:t>14</w:t>
      </w:r>
    </w:p>
    <w:p>
      <w:pPr>
        <w:ind w:left="360"/>
        <w:tabs>
          <w:tab w:val="right" w:leader="dot" w:pos="9000"/>
        </w:tabs>
      </w:pPr>
      <w:r>
        <w:rPr>
          <w:sz w:val="19"/>
        </w:rPr>
        <w:t>A2.3 Trusted Trader Mutual Recognition</w:t>
      </w:r>
      <w:r>
        <w:tab/>
      </w:r>
      <w:r>
        <w:t>14</w:t>
      </w:r>
    </w:p>
    <w:p>
      <w:pPr>
        <w:ind w:left="360"/>
        <w:tabs>
          <w:tab w:val="right" w:leader="dot" w:pos="9000"/>
        </w:tabs>
      </w:pPr>
      <w:r>
        <w:rPr>
          <w:sz w:val="19"/>
        </w:rPr>
        <w:t>A2.4 Low-Value Shipments</w:t>
      </w:r>
      <w:r>
        <w:tab/>
      </w:r>
      <w:r>
        <w:t>14</w:t>
      </w:r>
    </w:p>
    <w:p>
      <w:pPr>
        <w:ind w:left="360"/>
        <w:tabs>
          <w:tab w:val="right" w:leader="dot" w:pos="9000"/>
        </w:tabs>
      </w:pPr>
      <w:r>
        <w:rPr>
          <w:sz w:val="19"/>
        </w:rPr>
        <w:t>A2.5 Anti-Transshipment and Economic-Substance Test</w:t>
      </w:r>
      <w:r>
        <w:tab/>
      </w:r>
      <w:r>
        <w:t>14</w:t>
      </w:r>
    </w:p>
    <w:p>
      <w:pPr>
        <w:ind w:left="360"/>
        <w:tabs>
          <w:tab w:val="right" w:leader="dot" w:pos="9000"/>
        </w:tabs>
      </w:pPr>
      <w:r>
        <w:rPr>
          <w:sz w:val="19"/>
        </w:rPr>
        <w:t>A2.6 Origin Verification Requests</w:t>
      </w:r>
      <w:r>
        <w:tab/>
      </w:r>
      <w:r>
        <w:t>14</w:t>
      </w:r>
    </w:p>
    <w:p>
      <w:pPr>
        <w:ind w:left="360"/>
        <w:tabs>
          <w:tab w:val="right" w:leader="dot" w:pos="9000"/>
        </w:tabs>
      </w:pPr>
      <w:r>
        <w:rPr>
          <w:sz w:val="19"/>
        </w:rPr>
        <w:t>A2.7 Forced-Labour Enforcement Cooperation</w:t>
      </w:r>
      <w:r>
        <w:tab/>
      </w:r>
      <w:r>
        <w:t>15</w:t>
      </w:r>
    </w:p>
    <w:p>
      <w:pPr>
        <w:ind w:left="360"/>
        <w:tabs>
          <w:tab w:val="right" w:leader="dot" w:pos="9000"/>
        </w:tabs>
      </w:pPr>
      <w:r>
        <w:rPr>
          <w:sz w:val="19"/>
        </w:rPr>
        <w:t>A2.8 Joint Inspection and Port Consistency</w:t>
      </w:r>
      <w:r>
        <w:tab/>
      </w:r>
      <w:r>
        <w:t>15</w:t>
      </w:r>
    </w:p>
    <w:p>
      <w:pPr>
        <w:ind w:left="360"/>
        <w:tabs>
          <w:tab w:val="right" w:leader="dot" w:pos="9000"/>
        </w:tabs>
      </w:pPr>
      <w:r>
        <w:rPr>
          <w:sz w:val="19"/>
        </w:rPr>
        <w:t>A2.9 Advance Rulings and Model Decisions</w:t>
      </w:r>
      <w:r>
        <w:tab/>
      </w:r>
      <w:r>
        <w:t>15</w:t>
      </w:r>
    </w:p>
    <w:p>
      <w:pPr>
        <w:ind w:left="360"/>
        <w:tabs>
          <w:tab w:val="right" w:leader="dot" w:pos="9000"/>
        </w:tabs>
      </w:pPr>
      <w:r>
        <w:rPr>
          <w:sz w:val="19"/>
        </w:rPr>
        <w:t>A2.10 Review</w:t>
      </w:r>
      <w:r>
        <w:tab/>
      </w:r>
      <w:r>
        <w:t>15</w:t>
      </w:r>
    </w:p>
    <w:p>
      <w:pPr>
        <w:ind w:left="360"/>
        <w:tabs>
          <w:tab w:val="right" w:leader="dot" w:pos="9000"/>
        </w:tabs>
      </w:pPr>
      <w:r>
        <w:rPr>
          <w:sz w:val="19"/>
        </w:rPr>
        <w:t>IMPLEMENTATION SCHEDULE 2-A — FIRST 180 DAYS</w:t>
      </w:r>
      <w:r>
        <w:tab/>
      </w:r>
      <w:r>
        <w:t>15</w:t>
      </w:r>
    </w:p>
    <w:p>
      <w:pPr>
        <w:ind w:left="360"/>
        <w:tabs>
          <w:tab w:val="right" w:leader="dot" w:pos="9000"/>
        </w:tabs>
      </w:pPr>
      <w:r>
        <w:rPr>
          <w:sz w:val="19"/>
        </w:rPr>
        <w:t>VERIFICATION MATRIX 2-B — COTHROM ADAPTATION</w:t>
      </w:r>
      <w:r>
        <w:tab/>
      </w:r>
      <w:r>
        <w:t>15</w:t>
      </w:r>
    </w:p>
    <w:p>
      <w:pPr>
        <w:ind w:left="360"/>
        <w:tabs>
          <w:tab w:val="right" w:leader="dot" w:pos="9000"/>
        </w:tabs>
      </w:pPr>
      <w:r>
        <w:rPr>
          <w:sz w:val="19"/>
        </w:rPr>
        <w:t>MODEL NOTICE 2-C — ANNEX ISSUE REGISTRATION</w:t>
      </w:r>
      <w:r>
        <w:tab/>
      </w:r>
      <w:r>
        <w:t>16</w:t>
      </w:r>
    </w:p>
    <w:p>
      <w:pPr>
        <w:ind w:left="360"/>
        <w:tabs>
          <w:tab w:val="right" w:leader="dot" w:pos="9000"/>
        </w:tabs>
      </w:pPr>
      <w:r>
        <w:rPr>
          <w:sz w:val="19"/>
        </w:rPr>
        <w:t>DATA AND RECORDS SCHEDULE 2-D</w:t>
      </w:r>
      <w:r>
        <w:tab/>
      </w:r>
      <w:r>
        <w:t>16</w:t>
      </w:r>
    </w:p>
    <w:p>
      <w:pPr>
        <w:ind w:left="360"/>
        <w:tabs>
          <w:tab w:val="right" w:leader="dot" w:pos="9000"/>
        </w:tabs>
      </w:pPr>
      <w:r>
        <w:rPr>
          <w:sz w:val="19"/>
        </w:rPr>
        <w:t>STAKEHOLDER AND SME ACCESS SCHEDULE 2-E</w:t>
      </w:r>
      <w:r>
        <w:tab/>
      </w:r>
      <w:r>
        <w:t>16</w:t>
      </w:r>
    </w:p>
    <w:p>
      <w:pPr>
        <w:ind w:left="360"/>
        <w:tabs>
          <w:tab w:val="right" w:leader="dot" w:pos="9000"/>
        </w:tabs>
      </w:pPr>
      <w:r>
        <w:rPr>
          <w:sz w:val="19"/>
        </w:rPr>
        <w:t>FAILURE-MODE PLAYBOOK 2-F</w:t>
      </w:r>
      <w:r>
        <w:tab/>
      </w:r>
      <w:r>
        <w:t>16</w:t>
      </w:r>
    </w:p>
    <w:p>
      <w:pPr>
        <w:ind w:left="0"/>
        <w:tabs>
          <w:tab w:val="right" w:leader="dot" w:pos="9000"/>
        </w:tabs>
      </w:pPr>
      <w:r>
        <w:rPr>
          <w:sz w:val="20"/>
          <w:b/>
        </w:rPr>
        <w:t>ANNEX 3 — AUTOMOTIVE ORIGIN TECHNICAL CLARIFICATION AND EV SUPPLY CHAINS</w:t>
      </w:r>
      <w:r>
        <w:tab/>
      </w:r>
      <w:r>
        <w:t>17</w:t>
      </w:r>
    </w:p>
    <w:p>
      <w:pPr>
        <w:ind w:left="360"/>
        <w:tabs>
          <w:tab w:val="right" w:leader="dot" w:pos="9000"/>
        </w:tabs>
      </w:pPr>
      <w:r>
        <w:rPr>
          <w:sz w:val="19"/>
        </w:rPr>
        <w:t>A3.1 Settlement Objective</w:t>
      </w:r>
      <w:r>
        <w:tab/>
      </w:r>
      <w:r>
        <w:t>17</w:t>
      </w:r>
    </w:p>
    <w:p>
      <w:pPr>
        <w:ind w:left="360"/>
        <w:tabs>
          <w:tab w:val="right" w:leader="dot" w:pos="9000"/>
        </w:tabs>
      </w:pPr>
      <w:r>
        <w:rPr>
          <w:sz w:val="19"/>
        </w:rPr>
        <w:t>A3.2 Roll-Up Clarification</w:t>
      </w:r>
      <w:r>
        <w:tab/>
      </w:r>
      <w:r>
        <w:t>17</w:t>
      </w:r>
    </w:p>
    <w:p>
      <w:pPr>
        <w:ind w:left="360"/>
        <w:tabs>
          <w:tab w:val="right" w:leader="dot" w:pos="9000"/>
        </w:tabs>
      </w:pPr>
      <w:r>
        <w:rPr>
          <w:sz w:val="19"/>
        </w:rPr>
        <w:t>A3.3 Covered Core and Advanced Components</w:t>
      </w:r>
      <w:r>
        <w:tab/>
      </w:r>
      <w:r>
        <w:t>17</w:t>
      </w:r>
    </w:p>
    <w:p>
      <w:pPr>
        <w:ind w:left="360"/>
        <w:tabs>
          <w:tab w:val="right" w:leader="dot" w:pos="9000"/>
        </w:tabs>
      </w:pPr>
      <w:r>
        <w:rPr>
          <w:sz w:val="19"/>
        </w:rPr>
        <w:t>A3.4 Standard Calculation File</w:t>
      </w:r>
      <w:r>
        <w:tab/>
      </w:r>
      <w:r>
        <w:t>17</w:t>
      </w:r>
    </w:p>
    <w:p>
      <w:pPr>
        <w:ind w:left="360"/>
        <w:tabs>
          <w:tab w:val="right" w:leader="dot" w:pos="9000"/>
        </w:tabs>
      </w:pPr>
      <w:r>
        <w:rPr>
          <w:sz w:val="19"/>
        </w:rPr>
        <w:t>A3.5 Supplier Evidence and Confidentiality</w:t>
      </w:r>
      <w:r>
        <w:tab/>
      </w:r>
      <w:r>
        <w:t>18</w:t>
      </w:r>
    </w:p>
    <w:p>
      <w:pPr>
        <w:ind w:left="360"/>
        <w:tabs>
          <w:tab w:val="right" w:leader="dot" w:pos="9000"/>
        </w:tabs>
      </w:pPr>
      <w:r>
        <w:rPr>
          <w:sz w:val="19"/>
        </w:rPr>
        <w:t>A3.6 Battery and Critical-Mineral Traceability</w:t>
      </w:r>
      <w:r>
        <w:tab/>
      </w:r>
      <w:r>
        <w:t>18</w:t>
      </w:r>
    </w:p>
    <w:p>
      <w:pPr>
        <w:ind w:left="360"/>
        <w:tabs>
          <w:tab w:val="right" w:leader="dot" w:pos="9000"/>
        </w:tabs>
      </w:pPr>
      <w:r>
        <w:rPr>
          <w:sz w:val="19"/>
        </w:rPr>
        <w:t>A3.7 Non-Party Free-Riding Safeguard</w:t>
      </w:r>
      <w:r>
        <w:tab/>
      </w:r>
      <w:r>
        <w:t>18</w:t>
      </w:r>
    </w:p>
    <w:p>
      <w:pPr>
        <w:ind w:left="360"/>
        <w:tabs>
          <w:tab w:val="right" w:leader="dot" w:pos="9000"/>
        </w:tabs>
      </w:pPr>
      <w:r>
        <w:rPr>
          <w:sz w:val="19"/>
        </w:rPr>
        <w:t>A3.8 Model-Year Determinations and Safe Harbor</w:t>
      </w:r>
      <w:r>
        <w:tab/>
      </w:r>
      <w:r>
        <w:t>18</w:t>
      </w:r>
    </w:p>
    <w:p>
      <w:pPr>
        <w:ind w:left="360"/>
        <w:tabs>
          <w:tab w:val="right" w:leader="dot" w:pos="9000"/>
        </w:tabs>
      </w:pPr>
      <w:r>
        <w:rPr>
          <w:sz w:val="19"/>
        </w:rPr>
        <w:t>A3.9 Audit Protocol</w:t>
      </w:r>
      <w:r>
        <w:tab/>
      </w:r>
      <w:r>
        <w:t>18</w:t>
      </w:r>
    </w:p>
    <w:p>
      <w:pPr>
        <w:ind w:left="360"/>
        <w:tabs>
          <w:tab w:val="right" w:leader="dot" w:pos="9000"/>
        </w:tabs>
      </w:pPr>
      <w:r>
        <w:rPr>
          <w:sz w:val="19"/>
        </w:rPr>
        <w:t>A3.10 Three-Year Technical Review</w:t>
      </w:r>
      <w:r>
        <w:tab/>
      </w:r>
      <w:r>
        <w:t>18</w:t>
      </w:r>
    </w:p>
    <w:p>
      <w:pPr>
        <w:ind w:left="360"/>
        <w:tabs>
          <w:tab w:val="right" w:leader="dot" w:pos="9000"/>
        </w:tabs>
      </w:pPr>
      <w:r>
        <w:rPr>
          <w:sz w:val="19"/>
        </w:rPr>
        <w:t>IMPLEMENTATION SCHEDULE 3-A — FIRST 180 DAYS</w:t>
      </w:r>
      <w:r>
        <w:tab/>
      </w:r>
      <w:r>
        <w:t>18</w:t>
      </w:r>
    </w:p>
    <w:p>
      <w:pPr>
        <w:ind w:left="360"/>
        <w:tabs>
          <w:tab w:val="right" w:leader="dot" w:pos="9000"/>
        </w:tabs>
      </w:pPr>
      <w:r>
        <w:rPr>
          <w:sz w:val="19"/>
        </w:rPr>
        <w:t>VERIFICATION MATRIX 3-B — COTHROM ADAPTATION</w:t>
      </w:r>
      <w:r>
        <w:tab/>
      </w:r>
      <w:r>
        <w:t>19</w:t>
      </w:r>
    </w:p>
    <w:p>
      <w:pPr>
        <w:ind w:left="360"/>
        <w:tabs>
          <w:tab w:val="right" w:leader="dot" w:pos="9000"/>
        </w:tabs>
      </w:pPr>
      <w:r>
        <w:rPr>
          <w:sz w:val="19"/>
        </w:rPr>
        <w:t>MODEL NOTICE 3-C — ANNEX ISSUE REGISTRATION</w:t>
      </w:r>
      <w:r>
        <w:tab/>
      </w:r>
      <w:r>
        <w:t>19</w:t>
      </w:r>
    </w:p>
    <w:p>
      <w:pPr>
        <w:ind w:left="360"/>
        <w:tabs>
          <w:tab w:val="right" w:leader="dot" w:pos="9000"/>
        </w:tabs>
      </w:pPr>
      <w:r>
        <w:rPr>
          <w:sz w:val="19"/>
        </w:rPr>
        <w:t>DATA AND RECORDS SCHEDULE 3-D</w:t>
      </w:r>
      <w:r>
        <w:tab/>
      </w:r>
      <w:r>
        <w:t>19</w:t>
      </w:r>
    </w:p>
    <w:p>
      <w:pPr>
        <w:ind w:left="360"/>
        <w:tabs>
          <w:tab w:val="right" w:leader="dot" w:pos="9000"/>
        </w:tabs>
      </w:pPr>
      <w:r>
        <w:rPr>
          <w:sz w:val="19"/>
        </w:rPr>
        <w:t>STAKEHOLDER AND SME ACCESS SCHEDULE 3-E</w:t>
      </w:r>
      <w:r>
        <w:tab/>
      </w:r>
      <w:r>
        <w:t>19</w:t>
      </w:r>
    </w:p>
    <w:p>
      <w:pPr>
        <w:ind w:left="360"/>
        <w:tabs>
          <w:tab w:val="right" w:leader="dot" w:pos="9000"/>
        </w:tabs>
      </w:pPr>
      <w:r>
        <w:rPr>
          <w:sz w:val="19"/>
        </w:rPr>
        <w:t>FAILURE-MODE PLAYBOOK 3-F</w:t>
      </w:r>
      <w:r>
        <w:tab/>
      </w:r>
      <w:r>
        <w:t>20</w:t>
      </w:r>
    </w:p>
    <w:p>
      <w:pPr>
        <w:ind w:left="0"/>
        <w:tabs>
          <w:tab w:val="right" w:leader="dot" w:pos="9000"/>
        </w:tabs>
      </w:pPr>
      <w:r>
        <w:rPr>
          <w:sz w:val="20"/>
          <w:b/>
        </w:rPr>
        <w:t>ANNEX 4 — COMPETITIVENESS, ECONOMIC SECURITY, AND STRATEGIC SUPPLY CHAINS</w:t>
      </w:r>
      <w:r>
        <w:tab/>
      </w:r>
      <w:r>
        <w:t>20</w:t>
      </w:r>
    </w:p>
    <w:p>
      <w:pPr>
        <w:ind w:left="360"/>
        <w:tabs>
          <w:tab w:val="right" w:leader="dot" w:pos="9000"/>
        </w:tabs>
      </w:pPr>
      <w:r>
        <w:rPr>
          <w:sz w:val="19"/>
        </w:rPr>
        <w:t>A4.1 Objective</w:t>
      </w:r>
      <w:r>
        <w:tab/>
      </w:r>
      <w:r>
        <w:t>20</w:t>
      </w:r>
    </w:p>
    <w:p>
      <w:pPr>
        <w:ind w:left="360"/>
        <w:tabs>
          <w:tab w:val="right" w:leader="dot" w:pos="9000"/>
        </w:tabs>
      </w:pPr>
      <w:r>
        <w:rPr>
          <w:sz w:val="19"/>
        </w:rPr>
        <w:t>A4.2 North American Supply-Chain Map</w:t>
      </w:r>
      <w:r>
        <w:tab/>
      </w:r>
      <w:r>
        <w:t>20</w:t>
      </w:r>
    </w:p>
    <w:p>
      <w:pPr>
        <w:ind w:left="360"/>
        <w:tabs>
          <w:tab w:val="right" w:leader="dot" w:pos="9000"/>
        </w:tabs>
      </w:pPr>
      <w:r>
        <w:rPr>
          <w:sz w:val="19"/>
        </w:rPr>
        <w:t>A4.3 Critical Minerals Cooperation</w:t>
      </w:r>
      <w:r>
        <w:tab/>
      </w:r>
      <w:r>
        <w:t>20</w:t>
      </w:r>
    </w:p>
    <w:p>
      <w:pPr>
        <w:ind w:left="360"/>
        <w:tabs>
          <w:tab w:val="right" w:leader="dot" w:pos="9000"/>
        </w:tabs>
      </w:pPr>
      <w:r>
        <w:rPr>
          <w:sz w:val="19"/>
        </w:rPr>
        <w:t>A4.4 Semiconductor and Battery Resilience</w:t>
      </w:r>
      <w:r>
        <w:tab/>
      </w:r>
      <w:r>
        <w:t>21</w:t>
      </w:r>
    </w:p>
    <w:p>
      <w:pPr>
        <w:ind w:left="360"/>
        <w:tabs>
          <w:tab w:val="right" w:leader="dot" w:pos="9000"/>
        </w:tabs>
      </w:pPr>
      <w:r>
        <w:rPr>
          <w:sz w:val="19"/>
        </w:rPr>
        <w:t>A4.5 Non-Market Overcapacity and Investment Risk</w:t>
      </w:r>
      <w:r>
        <w:tab/>
      </w:r>
      <w:r>
        <w:t>21</w:t>
      </w:r>
    </w:p>
    <w:p>
      <w:pPr>
        <w:ind w:left="360"/>
        <w:tabs>
          <w:tab w:val="right" w:leader="dot" w:pos="9000"/>
        </w:tabs>
      </w:pPr>
      <w:r>
        <w:rPr>
          <w:sz w:val="19"/>
        </w:rPr>
        <w:t>A4.6 Industrial Policy Transparency</w:t>
      </w:r>
      <w:r>
        <w:tab/>
      </w:r>
      <w:r>
        <w:t>21</w:t>
      </w:r>
    </w:p>
    <w:p>
      <w:pPr>
        <w:ind w:left="360"/>
        <w:tabs>
          <w:tab w:val="right" w:leader="dot" w:pos="9000"/>
        </w:tabs>
      </w:pPr>
      <w:r>
        <w:rPr>
          <w:sz w:val="19"/>
        </w:rPr>
        <w:t>A4.7 Security-Tariff Consultation</w:t>
      </w:r>
      <w:r>
        <w:tab/>
      </w:r>
      <w:r>
        <w:t>21</w:t>
      </w:r>
    </w:p>
    <w:p>
      <w:pPr>
        <w:ind w:left="360"/>
        <w:tabs>
          <w:tab w:val="right" w:leader="dot" w:pos="9000"/>
        </w:tabs>
      </w:pPr>
      <w:r>
        <w:rPr>
          <w:sz w:val="19"/>
        </w:rPr>
        <w:t>A4.8 SME and Regional Participation</w:t>
      </w:r>
      <w:r>
        <w:tab/>
      </w:r>
      <w:r>
        <w:t>21</w:t>
      </w:r>
    </w:p>
    <w:p>
      <w:pPr>
        <w:ind w:left="360"/>
        <w:tabs>
          <w:tab w:val="right" w:leader="dot" w:pos="9000"/>
        </w:tabs>
      </w:pPr>
      <w:r>
        <w:rPr>
          <w:sz w:val="19"/>
        </w:rPr>
        <w:t>A4.9 Emergency Continuity</w:t>
      </w:r>
      <w:r>
        <w:tab/>
      </w:r>
      <w:r>
        <w:t>21</w:t>
      </w:r>
    </w:p>
    <w:p>
      <w:pPr>
        <w:ind w:left="360"/>
        <w:tabs>
          <w:tab w:val="right" w:leader="dot" w:pos="9000"/>
        </w:tabs>
      </w:pPr>
      <w:r>
        <w:rPr>
          <w:sz w:val="19"/>
        </w:rPr>
        <w:t>A4.10 Annual Security and Competitiveness Review</w:t>
      </w:r>
      <w:r>
        <w:tab/>
      </w:r>
      <w:r>
        <w:t>21</w:t>
      </w:r>
    </w:p>
    <w:p>
      <w:pPr>
        <w:ind w:left="360"/>
        <w:tabs>
          <w:tab w:val="right" w:leader="dot" w:pos="9000"/>
        </w:tabs>
      </w:pPr>
      <w:r>
        <w:rPr>
          <w:sz w:val="19"/>
        </w:rPr>
        <w:t>IMPLEMENTATION SCHEDULE 4-A — FIRST 180 DAYS</w:t>
      </w:r>
      <w:r>
        <w:tab/>
      </w:r>
      <w:r>
        <w:t>21</w:t>
      </w:r>
    </w:p>
    <w:p>
      <w:pPr>
        <w:ind w:left="360"/>
        <w:tabs>
          <w:tab w:val="right" w:leader="dot" w:pos="9000"/>
        </w:tabs>
      </w:pPr>
      <w:r>
        <w:rPr>
          <w:sz w:val="19"/>
        </w:rPr>
        <w:t>VERIFICATION MATRIX 4-B — COTHROM ADAPTATION</w:t>
      </w:r>
      <w:r>
        <w:tab/>
      </w:r>
      <w:r>
        <w:t>22</w:t>
      </w:r>
    </w:p>
    <w:p>
      <w:pPr>
        <w:ind w:left="360"/>
        <w:tabs>
          <w:tab w:val="right" w:leader="dot" w:pos="9000"/>
        </w:tabs>
      </w:pPr>
      <w:r>
        <w:rPr>
          <w:sz w:val="19"/>
        </w:rPr>
        <w:t>MODEL NOTICE 4-C — ANNEX ISSUE REGISTRATION</w:t>
      </w:r>
      <w:r>
        <w:tab/>
      </w:r>
      <w:r>
        <w:t>22</w:t>
      </w:r>
    </w:p>
    <w:p>
      <w:pPr>
        <w:ind w:left="360"/>
        <w:tabs>
          <w:tab w:val="right" w:leader="dot" w:pos="9000"/>
        </w:tabs>
      </w:pPr>
      <w:r>
        <w:rPr>
          <w:sz w:val="19"/>
        </w:rPr>
        <w:t>DATA AND RECORDS SCHEDULE 4-D</w:t>
      </w:r>
      <w:r>
        <w:tab/>
      </w:r>
      <w:r>
        <w:t>22</w:t>
      </w:r>
    </w:p>
    <w:p>
      <w:pPr>
        <w:ind w:left="360"/>
        <w:tabs>
          <w:tab w:val="right" w:leader="dot" w:pos="9000"/>
        </w:tabs>
      </w:pPr>
      <w:r>
        <w:rPr>
          <w:sz w:val="19"/>
        </w:rPr>
        <w:t>STAKEHOLDER AND SME ACCESS SCHEDULE 4-E</w:t>
      </w:r>
      <w:r>
        <w:tab/>
      </w:r>
      <w:r>
        <w:t>23</w:t>
      </w:r>
    </w:p>
    <w:p>
      <w:pPr>
        <w:ind w:left="360"/>
        <w:tabs>
          <w:tab w:val="right" w:leader="dot" w:pos="9000"/>
        </w:tabs>
      </w:pPr>
      <w:r>
        <w:rPr>
          <w:sz w:val="19"/>
        </w:rPr>
        <w:t>FAILURE-MODE PLAYBOOK 4-F</w:t>
      </w:r>
      <w:r>
        <w:tab/>
      </w:r>
      <w:r>
        <w:t>23</w:t>
      </w:r>
    </w:p>
    <w:p>
      <w:pPr>
        <w:ind w:left="0"/>
        <w:tabs>
          <w:tab w:val="right" w:leader="dot" w:pos="9000"/>
        </w:tabs>
      </w:pPr>
      <w:r>
        <w:rPr>
          <w:sz w:val="20"/>
          <w:b/>
        </w:rPr>
        <w:t>ANNEX 5 — LABOR ENFORCEMENT AND WORKER-PROTECTION MODULE</w:t>
      </w:r>
      <w:r>
        <w:tab/>
      </w:r>
      <w:r>
        <w:t>23</w:t>
      </w:r>
    </w:p>
    <w:p>
      <w:pPr>
        <w:ind w:left="360"/>
        <w:tabs>
          <w:tab w:val="right" w:leader="dot" w:pos="9000"/>
        </w:tabs>
      </w:pPr>
      <w:r>
        <w:rPr>
          <w:sz w:val="19"/>
        </w:rPr>
        <w:t>A5.1 Objective</w:t>
      </w:r>
      <w:r>
        <w:tab/>
      </w:r>
      <w:r>
        <w:t>23</w:t>
      </w:r>
    </w:p>
    <w:p>
      <w:pPr>
        <w:ind w:left="360"/>
        <w:tabs>
          <w:tab w:val="right" w:leader="dot" w:pos="9000"/>
        </w:tabs>
      </w:pPr>
      <w:r>
        <w:rPr>
          <w:sz w:val="19"/>
        </w:rPr>
        <w:t>A5.2 Complaint Intake</w:t>
      </w:r>
      <w:r>
        <w:tab/>
      </w:r>
      <w:r>
        <w:t>23</w:t>
      </w:r>
    </w:p>
    <w:p>
      <w:pPr>
        <w:ind w:left="360"/>
        <w:tabs>
          <w:tab w:val="right" w:leader="dot" w:pos="9000"/>
        </w:tabs>
      </w:pPr>
      <w:r>
        <w:rPr>
          <w:sz w:val="19"/>
        </w:rPr>
        <w:t>A5.3 Preliminary Screening</w:t>
      </w:r>
      <w:r>
        <w:tab/>
      </w:r>
      <w:r>
        <w:t>23</w:t>
      </w:r>
    </w:p>
    <w:p>
      <w:pPr>
        <w:ind w:left="360"/>
        <w:tabs>
          <w:tab w:val="right" w:leader="dot" w:pos="9000"/>
        </w:tabs>
      </w:pPr>
      <w:r>
        <w:rPr>
          <w:sz w:val="19"/>
        </w:rPr>
        <w:t>A5.4 Joint Inspection Protocol</w:t>
      </w:r>
      <w:r>
        <w:tab/>
      </w:r>
      <w:r>
        <w:t>24</w:t>
      </w:r>
    </w:p>
    <w:p>
      <w:pPr>
        <w:ind w:left="360"/>
        <w:tabs>
          <w:tab w:val="right" w:leader="dot" w:pos="9000"/>
        </w:tabs>
      </w:pPr>
      <w:r>
        <w:rPr>
          <w:sz w:val="19"/>
        </w:rPr>
        <w:t>A5.5 Migrant and Temporary Workers</w:t>
      </w:r>
      <w:r>
        <w:tab/>
      </w:r>
      <w:r>
        <w:t>24</w:t>
      </w:r>
    </w:p>
    <w:p>
      <w:pPr>
        <w:ind w:left="360"/>
        <w:tabs>
          <w:tab w:val="right" w:leader="dot" w:pos="9000"/>
        </w:tabs>
      </w:pPr>
      <w:r>
        <w:rPr>
          <w:sz w:val="19"/>
        </w:rPr>
        <w:t>A5.6 Forced-Labour Supply Chains</w:t>
      </w:r>
      <w:r>
        <w:tab/>
      </w:r>
      <w:r>
        <w:t>24</w:t>
      </w:r>
    </w:p>
    <w:p>
      <w:pPr>
        <w:ind w:left="360"/>
        <w:tabs>
          <w:tab w:val="right" w:leader="dot" w:pos="9000"/>
        </w:tabs>
      </w:pPr>
      <w:r>
        <w:rPr>
          <w:sz w:val="19"/>
        </w:rPr>
        <w:t>A5.7 Remediation Plan</w:t>
      </w:r>
      <w:r>
        <w:tab/>
      </w:r>
      <w:r>
        <w:t>24</w:t>
      </w:r>
    </w:p>
    <w:p>
      <w:pPr>
        <w:ind w:left="360"/>
        <w:tabs>
          <w:tab w:val="right" w:leader="dot" w:pos="9000"/>
        </w:tabs>
      </w:pPr>
      <w:r>
        <w:rPr>
          <w:sz w:val="19"/>
        </w:rPr>
        <w:t>A5.8 Transparency</w:t>
      </w:r>
      <w:r>
        <w:tab/>
      </w:r>
      <w:r>
        <w:t>24</w:t>
      </w:r>
    </w:p>
    <w:p>
      <w:pPr>
        <w:ind w:left="360"/>
        <w:tabs>
          <w:tab w:val="right" w:leader="dot" w:pos="9000"/>
        </w:tabs>
      </w:pPr>
      <w:r>
        <w:rPr>
          <w:sz w:val="19"/>
        </w:rPr>
        <w:t>A5.9 Technical Assistance</w:t>
      </w:r>
      <w:r>
        <w:tab/>
      </w:r>
      <w:r>
        <w:t>24</w:t>
      </w:r>
    </w:p>
    <w:p>
      <w:pPr>
        <w:ind w:left="360"/>
        <w:tabs>
          <w:tab w:val="right" w:leader="dot" w:pos="9000"/>
        </w:tabs>
      </w:pPr>
      <w:r>
        <w:rPr>
          <w:sz w:val="19"/>
        </w:rPr>
        <w:t>A5.10 Review</w:t>
      </w:r>
      <w:r>
        <w:tab/>
      </w:r>
      <w:r>
        <w:t>24</w:t>
      </w:r>
    </w:p>
    <w:p>
      <w:pPr>
        <w:ind w:left="360"/>
        <w:tabs>
          <w:tab w:val="right" w:leader="dot" w:pos="9000"/>
        </w:tabs>
      </w:pPr>
      <w:r>
        <w:rPr>
          <w:sz w:val="19"/>
        </w:rPr>
        <w:t>IMPLEMENTATION SCHEDULE 5-A — FIRST 180 DAYS</w:t>
      </w:r>
      <w:r>
        <w:tab/>
      </w:r>
      <w:r>
        <w:t>24</w:t>
      </w:r>
    </w:p>
    <w:p>
      <w:pPr>
        <w:ind w:left="360"/>
        <w:tabs>
          <w:tab w:val="right" w:leader="dot" w:pos="9000"/>
        </w:tabs>
      </w:pPr>
      <w:r>
        <w:rPr>
          <w:sz w:val="19"/>
        </w:rPr>
        <w:t>VERIFICATION MATRIX 5-B — COTHROM ADAPTATION</w:t>
      </w:r>
      <w:r>
        <w:tab/>
      </w:r>
      <w:r>
        <w:t>25</w:t>
      </w:r>
    </w:p>
    <w:p>
      <w:pPr>
        <w:ind w:left="360"/>
        <w:tabs>
          <w:tab w:val="right" w:leader="dot" w:pos="9000"/>
        </w:tabs>
      </w:pPr>
      <w:r>
        <w:rPr>
          <w:sz w:val="19"/>
        </w:rPr>
        <w:t>MODEL NOTICE 5-C — ANNEX ISSUE REGISTRATION</w:t>
      </w:r>
      <w:r>
        <w:tab/>
      </w:r>
      <w:r>
        <w:t>25</w:t>
      </w:r>
    </w:p>
    <w:p>
      <w:pPr>
        <w:ind w:left="360"/>
        <w:tabs>
          <w:tab w:val="right" w:leader="dot" w:pos="9000"/>
        </w:tabs>
      </w:pPr>
      <w:r>
        <w:rPr>
          <w:sz w:val="19"/>
        </w:rPr>
        <w:t>DATA AND RECORDS SCHEDULE 5-D</w:t>
      </w:r>
      <w:r>
        <w:tab/>
      </w:r>
      <w:r>
        <w:t>25</w:t>
      </w:r>
    </w:p>
    <w:p>
      <w:pPr>
        <w:ind w:left="360"/>
        <w:tabs>
          <w:tab w:val="right" w:leader="dot" w:pos="9000"/>
        </w:tabs>
      </w:pPr>
      <w:r>
        <w:rPr>
          <w:sz w:val="19"/>
        </w:rPr>
        <w:t>STAKEHOLDER AND SME ACCESS SCHEDULE 5-E</w:t>
      </w:r>
      <w:r>
        <w:tab/>
      </w:r>
      <w:r>
        <w:t>26</w:t>
      </w:r>
    </w:p>
    <w:p>
      <w:pPr>
        <w:ind w:left="360"/>
        <w:tabs>
          <w:tab w:val="right" w:leader="dot" w:pos="9000"/>
        </w:tabs>
      </w:pPr>
      <w:r>
        <w:rPr>
          <w:sz w:val="19"/>
        </w:rPr>
        <w:t>FAILURE-MODE PLAYBOOK 5-F</w:t>
      </w:r>
      <w:r>
        <w:tab/>
      </w:r>
      <w:r>
        <w:t>26</w:t>
      </w:r>
    </w:p>
    <w:p>
      <w:pPr>
        <w:ind w:left="0"/>
        <w:tabs>
          <w:tab w:val="right" w:leader="dot" w:pos="9000"/>
        </w:tabs>
      </w:pPr>
      <w:r>
        <w:rPr>
          <w:sz w:val="20"/>
          <w:b/>
        </w:rPr>
        <w:t>ANNEX 6 — ENVIRONMENT, WILDFIRE, CIRCULAR PRODUCTION, AND SUSTAINABLE MINERALS</w:t>
      </w:r>
      <w:r>
        <w:tab/>
      </w:r>
      <w:r>
        <w:t>26</w:t>
      </w:r>
    </w:p>
    <w:p>
      <w:pPr>
        <w:ind w:left="360"/>
        <w:tabs>
          <w:tab w:val="right" w:leader="dot" w:pos="9000"/>
        </w:tabs>
      </w:pPr>
      <w:r>
        <w:rPr>
          <w:sz w:val="19"/>
        </w:rPr>
        <w:t>A6.1 Objective</w:t>
      </w:r>
      <w:r>
        <w:tab/>
      </w:r>
      <w:r>
        <w:t>26</w:t>
      </w:r>
    </w:p>
    <w:p>
      <w:pPr>
        <w:ind w:left="360"/>
        <w:tabs>
          <w:tab w:val="right" w:leader="dot" w:pos="9000"/>
        </w:tabs>
      </w:pPr>
      <w:r>
        <w:rPr>
          <w:sz w:val="19"/>
        </w:rPr>
        <w:t>A6.2 Wildfire Prevention and Smoke Cooperation</w:t>
      </w:r>
      <w:r>
        <w:tab/>
      </w:r>
      <w:r>
        <w:t>26</w:t>
      </w:r>
    </w:p>
    <w:p>
      <w:pPr>
        <w:ind w:left="360"/>
        <w:tabs>
          <w:tab w:val="right" w:leader="dot" w:pos="9000"/>
        </w:tabs>
      </w:pPr>
      <w:r>
        <w:rPr>
          <w:sz w:val="19"/>
        </w:rPr>
        <w:t>A6.3 Incident Notification</w:t>
      </w:r>
      <w:r>
        <w:tab/>
      </w:r>
      <w:r>
        <w:t>27</w:t>
      </w:r>
    </w:p>
    <w:p>
      <w:pPr>
        <w:ind w:left="360"/>
        <w:tabs>
          <w:tab w:val="right" w:leader="dot" w:pos="9000"/>
        </w:tabs>
      </w:pPr>
      <w:r>
        <w:rPr>
          <w:sz w:val="19"/>
        </w:rPr>
        <w:t>A6.4 Forest and Fuel Management Cooperation</w:t>
      </w:r>
      <w:r>
        <w:tab/>
      </w:r>
      <w:r>
        <w:t>27</w:t>
      </w:r>
    </w:p>
    <w:p>
      <w:pPr>
        <w:ind w:left="360"/>
        <w:tabs>
          <w:tab w:val="right" w:leader="dot" w:pos="9000"/>
        </w:tabs>
      </w:pPr>
      <w:r>
        <w:rPr>
          <w:sz w:val="19"/>
        </w:rPr>
        <w:t>A6.5 Circular Production</w:t>
      </w:r>
      <w:r>
        <w:tab/>
      </w:r>
      <w:r>
        <w:t>27</w:t>
      </w:r>
    </w:p>
    <w:p>
      <w:pPr>
        <w:ind w:left="360"/>
        <w:tabs>
          <w:tab w:val="right" w:leader="dot" w:pos="9000"/>
        </w:tabs>
      </w:pPr>
      <w:r>
        <w:rPr>
          <w:sz w:val="19"/>
        </w:rPr>
        <w:t>A6.6 Sustainable Critical Minerals</w:t>
      </w:r>
      <w:r>
        <w:tab/>
      </w:r>
      <w:r>
        <w:t>27</w:t>
      </w:r>
    </w:p>
    <w:p>
      <w:pPr>
        <w:ind w:left="360"/>
        <w:tabs>
          <w:tab w:val="right" w:leader="dot" w:pos="9000"/>
        </w:tabs>
      </w:pPr>
      <w:r>
        <w:rPr>
          <w:sz w:val="19"/>
        </w:rPr>
        <w:t>A6.7 Climate and Hazard Data</w:t>
      </w:r>
      <w:r>
        <w:tab/>
      </w:r>
      <w:r>
        <w:t>27</w:t>
      </w:r>
    </w:p>
    <w:p>
      <w:pPr>
        <w:ind w:left="360"/>
        <w:tabs>
          <w:tab w:val="right" w:leader="dot" w:pos="9000"/>
        </w:tabs>
      </w:pPr>
      <w:r>
        <w:rPr>
          <w:sz w:val="19"/>
        </w:rPr>
        <w:t>A6.8 No Disguised Restriction</w:t>
      </w:r>
      <w:r>
        <w:tab/>
      </w:r>
      <w:r>
        <w:t>27</w:t>
      </w:r>
    </w:p>
    <w:p>
      <w:pPr>
        <w:ind w:left="360"/>
        <w:tabs>
          <w:tab w:val="right" w:leader="dot" w:pos="9000"/>
        </w:tabs>
      </w:pPr>
      <w:r>
        <w:rPr>
          <w:sz w:val="19"/>
        </w:rPr>
        <w:t>A6.9 Emergency Mutual Assistance</w:t>
      </w:r>
      <w:r>
        <w:tab/>
      </w:r>
      <w:r>
        <w:t>27</w:t>
      </w:r>
    </w:p>
    <w:p>
      <w:pPr>
        <w:ind w:left="360"/>
        <w:tabs>
          <w:tab w:val="right" w:leader="dot" w:pos="9000"/>
        </w:tabs>
      </w:pPr>
      <w:r>
        <w:rPr>
          <w:sz w:val="19"/>
        </w:rPr>
        <w:t>A6.10 Review</w:t>
      </w:r>
      <w:r>
        <w:tab/>
      </w:r>
      <w:r>
        <w:t>27</w:t>
      </w:r>
    </w:p>
    <w:p>
      <w:pPr>
        <w:ind w:left="360"/>
        <w:tabs>
          <w:tab w:val="right" w:leader="dot" w:pos="9000"/>
        </w:tabs>
      </w:pPr>
      <w:r>
        <w:rPr>
          <w:sz w:val="19"/>
        </w:rPr>
        <w:t>IMPLEMENTATION SCHEDULE 6-A — FIRST 180 DAYS</w:t>
      </w:r>
      <w:r>
        <w:tab/>
      </w:r>
      <w:r>
        <w:t>27</w:t>
      </w:r>
    </w:p>
    <w:p>
      <w:pPr>
        <w:ind w:left="360"/>
        <w:tabs>
          <w:tab w:val="right" w:leader="dot" w:pos="9000"/>
        </w:tabs>
      </w:pPr>
      <w:r>
        <w:rPr>
          <w:sz w:val="19"/>
        </w:rPr>
        <w:t>VERIFICATION MATRIX 6-B — COTHROM ADAPTATION</w:t>
      </w:r>
      <w:r>
        <w:tab/>
      </w:r>
      <w:r>
        <w:t>28</w:t>
      </w:r>
    </w:p>
    <w:p>
      <w:pPr>
        <w:ind w:left="360"/>
        <w:tabs>
          <w:tab w:val="right" w:leader="dot" w:pos="9000"/>
        </w:tabs>
      </w:pPr>
      <w:r>
        <w:rPr>
          <w:sz w:val="19"/>
        </w:rPr>
        <w:t>MODEL NOTICE 6-C — ANNEX ISSUE REGISTRATION</w:t>
      </w:r>
      <w:r>
        <w:tab/>
      </w:r>
      <w:r>
        <w:t>28</w:t>
      </w:r>
    </w:p>
    <w:p>
      <w:pPr>
        <w:ind w:left="360"/>
        <w:tabs>
          <w:tab w:val="right" w:leader="dot" w:pos="9000"/>
        </w:tabs>
      </w:pPr>
      <w:r>
        <w:rPr>
          <w:sz w:val="19"/>
        </w:rPr>
        <w:t>DATA AND RECORDS SCHEDULE 6-D</w:t>
      </w:r>
      <w:r>
        <w:tab/>
      </w:r>
      <w:r>
        <w:t>29</w:t>
      </w:r>
    </w:p>
    <w:p>
      <w:pPr>
        <w:ind w:left="360"/>
        <w:tabs>
          <w:tab w:val="right" w:leader="dot" w:pos="9000"/>
        </w:tabs>
      </w:pPr>
      <w:r>
        <w:rPr>
          <w:sz w:val="19"/>
        </w:rPr>
        <w:t>STAKEHOLDER AND SME ACCESS SCHEDULE 6-E</w:t>
      </w:r>
      <w:r>
        <w:tab/>
      </w:r>
      <w:r>
        <w:t>29</w:t>
      </w:r>
    </w:p>
    <w:p>
      <w:pPr>
        <w:ind w:left="360"/>
        <w:tabs>
          <w:tab w:val="right" w:leader="dot" w:pos="9000"/>
        </w:tabs>
      </w:pPr>
      <w:r>
        <w:rPr>
          <w:sz w:val="19"/>
        </w:rPr>
        <w:t>FAILURE-MODE PLAYBOOK 6-F</w:t>
      </w:r>
      <w:r>
        <w:tab/>
      </w:r>
      <w:r>
        <w:t>29</w:t>
      </w:r>
    </w:p>
    <w:p>
      <w:pPr>
        <w:ind w:left="0"/>
        <w:tabs>
          <w:tab w:val="right" w:leader="dot" w:pos="9000"/>
        </w:tabs>
      </w:pPr>
      <w:r>
        <w:rPr>
          <w:sz w:val="20"/>
          <w:b/>
        </w:rPr>
        <w:t>ANNEX 7 — ACCELERATED DISPUTE SETTLEMENT, TARIFF CONSULTATION, AND COTHROM COMPLIANCE</w:t>
      </w:r>
      <w:r>
        <w:tab/>
      </w:r>
      <w:r>
        <w:t>29</w:t>
      </w:r>
    </w:p>
    <w:p>
      <w:pPr>
        <w:ind w:left="360"/>
        <w:tabs>
          <w:tab w:val="right" w:leader="dot" w:pos="9000"/>
        </w:tabs>
      </w:pPr>
      <w:r>
        <w:rPr>
          <w:sz w:val="19"/>
        </w:rPr>
        <w:t>A7.1 Objective</w:t>
      </w:r>
      <w:r>
        <w:tab/>
      </w:r>
      <w:r>
        <w:t>29</w:t>
      </w:r>
    </w:p>
    <w:p>
      <w:pPr>
        <w:ind w:left="360"/>
        <w:tabs>
          <w:tab w:val="right" w:leader="dot" w:pos="9000"/>
        </w:tabs>
      </w:pPr>
      <w:r>
        <w:rPr>
          <w:sz w:val="19"/>
        </w:rPr>
        <w:t>A7.2 Standing Roster</w:t>
      </w:r>
      <w:r>
        <w:tab/>
      </w:r>
      <w:r>
        <w:t>30</w:t>
      </w:r>
    </w:p>
    <w:p>
      <w:pPr>
        <w:ind w:left="360"/>
        <w:tabs>
          <w:tab w:val="right" w:leader="dot" w:pos="9000"/>
        </w:tabs>
      </w:pPr>
      <w:r>
        <w:rPr>
          <w:sz w:val="19"/>
        </w:rPr>
        <w:t>A7.3 Consultations</w:t>
      </w:r>
      <w:r>
        <w:tab/>
      </w:r>
      <w:r>
        <w:t>30</w:t>
      </w:r>
    </w:p>
    <w:p>
      <w:pPr>
        <w:ind w:left="360"/>
        <w:tabs>
          <w:tab w:val="right" w:leader="dot" w:pos="9000"/>
        </w:tabs>
      </w:pPr>
      <w:r>
        <w:rPr>
          <w:sz w:val="19"/>
        </w:rPr>
        <w:t>A7.4 Accelerated Panel</w:t>
      </w:r>
      <w:r>
        <w:tab/>
      </w:r>
      <w:r>
        <w:t>30</w:t>
      </w:r>
    </w:p>
    <w:p>
      <w:pPr>
        <w:ind w:left="360"/>
        <w:tabs>
          <w:tab w:val="right" w:leader="dot" w:pos="9000"/>
        </w:tabs>
      </w:pPr>
      <w:r>
        <w:rPr>
          <w:sz w:val="19"/>
        </w:rPr>
        <w:t>A7.5 Transparency and Confidentiality</w:t>
      </w:r>
      <w:r>
        <w:tab/>
      </w:r>
      <w:r>
        <w:t>30</w:t>
      </w:r>
    </w:p>
    <w:p>
      <w:pPr>
        <w:ind w:left="360"/>
        <w:tabs>
          <w:tab w:val="right" w:leader="dot" w:pos="9000"/>
        </w:tabs>
      </w:pPr>
      <w:r>
        <w:rPr>
          <w:sz w:val="19"/>
        </w:rPr>
        <w:t>A7.6 Compliance Review</w:t>
      </w:r>
      <w:r>
        <w:tab/>
      </w:r>
      <w:r>
        <w:t>30</w:t>
      </w:r>
    </w:p>
    <w:p>
      <w:pPr>
        <w:ind w:left="360"/>
        <w:tabs>
          <w:tab w:val="right" w:leader="dot" w:pos="9000"/>
        </w:tabs>
      </w:pPr>
      <w:r>
        <w:rPr>
          <w:sz w:val="19"/>
        </w:rPr>
        <w:t>A7.7 Advance Tariff and Safeguard Consultation</w:t>
      </w:r>
      <w:r>
        <w:tab/>
      </w:r>
      <w:r>
        <w:t>30</w:t>
      </w:r>
    </w:p>
    <w:p>
      <w:pPr>
        <w:ind w:left="360"/>
        <w:tabs>
          <w:tab w:val="right" w:leader="dot" w:pos="9000"/>
        </w:tabs>
      </w:pPr>
      <w:r>
        <w:rPr>
          <w:sz w:val="19"/>
        </w:rPr>
        <w:t>A7.8 Cothrom Step-Back</w:t>
      </w:r>
      <w:r>
        <w:tab/>
      </w:r>
      <w:r>
        <w:t>30</w:t>
      </w:r>
    </w:p>
    <w:p>
      <w:pPr>
        <w:ind w:left="360"/>
        <w:tabs>
          <w:tab w:val="right" w:leader="dot" w:pos="9000"/>
        </w:tabs>
      </w:pPr>
      <w:r>
        <w:rPr>
          <w:sz w:val="19"/>
        </w:rPr>
        <w:t>A7.9 Earn-Back</w:t>
      </w:r>
      <w:r>
        <w:tab/>
      </w:r>
      <w:r>
        <w:t>30</w:t>
      </w:r>
    </w:p>
    <w:p>
      <w:pPr>
        <w:ind w:left="360"/>
        <w:tabs>
          <w:tab w:val="right" w:leader="dot" w:pos="9000"/>
        </w:tabs>
      </w:pPr>
      <w:r>
        <w:rPr>
          <w:sz w:val="19"/>
        </w:rPr>
        <w:t>A7.10 Relationship to Chapter 31</w:t>
      </w:r>
      <w:r>
        <w:tab/>
      </w:r>
      <w:r>
        <w:t>31</w:t>
      </w:r>
    </w:p>
    <w:p>
      <w:pPr>
        <w:ind w:left="360"/>
        <w:tabs>
          <w:tab w:val="right" w:leader="dot" w:pos="9000"/>
        </w:tabs>
      </w:pPr>
      <w:r>
        <w:rPr>
          <w:sz w:val="19"/>
        </w:rPr>
        <w:t>IMPLEMENTATION SCHEDULE 7-A — FIRST 180 DAYS</w:t>
      </w:r>
      <w:r>
        <w:tab/>
      </w:r>
      <w:r>
        <w:t>31</w:t>
      </w:r>
    </w:p>
    <w:p>
      <w:pPr>
        <w:ind w:left="360"/>
        <w:tabs>
          <w:tab w:val="right" w:leader="dot" w:pos="9000"/>
        </w:tabs>
      </w:pPr>
      <w:r>
        <w:rPr>
          <w:sz w:val="19"/>
        </w:rPr>
        <w:t>VERIFICATION MATRIX 7-B — COTHROM ADAPTATION</w:t>
      </w:r>
      <w:r>
        <w:tab/>
      </w:r>
      <w:r>
        <w:t>31</w:t>
      </w:r>
    </w:p>
    <w:p>
      <w:pPr>
        <w:ind w:left="360"/>
        <w:tabs>
          <w:tab w:val="right" w:leader="dot" w:pos="9000"/>
        </w:tabs>
      </w:pPr>
      <w:r>
        <w:rPr>
          <w:sz w:val="19"/>
        </w:rPr>
        <w:t>MODEL NOTICE 7-C — ANNEX ISSUE REGISTRATION</w:t>
      </w:r>
      <w:r>
        <w:tab/>
      </w:r>
      <w:r>
        <w:t>32</w:t>
      </w:r>
    </w:p>
    <w:p>
      <w:pPr>
        <w:ind w:left="360"/>
        <w:tabs>
          <w:tab w:val="right" w:leader="dot" w:pos="9000"/>
        </w:tabs>
      </w:pPr>
      <w:r>
        <w:rPr>
          <w:sz w:val="19"/>
        </w:rPr>
        <w:t>DATA AND RECORDS SCHEDULE 7-D</w:t>
      </w:r>
      <w:r>
        <w:tab/>
      </w:r>
      <w:r>
        <w:t>32</w:t>
      </w:r>
    </w:p>
    <w:p>
      <w:pPr>
        <w:ind w:left="360"/>
        <w:tabs>
          <w:tab w:val="right" w:leader="dot" w:pos="9000"/>
        </w:tabs>
      </w:pPr>
      <w:r>
        <w:rPr>
          <w:sz w:val="19"/>
        </w:rPr>
        <w:t>STAKEHOLDER AND SME ACCESS SCHEDULE 7-E</w:t>
      </w:r>
      <w:r>
        <w:tab/>
      </w:r>
      <w:r>
        <w:t>32</w:t>
      </w:r>
    </w:p>
    <w:p>
      <w:pPr>
        <w:ind w:left="360"/>
        <w:tabs>
          <w:tab w:val="right" w:leader="dot" w:pos="9000"/>
        </w:tabs>
      </w:pPr>
      <w:r>
        <w:rPr>
          <w:sz w:val="19"/>
        </w:rPr>
        <w:t>FAILURE-MODE PLAYBOOK 7-F</w:t>
      </w:r>
      <w:r>
        <w:tab/>
      </w:r>
      <w:r>
        <w:t>32</w:t>
      </w:r>
    </w:p>
    <w:p>
      <w:pPr>
        <w:ind w:left="0"/>
        <w:tabs>
          <w:tab w:val="right" w:leader="dot" w:pos="9000"/>
        </w:tabs>
      </w:pPr>
      <w:r>
        <w:rPr>
          <w:sz w:val="20"/>
          <w:b/>
        </w:rPr>
        <w:t>ANNEX 8 — RECIPROCAL MARKET ACCESS, AGRICULTURE, ALCOHOL, PROCUREMENT, AND REGULATORY FRICTION</w:t>
      </w:r>
      <w:r>
        <w:tab/>
      </w:r>
      <w:r>
        <w:t>32</w:t>
      </w:r>
    </w:p>
    <w:p>
      <w:pPr>
        <w:ind w:left="360"/>
        <w:tabs>
          <w:tab w:val="right" w:leader="dot" w:pos="9000"/>
        </w:tabs>
      </w:pPr>
      <w:r>
        <w:rPr>
          <w:sz w:val="19"/>
        </w:rPr>
        <w:t>A8.1 Objective</w:t>
      </w:r>
      <w:r>
        <w:tab/>
      </w:r>
      <w:r>
        <w:t>33</w:t>
      </w:r>
    </w:p>
    <w:p>
      <w:pPr>
        <w:ind w:left="360"/>
        <w:tabs>
          <w:tab w:val="right" w:leader="dot" w:pos="9000"/>
        </w:tabs>
      </w:pPr>
      <w:r>
        <w:rPr>
          <w:sz w:val="19"/>
        </w:rPr>
        <w:t>A8.2 Dairy TRQ Administration</w:t>
      </w:r>
      <w:r>
        <w:tab/>
      </w:r>
      <w:r>
        <w:t>33</w:t>
      </w:r>
    </w:p>
    <w:p>
      <w:pPr>
        <w:ind w:left="360"/>
        <w:tabs>
          <w:tab w:val="right" w:leader="dot" w:pos="9000"/>
        </w:tabs>
      </w:pPr>
      <w:r>
        <w:rPr>
          <w:sz w:val="19"/>
        </w:rPr>
        <w:t>A8.3 Retailer and Distributor Eligibility Neutrality</w:t>
      </w:r>
      <w:r>
        <w:tab/>
      </w:r>
      <w:r>
        <w:t>33</w:t>
      </w:r>
    </w:p>
    <w:p>
      <w:pPr>
        <w:ind w:left="360"/>
        <w:tabs>
          <w:tab w:val="right" w:leader="dot" w:pos="9000"/>
        </w:tabs>
      </w:pPr>
      <w:r>
        <w:rPr>
          <w:sz w:val="19"/>
        </w:rPr>
        <w:t>A8.4 Supply-Management Firewall</w:t>
      </w:r>
      <w:r>
        <w:tab/>
      </w:r>
      <w:r>
        <w:t>33</w:t>
      </w:r>
    </w:p>
    <w:p>
      <w:pPr>
        <w:ind w:left="360"/>
        <w:tabs>
          <w:tab w:val="right" w:leader="dot" w:pos="9000"/>
        </w:tabs>
      </w:pPr>
      <w:r>
        <w:rPr>
          <w:sz w:val="19"/>
        </w:rPr>
        <w:t>A8.5 Alcoholic Beverage Non-Discrimination</w:t>
      </w:r>
      <w:r>
        <w:tab/>
      </w:r>
      <w:r>
        <w:t>33</w:t>
      </w:r>
    </w:p>
    <w:p>
      <w:pPr>
        <w:ind w:left="360"/>
        <w:tabs>
          <w:tab w:val="right" w:leader="dot" w:pos="9000"/>
        </w:tabs>
      </w:pPr>
      <w:r>
        <w:rPr>
          <w:sz w:val="19"/>
        </w:rPr>
        <w:t>A8.6 Liquor-Board Transparency</w:t>
      </w:r>
      <w:r>
        <w:tab/>
      </w:r>
      <w:r>
        <w:t>33</w:t>
      </w:r>
    </w:p>
    <w:p>
      <w:pPr>
        <w:ind w:left="360"/>
        <w:tabs>
          <w:tab w:val="right" w:leader="dot" w:pos="9000"/>
        </w:tabs>
      </w:pPr>
      <w:r>
        <w:rPr>
          <w:sz w:val="19"/>
        </w:rPr>
        <w:t>A8.7 Agricultural Regulatory Friction</w:t>
      </w:r>
      <w:r>
        <w:tab/>
      </w:r>
      <w:r>
        <w:t>33</w:t>
      </w:r>
    </w:p>
    <w:p>
      <w:pPr>
        <w:ind w:left="360"/>
        <w:tabs>
          <w:tab w:val="right" w:leader="dot" w:pos="9000"/>
        </w:tabs>
      </w:pPr>
      <w:r>
        <w:rPr>
          <w:sz w:val="19"/>
        </w:rPr>
        <w:t>A8.8 Reciprocal Procurement Schedule</w:t>
      </w:r>
      <w:r>
        <w:tab/>
      </w:r>
      <w:r>
        <w:t>33</w:t>
      </w:r>
    </w:p>
    <w:p>
      <w:pPr>
        <w:ind w:left="360"/>
        <w:tabs>
          <w:tab w:val="right" w:leader="dot" w:pos="9000"/>
        </w:tabs>
      </w:pPr>
      <w:r>
        <w:rPr>
          <w:sz w:val="19"/>
        </w:rPr>
        <w:t>A8.9 Procurement Transparency and Domestic-Preference Notice</w:t>
      </w:r>
      <w:r>
        <w:tab/>
      </w:r>
      <w:r>
        <w:t>34</w:t>
      </w:r>
    </w:p>
    <w:p>
      <w:pPr>
        <w:ind w:left="360"/>
        <w:tabs>
          <w:tab w:val="right" w:leader="dot" w:pos="9000"/>
        </w:tabs>
      </w:pPr>
      <w:r>
        <w:rPr>
          <w:sz w:val="19"/>
        </w:rPr>
        <w:t>A8.10 Retaliatory Measure Stand-Down Option</w:t>
      </w:r>
      <w:r>
        <w:tab/>
      </w:r>
      <w:r>
        <w:t>34</w:t>
      </w:r>
    </w:p>
    <w:p>
      <w:pPr>
        <w:ind w:left="360"/>
        <w:tabs>
          <w:tab w:val="right" w:leader="dot" w:pos="9000"/>
        </w:tabs>
      </w:pPr>
      <w:r>
        <w:rPr>
          <w:sz w:val="19"/>
        </w:rPr>
        <w:t>A8.11 Regulatory Equivalence</w:t>
      </w:r>
      <w:r>
        <w:tab/>
      </w:r>
      <w:r>
        <w:t>34</w:t>
      </w:r>
    </w:p>
    <w:p>
      <w:pPr>
        <w:ind w:left="360"/>
        <w:tabs>
          <w:tab w:val="right" w:leader="dot" w:pos="9000"/>
        </w:tabs>
      </w:pPr>
      <w:r>
        <w:rPr>
          <w:sz w:val="19"/>
        </w:rPr>
        <w:t>A8.12 Review</w:t>
      </w:r>
      <w:r>
        <w:tab/>
      </w:r>
      <w:r>
        <w:t>34</w:t>
      </w:r>
    </w:p>
    <w:p>
      <w:pPr>
        <w:ind w:left="360"/>
        <w:tabs>
          <w:tab w:val="right" w:leader="dot" w:pos="9000"/>
        </w:tabs>
      </w:pPr>
      <w:r>
        <w:rPr>
          <w:sz w:val="19"/>
        </w:rPr>
        <w:t>IMPLEMENTATION SCHEDULE 8-A — FIRST 180 DAYS</w:t>
      </w:r>
      <w:r>
        <w:tab/>
      </w:r>
      <w:r>
        <w:t>34</w:t>
      </w:r>
    </w:p>
    <w:p>
      <w:pPr>
        <w:ind w:left="360"/>
        <w:tabs>
          <w:tab w:val="right" w:leader="dot" w:pos="9000"/>
        </w:tabs>
      </w:pPr>
      <w:r>
        <w:rPr>
          <w:sz w:val="19"/>
        </w:rPr>
        <w:t>VERIFICATION MATRIX 8-B — COTHROM ADAPTATION</w:t>
      </w:r>
      <w:r>
        <w:tab/>
      </w:r>
      <w:r>
        <w:t>34</w:t>
      </w:r>
    </w:p>
    <w:p>
      <w:pPr>
        <w:ind w:left="360"/>
        <w:tabs>
          <w:tab w:val="right" w:leader="dot" w:pos="9000"/>
        </w:tabs>
      </w:pPr>
      <w:r>
        <w:rPr>
          <w:sz w:val="19"/>
        </w:rPr>
        <w:t>MODEL NOTICE 8-C — ANNEX ISSUE REGISTRATION</w:t>
      </w:r>
      <w:r>
        <w:tab/>
      </w:r>
      <w:r>
        <w:t>35</w:t>
      </w:r>
    </w:p>
    <w:p>
      <w:pPr>
        <w:ind w:left="360"/>
        <w:tabs>
          <w:tab w:val="right" w:leader="dot" w:pos="9000"/>
        </w:tabs>
      </w:pPr>
      <w:r>
        <w:rPr>
          <w:sz w:val="19"/>
        </w:rPr>
        <w:t>DATA AND RECORDS SCHEDULE 8-D</w:t>
      </w:r>
      <w:r>
        <w:tab/>
      </w:r>
      <w:r>
        <w:t>35</w:t>
      </w:r>
    </w:p>
    <w:p>
      <w:pPr>
        <w:ind w:left="360"/>
        <w:tabs>
          <w:tab w:val="right" w:leader="dot" w:pos="9000"/>
        </w:tabs>
      </w:pPr>
      <w:r>
        <w:rPr>
          <w:sz w:val="19"/>
        </w:rPr>
        <w:t>STAKEHOLDER AND SME ACCESS SCHEDULE 8-E</w:t>
      </w:r>
      <w:r>
        <w:tab/>
      </w:r>
      <w:r>
        <w:t>35</w:t>
      </w:r>
    </w:p>
    <w:p>
      <w:pPr>
        <w:ind w:left="360"/>
        <w:tabs>
          <w:tab w:val="right" w:leader="dot" w:pos="9000"/>
        </w:tabs>
      </w:pPr>
      <w:r>
        <w:rPr>
          <w:sz w:val="19"/>
        </w:rPr>
        <w:t>FAILURE-MODE PLAYBOOK 8-F</w:t>
      </w:r>
      <w:r>
        <w:tab/>
      </w:r>
      <w:r>
        <w:t>35</w:t>
      </w:r>
    </w:p>
    <w:p>
      <w:pPr>
        <w:ind w:left="0"/>
        <w:tabs>
          <w:tab w:val="right" w:leader="dot" w:pos="9000"/>
        </w:tabs>
      </w:pPr>
      <w:r>
        <w:rPr>
          <w:sz w:val="20"/>
          <w:b/>
        </w:rPr>
        <w:t>PART II — CROSS-ANNEX OPERATIVE SCHEDULES</w:t>
      </w:r>
      <w:r>
        <w:tab/>
      </w:r>
      <w:r>
        <w:t>36</w:t>
      </w:r>
    </w:p>
    <w:p>
      <w:pPr>
        <w:ind w:left="360"/>
        <w:tabs>
          <w:tab w:val="right" w:leader="dot" w:pos="9000"/>
        </w:tabs>
      </w:pPr>
      <w:r>
        <w:rPr>
          <w:sz w:val="19"/>
        </w:rPr>
        <w:t>Schedule X-1 — Shared Digital Annex Registry</w:t>
      </w:r>
      <w:r>
        <w:tab/>
      </w:r>
      <w:r>
        <w:t>36</w:t>
      </w:r>
    </w:p>
    <w:p>
      <w:pPr>
        <w:ind w:left="360"/>
        <w:tabs>
          <w:tab w:val="right" w:leader="dot" w:pos="9000"/>
        </w:tabs>
      </w:pPr>
      <w:r>
        <w:rPr>
          <w:sz w:val="19"/>
        </w:rPr>
        <w:t>Schedule X-2 — Common Evidence Hierarchy</w:t>
      </w:r>
      <w:r>
        <w:tab/>
      </w:r>
      <w:r>
        <w:t>36</w:t>
      </w:r>
    </w:p>
    <w:p>
      <w:pPr>
        <w:ind w:left="360"/>
        <w:tabs>
          <w:tab w:val="right" w:leader="dot" w:pos="9000"/>
        </w:tabs>
      </w:pPr>
      <w:r>
        <w:rPr>
          <w:sz w:val="19"/>
        </w:rPr>
        <w:t>Schedule X-3 — Cothrom Trade Tier Matrix</w:t>
      </w:r>
      <w:r>
        <w:tab/>
      </w:r>
      <w:r>
        <w:t>37</w:t>
      </w:r>
    </w:p>
    <w:p>
      <w:pPr>
        <w:ind w:left="360"/>
        <w:tabs>
          <w:tab w:val="right" w:leader="dot" w:pos="9000"/>
        </w:tabs>
      </w:pPr>
      <w:r>
        <w:rPr>
          <w:sz w:val="19"/>
        </w:rPr>
        <w:t>Schedule X-4 — No Cross-Module Cascade</w:t>
      </w:r>
      <w:r>
        <w:tab/>
      </w:r>
      <w:r>
        <w:t>37</w:t>
      </w:r>
    </w:p>
    <w:p>
      <w:pPr>
        <w:ind w:left="360"/>
        <w:tabs>
          <w:tab w:val="right" w:leader="dot" w:pos="9000"/>
        </w:tabs>
      </w:pPr>
      <w:r>
        <w:rPr>
          <w:sz w:val="19"/>
        </w:rPr>
        <w:t>Schedule X-5 — Emergency Action</w:t>
      </w:r>
      <w:r>
        <w:tab/>
      </w:r>
      <w:r>
        <w:t>37</w:t>
      </w:r>
    </w:p>
    <w:p>
      <w:pPr>
        <w:ind w:left="0"/>
        <w:tabs>
          <w:tab w:val="right" w:leader="dot" w:pos="9000"/>
        </w:tabs>
      </w:pPr>
      <w:r>
        <w:rPr>
          <w:sz w:val="20"/>
          <w:b/>
        </w:rPr>
        <w:t>PART III — ADOPTION, ACCESSION, REVIEW, AND MODEL EXECUTION TEXT</w:t>
      </w:r>
      <w:r>
        <w:tab/>
      </w:r>
      <w:r>
        <w:t>37</w:t>
      </w:r>
    </w:p>
    <w:p>
      <w:pPr>
        <w:ind w:left="360"/>
        <w:tabs>
          <w:tab w:val="right" w:leader="dot" w:pos="9000"/>
        </w:tabs>
      </w:pPr>
      <w:r>
        <w:rPr>
          <w:sz w:val="19"/>
        </w:rPr>
        <w:t>Article F.1 — Adoption</w:t>
      </w:r>
      <w:r>
        <w:tab/>
      </w:r>
      <w:r>
        <w:t>37</w:t>
      </w:r>
    </w:p>
    <w:p>
      <w:pPr>
        <w:ind w:left="360"/>
        <w:tabs>
          <w:tab w:val="right" w:leader="dot" w:pos="9000"/>
        </w:tabs>
      </w:pPr>
      <w:r>
        <w:rPr>
          <w:sz w:val="19"/>
        </w:rPr>
        <w:t>Article F.2 — Accession</w:t>
      </w:r>
      <w:r>
        <w:tab/>
      </w:r>
      <w:r>
        <w:t>37</w:t>
      </w:r>
    </w:p>
    <w:p>
      <w:pPr>
        <w:ind w:left="360"/>
        <w:tabs>
          <w:tab w:val="right" w:leader="dot" w:pos="9000"/>
        </w:tabs>
      </w:pPr>
      <w:r>
        <w:rPr>
          <w:sz w:val="19"/>
        </w:rPr>
        <w:t>Article F.3 — Withdrawal</w:t>
      </w:r>
      <w:r>
        <w:tab/>
      </w:r>
      <w:r>
        <w:t>38</w:t>
      </w:r>
    </w:p>
    <w:p>
      <w:pPr>
        <w:ind w:left="360"/>
        <w:tabs>
          <w:tab w:val="right" w:leader="dot" w:pos="9000"/>
        </w:tabs>
      </w:pPr>
      <w:r>
        <w:rPr>
          <w:sz w:val="19"/>
        </w:rPr>
        <w:t>Article F.4 — Periodic Review</w:t>
      </w:r>
      <w:r>
        <w:tab/>
      </w:r>
      <w:r>
        <w:t>38</w:t>
      </w:r>
    </w:p>
    <w:p>
      <w:pPr>
        <w:ind w:left="360"/>
        <w:tabs>
          <w:tab w:val="right" w:leader="dot" w:pos="9000"/>
        </w:tabs>
      </w:pPr>
      <w:r>
        <w:rPr>
          <w:sz w:val="19"/>
        </w:rPr>
        <w:t>Article F.5 — Authentic Languages</w:t>
      </w:r>
      <w:r>
        <w:tab/>
      </w:r>
      <w:r>
        <w:t>38</w:t>
      </w:r>
    </w:p>
    <w:p>
      <w:pPr>
        <w:ind w:left="360"/>
        <w:tabs>
          <w:tab w:val="right" w:leader="dot" w:pos="9000"/>
        </w:tabs>
      </w:pPr>
      <w:r>
        <w:rPr>
          <w:sz w:val="19"/>
        </w:rPr>
        <w:t>Model Execution Clause</w:t>
      </w:r>
      <w:r>
        <w:tab/>
      </w:r>
      <w:r>
        <w:t>38</w:t>
      </w:r>
    </w:p>
    <w:p>
      <w:pPr>
        <w:ind w:left="0"/>
        <w:tabs>
          <w:tab w:val="right" w:leader="dot" w:pos="9000"/>
        </w:tabs>
      </w:pPr>
      <w:r>
        <w:rPr>
          <w:sz w:val="20"/>
          <w:b/>
        </w:rPr>
        <w:t>APPENDIX A — ISSUE-TO-ANNEX TRACEABILITY MATRIX</w:t>
      </w:r>
      <w:r>
        <w:tab/>
      </w:r>
      <w:r>
        <w:t>38</w:t>
      </w:r>
    </w:p>
    <w:p>
      <w:pPr>
        <w:ind w:left="0"/>
        <w:tabs>
          <w:tab w:val="right" w:leader="dot" w:pos="9000"/>
        </w:tabs>
      </w:pPr>
      <w:r>
        <w:rPr>
          <w:sz w:val="20"/>
          <w:b/>
        </w:rPr>
        <w:t>APPENDIX B — DRAFTING AND IMPLEMENTATION NOTES</w:t>
      </w:r>
      <w:r>
        <w:tab/>
      </w:r>
      <w:r>
        <w:t>39</w:t>
      </w:r>
    </w:p>
    <w:p>
      <w:pPr>
        <w:ind w:left="0"/>
        <w:tabs>
          <w:tab w:val="right" w:leader="dot" w:pos="9000"/>
        </w:tabs>
      </w:pPr>
      <w:r>
        <w:rPr>
          <w:sz w:val="20"/>
          <w:b/>
        </w:rPr>
        <w:t>APPENDIX C — NAVIGATION MAP</w:t>
      </w:r>
      <w:r>
        <w:tab/>
      </w:r>
      <w:r>
        <w:t>40</w:t>
      </w:r>
    </w:p>
    <w:p>
      <w:pPr>
        <w:ind w:left="0"/>
        <w:tabs>
          <w:tab w:val="right" w:leader="dot" w:pos="9000"/>
        </w:tabs>
      </w:pPr>
      <w:r>
        <w:rPr>
          <w:sz w:val="20"/>
          <w:b/>
        </w:rPr>
        <w:t>APPENDIX D — COMMON OPERATING PROCEDURES MANUAL</w:t>
      </w:r>
      <w:r>
        <w:tab/>
      </w:r>
      <w:r>
        <w:t>44</w:t>
      </w:r>
    </w:p>
    <w:p>
      <w:pPr>
        <w:ind w:left="0"/>
        <w:tabs>
          <w:tab w:val="right" w:leader="dot" w:pos="9000"/>
        </w:tabs>
      </w:pPr>
      <w:r>
        <w:rPr>
          <w:sz w:val="20"/>
          <w:b/>
        </w:rPr>
        <w:t>APPENDIX E — MODEL FORMS AND REQUIRED FIELDS</w:t>
      </w:r>
      <w:r>
        <w:tab/>
      </w:r>
      <w:r>
        <w:t>45</w:t>
      </w:r>
    </w:p>
    <w:p>
      <w:pPr>
        <w:ind w:left="0"/>
        <w:tabs>
          <w:tab w:val="right" w:leader="dot" w:pos="9000"/>
        </w:tabs>
      </w:pPr>
      <w:r>
        <w:rPr>
          <w:sz w:val="20"/>
          <w:b/>
        </w:rPr>
        <w:t>APPENDIX F — ANNEX-SPECIFIC PERFORMANCE INDICATORS</w:t>
      </w:r>
      <w:r>
        <w:tab/>
      </w:r>
      <w:r>
        <w:t>49</w:t>
      </w:r>
    </w:p>
    <w:p>
      <w:pPr>
        <w:ind w:left="0"/>
        <w:tabs>
          <w:tab w:val="right" w:leader="dot" w:pos="9000"/>
        </w:tabs>
      </w:pPr>
      <w:r>
        <w:rPr>
          <w:sz w:val="20"/>
          <w:b/>
        </w:rPr>
        <w:t>APPENDIX G — DETAILED SECTOR PLAYBOOKS</w:t>
      </w:r>
      <w:r>
        <w:tab/>
      </w:r>
      <w:r>
        <w:t>50</w:t>
      </w:r>
    </w:p>
    <w:p>
      <w:pPr>
        <w:ind w:left="0"/>
        <w:tabs>
          <w:tab w:val="right" w:leader="dot" w:pos="9000"/>
        </w:tabs>
      </w:pPr>
      <w:r>
        <w:rPr>
          <w:sz w:val="20"/>
          <w:b/>
        </w:rPr>
        <w:t>APPENDIX H — NEGOTIATOR DECISION GATES</w:t>
      </w:r>
      <w:r>
        <w:tab/>
      </w:r>
      <w:r>
        <w:t>51</w:t>
      </w:r>
    </w:p>
    <w:p>
      <w:pPr>
        <w:ind w:left="0"/>
        <w:tabs>
          <w:tab w:val="right" w:leader="dot" w:pos="9000"/>
        </w:tabs>
      </w:pPr>
      <w:r>
        <w:rPr>
          <w:sz w:val="20"/>
          <w:b/>
        </w:rPr>
        <w:t>APPENDIX I — ANNEX-BY-ANNEX IMPLEMENTATION CHECKLISTS</w:t>
      </w:r>
      <w:r>
        <w:tab/>
      </w:r>
      <w:r>
        <w:t>52</w:t>
      </w:r>
    </w:p>
    <w:p>
      <w:bookmarkStart w:id="1001" w:name="toc_1"/>
      <w:pPr>
        <w:pStyle w:val="Heading1"/>
        <w:pageBreakBefore/>
        <w:spacing w:before="200" w:after="120"/>
      </w:pPr>
      <w:r>
        <w:rPr>
          <w:rFonts w:ascii="Calibri" w:hAnsi="Calibri"/>
          <w:b/>
          <w:color w:val="37474F"/>
          <w:sz w:val="30"/>
        </w:rPr>
        <w:t>DOCUMENT CONTROL, STATUS, AND ADOPTION ARCHITECTURE</w:t>
      </w:r>
      <w:bookmarkEnd w:id="1001"/>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Instrument Design</w:t>
            </w:r>
          </w:p>
        </w:tc>
        <w:tc>
          <w:tcPr>
            <w:tcW w:type="dxa" w:w="5083"/>
            <w:shd w:fill="D9E3F0"/>
          </w:tcPr>
          <w:p>
            <w:r>
              <w:rPr>
                <w:rFonts w:ascii="Calibri" w:hAnsi="Calibri"/>
                <w:b/>
                <w:color w:val="37474F"/>
                <w:sz w:val="17"/>
              </w:rPr>
              <w:t>Operative Rule</w:t>
            </w:r>
          </w:p>
        </w:tc>
      </w:tr>
      <w:tr>
        <w:tc>
          <w:tcPr>
            <w:tcW w:type="dxa" w:w="5083"/>
            <w:vAlign w:val="top"/>
          </w:tcPr>
          <w:p>
            <w:pPr>
              <w:spacing w:after="30"/>
            </w:pPr>
            <w:r>
              <w:rPr>
                <w:rFonts w:ascii="Calibri" w:hAnsi="Calibri"/>
                <w:sz w:val="17"/>
              </w:rPr>
              <w:t>Legal interface</w:t>
            </w:r>
          </w:p>
        </w:tc>
        <w:tc>
          <w:tcPr>
            <w:tcW w:type="dxa" w:w="5083"/>
            <w:vAlign w:val="top"/>
          </w:tcPr>
          <w:p>
            <w:pPr>
              <w:spacing w:after="30"/>
            </w:pPr>
            <w:r>
              <w:rPr>
                <w:rFonts w:ascii="Calibri" w:hAnsi="Calibri"/>
                <w:sz w:val="17"/>
              </w:rPr>
              <w:t>Supplemental protocol architecture anchored to the CUSMA Free Trade Commission and existing domestic implementing authorities, subject to each Party's legal procedures.</w:t>
            </w:r>
          </w:p>
        </w:tc>
      </w:tr>
      <w:tr>
        <w:tc>
          <w:tcPr>
            <w:tcW w:type="dxa" w:w="5083"/>
            <w:vAlign w:val="top"/>
          </w:tcPr>
          <w:p>
            <w:pPr>
              <w:spacing w:after="30"/>
            </w:pPr>
            <w:r>
              <w:rPr>
                <w:rFonts w:ascii="Calibri" w:hAnsi="Calibri"/>
                <w:sz w:val="17"/>
              </w:rPr>
              <w:t>Modularity</w:t>
            </w:r>
          </w:p>
        </w:tc>
        <w:tc>
          <w:tcPr>
            <w:tcW w:type="dxa" w:w="5083"/>
            <w:vAlign w:val="top"/>
          </w:tcPr>
          <w:p>
            <w:pPr>
              <w:spacing w:after="30"/>
            </w:pPr>
            <w:r>
              <w:rPr>
                <w:rFonts w:ascii="Calibri" w:hAnsi="Calibri"/>
                <w:sz w:val="17"/>
              </w:rPr>
              <w:t>Each Annex can enter into effect independently between adopting Parties without requiring adoption of another Annex.</w:t>
            </w:r>
          </w:p>
        </w:tc>
      </w:tr>
      <w:tr>
        <w:tc>
          <w:tcPr>
            <w:tcW w:type="dxa" w:w="5083"/>
            <w:vAlign w:val="top"/>
          </w:tcPr>
          <w:p>
            <w:pPr>
              <w:spacing w:after="30"/>
            </w:pPr>
            <w:r>
              <w:rPr>
                <w:rFonts w:ascii="Calibri" w:hAnsi="Calibri"/>
                <w:sz w:val="17"/>
              </w:rPr>
              <w:t>Disputes</w:t>
            </w:r>
          </w:p>
        </w:tc>
        <w:tc>
          <w:tcPr>
            <w:tcW w:type="dxa" w:w="5083"/>
            <w:vAlign w:val="top"/>
          </w:tcPr>
          <w:p>
            <w:pPr>
              <w:spacing w:after="30"/>
            </w:pPr>
            <w:r>
              <w:rPr>
                <w:rFonts w:ascii="Calibri" w:hAnsi="Calibri"/>
                <w:sz w:val="17"/>
              </w:rPr>
              <w:t>Chapter 31 remains the default state-to-state route; Annex-specific accelerated technical review and Cothrom cure procedures operate before proportionate suspension of Annex benefits.</w:t>
            </w:r>
          </w:p>
        </w:tc>
      </w:tr>
      <w:tr>
        <w:tc>
          <w:tcPr>
            <w:tcW w:type="dxa" w:w="5083"/>
            <w:vAlign w:val="top"/>
          </w:tcPr>
          <w:p>
            <w:pPr>
              <w:spacing w:after="30"/>
            </w:pPr>
            <w:r>
              <w:rPr>
                <w:rFonts w:ascii="Calibri" w:hAnsi="Calibri"/>
                <w:sz w:val="17"/>
              </w:rPr>
              <w:t>Verification</w:t>
            </w:r>
          </w:p>
        </w:tc>
        <w:tc>
          <w:tcPr>
            <w:tcW w:type="dxa" w:w="5083"/>
            <w:vAlign w:val="top"/>
          </w:tcPr>
          <w:p>
            <w:pPr>
              <w:spacing w:after="30"/>
            </w:pPr>
            <w:r>
              <w:rPr>
                <w:rFonts w:ascii="Calibri" w:hAnsi="Calibri"/>
                <w:sz w:val="17"/>
              </w:rPr>
              <w:t>Trade-adapted Cothrom: reciprocal evidence, shared registry, tiered findings, narrow step-back, guaranteed earn-back.</w:t>
            </w:r>
          </w:p>
        </w:tc>
      </w:tr>
      <w:tr>
        <w:tc>
          <w:tcPr>
            <w:tcW w:type="dxa" w:w="5083"/>
            <w:vAlign w:val="top"/>
          </w:tcPr>
          <w:p>
            <w:pPr>
              <w:spacing w:after="30"/>
            </w:pPr>
            <w:r>
              <w:rPr>
                <w:rFonts w:ascii="Calibri" w:hAnsi="Calibri"/>
                <w:sz w:val="17"/>
              </w:rPr>
              <w:t>Status</w:t>
            </w:r>
          </w:p>
        </w:tc>
        <w:tc>
          <w:tcPr>
            <w:tcW w:type="dxa" w:w="5083"/>
            <w:vAlign w:val="top"/>
          </w:tcPr>
          <w:p>
            <w:pPr>
              <w:spacing w:after="30"/>
            </w:pPr>
            <w:r>
              <w:rPr>
                <w:rFonts w:ascii="Calibri" w:hAnsi="Calibri"/>
                <w:sz w:val="17"/>
              </w:rPr>
              <w:t>Draft model text only. Nothing states or implies governmental approval, signature, adoption, or endorsement.</w:t>
            </w:r>
          </w:p>
        </w:tc>
      </w:tr>
    </w:tbl>
    <w:p>
      <w:pPr>
        <w:pStyle w:val="OperativeClause"/>
      </w:pPr>
      <w:r>
        <w:rPr>
          <w:rFonts w:ascii="Calibri" w:hAnsi="Calibri"/>
          <w:sz w:val="20"/>
        </w:rPr>
        <w:t>This document is a model negotiating text. It is not an instrument of Canada, the United Mexican States, or the United States of America, and it does not record or imply that any government, minister, legislature, agency, customs administration, province, state, territory, or other public authority has approved or accepted any provision.</w:t>
      </w:r>
    </w:p>
    <w:p>
      <w:pPr>
        <w:pStyle w:val="OperativeClause"/>
      </w:pPr>
      <w:r>
        <w:rPr>
          <w:rFonts w:ascii="Calibri" w:hAnsi="Calibri"/>
          <w:sz w:val="20"/>
        </w:rPr>
        <w:t>The architecture is deliberately modular. An adopting instrument may incorporate one Annex, several Annexes, a defined Part of an Annex, or a schedule identified by immutable identifier. An adopting instrument shall state the participating Parties, effective date, any reservations expressly permitted by the Annex, and the contact points responsible for implementation.</w:t>
      </w:r>
    </w:p>
    <w:p>
      <w:pPr>
        <w:pStyle w:val="OperativeClause"/>
      </w:pPr>
      <w:r>
        <w:rPr>
          <w:rFonts w:ascii="Calibri" w:hAnsi="Calibri"/>
          <w:sz w:val="20"/>
        </w:rPr>
        <w:t>No Annex amends the core CUSMA text by implication. Where an adopting Party intends an Annex to modify an existing treaty obligation, that modification must be stated expressly in the adopting instrument and completed through the domestic and international procedures legally required for that modification. Otherwise, the Annex supplements implementation, cooperation, administration, interpretation, verification, or additional commitments to the fullest extent legally available.</w:t>
      </w:r>
    </w:p>
    <w:p>
      <w:pPr>
        <w:pStyle w:val="OperativeClause"/>
      </w:pPr>
      <w:r>
        <w:rPr>
          <w:rFonts w:ascii="Calibri" w:hAnsi="Calibri"/>
          <w:sz w:val="20"/>
        </w:rPr>
        <w:t>The drafting method uses traditional operative verbs for binding duties and modern present-tense explanatory text for objectives, governance descriptions, matrices, and implementation notes. Defined terms carry the same meaning throughout the Protocol unless an Annex expressly supplies a narrower definition for its own subject matter.</w:t>
      </w:r>
    </w:p>
    <w:p>
      <w:bookmarkStart w:id="1002" w:name="toc_2"/>
      <w:pPr>
        <w:pStyle w:val="Heading2"/>
        <w:spacing w:before="160" w:after="80"/>
      </w:pPr>
      <w:r>
        <w:rPr>
          <w:rFonts w:ascii="Calibri" w:hAnsi="Calibri"/>
          <w:b/>
          <w:color w:val="37474F"/>
          <w:sz w:val="23"/>
        </w:rPr>
        <w:t>Verified 2026 Canada–United States Friction Map Used in Drafting</w:t>
      </w:r>
      <w:bookmarkEnd w:id="1002"/>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Friction / priority</w:t>
            </w:r>
          </w:p>
        </w:tc>
        <w:tc>
          <w:tcPr>
            <w:tcW w:type="dxa" w:w="5083"/>
            <w:shd w:fill="D9E3F0"/>
          </w:tcPr>
          <w:p>
            <w:r>
              <w:rPr>
                <w:rFonts w:ascii="Calibri" w:hAnsi="Calibri"/>
                <w:b/>
                <w:color w:val="37474F"/>
                <w:sz w:val="17"/>
              </w:rPr>
              <w:t>Treatment in this Protocol</w:t>
            </w:r>
          </w:p>
        </w:tc>
      </w:tr>
      <w:tr>
        <w:tc>
          <w:tcPr>
            <w:tcW w:type="dxa" w:w="5083"/>
            <w:vAlign w:val="top"/>
          </w:tcPr>
          <w:p>
            <w:pPr>
              <w:spacing w:after="30"/>
            </w:pPr>
            <w:r>
              <w:rPr>
                <w:rFonts w:ascii="Calibri" w:hAnsi="Calibri"/>
                <w:sz w:val="17"/>
              </w:rPr>
              <w:t>Canadian dairy TRQ administration and usable market access</w:t>
            </w:r>
          </w:p>
        </w:tc>
        <w:tc>
          <w:tcPr>
            <w:tcW w:type="dxa" w:w="5083"/>
            <w:vAlign w:val="top"/>
          </w:tcPr>
          <w:p>
            <w:pPr>
              <w:spacing w:after="30"/>
            </w:pPr>
            <w:r>
              <w:rPr>
                <w:rFonts w:ascii="Calibri" w:hAnsi="Calibri"/>
                <w:sz w:val="17"/>
              </w:rPr>
              <w:t>Annex 8 establishes transparent allocation, retailer eligibility neutrality, reallocation, utilization dashboards, appeals, and Cothrom review while preserving supply-management policy space unless expressly bargained otherwise.</w:t>
            </w:r>
          </w:p>
        </w:tc>
      </w:tr>
      <w:tr>
        <w:tc>
          <w:tcPr>
            <w:tcW w:type="dxa" w:w="5083"/>
            <w:vAlign w:val="top"/>
          </w:tcPr>
          <w:p>
            <w:pPr>
              <w:spacing w:after="30"/>
            </w:pPr>
            <w:r>
              <w:rPr>
                <w:rFonts w:ascii="Calibri" w:hAnsi="Calibri"/>
                <w:sz w:val="17"/>
              </w:rPr>
              <w:t>Provincial restrictions and discriminatory treatment of U.S. alcoholic beverages</w:t>
            </w:r>
          </w:p>
        </w:tc>
        <w:tc>
          <w:tcPr>
            <w:tcW w:type="dxa" w:w="5083"/>
            <w:vAlign w:val="top"/>
          </w:tcPr>
          <w:p>
            <w:pPr>
              <w:spacing w:after="30"/>
            </w:pPr>
            <w:r>
              <w:rPr>
                <w:rFonts w:ascii="Calibri" w:hAnsi="Calibri"/>
                <w:sz w:val="17"/>
              </w:rPr>
              <w:t>Annex 8 establishes nationality-neutral listing, delisting, pricing transparency, notice, review, and lawful public-policy exceptions.</w:t>
            </w:r>
          </w:p>
        </w:tc>
      </w:tr>
      <w:tr>
        <w:tc>
          <w:tcPr>
            <w:tcW w:type="dxa" w:w="5083"/>
            <w:vAlign w:val="top"/>
          </w:tcPr>
          <w:p>
            <w:pPr>
              <w:spacing w:after="30"/>
            </w:pPr>
            <w:r>
              <w:rPr>
                <w:rFonts w:ascii="Calibri" w:hAnsi="Calibri"/>
                <w:sz w:val="17"/>
              </w:rPr>
              <w:t>Canadian motor-vehicle retaliatory treatment and U.S. auto tariffs</w:t>
            </w:r>
          </w:p>
        </w:tc>
        <w:tc>
          <w:tcPr>
            <w:tcW w:type="dxa" w:w="5083"/>
            <w:vAlign w:val="top"/>
          </w:tcPr>
          <w:p>
            <w:pPr>
              <w:spacing w:after="30"/>
            </w:pPr>
            <w:r>
              <w:rPr>
                <w:rFonts w:ascii="Calibri" w:hAnsi="Calibri"/>
                <w:sz w:val="17"/>
              </w:rPr>
              <w:t>Annexes 3, 4, 7, and 8 separate retaliation from origin rules, preserve roll-up as the technical baseline for qualifying core parts, tighten verification, and create tariff consultation and cure disciplines.</w:t>
            </w:r>
          </w:p>
        </w:tc>
      </w:tr>
      <w:tr>
        <w:tc>
          <w:tcPr>
            <w:tcW w:type="dxa" w:w="5083"/>
            <w:vAlign w:val="top"/>
          </w:tcPr>
          <w:p>
            <w:pPr>
              <w:spacing w:after="30"/>
            </w:pPr>
            <w:r>
              <w:rPr>
                <w:rFonts w:ascii="Calibri" w:hAnsi="Calibri"/>
                <w:sz w:val="17"/>
              </w:rPr>
              <w:t>Auto rules of origin, core-parts calculation, and non-party inputs</w:t>
            </w:r>
          </w:p>
        </w:tc>
        <w:tc>
          <w:tcPr>
            <w:tcW w:type="dxa" w:w="5083"/>
            <w:vAlign w:val="top"/>
          </w:tcPr>
          <w:p>
            <w:pPr>
              <w:spacing w:after="30"/>
            </w:pPr>
            <w:r>
              <w:rPr>
                <w:rFonts w:ascii="Calibri" w:hAnsi="Calibri"/>
                <w:sz w:val="17"/>
              </w:rPr>
              <w:t>Annex 3 provides calculation files, model-year determinations, battery/mineral traceability, anti-circumvention, supplier evidence rules, and a non-party free-riding test.</w:t>
            </w:r>
          </w:p>
        </w:tc>
      </w:tr>
      <w:tr>
        <w:tc>
          <w:tcPr>
            <w:tcW w:type="dxa" w:w="5083"/>
            <w:vAlign w:val="top"/>
          </w:tcPr>
          <w:p>
            <w:pPr>
              <w:spacing w:after="30"/>
            </w:pPr>
            <w:r>
              <w:rPr>
                <w:rFonts w:ascii="Calibri" w:hAnsi="Calibri"/>
                <w:sz w:val="17"/>
              </w:rPr>
              <w:t>Digital regulation and data-flow concerns, including online-service measures</w:t>
            </w:r>
          </w:p>
        </w:tc>
        <w:tc>
          <w:tcPr>
            <w:tcW w:type="dxa" w:w="5083"/>
            <w:vAlign w:val="top"/>
          </w:tcPr>
          <w:p>
            <w:pPr>
              <w:spacing w:after="30"/>
            </w:pPr>
            <w:r>
              <w:rPr>
                <w:rFonts w:ascii="Calibri" w:hAnsi="Calibri"/>
                <w:sz w:val="17"/>
              </w:rPr>
              <w:t>Annex 1 protects data flows and cloud access while preserving privacy, culture, consumer protection, cybersecurity, and other legitimate public-policy regulation subject to non-discrimination and necessity disciplines.</w:t>
            </w:r>
          </w:p>
        </w:tc>
      </w:tr>
      <w:tr>
        <w:tc>
          <w:tcPr>
            <w:tcW w:type="dxa" w:w="5083"/>
            <w:vAlign w:val="top"/>
          </w:tcPr>
          <w:p>
            <w:pPr>
              <w:spacing w:after="30"/>
            </w:pPr>
            <w:r>
              <w:rPr>
                <w:rFonts w:ascii="Calibri" w:hAnsi="Calibri"/>
                <w:sz w:val="17"/>
              </w:rPr>
              <w:t>Forced-labour import enforcement</w:t>
            </w:r>
          </w:p>
        </w:tc>
        <w:tc>
          <w:tcPr>
            <w:tcW w:type="dxa" w:w="5083"/>
            <w:vAlign w:val="top"/>
          </w:tcPr>
          <w:p>
            <w:pPr>
              <w:spacing w:after="30"/>
            </w:pPr>
            <w:r>
              <w:rPr>
                <w:rFonts w:ascii="Calibri" w:hAnsi="Calibri"/>
                <w:sz w:val="17"/>
              </w:rPr>
              <w:t>Annexes 2 and 5 create interoperable evidence categories, risk targeting, due process, and enforcement cooperation.</w:t>
            </w:r>
          </w:p>
        </w:tc>
      </w:tr>
      <w:tr>
        <w:tc>
          <w:tcPr>
            <w:tcW w:type="dxa" w:w="5083"/>
            <w:vAlign w:val="top"/>
          </w:tcPr>
          <w:p>
            <w:pPr>
              <w:spacing w:after="30"/>
            </w:pPr>
            <w:r>
              <w:rPr>
                <w:rFonts w:ascii="Calibri" w:hAnsi="Calibri"/>
                <w:sz w:val="17"/>
              </w:rPr>
              <w:t>Procurement reciprocity and Buy America / Buy Canadian concerns</w:t>
            </w:r>
          </w:p>
        </w:tc>
        <w:tc>
          <w:tcPr>
            <w:tcW w:type="dxa" w:w="5083"/>
            <w:vAlign w:val="top"/>
          </w:tcPr>
          <w:p>
            <w:pPr>
              <w:spacing w:after="30"/>
            </w:pPr>
            <w:r>
              <w:rPr>
                <w:rFonts w:ascii="Calibri" w:hAnsi="Calibri"/>
                <w:sz w:val="17"/>
              </w:rPr>
              <w:t>Annex 8 creates an opt-in reciprocal procurement schedule, matched sub-federal participation, transparency, non-discrimination, and emergency/essential-security exclusions.</w:t>
            </w:r>
          </w:p>
        </w:tc>
      </w:tr>
      <w:tr>
        <w:tc>
          <w:tcPr>
            <w:tcW w:type="dxa" w:w="5083"/>
            <w:vAlign w:val="top"/>
          </w:tcPr>
          <w:p>
            <w:pPr>
              <w:spacing w:after="30"/>
            </w:pPr>
            <w:r>
              <w:rPr>
                <w:rFonts w:ascii="Calibri" w:hAnsi="Calibri"/>
                <w:sz w:val="17"/>
              </w:rPr>
              <w:t>Third-country free-riding, transshipment, non-market investment and overcapacity</w:t>
            </w:r>
          </w:p>
        </w:tc>
        <w:tc>
          <w:tcPr>
            <w:tcW w:type="dxa" w:w="5083"/>
            <w:vAlign w:val="top"/>
          </w:tcPr>
          <w:p>
            <w:pPr>
              <w:spacing w:after="30"/>
            </w:pPr>
            <w:r>
              <w:rPr>
                <w:rFonts w:ascii="Calibri" w:hAnsi="Calibri"/>
                <w:sz w:val="17"/>
              </w:rPr>
              <w:t>Annexes 2, 3, and 4 establish evidence-based anti-circumvention, strategic supply-chain mapping, economic-substance tests, and sectoral risk protocols without treating foreign ownership alone as disqualifying.</w:t>
            </w:r>
          </w:p>
        </w:tc>
      </w:tr>
      <w:tr>
        <w:tc>
          <w:tcPr>
            <w:tcW w:type="dxa" w:w="5083"/>
            <w:vAlign w:val="top"/>
          </w:tcPr>
          <w:p>
            <w:pPr>
              <w:spacing w:after="30"/>
            </w:pPr>
            <w:r>
              <w:rPr>
                <w:rFonts w:ascii="Calibri" w:hAnsi="Calibri"/>
                <w:sz w:val="17"/>
              </w:rPr>
              <w:t>Steel, aluminum, softwood lumber, autos and national-security tariff uncertainty</w:t>
            </w:r>
          </w:p>
        </w:tc>
        <w:tc>
          <w:tcPr>
            <w:tcW w:type="dxa" w:w="5083"/>
            <w:vAlign w:val="top"/>
          </w:tcPr>
          <w:p>
            <w:pPr>
              <w:spacing w:after="30"/>
            </w:pPr>
            <w:r>
              <w:rPr>
                <w:rFonts w:ascii="Calibri" w:hAnsi="Calibri"/>
                <w:sz w:val="17"/>
              </w:rPr>
              <w:t>Annexes 4 and 7 require notice, consultation, evidence packages, product-specificity, review clocks, and proportionate responses; Annex 4 recognizes verified continental supply as relevant economic-security evidence.</w:t>
            </w:r>
          </w:p>
        </w:tc>
      </w:tr>
      <w:tr>
        <w:tc>
          <w:tcPr>
            <w:tcW w:type="dxa" w:w="5083"/>
            <w:vAlign w:val="top"/>
          </w:tcPr>
          <w:p>
            <w:pPr>
              <w:spacing w:after="30"/>
            </w:pPr>
            <w:r>
              <w:rPr>
                <w:rFonts w:ascii="Calibri" w:hAnsi="Calibri"/>
                <w:sz w:val="17"/>
              </w:rPr>
              <w:t>Wildfire smoke and forest-management concerns</w:t>
            </w:r>
          </w:p>
        </w:tc>
        <w:tc>
          <w:tcPr>
            <w:tcW w:type="dxa" w:w="5083"/>
            <w:vAlign w:val="top"/>
          </w:tcPr>
          <w:p>
            <w:pPr>
              <w:spacing w:after="30"/>
            </w:pPr>
            <w:r>
              <w:rPr>
                <w:rFonts w:ascii="Calibri" w:hAnsi="Calibri"/>
                <w:sz w:val="17"/>
              </w:rPr>
              <w:t>Annex 6 establishes joint smoke forecasting, wildfire prevention, fuel-management cooperation, emergency response, and non-trade-barrier safeguards.</w:t>
            </w:r>
          </w:p>
        </w:tc>
      </w:tr>
      <w:tr>
        <w:tc>
          <w:tcPr>
            <w:tcW w:type="dxa" w:w="5083"/>
            <w:vAlign w:val="top"/>
          </w:tcPr>
          <w:p>
            <w:pPr>
              <w:spacing w:after="30"/>
            </w:pPr>
            <w:r>
              <w:rPr>
                <w:rFonts w:ascii="Calibri" w:hAnsi="Calibri"/>
                <w:sz w:val="17"/>
              </w:rPr>
              <w:t>Predictability, binding enforcement, and unilateral tariff escalation</w:t>
            </w:r>
          </w:p>
        </w:tc>
        <w:tc>
          <w:tcPr>
            <w:tcW w:type="dxa" w:w="5083"/>
            <w:vAlign w:val="top"/>
          </w:tcPr>
          <w:p>
            <w:pPr>
              <w:spacing w:after="30"/>
            </w:pPr>
            <w:r>
              <w:rPr>
                <w:rFonts w:ascii="Calibri" w:hAnsi="Calibri"/>
                <w:sz w:val="17"/>
              </w:rPr>
              <w:t>Annex 7 creates standing rosters, accelerated panels, compliance review, Cothrom cure, and a pre-measure consultation channel.</w:t>
            </w:r>
          </w:p>
        </w:tc>
      </w:tr>
    </w:tbl>
    <w:p/>
    <w:p>
      <w:bookmarkStart w:id="1003" w:name="toc_3"/>
      <w:pPr>
        <w:pStyle w:val="Heading2"/>
        <w:spacing w:before="160" w:after="80"/>
      </w:pPr>
      <w:r>
        <w:rPr>
          <w:rFonts w:ascii="Calibri" w:hAnsi="Calibri"/>
          <w:b/>
          <w:color w:val="37474F"/>
          <w:sz w:val="23"/>
        </w:rPr>
        <w:t>Common Incorporation Clause</w:t>
      </w:r>
      <w:bookmarkEnd w:id="1003"/>
    </w:p>
    <w:p>
      <w:pPr>
        <w:pStyle w:val="OperativeClause"/>
      </w:pPr>
      <w:r>
        <w:rPr>
          <w:rFonts w:ascii="Calibri" w:hAnsi="Calibri"/>
          <w:sz w:val="20"/>
        </w:rPr>
        <w:t>An adopting instrument may state: “The Parties incorporate Annex [identifier] of the CUSMA-Plus Modular Modernization Protocol, Version 1.0, as an operative supplemental arrangement between them, subject to the modifications listed in Schedule [X]. References in that Annex to ‘a Party’ mean an adopting Party. References to ‘the Commission’ mean the CUSMA Free Trade Commission or another body expressly designated by the adopting instrument.”</w:t>
      </w:r>
    </w:p>
    <w:p>
      <w:r/>
    </w:p>
    <w:p>
      <w:bookmarkStart w:id="1004" w:name="toc_4"/>
      <w:pPr>
        <w:pStyle w:val="Heading1"/>
        <w:spacing w:before="200" w:after="120"/>
      </w:pPr>
      <w:r>
        <w:rPr>
          <w:rFonts w:ascii="Calibri" w:hAnsi="Calibri"/>
          <w:b/>
          <w:color w:val="37474F"/>
          <w:sz w:val="30"/>
        </w:rPr>
        <w:t>PART I — COMMON RULES FOR EVERY MODULAR ANNEX</w:t>
      </w:r>
      <w:bookmarkEnd w:id="1004"/>
    </w:p>
    <w:p>
      <w:bookmarkStart w:id="1005" w:name="toc_5"/>
      <w:pPr>
        <w:pStyle w:val="Heading2"/>
        <w:spacing w:before="160" w:after="80"/>
      </w:pPr>
      <w:r>
        <w:rPr>
          <w:rFonts w:ascii="Calibri" w:hAnsi="Calibri"/>
          <w:b/>
          <w:color w:val="37474F"/>
          <w:sz w:val="23"/>
        </w:rPr>
        <w:t>Article G.1 — Independence and Severability</w:t>
      </w:r>
      <w:bookmarkEnd w:id="1005"/>
    </w:p>
    <w:p>
      <w:pPr>
        <w:pStyle w:val="OperativeClause"/>
      </w:pPr>
      <w:r>
        <w:rPr>
          <w:rFonts w:ascii="Calibri" w:hAnsi="Calibri"/>
          <w:sz w:val="20"/>
        </w:rPr>
        <w:t>Each Annex is legally and operationally severable from every other Annex. Failure to adopt, activate, renew, or continue one Annex does not prevent another Annex from entering into force or continuing. A finding of breach under one Annex does not suspend rights under another Annex unless the second Annex expressly makes that right conditional on the first.</w:t>
      </w:r>
    </w:p>
    <w:p>
      <w:bookmarkStart w:id="1006" w:name="toc_6"/>
      <w:pPr>
        <w:pStyle w:val="Heading2"/>
        <w:spacing w:before="160" w:after="80"/>
      </w:pPr>
      <w:r>
        <w:rPr>
          <w:rFonts w:ascii="Calibri" w:hAnsi="Calibri"/>
          <w:b/>
          <w:color w:val="37474F"/>
          <w:sz w:val="23"/>
        </w:rPr>
        <w:t>Article G.2 — Participation Geometry</w:t>
      </w:r>
      <w:bookmarkEnd w:id="1006"/>
    </w:p>
    <w:p>
      <w:pPr>
        <w:pStyle w:val="OperativeClause"/>
      </w:pPr>
      <w:r>
        <w:rPr>
          <w:rFonts w:ascii="Calibri" w:hAnsi="Calibri"/>
          <w:sz w:val="20"/>
        </w:rPr>
        <w:t>An Annex may operate trilaterally or bilaterally. A bilateral adoption binds only the two adopting Parties and does not diminish the rights of the non-adopting Party under CUSMA. A later accession takes effect on the date agreed by the existing participants and the acceding Party, without reopening obligations already performed.</w:t>
      </w:r>
    </w:p>
    <w:p>
      <w:bookmarkStart w:id="1007" w:name="toc_7"/>
      <w:pPr>
        <w:pStyle w:val="Heading2"/>
        <w:spacing w:before="160" w:after="80"/>
      </w:pPr>
      <w:r>
        <w:rPr>
          <w:rFonts w:ascii="Calibri" w:hAnsi="Calibri"/>
          <w:b/>
          <w:color w:val="37474F"/>
          <w:sz w:val="23"/>
        </w:rPr>
        <w:t>Article G.3 — Domestic Authority and Subnational Participation</w:t>
      </w:r>
      <w:bookmarkEnd w:id="1007"/>
    </w:p>
    <w:p>
      <w:pPr>
        <w:pStyle w:val="OperativeClause"/>
      </w:pPr>
      <w:r>
        <w:rPr>
          <w:rFonts w:ascii="Calibri" w:hAnsi="Calibri"/>
          <w:sz w:val="20"/>
        </w:rPr>
        <w:t>Each Party implements an Annex through authorities available under its law. Where performance depends on a province, state, territory, municipality, independent regulator, or other subnational entity, the federal Party shall use the coordination, incentive, consultation, or other lawful mechanisms available to it and shall identify in its implementation schedule which obligations are direct federal obligations and which are cooperative subnational commitments.</w:t>
      </w:r>
    </w:p>
    <w:p>
      <w:bookmarkStart w:id="1008" w:name="toc_8"/>
      <w:pPr>
        <w:pStyle w:val="Heading2"/>
        <w:spacing w:before="160" w:after="80"/>
      </w:pPr>
      <w:r>
        <w:rPr>
          <w:rFonts w:ascii="Calibri" w:hAnsi="Calibri"/>
          <w:b/>
          <w:color w:val="37474F"/>
          <w:sz w:val="23"/>
        </w:rPr>
        <w:t>Article G.4 — Publication and Administrative Record</w:t>
      </w:r>
      <w:bookmarkEnd w:id="1008"/>
    </w:p>
    <w:p>
      <w:pPr>
        <w:pStyle w:val="OperativeClause"/>
      </w:pPr>
      <w:r>
        <w:rPr>
          <w:rFonts w:ascii="Calibri" w:hAnsi="Calibri"/>
          <w:sz w:val="20"/>
        </w:rPr>
        <w:t>Each implementing body shall maintain an accessible administrative record containing operative notices, technical manuals, forms, deadlines, contact points, non-confidential decisions, and current implementation status. Confidential business information, personal information, law-enforcement-sensitive information, and protected security information remain protected under domestic law.</w:t>
      </w:r>
    </w:p>
    <w:p>
      <w:bookmarkStart w:id="1009" w:name="toc_9"/>
      <w:pPr>
        <w:pStyle w:val="Heading2"/>
        <w:spacing w:before="160" w:after="80"/>
      </w:pPr>
      <w:r>
        <w:rPr>
          <w:rFonts w:ascii="Calibri" w:hAnsi="Calibri"/>
          <w:b/>
          <w:color w:val="37474F"/>
          <w:sz w:val="23"/>
        </w:rPr>
        <w:t>Article G.5 — Technology Neutrality</w:t>
      </w:r>
      <w:bookmarkEnd w:id="1009"/>
    </w:p>
    <w:p>
      <w:pPr>
        <w:pStyle w:val="OperativeClause"/>
      </w:pPr>
      <w:r>
        <w:rPr>
          <w:rFonts w:ascii="Calibri" w:hAnsi="Calibri"/>
          <w:sz w:val="20"/>
        </w:rPr>
        <w:t>No Annex requires a particular vendor, software stack, cryptographic method, cloud architecture, or proprietary technical standard unless a schedule expressly identifies it for interoperability. Functional equivalence is accepted where the competent body verifies that the alternative provides materially equivalent integrity, security, auditability, and legal effect.</w:t>
      </w:r>
    </w:p>
    <w:p>
      <w:bookmarkStart w:id="1010" w:name="toc_10"/>
      <w:pPr>
        <w:pStyle w:val="Heading2"/>
        <w:spacing w:before="160" w:after="80"/>
      </w:pPr>
      <w:r>
        <w:rPr>
          <w:rFonts w:ascii="Calibri" w:hAnsi="Calibri"/>
          <w:b/>
          <w:color w:val="37474F"/>
          <w:sz w:val="23"/>
        </w:rPr>
        <w:t>Article G.6 — Review and Updating</w:t>
      </w:r>
      <w:bookmarkEnd w:id="1010"/>
    </w:p>
    <w:p>
      <w:pPr>
        <w:pStyle w:val="OperativeClause"/>
      </w:pPr>
      <w:r>
        <w:rPr>
          <w:rFonts w:ascii="Calibri" w:hAnsi="Calibri"/>
          <w:sz w:val="20"/>
        </w:rPr>
        <w:t>Each Annex establishes its own review interval. Technical schedules may be updated by written decision of the designated Annex committee where the update does not reduce a substantive right, create a new tariff obligation, expand a covered entity without consent, or alter a dispute remedy. Substantive changes require the adoption method specified for that Annex.</w:t>
      </w:r>
    </w:p>
    <w:p>
      <w:bookmarkStart w:id="1011" w:name="toc_11"/>
      <w:pPr>
        <w:pStyle w:val="Heading2"/>
        <w:spacing w:before="160" w:after="80"/>
      </w:pPr>
      <w:r>
        <w:rPr>
          <w:rFonts w:ascii="Calibri" w:hAnsi="Calibri"/>
          <w:b/>
          <w:color w:val="37474F"/>
          <w:sz w:val="23"/>
        </w:rPr>
        <w:t>Article G.7 — Cothrom Verification Baseline</w:t>
      </w:r>
      <w:bookmarkEnd w:id="1011"/>
    </w:p>
    <w:p>
      <w:pPr>
        <w:pStyle w:val="OperativeClause"/>
      </w:pPr>
      <w:r>
        <w:rPr>
          <w:rFonts w:ascii="Calibri" w:hAnsi="Calibri"/>
          <w:sz w:val="20"/>
        </w:rPr>
        <w:t>Every Annex incorporates the Cothrom principles of reciprocal verification, evidence integrity, proportionality, cure before economic consequence where practicable, narrow attribution, cross-module firewalls, and guaranteed earn-back. A technical error is not treated as deliberate evasion merely because it produces a commercial advantage. A deliberate falsification is not reduced to a technical error merely because the immediate monetary effect is small.</w:t>
      </w:r>
    </w:p>
    <w:p>
      <w:pPr>
        <w:pStyle w:val="OperativeClause"/>
      </w:pPr>
      <w:r>
        <w:rPr>
          <w:rFonts w:ascii="Calibri" w:hAnsi="Calibri"/>
          <w:sz w:val="20"/>
        </w:rPr>
        <w:t>The Annex Registry assigns every verification matter a unique identifier, records the claimant, responding Party, issue, evidence category, confidentiality level, clock, disposition, corrective action, step-back if any, and earn-back status. Each Party receives the same procedural access to the record, subject to lawful redactions.</w:t>
      </w:r>
    </w:p>
    <w:p>
      <w:pPr>
        <w:pStyle w:val="OperativeClause"/>
      </w:pPr>
      <w:r>
        <w:rPr>
          <w:rFonts w:ascii="Calibri" w:hAnsi="Calibri"/>
          <w:sz w:val="20"/>
        </w:rPr>
        <w:t>Tier 1 covers clerical, formatting, isolated reporting, or de minimis performance failures that can be corrected without material market harm. Tier 2 covers material or repeated non-performance, obstruction, unjustified discriminatory administration, or verified circumvention with meaningful trade effect. Tier 3 covers deliberate falsification, systemic evasion, intentional disabling of verification, or a sustained pattern demonstrating institutional bad faith.</w:t>
      </w:r>
    </w:p>
    <w:p>
      <w:pPr>
        <w:pStyle w:val="OperativeClause"/>
      </w:pPr>
      <w:r>
        <w:rPr>
          <w:rFonts w:ascii="Calibri" w:hAnsi="Calibri"/>
          <w:sz w:val="20"/>
        </w:rPr>
        <w:t>Tier 1 produces correction and technical assistance, not benefit suspension. Tier 2 permits a proportionate pause of discretionary or incremental benefits tied to the affected module after notice, consultation, and a reasonable cure period. Tier 3 permits a larger but still targeted step-back after senior-level consultation or accelerated neutral review. Core CUSMA rights outside the adopted Annex remain unaffected unless Chapter 31 independently authorizes a remedy.</w:t>
      </w:r>
    </w:p>
    <w:p>
      <w:pPr>
        <w:pStyle w:val="OperativeClause"/>
      </w:pPr>
      <w:r>
        <w:rPr>
          <w:rFonts w:ascii="Calibri" w:hAnsi="Calibri"/>
          <w:sz w:val="20"/>
        </w:rPr>
        <w:t>Earn-back is automatic in design. Once the verified failure is cured, the responding Party enters a clean-performance period proportionate to the breach, ordinarily 10 business days for Tier 2 and 30 business days for Tier 3. At the end of that period, paused Annex benefits restore automatically unless a neutral reviewer finds a new material failure on the record.</w:t>
      </w:r>
    </w:p>
    <w:p>
      <w:r/>
    </w:p>
    <w:p>
      <w:r/>
    </w:p>
    <w:p>
      <w:bookmarkStart w:id="1012" w:name="toc_12"/>
      <w:pPr>
        <w:pStyle w:val="Heading1"/>
        <w:spacing w:before="200" w:after="120"/>
      </w:pPr>
      <w:r>
        <w:rPr>
          <w:rFonts w:ascii="Calibri" w:hAnsi="Calibri"/>
          <w:b/>
          <w:color w:val="37474F"/>
          <w:sz w:val="30"/>
        </w:rPr>
        <w:t>ANNEX 1 — DIGITAL TRADE MODERNIZATION</w:t>
      </w:r>
      <w:bookmarkEnd w:id="1012"/>
    </w:p>
    <w:p>
      <w:pPr>
        <w:pStyle w:val="OperativeClause"/>
      </w:pPr>
      <w:r>
        <w:rPr>
          <w:rFonts w:ascii="Calibri" w:hAnsi="Calibri"/>
          <w:sz w:val="20"/>
        </w:rPr>
        <w:t>Interface: Chapter 19 interface. This Annex is independently adoptable. Its obligations bind only the Parties identified in the adopting instrument and only for the schedules or modules expressly activated.</w:t>
      </w:r>
    </w:p>
    <w:p>
      <w:bookmarkStart w:id="1013" w:name="toc_13"/>
      <w:pPr>
        <w:pStyle w:val="Heading2"/>
        <w:spacing w:before="160" w:after="80"/>
      </w:pPr>
      <w:r>
        <w:rPr>
          <w:rFonts w:ascii="Calibri" w:hAnsi="Calibri"/>
          <w:b/>
          <w:color w:val="37474F"/>
          <w:sz w:val="23"/>
        </w:rPr>
        <w:t>A1.1 Objective and Scope</w:t>
      </w:r>
      <w:bookmarkEnd w:id="1013"/>
    </w:p>
    <w:p>
      <w:pPr>
        <w:pStyle w:val="OperativeClause"/>
      </w:pPr>
      <w:r>
        <w:rPr>
          <w:rFonts w:ascii="Calibri" w:hAnsi="Calibri"/>
          <w:sz w:val="20"/>
        </w:rPr>
        <w:t>This Annex creates an interoperable North American digital-trade layer for cross-border data transfers, cloud services, artificial intelligence, cybersecurity, digital identity, electronic payments, and SME digital participation. It protects legitimate privacy, cultural, consumer, safety, competition, and security regulation while requiring that trade-restrictive administration be evidence-based, non-discriminatory, and no more restrictive than reasonably necessary to achieve the stated public-policy objective.</w:t>
      </w:r>
    </w:p>
    <w:p>
      <w:bookmarkStart w:id="1014" w:name="toc_14"/>
      <w:pPr>
        <w:pStyle w:val="Heading2"/>
        <w:spacing w:before="160" w:after="80"/>
      </w:pPr>
      <w:r>
        <w:rPr>
          <w:rFonts w:ascii="Calibri" w:hAnsi="Calibri"/>
          <w:b/>
          <w:color w:val="37474F"/>
          <w:sz w:val="23"/>
        </w:rPr>
        <w:t>A1.2 Cross-Border Data Transfers</w:t>
      </w:r>
      <w:bookmarkEnd w:id="1014"/>
    </w:p>
    <w:p>
      <w:pPr>
        <w:pStyle w:val="OperativeClause"/>
      </w:pPr>
      <w:r>
        <w:rPr>
          <w:rFonts w:ascii="Calibri" w:hAnsi="Calibri"/>
          <w:sz w:val="20"/>
        </w:rPr>
        <w:t>A Party shall permit the cross-border transfer of information by electronic means for covered business activity. A restriction may be maintained for a legitimate public-policy objective when it is published or otherwise legally accessible, is not applied as arbitrary or unjustifiable discrimination, addresses a material risk identified by the competent authority, and does not impose a localization burden materially greater than necessary where a less restrictive measure provides comparable protection.</w:t>
      </w:r>
    </w:p>
    <w:p>
      <w:bookmarkStart w:id="1015" w:name="toc_15"/>
      <w:pPr>
        <w:pStyle w:val="Heading2"/>
        <w:spacing w:before="160" w:after="80"/>
      </w:pPr>
      <w:r>
        <w:rPr>
          <w:rFonts w:ascii="Calibri" w:hAnsi="Calibri"/>
          <w:b/>
          <w:color w:val="37474F"/>
          <w:sz w:val="23"/>
        </w:rPr>
        <w:t>A1.3 Computing Facilities and Cloud Reciprocity</w:t>
      </w:r>
      <w:bookmarkEnd w:id="1015"/>
    </w:p>
    <w:p>
      <w:pPr>
        <w:pStyle w:val="OperativeClause"/>
      </w:pPr>
      <w:r>
        <w:rPr>
          <w:rFonts w:ascii="Calibri" w:hAnsi="Calibri"/>
          <w:sz w:val="20"/>
        </w:rPr>
        <w:t>A Party shall not require a covered supplier to use or locate computing facilities in its territory solely as a condition of supplying a service. Regulated-sector requirements remain available where the competent authority documents a supervision, resilience, evidentiary-access, privacy, or security need and accepts functionally equivalent controls where feasible. Public cloud procurement shall use published security tiers and shall not exclude a supplier solely by nationality when the supplier satisfies the applicable tier and security screening.</w:t>
      </w:r>
    </w:p>
    <w:p>
      <w:bookmarkStart w:id="1016" w:name="toc_16"/>
      <w:pPr>
        <w:pStyle w:val="Heading2"/>
        <w:spacing w:before="160" w:after="80"/>
      </w:pPr>
      <w:r>
        <w:rPr>
          <w:rFonts w:ascii="Calibri" w:hAnsi="Calibri"/>
          <w:b/>
          <w:color w:val="37474F"/>
          <w:sz w:val="23"/>
        </w:rPr>
        <w:t>A1.4 Privacy and Data Protection Interoperability</w:t>
      </w:r>
      <w:bookmarkEnd w:id="1016"/>
    </w:p>
    <w:p>
      <w:pPr>
        <w:pStyle w:val="OperativeClause"/>
      </w:pPr>
      <w:r>
        <w:rPr>
          <w:rFonts w:ascii="Calibri" w:hAnsi="Calibri"/>
          <w:sz w:val="20"/>
        </w:rPr>
        <w:t>Each Party retains authority to establish its own privacy framework. The Parties shall create a Privacy Interoperability Track that maps lawful transfer mechanisms, accountability standards, breach-notification rules, processor obligations, redress, and cross-border enforcement cooperation. Mutual recognition is outcome-based and may be refused where a material gap remains, with written reasons and a cure route.</w:t>
      </w:r>
    </w:p>
    <w:p>
      <w:bookmarkStart w:id="1017" w:name="toc_17"/>
      <w:pPr>
        <w:pStyle w:val="Heading2"/>
        <w:spacing w:before="160" w:after="80"/>
      </w:pPr>
      <w:r>
        <w:rPr>
          <w:rFonts w:ascii="Calibri" w:hAnsi="Calibri"/>
          <w:b/>
          <w:color w:val="37474F"/>
          <w:sz w:val="23"/>
        </w:rPr>
        <w:t>A1.5 Artificial Intelligence Governance</w:t>
      </w:r>
      <w:bookmarkEnd w:id="1017"/>
    </w:p>
    <w:p>
      <w:pPr>
        <w:pStyle w:val="OperativeClause"/>
      </w:pPr>
      <w:r>
        <w:rPr>
          <w:rFonts w:ascii="Calibri" w:hAnsi="Calibri"/>
          <w:sz w:val="20"/>
        </w:rPr>
        <w:t>The Parties shall maintain a common AI regulatory cooperation catalogue covering risk classification, documentation, testing, incident reporting, human oversight, provenance where material, synthetic-content authentication where appropriate, and procurement assurance. No Party is required to adopt identical AI legislation. A provider that satisfies a recognized assurance profile may reuse that evidence across participating jurisdictions unless a competent authority identifies a jurisdiction-specific risk.</w:t>
      </w:r>
    </w:p>
    <w:p>
      <w:bookmarkStart w:id="1018" w:name="toc_18"/>
      <w:pPr>
        <w:pStyle w:val="Heading2"/>
        <w:spacing w:before="160" w:after="80"/>
      </w:pPr>
      <w:r>
        <w:rPr>
          <w:rFonts w:ascii="Calibri" w:hAnsi="Calibri"/>
          <w:b/>
          <w:color w:val="37474F"/>
          <w:sz w:val="23"/>
        </w:rPr>
        <w:t>A1.6 Cybersecurity Cooperation</w:t>
      </w:r>
      <w:bookmarkEnd w:id="1018"/>
    </w:p>
    <w:p>
      <w:pPr>
        <w:pStyle w:val="OperativeClause"/>
      </w:pPr>
      <w:r>
        <w:rPr>
          <w:rFonts w:ascii="Calibri" w:hAnsi="Calibri"/>
          <w:sz w:val="20"/>
        </w:rPr>
        <w:t>Designated cyber authorities shall maintain a 24-hour contact network for incidents materially affecting customs, ports, logistics, financial settlement, cloud infrastructure, digital identity, or other trade-critical systems. Notifications shall identify affected service, likely trade impact, known indicators of compromise that may lawfully be shared, mitigation status, and expected next update. Participation does not require disclosure of classified intelligence or privileged investigative information.</w:t>
      </w:r>
    </w:p>
    <w:p>
      <w:bookmarkStart w:id="1019" w:name="toc_19"/>
      <w:pPr>
        <w:pStyle w:val="Heading2"/>
        <w:spacing w:before="160" w:after="80"/>
      </w:pPr>
      <w:r>
        <w:rPr>
          <w:rFonts w:ascii="Calibri" w:hAnsi="Calibri"/>
          <w:b/>
          <w:color w:val="37474F"/>
          <w:sz w:val="23"/>
        </w:rPr>
        <w:t>A1.7 Source Code, Encryption, and Security Testing</w:t>
      </w:r>
      <w:bookmarkEnd w:id="1019"/>
    </w:p>
    <w:p>
      <w:pPr>
        <w:pStyle w:val="OperativeClause"/>
      </w:pPr>
      <w:r>
        <w:rPr>
          <w:rFonts w:ascii="Calibri" w:hAnsi="Calibri"/>
          <w:sz w:val="20"/>
        </w:rPr>
        <w:t>No Party shall condition ordinary market access on transfer of source code, cryptographic keys, or proprietary algorithms to a commercial competitor. A competent authority may require protected access for a specific investigation, certification, judicial process, safety review, or security examination under safeguards against unauthorized use and disclosure. The authority shall use the least intrusive evidentiary method reasonably sufficient for the purpose.</w:t>
      </w:r>
    </w:p>
    <w:p>
      <w:bookmarkStart w:id="1020" w:name="toc_20"/>
      <w:pPr>
        <w:pStyle w:val="Heading2"/>
        <w:spacing w:before="160" w:after="80"/>
      </w:pPr>
      <w:r>
        <w:rPr>
          <w:rFonts w:ascii="Calibri" w:hAnsi="Calibri"/>
          <w:b/>
          <w:color w:val="37474F"/>
          <w:sz w:val="23"/>
        </w:rPr>
        <w:t>A1.8 Digital Cultural and Public-Interest Measures</w:t>
      </w:r>
      <w:bookmarkEnd w:id="1020"/>
    </w:p>
    <w:p>
      <w:pPr>
        <w:pStyle w:val="OperativeClause"/>
      </w:pPr>
      <w:r>
        <w:rPr>
          <w:rFonts w:ascii="Calibri" w:hAnsi="Calibri"/>
          <w:sz w:val="20"/>
        </w:rPr>
        <w:t>Nothing in this Annex prevents a Party from maintaining measures that pursue cultural expression, domestic content visibility, public broadcasting, child safety, accessibility, privacy, consumer protection, or democratic information integrity. Such measures shall be administered transparently and shall not discriminate between suppliers of the Parties in a manner unrelated to the stated objective. Financial contribution schemes shall publish calculation methods, covered revenue categories, exemptions, review rights, and use-of-funds rules.</w:t>
      </w:r>
    </w:p>
    <w:p>
      <w:bookmarkStart w:id="1021" w:name="toc_21"/>
      <w:pPr>
        <w:pStyle w:val="Heading2"/>
        <w:spacing w:before="160" w:after="80"/>
      </w:pPr>
      <w:r>
        <w:rPr>
          <w:rFonts w:ascii="Calibri" w:hAnsi="Calibri"/>
          <w:b/>
          <w:color w:val="37474F"/>
          <w:sz w:val="23"/>
        </w:rPr>
        <w:t>A1.9 SME Digital Access</w:t>
      </w:r>
      <w:bookmarkEnd w:id="1021"/>
    </w:p>
    <w:p>
      <w:pPr>
        <w:pStyle w:val="OperativeClause"/>
      </w:pPr>
      <w:r>
        <w:rPr>
          <w:rFonts w:ascii="Calibri" w:hAnsi="Calibri"/>
          <w:sz w:val="20"/>
        </w:rPr>
        <w:t>Each Party shall maintain a digital portal that explains cross-border e-commerce, privacy, tax, customs, cybersecurity, electronic signature, and consumer-protection requirements in plain language. The Digital Committee shall publish reusable compliance checklists and model evidence packs for SMEs and shall identify duplicative requirements suitable for mutual recognition.</w:t>
      </w:r>
    </w:p>
    <w:p>
      <w:bookmarkStart w:id="1022" w:name="toc_22"/>
      <w:pPr>
        <w:pStyle w:val="Heading2"/>
        <w:spacing w:before="160" w:after="80"/>
      </w:pPr>
      <w:r>
        <w:rPr>
          <w:rFonts w:ascii="Calibri" w:hAnsi="Calibri"/>
          <w:b/>
          <w:color w:val="37474F"/>
          <w:sz w:val="23"/>
        </w:rPr>
        <w:t>A1.10 Governance and Review</w:t>
      </w:r>
      <w:bookmarkEnd w:id="1022"/>
    </w:p>
    <w:p>
      <w:pPr>
        <w:pStyle w:val="OperativeClause"/>
      </w:pPr>
      <w:r>
        <w:rPr>
          <w:rFonts w:ascii="Calibri" w:hAnsi="Calibri"/>
          <w:sz w:val="20"/>
        </w:rPr>
        <w:t>A Joint Digital Trade Committee shall meet at least twice each year and may establish technical subgroups. It shall publish an annual implementation report, a list of recognized assurance mechanisms, unresolved interoperability issues, and a forward work plan. A full Annex review occurs every three years.</w:t>
      </w:r>
    </w:p>
    <w:p>
      <w:bookmarkStart w:id="1023" w:name="toc_23"/>
      <w:pPr>
        <w:pStyle w:val="Heading2"/>
        <w:spacing w:before="160" w:after="80"/>
      </w:pPr>
      <w:r>
        <w:rPr>
          <w:rFonts w:ascii="Calibri" w:hAnsi="Calibri"/>
          <w:b/>
          <w:color w:val="37474F"/>
          <w:sz w:val="23"/>
        </w:rPr>
        <w:t>IMPLEMENTATION SCHEDULE 1-A — FIRST 180 DAYS</w:t>
      </w:r>
      <w:bookmarkEnd w:id="1023"/>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024" w:name="toc_24"/>
      <w:pPr>
        <w:pStyle w:val="Heading2"/>
        <w:spacing w:before="160" w:after="80"/>
      </w:pPr>
      <w:r>
        <w:rPr>
          <w:rFonts w:ascii="Calibri" w:hAnsi="Calibri"/>
          <w:b/>
          <w:color w:val="37474F"/>
          <w:sz w:val="23"/>
        </w:rPr>
        <w:t>VERIFICATION MATRIX 1-B — COTHROM ADAPTATION</w:t>
      </w:r>
      <w:bookmarkEnd w:id="1024"/>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025" w:name="toc_25"/>
      <w:pPr>
        <w:pStyle w:val="Heading2"/>
        <w:spacing w:before="160" w:after="80"/>
      </w:pPr>
      <w:r>
        <w:rPr>
          <w:rFonts w:ascii="Calibri" w:hAnsi="Calibri"/>
          <w:b/>
          <w:color w:val="37474F"/>
          <w:sz w:val="23"/>
        </w:rPr>
        <w:t>MODEL NOTICE 1-C — ANNEX ISSUE REGISTRATION</w:t>
      </w:r>
      <w:bookmarkEnd w:id="1025"/>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026" w:name="toc_26"/>
      <w:pPr>
        <w:pStyle w:val="Heading2"/>
        <w:spacing w:before="160" w:after="80"/>
      </w:pPr>
      <w:r>
        <w:rPr>
          <w:rFonts w:ascii="Calibri" w:hAnsi="Calibri"/>
          <w:b/>
          <w:color w:val="37474F"/>
          <w:sz w:val="23"/>
        </w:rPr>
        <w:t>DATA AND RECORDS SCHEDULE 1-D</w:t>
      </w:r>
      <w:bookmarkEnd w:id="1026"/>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027" w:name="toc_27"/>
      <w:pPr>
        <w:pStyle w:val="Heading2"/>
        <w:spacing w:before="160" w:after="80"/>
      </w:pPr>
      <w:r>
        <w:rPr>
          <w:rFonts w:ascii="Calibri" w:hAnsi="Calibri"/>
          <w:b/>
          <w:color w:val="37474F"/>
          <w:sz w:val="23"/>
        </w:rPr>
        <w:t>STAKEHOLDER AND SME ACCESS SCHEDULE 1-E</w:t>
      </w:r>
      <w:bookmarkEnd w:id="1027"/>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028" w:name="toc_28"/>
      <w:pPr>
        <w:pStyle w:val="Heading2"/>
        <w:spacing w:before="160" w:after="80"/>
      </w:pPr>
      <w:r>
        <w:rPr>
          <w:rFonts w:ascii="Calibri" w:hAnsi="Calibri"/>
          <w:b/>
          <w:color w:val="37474F"/>
          <w:sz w:val="23"/>
        </w:rPr>
        <w:t>FAILURE-MODE PLAYBOOK 1-F</w:t>
      </w:r>
      <w:bookmarkEnd w:id="1028"/>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029" w:name="toc_29"/>
      <w:pPr>
        <w:pStyle w:val="Heading1"/>
        <w:spacing w:before="200" w:after="120"/>
      </w:pPr>
      <w:r>
        <w:rPr>
          <w:rFonts w:ascii="Calibri" w:hAnsi="Calibri"/>
          <w:b/>
          <w:color w:val="37474F"/>
          <w:sz w:val="30"/>
        </w:rPr>
        <w:t>ANNEX 2 — CUSTOMS, ORIGIN ENFORCEMENT, AND TRADE FACILITATION</w:t>
      </w:r>
      <w:bookmarkEnd w:id="1029"/>
    </w:p>
    <w:p>
      <w:pPr>
        <w:pStyle w:val="OperativeClause"/>
      </w:pPr>
      <w:r>
        <w:rPr>
          <w:rFonts w:ascii="Calibri" w:hAnsi="Calibri"/>
          <w:sz w:val="20"/>
        </w:rPr>
        <w:t>Interface: Customs and origin-procedure interface. This Annex is independently adoptable. Its obligations bind only the Parties identified in the adopting instrument and only for the schedules or modules expressly activated.</w:t>
      </w:r>
    </w:p>
    <w:p>
      <w:bookmarkStart w:id="1030" w:name="toc_30"/>
      <w:pPr>
        <w:pStyle w:val="Heading2"/>
        <w:spacing w:before="160" w:after="80"/>
      </w:pPr>
      <w:r>
        <w:rPr>
          <w:rFonts w:ascii="Calibri" w:hAnsi="Calibri"/>
          <w:b/>
          <w:color w:val="37474F"/>
          <w:sz w:val="23"/>
        </w:rPr>
        <w:t>A2.1 Objective</w:t>
      </w:r>
      <w:bookmarkEnd w:id="1030"/>
    </w:p>
    <w:p>
      <w:pPr>
        <w:pStyle w:val="OperativeClause"/>
      </w:pPr>
      <w:r>
        <w:rPr>
          <w:rFonts w:ascii="Calibri" w:hAnsi="Calibri"/>
          <w:sz w:val="20"/>
        </w:rPr>
        <w:t>This Annex reduces border friction while hardening the border against transshipment, false origin, forced-labour goods, undervaluation, and organized customs fraud. Facilitation and enforcement are treated as complementary: verified low-risk trade receives lower friction, while higher-risk lanes receive better targeted scrutiny.</w:t>
      </w:r>
    </w:p>
    <w:p>
      <w:bookmarkStart w:id="1031" w:name="toc_31"/>
      <w:pPr>
        <w:pStyle w:val="Heading2"/>
        <w:spacing w:before="160" w:after="80"/>
      </w:pPr>
      <w:r>
        <w:rPr>
          <w:rFonts w:ascii="Calibri" w:hAnsi="Calibri"/>
          <w:b/>
          <w:color w:val="37474F"/>
          <w:sz w:val="23"/>
        </w:rPr>
        <w:t>A2.2 Single-Window Interoperability</w:t>
      </w:r>
      <w:bookmarkEnd w:id="1031"/>
    </w:p>
    <w:p>
      <w:pPr>
        <w:pStyle w:val="OperativeClause"/>
      </w:pPr>
      <w:r>
        <w:rPr>
          <w:rFonts w:ascii="Calibri" w:hAnsi="Calibri"/>
          <w:sz w:val="20"/>
        </w:rPr>
        <w:t>CBSA, CBP, and ANAM, for participating Parties, shall establish interoperable data dictionaries for advance commercial information, admissibility decisions, origin documents, trusted-trader status, release messages, and post-entry corrections. Interoperability may use APIs, secure message exchange, or other standards that avoid requiring a trader to re-enter materially identical data solely because it crosses a different Party's border.</w:t>
      </w:r>
    </w:p>
    <w:p>
      <w:bookmarkStart w:id="1032" w:name="toc_32"/>
      <w:pPr>
        <w:pStyle w:val="Heading2"/>
        <w:spacing w:before="160" w:after="80"/>
      </w:pPr>
      <w:r>
        <w:rPr>
          <w:rFonts w:ascii="Calibri" w:hAnsi="Calibri"/>
          <w:b/>
          <w:color w:val="37474F"/>
          <w:sz w:val="23"/>
        </w:rPr>
        <w:t>A2.3 Trusted Trader Mutual Recognition</w:t>
      </w:r>
      <w:bookmarkEnd w:id="1032"/>
    </w:p>
    <w:p>
      <w:pPr>
        <w:pStyle w:val="OperativeClause"/>
      </w:pPr>
      <w:r>
        <w:rPr>
          <w:rFonts w:ascii="Calibri" w:hAnsi="Calibri"/>
          <w:sz w:val="20"/>
        </w:rPr>
        <w:t>Participating customs administrations shall maintain mutual-recognition criteria for qualifying trusted-trader programs. Recognition shall be based on security history, customs compliance, internal controls, supply-chain visibility, and audit cooperation. A recognized participant receives published facilitation benefits, which may include reduced documentary requests, priority processing, coordinated inspections, and expedited post-entry correction.</w:t>
      </w:r>
    </w:p>
    <w:p>
      <w:bookmarkStart w:id="1033" w:name="toc_33"/>
      <w:pPr>
        <w:pStyle w:val="Heading2"/>
        <w:spacing w:before="160" w:after="80"/>
      </w:pPr>
      <w:r>
        <w:rPr>
          <w:rFonts w:ascii="Calibri" w:hAnsi="Calibri"/>
          <w:b/>
          <w:color w:val="37474F"/>
          <w:sz w:val="23"/>
        </w:rPr>
        <w:t>A2.4 Low-Value Shipments</w:t>
      </w:r>
      <w:bookmarkEnd w:id="1033"/>
    </w:p>
    <w:p>
      <w:pPr>
        <w:pStyle w:val="OperativeClause"/>
      </w:pPr>
      <w:r>
        <w:rPr>
          <w:rFonts w:ascii="Calibri" w:hAnsi="Calibri"/>
          <w:sz w:val="20"/>
        </w:rPr>
        <w:t>The Parties shall coordinate simplified data sets, electronic pre-arrival filing, risk screening, and returns processing for low-value shipments. Each Party retains its tax and de minimis thresholds. A Party changing a threshold or simplified-entry rule shall provide advance notice where practicable and publish transition instructions for carriers and SMEs.</w:t>
      </w:r>
    </w:p>
    <w:p>
      <w:bookmarkStart w:id="1034" w:name="toc_34"/>
      <w:pPr>
        <w:pStyle w:val="Heading2"/>
        <w:spacing w:before="160" w:after="80"/>
      </w:pPr>
      <w:r>
        <w:rPr>
          <w:rFonts w:ascii="Calibri" w:hAnsi="Calibri"/>
          <w:b/>
          <w:color w:val="37474F"/>
          <w:sz w:val="23"/>
        </w:rPr>
        <w:t>A2.5 Anti-Transshipment and Economic-Substance Test</w:t>
      </w:r>
      <w:bookmarkEnd w:id="1034"/>
    </w:p>
    <w:p>
      <w:pPr>
        <w:pStyle w:val="OperativeClause"/>
      </w:pPr>
      <w:r>
        <w:rPr>
          <w:rFonts w:ascii="Calibri" w:hAnsi="Calibri"/>
          <w:sz w:val="20"/>
        </w:rPr>
        <w:t>A shipment shall not lose originating treatment merely because an enterprise has foreign ownership or uses lawful non-party inputs. A suspected circumvention case shall examine physical transformation, economic substance, traceable input origin, production capacity, commercial records, and any material inconsistency between claimed production and observable operations. Adverse treatment attaches first to the implicated shipment, exporter, facility, or product lane, and expands only on evidence of a wider pattern.</w:t>
      </w:r>
    </w:p>
    <w:p>
      <w:bookmarkStart w:id="1035" w:name="toc_35"/>
      <w:pPr>
        <w:pStyle w:val="Heading2"/>
        <w:spacing w:before="160" w:after="80"/>
      </w:pPr>
      <w:r>
        <w:rPr>
          <w:rFonts w:ascii="Calibri" w:hAnsi="Calibri"/>
          <w:b/>
          <w:color w:val="37474F"/>
          <w:sz w:val="23"/>
        </w:rPr>
        <w:t>A2.6 Origin Verification Requests</w:t>
      </w:r>
      <w:bookmarkEnd w:id="1035"/>
    </w:p>
    <w:p>
      <w:pPr>
        <w:pStyle w:val="OperativeClause"/>
      </w:pPr>
      <w:r>
        <w:rPr>
          <w:rFonts w:ascii="Calibri" w:hAnsi="Calibri"/>
          <w:sz w:val="20"/>
        </w:rPr>
        <w:t>A verification request shall identify the good, period, legal issue, documents sought, relevance of each category, response deadline, and consequences of non-response. Customs authorities shall avoid demanding supplier information that is not reasonably available to the exporter when equivalent evidence can establish the fact. A good-faith correction before a final adverse determination shall be considered in the remedy.</w:t>
      </w:r>
    </w:p>
    <w:p>
      <w:bookmarkStart w:id="1036" w:name="toc_36"/>
      <w:pPr>
        <w:pStyle w:val="Heading2"/>
        <w:spacing w:before="160" w:after="80"/>
      </w:pPr>
      <w:r>
        <w:rPr>
          <w:rFonts w:ascii="Calibri" w:hAnsi="Calibri"/>
          <w:b/>
          <w:color w:val="37474F"/>
          <w:sz w:val="23"/>
        </w:rPr>
        <w:t>A2.7 Forced-Labour Enforcement Cooperation</w:t>
      </w:r>
      <w:bookmarkEnd w:id="1036"/>
    </w:p>
    <w:p>
      <w:pPr>
        <w:pStyle w:val="OperativeClause"/>
      </w:pPr>
      <w:r>
        <w:rPr>
          <w:rFonts w:ascii="Calibri" w:hAnsi="Calibri"/>
          <w:sz w:val="20"/>
        </w:rPr>
        <w:t>The Parties shall distinguish allegation, intelligence lead, risk indicator, corroborated evidence, and final legal finding. They shall exchange admissible supply-chain information through designated channels and provide importers a meaningful opportunity to present rebuttal or remediation evidence where domestic law permits. Enforcement shall target goods and supply chains supported by evidence rather than nationality alone.</w:t>
      </w:r>
    </w:p>
    <w:p>
      <w:bookmarkStart w:id="1037" w:name="toc_37"/>
      <w:pPr>
        <w:pStyle w:val="Heading2"/>
        <w:spacing w:before="160" w:after="80"/>
      </w:pPr>
      <w:r>
        <w:rPr>
          <w:rFonts w:ascii="Calibri" w:hAnsi="Calibri"/>
          <w:b/>
          <w:color w:val="37474F"/>
          <w:sz w:val="23"/>
        </w:rPr>
        <w:t>A2.8 Joint Inspection and Port Consistency</w:t>
      </w:r>
      <w:bookmarkEnd w:id="1037"/>
    </w:p>
    <w:p>
      <w:pPr>
        <w:pStyle w:val="OperativeClause"/>
      </w:pPr>
      <w:r>
        <w:rPr>
          <w:rFonts w:ascii="Calibri" w:hAnsi="Calibri"/>
          <w:sz w:val="20"/>
        </w:rPr>
        <w:t>Where legally permitted, customs administrations may conduct coordinated or sequential inspections and share non-privileged results. Each administration shall maintain a port-consistency program that compares classification, valuation, origin, and admissibility outcomes across ports and corrects material unexplained divergence.</w:t>
      </w:r>
    </w:p>
    <w:p>
      <w:bookmarkStart w:id="1038" w:name="toc_38"/>
      <w:pPr>
        <w:pStyle w:val="Heading2"/>
        <w:spacing w:before="160" w:after="80"/>
      </w:pPr>
      <w:r>
        <w:rPr>
          <w:rFonts w:ascii="Calibri" w:hAnsi="Calibri"/>
          <w:b/>
          <w:color w:val="37474F"/>
          <w:sz w:val="23"/>
        </w:rPr>
        <w:t>A2.9 Advance Rulings and Model Decisions</w:t>
      </w:r>
      <w:bookmarkEnd w:id="1038"/>
    </w:p>
    <w:p>
      <w:pPr>
        <w:pStyle w:val="OperativeClause"/>
      </w:pPr>
      <w:r>
        <w:rPr>
          <w:rFonts w:ascii="Calibri" w:hAnsi="Calibri"/>
          <w:sz w:val="20"/>
        </w:rPr>
        <w:t>Advance rulings shall state the facts relied upon, legal basis, effective period, and conditions for modification or revocation. The Customs Working Group shall publish anonymized model decisions on recurring issues to reduce inconsistent treatment. Reliance interests shall be considered when a ruling is changed prospectively.</w:t>
      </w:r>
    </w:p>
    <w:p>
      <w:bookmarkStart w:id="1039" w:name="toc_39"/>
      <w:pPr>
        <w:pStyle w:val="Heading2"/>
        <w:spacing w:before="160" w:after="80"/>
      </w:pPr>
      <w:r>
        <w:rPr>
          <w:rFonts w:ascii="Calibri" w:hAnsi="Calibri"/>
          <w:b/>
          <w:color w:val="37474F"/>
          <w:sz w:val="23"/>
        </w:rPr>
        <w:t>A2.10 Review</w:t>
      </w:r>
      <w:bookmarkEnd w:id="1039"/>
    </w:p>
    <w:p>
      <w:pPr>
        <w:pStyle w:val="OperativeClause"/>
      </w:pPr>
      <w:r>
        <w:rPr>
          <w:rFonts w:ascii="Calibri" w:hAnsi="Calibri"/>
          <w:sz w:val="20"/>
        </w:rPr>
        <w:t>The Customs Working Group meets quarterly during the first two years and at least twice yearly thereafter. Performance metrics include release time, inspection duplication, verification duration, correction rates, trusted-trader utilization, false-positive rates, and confirmed circumvention cases.</w:t>
      </w:r>
    </w:p>
    <w:p>
      <w:bookmarkStart w:id="1040" w:name="toc_40"/>
      <w:pPr>
        <w:pStyle w:val="Heading2"/>
        <w:spacing w:before="160" w:after="80"/>
      </w:pPr>
      <w:r>
        <w:rPr>
          <w:rFonts w:ascii="Calibri" w:hAnsi="Calibri"/>
          <w:b/>
          <w:color w:val="37474F"/>
          <w:sz w:val="23"/>
        </w:rPr>
        <w:t>IMPLEMENTATION SCHEDULE 2-A — FIRST 180 DAYS</w:t>
      </w:r>
      <w:bookmarkEnd w:id="1040"/>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041" w:name="toc_41"/>
      <w:pPr>
        <w:pStyle w:val="Heading2"/>
        <w:spacing w:before="160" w:after="80"/>
      </w:pPr>
      <w:r>
        <w:rPr>
          <w:rFonts w:ascii="Calibri" w:hAnsi="Calibri"/>
          <w:b/>
          <w:color w:val="37474F"/>
          <w:sz w:val="23"/>
        </w:rPr>
        <w:t>VERIFICATION MATRIX 2-B — COTHROM ADAPTATION</w:t>
      </w:r>
      <w:bookmarkEnd w:id="1041"/>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042" w:name="toc_42"/>
      <w:pPr>
        <w:pStyle w:val="Heading2"/>
        <w:spacing w:before="160" w:after="80"/>
      </w:pPr>
      <w:r>
        <w:rPr>
          <w:rFonts w:ascii="Calibri" w:hAnsi="Calibri"/>
          <w:b/>
          <w:color w:val="37474F"/>
          <w:sz w:val="23"/>
        </w:rPr>
        <w:t>MODEL NOTICE 2-C — ANNEX ISSUE REGISTRATION</w:t>
      </w:r>
      <w:bookmarkEnd w:id="1042"/>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043" w:name="toc_43"/>
      <w:pPr>
        <w:pStyle w:val="Heading2"/>
        <w:spacing w:before="160" w:after="80"/>
      </w:pPr>
      <w:r>
        <w:rPr>
          <w:rFonts w:ascii="Calibri" w:hAnsi="Calibri"/>
          <w:b/>
          <w:color w:val="37474F"/>
          <w:sz w:val="23"/>
        </w:rPr>
        <w:t>DATA AND RECORDS SCHEDULE 2-D</w:t>
      </w:r>
      <w:bookmarkEnd w:id="1043"/>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044" w:name="toc_44"/>
      <w:pPr>
        <w:pStyle w:val="Heading2"/>
        <w:spacing w:before="160" w:after="80"/>
      </w:pPr>
      <w:r>
        <w:rPr>
          <w:rFonts w:ascii="Calibri" w:hAnsi="Calibri"/>
          <w:b/>
          <w:color w:val="37474F"/>
          <w:sz w:val="23"/>
        </w:rPr>
        <w:t>STAKEHOLDER AND SME ACCESS SCHEDULE 2-E</w:t>
      </w:r>
      <w:bookmarkEnd w:id="1044"/>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045" w:name="toc_45"/>
      <w:pPr>
        <w:pStyle w:val="Heading2"/>
        <w:spacing w:before="160" w:after="80"/>
      </w:pPr>
      <w:r>
        <w:rPr>
          <w:rFonts w:ascii="Calibri" w:hAnsi="Calibri"/>
          <w:b/>
          <w:color w:val="37474F"/>
          <w:sz w:val="23"/>
        </w:rPr>
        <w:t>FAILURE-MODE PLAYBOOK 2-F</w:t>
      </w:r>
      <w:bookmarkEnd w:id="1045"/>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046" w:name="toc_46"/>
      <w:pPr>
        <w:pStyle w:val="Heading1"/>
        <w:spacing w:before="200" w:after="120"/>
      </w:pPr>
      <w:r>
        <w:rPr>
          <w:rFonts w:ascii="Calibri" w:hAnsi="Calibri"/>
          <w:b/>
          <w:color w:val="37474F"/>
          <w:sz w:val="30"/>
        </w:rPr>
        <w:t>ANNEX 3 — AUTOMOTIVE ORIGIN TECHNICAL CLARIFICATION AND EV SUPPLY CHAINS</w:t>
      </w:r>
      <w:bookmarkEnd w:id="1046"/>
    </w:p>
    <w:p>
      <w:pPr>
        <w:pStyle w:val="OperativeClause"/>
      </w:pPr>
      <w:r>
        <w:rPr>
          <w:rFonts w:ascii="Calibri" w:hAnsi="Calibri"/>
          <w:sz w:val="20"/>
        </w:rPr>
        <w:t>Interface: Rules of origin and automotive technical interface. This Annex is independently adoptable. Its obligations bind only the Parties identified in the adopting instrument and only for the schedules or modules expressly activated.</w:t>
      </w:r>
    </w:p>
    <w:p>
      <w:bookmarkStart w:id="1047" w:name="toc_47"/>
      <w:pPr>
        <w:pStyle w:val="Heading2"/>
        <w:spacing w:before="160" w:after="80"/>
      </w:pPr>
      <w:r>
        <w:rPr>
          <w:rFonts w:ascii="Calibri" w:hAnsi="Calibri"/>
          <w:b/>
          <w:color w:val="37474F"/>
          <w:sz w:val="23"/>
        </w:rPr>
        <w:t>A3.1 Settlement Objective</w:t>
      </w:r>
      <w:bookmarkEnd w:id="1047"/>
    </w:p>
    <w:p>
      <w:pPr>
        <w:pStyle w:val="OperativeClause"/>
      </w:pPr>
      <w:r>
        <w:rPr>
          <w:rFonts w:ascii="Calibri" w:hAnsi="Calibri"/>
          <w:sz w:val="20"/>
        </w:rPr>
        <w:t>This Annex resolves administration of the core-parts calculation without reopening the legal result of the prior state-to-state panel. A core part that satisfies the applicable originating requirement is treated as originating for the vehicle-level calculation, while the documentation, audit, tracing, and anti-circumvention rules used to establish that qualifying status are strengthened and standardized.</w:t>
      </w:r>
    </w:p>
    <w:p>
      <w:bookmarkStart w:id="1048" w:name="toc_48"/>
      <w:pPr>
        <w:pStyle w:val="Heading2"/>
        <w:spacing w:before="160" w:after="80"/>
      </w:pPr>
      <w:r>
        <w:rPr>
          <w:rFonts w:ascii="Calibri" w:hAnsi="Calibri"/>
          <w:b/>
          <w:color w:val="37474F"/>
          <w:sz w:val="23"/>
        </w:rPr>
        <w:t>A3.2 Roll-Up Clarification</w:t>
      </w:r>
      <w:bookmarkEnd w:id="1048"/>
    </w:p>
    <w:p>
      <w:pPr>
        <w:pStyle w:val="OperativeClause"/>
      </w:pPr>
      <w:r>
        <w:rPr>
          <w:rFonts w:ascii="Calibri" w:hAnsi="Calibri"/>
          <w:sz w:val="20"/>
        </w:rPr>
        <w:t>Once a listed core part is finally determined to be originating for the relevant model year or accounting period, its full transaction value or adjusted value, as applicable under the adopted calculation method, is treated as originating value when incorporated into the vehicle-level regional value calculation. Customs authorities shall not require the producer to re-penalize non-originating inputs already accounted for in the part-level origin test unless fraud, material misstatement, or a legally distinct calculation rule is established.</w:t>
      </w:r>
    </w:p>
    <w:p>
      <w:bookmarkStart w:id="1049" w:name="toc_49"/>
      <w:pPr>
        <w:pStyle w:val="Heading2"/>
        <w:spacing w:before="160" w:after="80"/>
      </w:pPr>
      <w:r>
        <w:rPr>
          <w:rFonts w:ascii="Calibri" w:hAnsi="Calibri"/>
          <w:b/>
          <w:color w:val="37474F"/>
          <w:sz w:val="23"/>
        </w:rPr>
        <w:t>A3.3 Covered Core and Advanced Components</w:t>
      </w:r>
      <w:bookmarkEnd w:id="1049"/>
    </w:p>
    <w:p>
      <w:pPr>
        <w:pStyle w:val="OperativeClause"/>
      </w:pPr>
      <w:r>
        <w:rPr>
          <w:rFonts w:ascii="Calibri" w:hAnsi="Calibri"/>
          <w:sz w:val="20"/>
        </w:rPr>
        <w:t>The technical schedule covers engines, transmissions, bodies and chassis, axles, suspension systems, steering systems, advanced traction batteries, battery cells and modules when separately tested, electric drive units, inverters, converters, onboard chargers, and other components later added by unanimous technical decision. Addition of a component applies prospectively unless the producer elects earlier application.</w:t>
      </w:r>
    </w:p>
    <w:p>
      <w:bookmarkStart w:id="1050" w:name="toc_50"/>
      <w:pPr>
        <w:pStyle w:val="Heading2"/>
        <w:spacing w:before="160" w:after="80"/>
      </w:pPr>
      <w:r>
        <w:rPr>
          <w:rFonts w:ascii="Calibri" w:hAnsi="Calibri"/>
          <w:b/>
          <w:color w:val="37474F"/>
          <w:sz w:val="23"/>
        </w:rPr>
        <w:t>A3.4 Standard Calculation File</w:t>
      </w:r>
      <w:bookmarkEnd w:id="1050"/>
    </w:p>
    <w:p>
      <w:pPr>
        <w:pStyle w:val="OperativeClause"/>
      </w:pPr>
      <w:r>
        <w:rPr>
          <w:rFonts w:ascii="Calibri" w:hAnsi="Calibri"/>
          <w:sz w:val="20"/>
        </w:rPr>
        <w:t>A producer may use a standardized model-year calculation file containing bill-of-material identifiers, supplier declarations, originating status, net cost or transaction-value inputs, averaging period, adjustments, reconciliation entries, and certification history. A Party shall accept an equivalent enterprise system export when it contains the same required fields and preserves auditability.</w:t>
      </w:r>
    </w:p>
    <w:p>
      <w:bookmarkStart w:id="1051" w:name="toc_51"/>
      <w:pPr>
        <w:pStyle w:val="Heading2"/>
        <w:spacing w:before="160" w:after="80"/>
      </w:pPr>
      <w:r>
        <w:rPr>
          <w:rFonts w:ascii="Calibri" w:hAnsi="Calibri"/>
          <w:b/>
          <w:color w:val="37474F"/>
          <w:sz w:val="23"/>
        </w:rPr>
        <w:t>A3.5 Supplier Evidence and Confidentiality</w:t>
      </w:r>
      <w:bookmarkEnd w:id="1051"/>
    </w:p>
    <w:p>
      <w:pPr>
        <w:pStyle w:val="OperativeClause"/>
      </w:pPr>
      <w:r>
        <w:rPr>
          <w:rFonts w:ascii="Calibri" w:hAnsi="Calibri"/>
          <w:sz w:val="20"/>
        </w:rPr>
        <w:t>Tier-one suppliers may transmit sensitive cost or sourcing evidence directly to the verifying customs authority or a mutually recognized secure data trustee rather than through the vehicle producer. The producer receives a pass, fail, pending, or exception status sufficient to complete its calculation without receiving protected supplier data.</w:t>
      </w:r>
    </w:p>
    <w:p>
      <w:bookmarkStart w:id="1052" w:name="toc_52"/>
      <w:pPr>
        <w:pStyle w:val="Heading2"/>
        <w:spacing w:before="160" w:after="80"/>
      </w:pPr>
      <w:r>
        <w:rPr>
          <w:rFonts w:ascii="Calibri" w:hAnsi="Calibri"/>
          <w:b/>
          <w:color w:val="37474F"/>
          <w:sz w:val="23"/>
        </w:rPr>
        <w:t>A3.6 Battery and Critical-Mineral Traceability</w:t>
      </w:r>
      <w:bookmarkEnd w:id="1052"/>
    </w:p>
    <w:p>
      <w:pPr>
        <w:pStyle w:val="OperativeClause"/>
      </w:pPr>
      <w:r>
        <w:rPr>
          <w:rFonts w:ascii="Calibri" w:hAnsi="Calibri"/>
          <w:sz w:val="20"/>
        </w:rPr>
        <w:t>For advanced batteries, the producer shall maintain traceability sufficient to identify cell or module manufacturing location, cathode and anode active-material processing location where commercially available, and the origin status of designated critical-mineral inputs under the applicable rule. Mass-balance methods may be used where physical segregation is impracticable and the method is independently auditable.</w:t>
      </w:r>
    </w:p>
    <w:p>
      <w:bookmarkStart w:id="1053" w:name="toc_53"/>
      <w:pPr>
        <w:pStyle w:val="Heading2"/>
        <w:spacing w:before="160" w:after="80"/>
      </w:pPr>
      <w:r>
        <w:rPr>
          <w:rFonts w:ascii="Calibri" w:hAnsi="Calibri"/>
          <w:b/>
          <w:color w:val="37474F"/>
          <w:sz w:val="23"/>
        </w:rPr>
        <w:t>A3.7 Non-Party Free-Riding Safeguard</w:t>
      </w:r>
      <w:bookmarkEnd w:id="1053"/>
    </w:p>
    <w:p>
      <w:pPr>
        <w:pStyle w:val="OperativeClause"/>
      </w:pPr>
      <w:r>
        <w:rPr>
          <w:rFonts w:ascii="Calibri" w:hAnsi="Calibri"/>
          <w:sz w:val="20"/>
        </w:rPr>
        <w:t>Foreign ownership, licensing, technology, or capital does not by itself defeat North American origin. The verification question is whether qualifying production actually occurs in a Party, whether the transformation and value creation required by the rule are real, and whether records accurately trace disqualifying non-party content. Shell assembly, false invoicing, or artificial routing may support an adverse finding.</w:t>
      </w:r>
    </w:p>
    <w:p>
      <w:bookmarkStart w:id="1054" w:name="toc_54"/>
      <w:pPr>
        <w:pStyle w:val="Heading2"/>
        <w:spacing w:before="160" w:after="80"/>
      </w:pPr>
      <w:r>
        <w:rPr>
          <w:rFonts w:ascii="Calibri" w:hAnsi="Calibri"/>
          <w:b/>
          <w:color w:val="37474F"/>
          <w:sz w:val="23"/>
        </w:rPr>
        <w:t>A3.8 Model-Year Determinations and Safe Harbor</w:t>
      </w:r>
      <w:bookmarkEnd w:id="1054"/>
    </w:p>
    <w:p>
      <w:pPr>
        <w:pStyle w:val="OperativeClause"/>
      </w:pPr>
      <w:r>
        <w:rPr>
          <w:rFonts w:ascii="Calibri" w:hAnsi="Calibri"/>
          <w:sz w:val="20"/>
        </w:rPr>
        <w:t>A producer may request a model-year determination before production launch. When the producer discloses the required facts accurately and follows the approved method, the determination creates a reliance safe harbor for that model year unless a material fact changes or fraud is discovered. Corrections apply prospectively where the error was reasonable and promptly cured.</w:t>
      </w:r>
    </w:p>
    <w:p>
      <w:bookmarkStart w:id="1055" w:name="toc_55"/>
      <w:pPr>
        <w:pStyle w:val="Heading2"/>
        <w:spacing w:before="160" w:after="80"/>
      </w:pPr>
      <w:r>
        <w:rPr>
          <w:rFonts w:ascii="Calibri" w:hAnsi="Calibri"/>
          <w:b/>
          <w:color w:val="37474F"/>
          <w:sz w:val="23"/>
        </w:rPr>
        <w:t>A3.9 Audit Protocol</w:t>
      </w:r>
      <w:bookmarkEnd w:id="1055"/>
    </w:p>
    <w:p>
      <w:pPr>
        <w:pStyle w:val="OperativeClause"/>
      </w:pPr>
      <w:r>
        <w:rPr>
          <w:rFonts w:ascii="Calibri" w:hAnsi="Calibri"/>
          <w:sz w:val="20"/>
        </w:rPr>
        <w:t>An audit begins with a written issue statement and a defined sample. The verifier expands the sample only when the initial evidence shows a material anomaly. The producer receives a preliminary finding, at least 20 business days to respond unless urgent fraud concerns justify a shorter period, and a reasoned final determination identifying calculation changes and affected entries.</w:t>
      </w:r>
    </w:p>
    <w:p>
      <w:bookmarkStart w:id="1056" w:name="toc_56"/>
      <w:pPr>
        <w:pStyle w:val="Heading2"/>
        <w:spacing w:before="160" w:after="80"/>
      </w:pPr>
      <w:r>
        <w:rPr>
          <w:rFonts w:ascii="Calibri" w:hAnsi="Calibri"/>
          <w:b/>
          <w:color w:val="37474F"/>
          <w:sz w:val="23"/>
        </w:rPr>
        <w:t>A3.10 Three-Year Technical Review</w:t>
      </w:r>
      <w:bookmarkEnd w:id="1056"/>
    </w:p>
    <w:p>
      <w:pPr>
        <w:pStyle w:val="OperativeClause"/>
      </w:pPr>
      <w:r>
        <w:rPr>
          <w:rFonts w:ascii="Calibri" w:hAnsi="Calibri"/>
          <w:sz w:val="20"/>
        </w:rPr>
        <w:t>The Automotive Technical Committee shall review the schedule every three years, with interim annual data reviews. It shall assess EV technology change, battery chemistry, semiconductor content, circular materials, compliance burden, sourcing concentration, and whether the rules continue to reward substantive North American production.</w:t>
      </w:r>
    </w:p>
    <w:p>
      <w:bookmarkStart w:id="1057" w:name="toc_57"/>
      <w:pPr>
        <w:pStyle w:val="Heading2"/>
        <w:spacing w:before="160" w:after="80"/>
      </w:pPr>
      <w:r>
        <w:rPr>
          <w:rFonts w:ascii="Calibri" w:hAnsi="Calibri"/>
          <w:b/>
          <w:color w:val="37474F"/>
          <w:sz w:val="23"/>
        </w:rPr>
        <w:t>IMPLEMENTATION SCHEDULE 3-A — FIRST 180 DAYS</w:t>
      </w:r>
      <w:bookmarkEnd w:id="1057"/>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058" w:name="toc_58"/>
      <w:pPr>
        <w:pStyle w:val="Heading2"/>
        <w:spacing w:before="160" w:after="80"/>
      </w:pPr>
      <w:r>
        <w:rPr>
          <w:rFonts w:ascii="Calibri" w:hAnsi="Calibri"/>
          <w:b/>
          <w:color w:val="37474F"/>
          <w:sz w:val="23"/>
        </w:rPr>
        <w:t>VERIFICATION MATRIX 3-B — COTHROM ADAPTATION</w:t>
      </w:r>
      <w:bookmarkEnd w:id="1058"/>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059" w:name="toc_59"/>
      <w:pPr>
        <w:pStyle w:val="Heading2"/>
        <w:spacing w:before="160" w:after="80"/>
      </w:pPr>
      <w:r>
        <w:rPr>
          <w:rFonts w:ascii="Calibri" w:hAnsi="Calibri"/>
          <w:b/>
          <w:color w:val="37474F"/>
          <w:sz w:val="23"/>
        </w:rPr>
        <w:t>MODEL NOTICE 3-C — ANNEX ISSUE REGISTRATION</w:t>
      </w:r>
      <w:bookmarkEnd w:id="1059"/>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060" w:name="toc_60"/>
      <w:pPr>
        <w:pStyle w:val="Heading2"/>
        <w:spacing w:before="160" w:after="80"/>
      </w:pPr>
      <w:r>
        <w:rPr>
          <w:rFonts w:ascii="Calibri" w:hAnsi="Calibri"/>
          <w:b/>
          <w:color w:val="37474F"/>
          <w:sz w:val="23"/>
        </w:rPr>
        <w:t>DATA AND RECORDS SCHEDULE 3-D</w:t>
      </w:r>
      <w:bookmarkEnd w:id="1060"/>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061" w:name="toc_61"/>
      <w:pPr>
        <w:pStyle w:val="Heading2"/>
        <w:spacing w:before="160" w:after="80"/>
      </w:pPr>
      <w:r>
        <w:rPr>
          <w:rFonts w:ascii="Calibri" w:hAnsi="Calibri"/>
          <w:b/>
          <w:color w:val="37474F"/>
          <w:sz w:val="23"/>
        </w:rPr>
        <w:t>STAKEHOLDER AND SME ACCESS SCHEDULE 3-E</w:t>
      </w:r>
      <w:bookmarkEnd w:id="1061"/>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062" w:name="toc_62"/>
      <w:pPr>
        <w:pStyle w:val="Heading2"/>
        <w:spacing w:before="160" w:after="80"/>
      </w:pPr>
      <w:r>
        <w:rPr>
          <w:rFonts w:ascii="Calibri" w:hAnsi="Calibri"/>
          <w:b/>
          <w:color w:val="37474F"/>
          <w:sz w:val="23"/>
        </w:rPr>
        <w:t>FAILURE-MODE PLAYBOOK 3-F</w:t>
      </w:r>
      <w:bookmarkEnd w:id="1062"/>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063" w:name="toc_63"/>
      <w:pPr>
        <w:pStyle w:val="Heading1"/>
        <w:spacing w:before="200" w:after="120"/>
      </w:pPr>
      <w:r>
        <w:rPr>
          <w:rFonts w:ascii="Calibri" w:hAnsi="Calibri"/>
          <w:b/>
          <w:color w:val="37474F"/>
          <w:sz w:val="30"/>
        </w:rPr>
        <w:t>ANNEX 4 — COMPETITIVENESS, ECONOMIC SECURITY, AND STRATEGIC SUPPLY CHAINS</w:t>
      </w:r>
      <w:bookmarkEnd w:id="1063"/>
    </w:p>
    <w:p>
      <w:pPr>
        <w:pStyle w:val="OperativeClause"/>
      </w:pPr>
      <w:r>
        <w:rPr>
          <w:rFonts w:ascii="Calibri" w:hAnsi="Calibri"/>
          <w:sz w:val="20"/>
        </w:rPr>
        <w:t>Interface: Competitiveness and economic-security interface. This Annex is independently adoptable. Its obligations bind only the Parties identified in the adopting instrument and only for the schedules or modules expressly activated.</w:t>
      </w:r>
    </w:p>
    <w:p>
      <w:bookmarkStart w:id="1064" w:name="toc_64"/>
      <w:pPr>
        <w:pStyle w:val="Heading2"/>
        <w:spacing w:before="160" w:after="80"/>
      </w:pPr>
      <w:r>
        <w:rPr>
          <w:rFonts w:ascii="Calibri" w:hAnsi="Calibri"/>
          <w:b/>
          <w:color w:val="37474F"/>
          <w:sz w:val="23"/>
        </w:rPr>
        <w:t>A4.1 Objective</w:t>
      </w:r>
      <w:bookmarkEnd w:id="1064"/>
    </w:p>
    <w:p>
      <w:pPr>
        <w:pStyle w:val="OperativeClause"/>
      </w:pPr>
      <w:r>
        <w:rPr>
          <w:rFonts w:ascii="Calibri" w:hAnsi="Calibri"/>
          <w:sz w:val="20"/>
        </w:rPr>
        <w:t>This Annex creates a cooperative economic-security framework for critical minerals, semiconductors, batteries, energy, strategic manufacturing, medicines, and other designated supply chains. Its organizing rule is that verified continental capacity is a security asset and that restrictions directed at a Party should follow evidence, consultation, and proportionality rather than nationality presumptions.</w:t>
      </w:r>
    </w:p>
    <w:p>
      <w:bookmarkStart w:id="1065" w:name="toc_65"/>
      <w:pPr>
        <w:pStyle w:val="Heading2"/>
        <w:spacing w:before="160" w:after="80"/>
      </w:pPr>
      <w:r>
        <w:rPr>
          <w:rFonts w:ascii="Calibri" w:hAnsi="Calibri"/>
          <w:b/>
          <w:color w:val="37474F"/>
          <w:sz w:val="23"/>
        </w:rPr>
        <w:t>A4.2 North American Supply-Chain Map</w:t>
      </w:r>
      <w:bookmarkEnd w:id="1065"/>
    </w:p>
    <w:p>
      <w:pPr>
        <w:pStyle w:val="OperativeClause"/>
      </w:pPr>
      <w:r>
        <w:rPr>
          <w:rFonts w:ascii="Calibri" w:hAnsi="Calibri"/>
          <w:sz w:val="20"/>
        </w:rPr>
        <w:t>The Economic Security Council shall maintain a non-confidential map of designated supply chains showing major production nodes, processing bottlenecks, transport dependencies, concentration risk, emergency substitutes, and investment gaps. Confidential firm-level data shall be protected and aggregated where publication could expose security or commercial vulnerabilities.</w:t>
      </w:r>
    </w:p>
    <w:p>
      <w:bookmarkStart w:id="1066" w:name="toc_66"/>
      <w:pPr>
        <w:pStyle w:val="Heading2"/>
        <w:spacing w:before="160" w:after="80"/>
      </w:pPr>
      <w:r>
        <w:rPr>
          <w:rFonts w:ascii="Calibri" w:hAnsi="Calibri"/>
          <w:b/>
          <w:color w:val="37474F"/>
          <w:sz w:val="23"/>
        </w:rPr>
        <w:t>A4.3 Critical Minerals Cooperation</w:t>
      </w:r>
      <w:bookmarkEnd w:id="1066"/>
    </w:p>
    <w:p>
      <w:pPr>
        <w:pStyle w:val="OperativeClause"/>
      </w:pPr>
      <w:r>
        <w:rPr>
          <w:rFonts w:ascii="Calibri" w:hAnsi="Calibri"/>
          <w:sz w:val="20"/>
        </w:rPr>
        <w:t>The Parties shall identify priority minerals and processing stages for coordinated permitting dialogue, infrastructure planning, recycling, offtake facilitation, research, workforce development, and emergency allocation. Recognition as a strategic source does not waive environmental, Indigenous, labor, investment-screening, sanctions, or national-security law.</w:t>
      </w:r>
    </w:p>
    <w:p>
      <w:bookmarkStart w:id="1067" w:name="toc_67"/>
      <w:pPr>
        <w:pStyle w:val="Heading2"/>
        <w:spacing w:before="160" w:after="80"/>
      </w:pPr>
      <w:r>
        <w:rPr>
          <w:rFonts w:ascii="Calibri" w:hAnsi="Calibri"/>
          <w:b/>
          <w:color w:val="37474F"/>
          <w:sz w:val="23"/>
        </w:rPr>
        <w:t>A4.4 Semiconductor and Battery Resilience</w:t>
      </w:r>
      <w:bookmarkEnd w:id="1067"/>
    </w:p>
    <w:p>
      <w:pPr>
        <w:pStyle w:val="OperativeClause"/>
      </w:pPr>
      <w:r>
        <w:rPr>
          <w:rFonts w:ascii="Calibri" w:hAnsi="Calibri"/>
          <w:sz w:val="20"/>
        </w:rPr>
        <w:t>The Council shall maintain early-warning indicators for material shortages, fabrication or packaging outages, battery-cell constraints, and key precursor disruptions. Parties may coordinate incentives, but shall publish material eligibility rules and avoid conditioning ordinary market access on an enterprise locating in one particular Party when equivalent continental production satisfies the stated resilience objective.</w:t>
      </w:r>
    </w:p>
    <w:p>
      <w:bookmarkStart w:id="1068" w:name="toc_68"/>
      <w:pPr>
        <w:pStyle w:val="Heading2"/>
        <w:spacing w:before="160" w:after="80"/>
      </w:pPr>
      <w:r>
        <w:rPr>
          <w:rFonts w:ascii="Calibri" w:hAnsi="Calibri"/>
          <w:b/>
          <w:color w:val="37474F"/>
          <w:sz w:val="23"/>
        </w:rPr>
        <w:t>A4.5 Non-Market Overcapacity and Investment Risk</w:t>
      </w:r>
      <w:bookmarkEnd w:id="1068"/>
    </w:p>
    <w:p>
      <w:pPr>
        <w:pStyle w:val="OperativeClause"/>
      </w:pPr>
      <w:r>
        <w:rPr>
          <w:rFonts w:ascii="Calibri" w:hAnsi="Calibri"/>
          <w:sz w:val="20"/>
        </w:rPr>
        <w:t>A Party may raise a documented concern regarding subsidized overcapacity, opaque state direction, sanctions evasion, strategic dependency, or circumvention involving a non-party. The concern shall identify sector, evidence, causal pathway, and proposed response. Joint measures should target the verified risk and should not treat all investment from a jurisdiction as identical where risk can be differentiated.</w:t>
      </w:r>
    </w:p>
    <w:p>
      <w:bookmarkStart w:id="1069" w:name="toc_69"/>
      <w:pPr>
        <w:pStyle w:val="Heading2"/>
        <w:spacing w:before="160" w:after="80"/>
      </w:pPr>
      <w:r>
        <w:rPr>
          <w:rFonts w:ascii="Calibri" w:hAnsi="Calibri"/>
          <w:b/>
          <w:color w:val="37474F"/>
          <w:sz w:val="23"/>
        </w:rPr>
        <w:t>A4.6 Industrial Policy Transparency</w:t>
      </w:r>
      <w:bookmarkEnd w:id="1069"/>
    </w:p>
    <w:p>
      <w:pPr>
        <w:pStyle w:val="OperativeClause"/>
      </w:pPr>
      <w:r>
        <w:rPr>
          <w:rFonts w:ascii="Calibri" w:hAnsi="Calibri"/>
          <w:sz w:val="20"/>
        </w:rPr>
        <w:t>Each Party shall notify major new production subsidies, tax credits, procurement preferences, or local-content incentives in designated strategic sectors when they are reasonably expected to materially affect intra-North-American trade. Notification does not create a veto. The Council may recommend equivalence, carve-ins, cumulation, or coordination to reduce subsidy races and unintended discrimination.</w:t>
      </w:r>
    </w:p>
    <w:p>
      <w:bookmarkStart w:id="1070" w:name="toc_70"/>
      <w:pPr>
        <w:pStyle w:val="Heading2"/>
        <w:spacing w:before="160" w:after="80"/>
      </w:pPr>
      <w:r>
        <w:rPr>
          <w:rFonts w:ascii="Calibri" w:hAnsi="Calibri"/>
          <w:b/>
          <w:color w:val="37474F"/>
          <w:sz w:val="23"/>
        </w:rPr>
        <w:t>A4.7 Security-Tariff Consultation</w:t>
      </w:r>
      <w:bookmarkEnd w:id="1070"/>
    </w:p>
    <w:p>
      <w:pPr>
        <w:pStyle w:val="OperativeClause"/>
      </w:pPr>
      <w:r>
        <w:rPr>
          <w:rFonts w:ascii="Calibri" w:hAnsi="Calibri"/>
          <w:sz w:val="20"/>
        </w:rPr>
        <w:t>Before imposing a new national-security tariff or quota on goods of another participating Party, the acting Party shall, where the urgency of the threat permits, provide a confidential evidence summary and at least 15 days for consultation. In urgent circumstances, consultation begins within 72 hours after action. The review shall consider verified continental supply, defense integration, diversion risk, and less trade-restrictive alternatives.</w:t>
      </w:r>
    </w:p>
    <w:p>
      <w:bookmarkStart w:id="1071" w:name="toc_71"/>
      <w:pPr>
        <w:pStyle w:val="Heading2"/>
        <w:spacing w:before="160" w:after="80"/>
      </w:pPr>
      <w:r>
        <w:rPr>
          <w:rFonts w:ascii="Calibri" w:hAnsi="Calibri"/>
          <w:b/>
          <w:color w:val="37474F"/>
          <w:sz w:val="23"/>
        </w:rPr>
        <w:t>A4.8 SME and Regional Participation</w:t>
      </w:r>
      <w:bookmarkEnd w:id="1071"/>
    </w:p>
    <w:p>
      <w:pPr>
        <w:pStyle w:val="OperativeClause"/>
      </w:pPr>
      <w:r>
        <w:rPr>
          <w:rFonts w:ascii="Calibri" w:hAnsi="Calibri"/>
          <w:sz w:val="20"/>
        </w:rPr>
        <w:t>The Parties shall operate export-readiness, supplier-matching, standards assistance, and financing-referral programs for SMEs, rural firms, Indigenous businesses, minority-owned firms, and regional clusters. Participation criteria shall be transparent and shall not require disclosure of commercially unnecessary proprietary information.</w:t>
      </w:r>
    </w:p>
    <w:p>
      <w:bookmarkStart w:id="1072" w:name="toc_72"/>
      <w:pPr>
        <w:pStyle w:val="Heading2"/>
        <w:spacing w:before="160" w:after="80"/>
      </w:pPr>
      <w:r>
        <w:rPr>
          <w:rFonts w:ascii="Calibri" w:hAnsi="Calibri"/>
          <w:b/>
          <w:color w:val="37474F"/>
          <w:sz w:val="23"/>
        </w:rPr>
        <w:t>A4.9 Emergency Continuity</w:t>
      </w:r>
      <w:bookmarkEnd w:id="1072"/>
    </w:p>
    <w:p>
      <w:pPr>
        <w:pStyle w:val="OperativeClause"/>
      </w:pPr>
      <w:r>
        <w:rPr>
          <w:rFonts w:ascii="Calibri" w:hAnsi="Calibri"/>
          <w:sz w:val="20"/>
        </w:rPr>
        <w:t>For a designated supply disruption, the Council may activate a continuity protocol covering customs prioritization, temporary regulatory reliance, logistics corridors, repair parts, data sharing, and time-limited emergency procurement. Emergency measures expire on the stated date unless renewed on evidence that the disruption continues.</w:t>
      </w:r>
    </w:p>
    <w:p>
      <w:bookmarkStart w:id="1073" w:name="toc_73"/>
      <w:pPr>
        <w:pStyle w:val="Heading2"/>
        <w:spacing w:before="160" w:after="80"/>
      </w:pPr>
      <w:r>
        <w:rPr>
          <w:rFonts w:ascii="Calibri" w:hAnsi="Calibri"/>
          <w:b/>
          <w:color w:val="37474F"/>
          <w:sz w:val="23"/>
        </w:rPr>
        <w:t>A4.10 Annual Security and Competitiveness Review</w:t>
      </w:r>
      <w:bookmarkEnd w:id="1073"/>
    </w:p>
    <w:p>
      <w:pPr>
        <w:pStyle w:val="OperativeClause"/>
      </w:pPr>
      <w:r>
        <w:rPr>
          <w:rFonts w:ascii="Calibri" w:hAnsi="Calibri"/>
          <w:sz w:val="20"/>
        </w:rPr>
        <w:t>Ministers shall review the Annex annually. The report shall identify resolved bottlenecks, unresolved dependencies, investment delivered, trade effects, use of emergency measures, and recommendations for the next work program.</w:t>
      </w:r>
    </w:p>
    <w:p>
      <w:bookmarkStart w:id="1074" w:name="toc_74"/>
      <w:pPr>
        <w:pStyle w:val="Heading2"/>
        <w:spacing w:before="160" w:after="80"/>
      </w:pPr>
      <w:r>
        <w:rPr>
          <w:rFonts w:ascii="Calibri" w:hAnsi="Calibri"/>
          <w:b/>
          <w:color w:val="37474F"/>
          <w:sz w:val="23"/>
        </w:rPr>
        <w:t>IMPLEMENTATION SCHEDULE 4-A — FIRST 180 DAYS</w:t>
      </w:r>
      <w:bookmarkEnd w:id="1074"/>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075" w:name="toc_75"/>
      <w:pPr>
        <w:pStyle w:val="Heading2"/>
        <w:spacing w:before="160" w:after="80"/>
      </w:pPr>
      <w:r>
        <w:rPr>
          <w:rFonts w:ascii="Calibri" w:hAnsi="Calibri"/>
          <w:b/>
          <w:color w:val="37474F"/>
          <w:sz w:val="23"/>
        </w:rPr>
        <w:t>VERIFICATION MATRIX 4-B — COTHROM ADAPTATION</w:t>
      </w:r>
      <w:bookmarkEnd w:id="1075"/>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076" w:name="toc_76"/>
      <w:pPr>
        <w:pStyle w:val="Heading2"/>
        <w:spacing w:before="160" w:after="80"/>
      </w:pPr>
      <w:r>
        <w:rPr>
          <w:rFonts w:ascii="Calibri" w:hAnsi="Calibri"/>
          <w:b/>
          <w:color w:val="37474F"/>
          <w:sz w:val="23"/>
        </w:rPr>
        <w:t>MODEL NOTICE 4-C — ANNEX ISSUE REGISTRATION</w:t>
      </w:r>
      <w:bookmarkEnd w:id="1076"/>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077" w:name="toc_77"/>
      <w:pPr>
        <w:pStyle w:val="Heading2"/>
        <w:spacing w:before="160" w:after="80"/>
      </w:pPr>
      <w:r>
        <w:rPr>
          <w:rFonts w:ascii="Calibri" w:hAnsi="Calibri"/>
          <w:b/>
          <w:color w:val="37474F"/>
          <w:sz w:val="23"/>
        </w:rPr>
        <w:t>DATA AND RECORDS SCHEDULE 4-D</w:t>
      </w:r>
      <w:bookmarkEnd w:id="1077"/>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078" w:name="toc_78"/>
      <w:pPr>
        <w:pStyle w:val="Heading2"/>
        <w:spacing w:before="160" w:after="80"/>
      </w:pPr>
      <w:r>
        <w:rPr>
          <w:rFonts w:ascii="Calibri" w:hAnsi="Calibri"/>
          <w:b/>
          <w:color w:val="37474F"/>
          <w:sz w:val="23"/>
        </w:rPr>
        <w:t>STAKEHOLDER AND SME ACCESS SCHEDULE 4-E</w:t>
      </w:r>
      <w:bookmarkEnd w:id="1078"/>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079" w:name="toc_79"/>
      <w:pPr>
        <w:pStyle w:val="Heading2"/>
        <w:spacing w:before="160" w:after="80"/>
      </w:pPr>
      <w:r>
        <w:rPr>
          <w:rFonts w:ascii="Calibri" w:hAnsi="Calibri"/>
          <w:b/>
          <w:color w:val="37474F"/>
          <w:sz w:val="23"/>
        </w:rPr>
        <w:t>FAILURE-MODE PLAYBOOK 4-F</w:t>
      </w:r>
      <w:bookmarkEnd w:id="1079"/>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080" w:name="toc_80"/>
      <w:pPr>
        <w:pStyle w:val="Heading1"/>
        <w:spacing w:before="200" w:after="120"/>
      </w:pPr>
      <w:r>
        <w:rPr>
          <w:rFonts w:ascii="Calibri" w:hAnsi="Calibri"/>
          <w:b/>
          <w:color w:val="37474F"/>
          <w:sz w:val="30"/>
        </w:rPr>
        <w:t>ANNEX 5 — LABOR ENFORCEMENT AND WORKER-PROTECTION MODULE</w:t>
      </w:r>
      <w:bookmarkEnd w:id="1080"/>
    </w:p>
    <w:p>
      <w:pPr>
        <w:pStyle w:val="OperativeClause"/>
      </w:pPr>
      <w:r>
        <w:rPr>
          <w:rFonts w:ascii="Calibri" w:hAnsi="Calibri"/>
          <w:sz w:val="20"/>
        </w:rPr>
        <w:t>Interface: Labor interface. This Annex is independently adoptable. Its obligations bind only the Parties identified in the adopting instrument and only for the schedules or modules expressly activated.</w:t>
      </w:r>
    </w:p>
    <w:p>
      <w:bookmarkStart w:id="1081" w:name="toc_81"/>
      <w:pPr>
        <w:pStyle w:val="Heading2"/>
        <w:spacing w:before="160" w:after="80"/>
      </w:pPr>
      <w:r>
        <w:rPr>
          <w:rFonts w:ascii="Calibri" w:hAnsi="Calibri"/>
          <w:b/>
          <w:color w:val="37474F"/>
          <w:sz w:val="23"/>
        </w:rPr>
        <w:t>A5.1 Objective</w:t>
      </w:r>
      <w:bookmarkEnd w:id="1081"/>
    </w:p>
    <w:p>
      <w:pPr>
        <w:pStyle w:val="OperativeClause"/>
      </w:pPr>
      <w:r>
        <w:rPr>
          <w:rFonts w:ascii="Calibri" w:hAnsi="Calibri"/>
          <w:sz w:val="20"/>
        </w:rPr>
        <w:t>This Annex strengthens labor enforcement without converting allegations into automatic trade sanctions. It creates faster intake, clearer evidence standards, protected worker participation, joint technical assistance, and predictable review for facility-specific and systemic matters.</w:t>
      </w:r>
    </w:p>
    <w:p>
      <w:bookmarkStart w:id="1082" w:name="toc_82"/>
      <w:pPr>
        <w:pStyle w:val="Heading2"/>
        <w:spacing w:before="160" w:after="80"/>
      </w:pPr>
      <w:r>
        <w:rPr>
          <w:rFonts w:ascii="Calibri" w:hAnsi="Calibri"/>
          <w:b/>
          <w:color w:val="37474F"/>
          <w:sz w:val="23"/>
        </w:rPr>
        <w:t>A5.2 Complaint Intake</w:t>
      </w:r>
      <w:bookmarkEnd w:id="1082"/>
    </w:p>
    <w:p>
      <w:pPr>
        <w:pStyle w:val="OperativeClause"/>
      </w:pPr>
      <w:r>
        <w:rPr>
          <w:rFonts w:ascii="Calibri" w:hAnsi="Calibri"/>
          <w:sz w:val="20"/>
        </w:rPr>
        <w:t>A complaint shall identify the facility or measure where reasonably possible, the labor right implicated, the factual basis, available supporting evidence, requested confidentiality, and whether urgent interim protection is sought. The receiving secretariat shall acknowledge a complete complaint within two business days and identify missing information without rejecting a complaint solely for curable form defects.</w:t>
      </w:r>
    </w:p>
    <w:p>
      <w:bookmarkStart w:id="1083" w:name="toc_83"/>
      <w:pPr>
        <w:pStyle w:val="Heading2"/>
        <w:spacing w:before="160" w:after="80"/>
      </w:pPr>
      <w:r>
        <w:rPr>
          <w:rFonts w:ascii="Calibri" w:hAnsi="Calibri"/>
          <w:b/>
          <w:color w:val="37474F"/>
          <w:sz w:val="23"/>
        </w:rPr>
        <w:t>A5.3 Preliminary Screening</w:t>
      </w:r>
      <w:bookmarkEnd w:id="1083"/>
    </w:p>
    <w:p>
      <w:pPr>
        <w:pStyle w:val="OperativeClause"/>
      </w:pPr>
      <w:r>
        <w:rPr>
          <w:rFonts w:ascii="Calibri" w:hAnsi="Calibri"/>
          <w:sz w:val="20"/>
        </w:rPr>
        <w:t>Within 10 business days, the designated body shall determine whether the complaint presents a credible issue within the Annex. Screening does not decide the merits. Anonymous or confidential worker evidence may support screening when corroboration exists and disclosure could reasonably expose a person to retaliation.</w:t>
      </w:r>
    </w:p>
    <w:p>
      <w:bookmarkStart w:id="1084" w:name="toc_84"/>
      <w:pPr>
        <w:pStyle w:val="Heading2"/>
        <w:spacing w:before="160" w:after="80"/>
      </w:pPr>
      <w:r>
        <w:rPr>
          <w:rFonts w:ascii="Calibri" w:hAnsi="Calibri"/>
          <w:b/>
          <w:color w:val="37474F"/>
          <w:sz w:val="23"/>
        </w:rPr>
        <w:t>A5.4 Joint Inspection Protocol</w:t>
      </w:r>
      <w:bookmarkEnd w:id="1084"/>
    </w:p>
    <w:p>
      <w:pPr>
        <w:pStyle w:val="OperativeClause"/>
      </w:pPr>
      <w:r>
        <w:rPr>
          <w:rFonts w:ascii="Calibri" w:hAnsi="Calibri"/>
          <w:sz w:val="20"/>
        </w:rPr>
        <w:t>Where domestic law permits and an inspection is warranted, the host Party leads the inspection and may include agreed technical observers from another Party. The inspection plan shall identify scope, worker-interview protections, document categories, sampling method, language access, confidentiality, and a target completion date. Employer participation does not include control over worker selection or private interviews.</w:t>
      </w:r>
    </w:p>
    <w:p>
      <w:bookmarkStart w:id="1085" w:name="toc_85"/>
      <w:pPr>
        <w:pStyle w:val="Heading2"/>
        <w:spacing w:before="160" w:after="80"/>
      </w:pPr>
      <w:r>
        <w:rPr>
          <w:rFonts w:ascii="Calibri" w:hAnsi="Calibri"/>
          <w:b/>
          <w:color w:val="37474F"/>
          <w:sz w:val="23"/>
        </w:rPr>
        <w:t>A5.5 Migrant and Temporary Workers</w:t>
      </w:r>
      <w:bookmarkEnd w:id="1085"/>
    </w:p>
    <w:p>
      <w:pPr>
        <w:pStyle w:val="OperativeClause"/>
      </w:pPr>
      <w:r>
        <w:rPr>
          <w:rFonts w:ascii="Calibri" w:hAnsi="Calibri"/>
          <w:sz w:val="20"/>
        </w:rPr>
        <w:t>The Parties shall maintain accessible complaint channels for migrant and temporary workers, including workers whose immigration status is tied to an employer. Retaliation for good-faith participation in an Annex process shall be investigated promptly. Remedies may include reinstatement, back pay, corrective bargaining procedures, recruitment-fee reimbursement, or other relief available under domestic law.</w:t>
      </w:r>
    </w:p>
    <w:p>
      <w:bookmarkStart w:id="1086" w:name="toc_86"/>
      <w:pPr>
        <w:pStyle w:val="Heading2"/>
        <w:spacing w:before="160" w:after="80"/>
      </w:pPr>
      <w:r>
        <w:rPr>
          <w:rFonts w:ascii="Calibri" w:hAnsi="Calibri"/>
          <w:b/>
          <w:color w:val="37474F"/>
          <w:sz w:val="23"/>
        </w:rPr>
        <w:t>A5.6 Forced-Labour Supply Chains</w:t>
      </w:r>
      <w:bookmarkEnd w:id="1086"/>
    </w:p>
    <w:p>
      <w:pPr>
        <w:pStyle w:val="OperativeClause"/>
      </w:pPr>
      <w:r>
        <w:rPr>
          <w:rFonts w:ascii="Calibri" w:hAnsi="Calibri"/>
          <w:sz w:val="20"/>
        </w:rPr>
        <w:t>Labor and customs authorities shall coordinate where a complaint concerns forced labor in imported goods. Evidence shall be categorized by reliability and chain of custody. Import measures remain governed by domestic law, but the Annex supplies shared investigative templates and an expedited channel for remediation evidence.</w:t>
      </w:r>
    </w:p>
    <w:p>
      <w:bookmarkStart w:id="1087" w:name="toc_87"/>
      <w:pPr>
        <w:pStyle w:val="Heading2"/>
        <w:spacing w:before="160" w:after="80"/>
      </w:pPr>
      <w:r>
        <w:rPr>
          <w:rFonts w:ascii="Calibri" w:hAnsi="Calibri"/>
          <w:b/>
          <w:color w:val="37474F"/>
          <w:sz w:val="23"/>
        </w:rPr>
        <w:t>A5.7 Remediation Plan</w:t>
      </w:r>
      <w:bookmarkEnd w:id="1087"/>
    </w:p>
    <w:p>
      <w:pPr>
        <w:pStyle w:val="OperativeClause"/>
      </w:pPr>
      <w:r>
        <w:rPr>
          <w:rFonts w:ascii="Calibri" w:hAnsi="Calibri"/>
          <w:sz w:val="20"/>
        </w:rPr>
        <w:t>When a violation is found, the competent authority shall identify a remediation plan with responsible actors, milestones, worker communication, evidence of completion, and a verification date. Trade consequences are reserved for material failure to implement the plan, deliberate obstruction, or repeated violations under the Cothrom tiers.</w:t>
      </w:r>
    </w:p>
    <w:p>
      <w:bookmarkStart w:id="1088" w:name="toc_88"/>
      <w:pPr>
        <w:pStyle w:val="Heading2"/>
        <w:spacing w:before="160" w:after="80"/>
      </w:pPr>
      <w:r>
        <w:rPr>
          <w:rFonts w:ascii="Calibri" w:hAnsi="Calibri"/>
          <w:b/>
          <w:color w:val="37474F"/>
          <w:sz w:val="23"/>
        </w:rPr>
        <w:t>A5.8 Transparency</w:t>
      </w:r>
      <w:bookmarkEnd w:id="1088"/>
    </w:p>
    <w:p>
      <w:pPr>
        <w:pStyle w:val="OperativeClause"/>
      </w:pPr>
      <w:r>
        <w:rPr>
          <w:rFonts w:ascii="Calibri" w:hAnsi="Calibri"/>
          <w:sz w:val="20"/>
        </w:rPr>
        <w:t>The Labor Committee shall publish quarterly statistics on complaints received, screened, resolved, pending, average processing time, remediation outcomes, and retaliation allegations. Publications shall protect worker identities and confidential business information.</w:t>
      </w:r>
    </w:p>
    <w:p>
      <w:bookmarkStart w:id="1089" w:name="toc_89"/>
      <w:pPr>
        <w:pStyle w:val="Heading2"/>
        <w:spacing w:before="160" w:after="80"/>
      </w:pPr>
      <w:r>
        <w:rPr>
          <w:rFonts w:ascii="Calibri" w:hAnsi="Calibri"/>
          <w:b/>
          <w:color w:val="37474F"/>
          <w:sz w:val="23"/>
        </w:rPr>
        <w:t>A5.9 Technical Assistance</w:t>
      </w:r>
      <w:bookmarkEnd w:id="1089"/>
    </w:p>
    <w:p>
      <w:pPr>
        <w:pStyle w:val="OperativeClause"/>
      </w:pPr>
      <w:r>
        <w:rPr>
          <w:rFonts w:ascii="Calibri" w:hAnsi="Calibri"/>
          <w:sz w:val="20"/>
        </w:rPr>
        <w:t>A Party may request technical assistance on inspection capacity, labor courts, collective bargaining procedures, migrant-worker protection, occupational safety, digital case management, or supply-chain due diligence. Assistance is cooperative and does not postpone an urgent remedy.</w:t>
      </w:r>
    </w:p>
    <w:p>
      <w:bookmarkStart w:id="1090" w:name="toc_90"/>
      <w:pPr>
        <w:pStyle w:val="Heading2"/>
        <w:spacing w:before="160" w:after="80"/>
      </w:pPr>
      <w:r>
        <w:rPr>
          <w:rFonts w:ascii="Calibri" w:hAnsi="Calibri"/>
          <w:b/>
          <w:color w:val="37474F"/>
          <w:sz w:val="23"/>
        </w:rPr>
        <w:t>A5.10 Review</w:t>
      </w:r>
      <w:bookmarkEnd w:id="1090"/>
    </w:p>
    <w:p>
      <w:pPr>
        <w:pStyle w:val="OperativeClause"/>
      </w:pPr>
      <w:r>
        <w:rPr>
          <w:rFonts w:ascii="Calibri" w:hAnsi="Calibri"/>
          <w:sz w:val="20"/>
        </w:rPr>
        <w:t>The Annex is reviewed every three years, with a focused effectiveness review after the first 18 months.</w:t>
      </w:r>
    </w:p>
    <w:p>
      <w:bookmarkStart w:id="1091" w:name="toc_91"/>
      <w:pPr>
        <w:pStyle w:val="Heading2"/>
        <w:spacing w:before="160" w:after="80"/>
      </w:pPr>
      <w:r>
        <w:rPr>
          <w:rFonts w:ascii="Calibri" w:hAnsi="Calibri"/>
          <w:b/>
          <w:color w:val="37474F"/>
          <w:sz w:val="23"/>
        </w:rPr>
        <w:t>IMPLEMENTATION SCHEDULE 5-A — FIRST 180 DAYS</w:t>
      </w:r>
      <w:bookmarkEnd w:id="1091"/>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092" w:name="toc_92"/>
      <w:pPr>
        <w:pStyle w:val="Heading2"/>
        <w:spacing w:before="160" w:after="80"/>
      </w:pPr>
      <w:r>
        <w:rPr>
          <w:rFonts w:ascii="Calibri" w:hAnsi="Calibri"/>
          <w:b/>
          <w:color w:val="37474F"/>
          <w:sz w:val="23"/>
        </w:rPr>
        <w:t>VERIFICATION MATRIX 5-B — COTHROM ADAPTATION</w:t>
      </w:r>
      <w:bookmarkEnd w:id="1092"/>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093" w:name="toc_93"/>
      <w:pPr>
        <w:pStyle w:val="Heading2"/>
        <w:spacing w:before="160" w:after="80"/>
      </w:pPr>
      <w:r>
        <w:rPr>
          <w:rFonts w:ascii="Calibri" w:hAnsi="Calibri"/>
          <w:b/>
          <w:color w:val="37474F"/>
          <w:sz w:val="23"/>
        </w:rPr>
        <w:t>MODEL NOTICE 5-C — ANNEX ISSUE REGISTRATION</w:t>
      </w:r>
      <w:bookmarkEnd w:id="1093"/>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094" w:name="toc_94"/>
      <w:pPr>
        <w:pStyle w:val="Heading2"/>
        <w:spacing w:before="160" w:after="80"/>
      </w:pPr>
      <w:r>
        <w:rPr>
          <w:rFonts w:ascii="Calibri" w:hAnsi="Calibri"/>
          <w:b/>
          <w:color w:val="37474F"/>
          <w:sz w:val="23"/>
        </w:rPr>
        <w:t>DATA AND RECORDS SCHEDULE 5-D</w:t>
      </w:r>
      <w:bookmarkEnd w:id="1094"/>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095" w:name="toc_95"/>
      <w:pPr>
        <w:pStyle w:val="Heading2"/>
        <w:spacing w:before="160" w:after="80"/>
      </w:pPr>
      <w:r>
        <w:rPr>
          <w:rFonts w:ascii="Calibri" w:hAnsi="Calibri"/>
          <w:b/>
          <w:color w:val="37474F"/>
          <w:sz w:val="23"/>
        </w:rPr>
        <w:t>STAKEHOLDER AND SME ACCESS SCHEDULE 5-E</w:t>
      </w:r>
      <w:bookmarkEnd w:id="1095"/>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096" w:name="toc_96"/>
      <w:pPr>
        <w:pStyle w:val="Heading2"/>
        <w:spacing w:before="160" w:after="80"/>
      </w:pPr>
      <w:r>
        <w:rPr>
          <w:rFonts w:ascii="Calibri" w:hAnsi="Calibri"/>
          <w:b/>
          <w:color w:val="37474F"/>
          <w:sz w:val="23"/>
        </w:rPr>
        <w:t>FAILURE-MODE PLAYBOOK 5-F</w:t>
      </w:r>
      <w:bookmarkEnd w:id="1096"/>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097" w:name="toc_97"/>
      <w:pPr>
        <w:pStyle w:val="Heading1"/>
        <w:spacing w:before="200" w:after="120"/>
      </w:pPr>
      <w:r>
        <w:rPr>
          <w:rFonts w:ascii="Calibri" w:hAnsi="Calibri"/>
          <w:b/>
          <w:color w:val="37474F"/>
          <w:sz w:val="30"/>
        </w:rPr>
        <w:t>ANNEX 6 — ENVIRONMENT, WILDFIRE, CIRCULAR PRODUCTION, AND SUSTAINABLE MINERALS</w:t>
      </w:r>
      <w:bookmarkEnd w:id="1097"/>
    </w:p>
    <w:p>
      <w:pPr>
        <w:pStyle w:val="OperativeClause"/>
      </w:pPr>
      <w:r>
        <w:rPr>
          <w:rFonts w:ascii="Calibri" w:hAnsi="Calibri"/>
          <w:sz w:val="20"/>
        </w:rPr>
        <w:t>Interface: Environment interface. This Annex is independently adoptable. Its obligations bind only the Parties identified in the adopting instrument and only for the schedules or modules expressly activated.</w:t>
      </w:r>
    </w:p>
    <w:p>
      <w:bookmarkStart w:id="1098" w:name="toc_98"/>
      <w:pPr>
        <w:pStyle w:val="Heading2"/>
        <w:spacing w:before="160" w:after="80"/>
      </w:pPr>
      <w:r>
        <w:rPr>
          <w:rFonts w:ascii="Calibri" w:hAnsi="Calibri"/>
          <w:b/>
          <w:color w:val="37474F"/>
          <w:sz w:val="23"/>
        </w:rPr>
        <w:t>A6.1 Objective</w:t>
      </w:r>
      <w:bookmarkEnd w:id="1098"/>
    </w:p>
    <w:p>
      <w:pPr>
        <w:pStyle w:val="OperativeClause"/>
      </w:pPr>
      <w:r>
        <w:rPr>
          <w:rFonts w:ascii="Calibri" w:hAnsi="Calibri"/>
          <w:sz w:val="20"/>
        </w:rPr>
        <w:t>This Annex links environmental cooperation to trade resilience without creating disguised trade restrictions. It focuses on wildfire and smoke, circular production, sustainable critical minerals, climate and hazard data, emergency response, and interoperable evidence of environmental performance.</w:t>
      </w:r>
    </w:p>
    <w:p>
      <w:bookmarkStart w:id="1099" w:name="toc_99"/>
      <w:pPr>
        <w:pStyle w:val="Heading2"/>
        <w:spacing w:before="160" w:after="80"/>
      </w:pPr>
      <w:r>
        <w:rPr>
          <w:rFonts w:ascii="Calibri" w:hAnsi="Calibri"/>
          <w:b/>
          <w:color w:val="37474F"/>
          <w:sz w:val="23"/>
        </w:rPr>
        <w:t>A6.2 Wildfire Prevention and Smoke Cooperation</w:t>
      </w:r>
      <w:bookmarkEnd w:id="1099"/>
    </w:p>
    <w:p>
      <w:pPr>
        <w:pStyle w:val="OperativeClause"/>
      </w:pPr>
      <w:r>
        <w:rPr>
          <w:rFonts w:ascii="Calibri" w:hAnsi="Calibri"/>
          <w:sz w:val="20"/>
        </w:rPr>
        <w:t>The Parties shall maintain a cross-border wildfire and smoke working channel covering seasonal risk forecasts, satellite and meteorological data, fire-behavior modeling, prescribed-fire lessons, fuel-management practices, public-health smoke forecasts, and emergency resource requests. Participation does not transfer land-management authority from the competent domestic or Indigenous authority.</w:t>
      </w:r>
    </w:p>
    <w:p>
      <w:bookmarkStart w:id="1100" w:name="toc_100"/>
      <w:pPr>
        <w:pStyle w:val="Heading2"/>
        <w:spacing w:before="160" w:after="80"/>
      </w:pPr>
      <w:r>
        <w:rPr>
          <w:rFonts w:ascii="Calibri" w:hAnsi="Calibri"/>
          <w:b/>
          <w:color w:val="37474F"/>
          <w:sz w:val="23"/>
        </w:rPr>
        <w:t>A6.3 Incident Notification</w:t>
      </w:r>
      <w:bookmarkEnd w:id="1100"/>
    </w:p>
    <w:p>
      <w:pPr>
        <w:pStyle w:val="OperativeClause"/>
      </w:pPr>
      <w:r>
        <w:rPr>
          <w:rFonts w:ascii="Calibri" w:hAnsi="Calibri"/>
          <w:sz w:val="20"/>
        </w:rPr>
        <w:t>A Party shall notify affected Parties promptly when a major wildfire, industrial fire, mine incident, tailings event, or other environmental emergency is reasonably expected to cause significant transboundary trade, transport, health, or infrastructure effects. The notice shall state known facts, uncertainty, expected trajectory, response measures, and next update time.</w:t>
      </w:r>
    </w:p>
    <w:p>
      <w:bookmarkStart w:id="1101" w:name="toc_101"/>
      <w:pPr>
        <w:pStyle w:val="Heading2"/>
        <w:spacing w:before="160" w:after="80"/>
      </w:pPr>
      <w:r>
        <w:rPr>
          <w:rFonts w:ascii="Calibri" w:hAnsi="Calibri"/>
          <w:b/>
          <w:color w:val="37474F"/>
          <w:sz w:val="23"/>
        </w:rPr>
        <w:t>A6.4 Forest and Fuel Management Cooperation</w:t>
      </w:r>
      <w:bookmarkEnd w:id="1101"/>
    </w:p>
    <w:p>
      <w:pPr>
        <w:pStyle w:val="OperativeClause"/>
      </w:pPr>
      <w:r>
        <w:rPr>
          <w:rFonts w:ascii="Calibri" w:hAnsi="Calibri"/>
          <w:sz w:val="20"/>
        </w:rPr>
        <w:t>The Parties may establish demonstration projects for forest thinning, biomass utilization, firebreak design, storm-damaged timber recovery, community protection, and ecological restoration. Procurement and trade rules for recovered material shall distinguish emergency salvage from ordinary commercial harvesting and shall preserve applicable conservation law.</w:t>
      </w:r>
    </w:p>
    <w:p>
      <w:bookmarkStart w:id="1102" w:name="toc_102"/>
      <w:pPr>
        <w:pStyle w:val="Heading2"/>
        <w:spacing w:before="160" w:after="80"/>
      </w:pPr>
      <w:r>
        <w:rPr>
          <w:rFonts w:ascii="Calibri" w:hAnsi="Calibri"/>
          <w:b/>
          <w:color w:val="37474F"/>
          <w:sz w:val="23"/>
        </w:rPr>
        <w:t>A6.5 Circular Production</w:t>
      </w:r>
      <w:bookmarkEnd w:id="1102"/>
    </w:p>
    <w:p>
      <w:pPr>
        <w:pStyle w:val="OperativeClause"/>
      </w:pPr>
      <w:r>
        <w:rPr>
          <w:rFonts w:ascii="Calibri" w:hAnsi="Calibri"/>
          <w:sz w:val="20"/>
        </w:rPr>
        <w:t>The Parties shall develop interoperable definitions and evidence rules for recycled, recovered, refurbished, remanufactured, and secondary materials. Customs and origin treatment shall rely on auditable material accounting and shall not disadvantage a qualifying circular input solely because its feedstock originated as waste or scrap.</w:t>
      </w:r>
    </w:p>
    <w:p>
      <w:bookmarkStart w:id="1103" w:name="toc_103"/>
      <w:pPr>
        <w:pStyle w:val="Heading2"/>
        <w:spacing w:before="160" w:after="80"/>
      </w:pPr>
      <w:r>
        <w:rPr>
          <w:rFonts w:ascii="Calibri" w:hAnsi="Calibri"/>
          <w:b/>
          <w:color w:val="37474F"/>
          <w:sz w:val="23"/>
        </w:rPr>
        <w:t>A6.6 Sustainable Critical Minerals</w:t>
      </w:r>
      <w:bookmarkEnd w:id="1103"/>
    </w:p>
    <w:p>
      <w:pPr>
        <w:pStyle w:val="OperativeClause"/>
      </w:pPr>
      <w:r>
        <w:rPr>
          <w:rFonts w:ascii="Calibri" w:hAnsi="Calibri"/>
          <w:sz w:val="20"/>
        </w:rPr>
        <w:t>For designated mineral projects, the Parties shall cooperate on comparable disclosure fields for environmental assessment status, water management, tailings governance, reclamation security, emissions where measured, worker safety, and community or Indigenous engagement required by domestic law. Equivalence does not require identical substantive standards.</w:t>
      </w:r>
    </w:p>
    <w:p>
      <w:bookmarkStart w:id="1104" w:name="toc_104"/>
      <w:pPr>
        <w:pStyle w:val="Heading2"/>
        <w:spacing w:before="160" w:after="80"/>
      </w:pPr>
      <w:r>
        <w:rPr>
          <w:rFonts w:ascii="Calibri" w:hAnsi="Calibri"/>
          <w:b/>
          <w:color w:val="37474F"/>
          <w:sz w:val="23"/>
        </w:rPr>
        <w:t>A6.7 Climate and Hazard Data</w:t>
      </w:r>
      <w:bookmarkEnd w:id="1104"/>
    </w:p>
    <w:p>
      <w:pPr>
        <w:pStyle w:val="OperativeClause"/>
      </w:pPr>
      <w:r>
        <w:rPr>
          <w:rFonts w:ascii="Calibri" w:hAnsi="Calibri"/>
          <w:sz w:val="20"/>
        </w:rPr>
        <w:t>Publicly releasable climate, drought, flood, smoke, wildfire, and infrastructure-risk data relevant to trade corridors should be published in machine-readable form. The Environment Committee shall identify data sets where common metadata and APIs materially improve emergency logistics or investment planning.</w:t>
      </w:r>
    </w:p>
    <w:p>
      <w:bookmarkStart w:id="1105" w:name="toc_105"/>
      <w:pPr>
        <w:pStyle w:val="Heading2"/>
        <w:spacing w:before="160" w:after="80"/>
      </w:pPr>
      <w:r>
        <w:rPr>
          <w:rFonts w:ascii="Calibri" w:hAnsi="Calibri"/>
          <w:b/>
          <w:color w:val="37474F"/>
          <w:sz w:val="23"/>
        </w:rPr>
        <w:t>A6.8 No Disguised Restriction</w:t>
      </w:r>
      <w:bookmarkEnd w:id="1105"/>
    </w:p>
    <w:p>
      <w:pPr>
        <w:pStyle w:val="OperativeClause"/>
      </w:pPr>
      <w:r>
        <w:rPr>
          <w:rFonts w:ascii="Calibri" w:hAnsi="Calibri"/>
          <w:sz w:val="20"/>
        </w:rPr>
        <w:t>An environmental measure affecting trade shall not be presumed unlawful merely because it raises compliance cost. In Annex review, the question is whether the measure pursues a legitimate objective, applies without arbitrary discrimination, uses evidence appropriate to the risk, and provides a reasonable compliance path. Product bans or border measures should be targeted to the environmental harm identified.</w:t>
      </w:r>
    </w:p>
    <w:p>
      <w:bookmarkStart w:id="1106" w:name="toc_106"/>
      <w:pPr>
        <w:pStyle w:val="Heading2"/>
        <w:spacing w:before="160" w:after="80"/>
      </w:pPr>
      <w:r>
        <w:rPr>
          <w:rFonts w:ascii="Calibri" w:hAnsi="Calibri"/>
          <w:b/>
          <w:color w:val="37474F"/>
          <w:sz w:val="23"/>
        </w:rPr>
        <w:t>A6.9 Emergency Mutual Assistance</w:t>
      </w:r>
      <w:bookmarkEnd w:id="1106"/>
    </w:p>
    <w:p>
      <w:pPr>
        <w:pStyle w:val="OperativeClause"/>
      </w:pPr>
      <w:r>
        <w:rPr>
          <w:rFonts w:ascii="Calibri" w:hAnsi="Calibri"/>
          <w:sz w:val="20"/>
        </w:rPr>
        <w:t>The Parties shall maintain contact points for firefighting aircraft, crews, equipment, hazardous-material response, and emergency customs clearance. Temporary admission of emergency equipment should be processed through simplified documentation with later reconciliation.</w:t>
      </w:r>
    </w:p>
    <w:p>
      <w:bookmarkStart w:id="1107" w:name="toc_107"/>
      <w:pPr>
        <w:pStyle w:val="Heading2"/>
        <w:spacing w:before="160" w:after="80"/>
      </w:pPr>
      <w:r>
        <w:rPr>
          <w:rFonts w:ascii="Calibri" w:hAnsi="Calibri"/>
          <w:b/>
          <w:color w:val="37474F"/>
          <w:sz w:val="23"/>
        </w:rPr>
        <w:t>A6.10 Review</w:t>
      </w:r>
      <w:bookmarkEnd w:id="1107"/>
    </w:p>
    <w:p>
      <w:pPr>
        <w:pStyle w:val="OperativeClause"/>
      </w:pPr>
      <w:r>
        <w:rPr>
          <w:rFonts w:ascii="Calibri" w:hAnsi="Calibri"/>
          <w:sz w:val="20"/>
        </w:rPr>
        <w:t>The Environment Committee meets at least twice annually and conducts a full Annex review every four years.</w:t>
      </w:r>
    </w:p>
    <w:p>
      <w:bookmarkStart w:id="1108" w:name="toc_108"/>
      <w:pPr>
        <w:pStyle w:val="Heading2"/>
        <w:spacing w:before="160" w:after="80"/>
      </w:pPr>
      <w:r>
        <w:rPr>
          <w:rFonts w:ascii="Calibri" w:hAnsi="Calibri"/>
          <w:b/>
          <w:color w:val="37474F"/>
          <w:sz w:val="23"/>
        </w:rPr>
        <w:t>IMPLEMENTATION SCHEDULE 6-A — FIRST 180 DAYS</w:t>
      </w:r>
      <w:bookmarkEnd w:id="1108"/>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109" w:name="toc_109"/>
      <w:pPr>
        <w:pStyle w:val="Heading2"/>
        <w:spacing w:before="160" w:after="80"/>
      </w:pPr>
      <w:r>
        <w:rPr>
          <w:rFonts w:ascii="Calibri" w:hAnsi="Calibri"/>
          <w:b/>
          <w:color w:val="37474F"/>
          <w:sz w:val="23"/>
        </w:rPr>
        <w:t>VERIFICATION MATRIX 6-B — COTHROM ADAPTATION</w:t>
      </w:r>
      <w:bookmarkEnd w:id="1109"/>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110" w:name="toc_110"/>
      <w:pPr>
        <w:pStyle w:val="Heading2"/>
        <w:spacing w:before="160" w:after="80"/>
      </w:pPr>
      <w:r>
        <w:rPr>
          <w:rFonts w:ascii="Calibri" w:hAnsi="Calibri"/>
          <w:b/>
          <w:color w:val="37474F"/>
          <w:sz w:val="23"/>
        </w:rPr>
        <w:t>MODEL NOTICE 6-C — ANNEX ISSUE REGISTRATION</w:t>
      </w:r>
      <w:bookmarkEnd w:id="1110"/>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111" w:name="toc_111"/>
      <w:pPr>
        <w:pStyle w:val="Heading2"/>
        <w:spacing w:before="160" w:after="80"/>
      </w:pPr>
      <w:r>
        <w:rPr>
          <w:rFonts w:ascii="Calibri" w:hAnsi="Calibri"/>
          <w:b/>
          <w:color w:val="37474F"/>
          <w:sz w:val="23"/>
        </w:rPr>
        <w:t>DATA AND RECORDS SCHEDULE 6-D</w:t>
      </w:r>
      <w:bookmarkEnd w:id="1111"/>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112" w:name="toc_112"/>
      <w:pPr>
        <w:pStyle w:val="Heading2"/>
        <w:spacing w:before="160" w:after="80"/>
      </w:pPr>
      <w:r>
        <w:rPr>
          <w:rFonts w:ascii="Calibri" w:hAnsi="Calibri"/>
          <w:b/>
          <w:color w:val="37474F"/>
          <w:sz w:val="23"/>
        </w:rPr>
        <w:t>STAKEHOLDER AND SME ACCESS SCHEDULE 6-E</w:t>
      </w:r>
      <w:bookmarkEnd w:id="1112"/>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113" w:name="toc_113"/>
      <w:pPr>
        <w:pStyle w:val="Heading2"/>
        <w:spacing w:before="160" w:after="80"/>
      </w:pPr>
      <w:r>
        <w:rPr>
          <w:rFonts w:ascii="Calibri" w:hAnsi="Calibri"/>
          <w:b/>
          <w:color w:val="37474F"/>
          <w:sz w:val="23"/>
        </w:rPr>
        <w:t>FAILURE-MODE PLAYBOOK 6-F</w:t>
      </w:r>
      <w:bookmarkEnd w:id="1113"/>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114" w:name="toc_114"/>
      <w:pPr>
        <w:pStyle w:val="Heading1"/>
        <w:spacing w:before="200" w:after="120"/>
      </w:pPr>
      <w:r>
        <w:rPr>
          <w:rFonts w:ascii="Calibri" w:hAnsi="Calibri"/>
          <w:b/>
          <w:color w:val="37474F"/>
          <w:sz w:val="30"/>
        </w:rPr>
        <w:t>ANNEX 7 — ACCELERATED DISPUTE SETTLEMENT, TARIFF CONSULTATION, AND COTHROM COMPLIANCE</w:t>
      </w:r>
      <w:bookmarkEnd w:id="1114"/>
    </w:p>
    <w:p>
      <w:pPr>
        <w:pStyle w:val="OperativeClause"/>
      </w:pPr>
      <w:r>
        <w:rPr>
          <w:rFonts w:ascii="Calibri" w:hAnsi="Calibri"/>
          <w:sz w:val="20"/>
        </w:rPr>
        <w:t>Interface: Chapter 31 interface. This Annex is independently adoptable. Its obligations bind only the Parties identified in the adopting instrument and only for the schedules or modules expressly activated.</w:t>
      </w:r>
    </w:p>
    <w:p>
      <w:bookmarkStart w:id="1115" w:name="toc_115"/>
      <w:pPr>
        <w:pStyle w:val="Heading2"/>
        <w:spacing w:before="160" w:after="80"/>
      </w:pPr>
      <w:r>
        <w:rPr>
          <w:rFonts w:ascii="Calibri" w:hAnsi="Calibri"/>
          <w:b/>
          <w:color w:val="37474F"/>
          <w:sz w:val="23"/>
        </w:rPr>
        <w:t>A7.1 Objective</w:t>
      </w:r>
      <w:bookmarkEnd w:id="1115"/>
    </w:p>
    <w:p>
      <w:pPr>
        <w:pStyle w:val="OperativeClause"/>
      </w:pPr>
      <w:r>
        <w:rPr>
          <w:rFonts w:ascii="Calibri" w:hAnsi="Calibri"/>
          <w:sz w:val="20"/>
        </w:rPr>
        <w:t>This Annex makes enforcement faster without making it hair-trigger. It combines standing panel capacity, compressed but fair clocks, transparent records, compliance review, advance consultation for tariff and safeguard measures, and Cothrom step-back and earn-back for Annex-specific benefits.</w:t>
      </w:r>
    </w:p>
    <w:p>
      <w:bookmarkStart w:id="1116" w:name="toc_116"/>
      <w:pPr>
        <w:pStyle w:val="Heading2"/>
        <w:spacing w:before="160" w:after="80"/>
      </w:pPr>
      <w:r>
        <w:rPr>
          <w:rFonts w:ascii="Calibri" w:hAnsi="Calibri"/>
          <w:b/>
          <w:color w:val="37474F"/>
          <w:sz w:val="23"/>
        </w:rPr>
        <w:t>A7.2 Standing Roster</w:t>
      </w:r>
      <w:bookmarkEnd w:id="1116"/>
    </w:p>
    <w:p>
      <w:pPr>
        <w:pStyle w:val="OperativeClause"/>
      </w:pPr>
      <w:r>
        <w:rPr>
          <w:rFonts w:ascii="Calibri" w:hAnsi="Calibri"/>
          <w:sz w:val="20"/>
        </w:rPr>
        <w:t>Participating Parties shall maintain a standing roster with expertise in trade law, customs, economics, digital regulation, labor, environment, and relevant sectoral disciplines. Terms are staggered. Failure by a Party to nominate a replacement does not prevent panel formation because the Annex uses a pre-agreed neutral fallback selection procedure.</w:t>
      </w:r>
    </w:p>
    <w:p>
      <w:bookmarkStart w:id="1117" w:name="toc_117"/>
      <w:pPr>
        <w:pStyle w:val="Heading2"/>
        <w:spacing w:before="160" w:after="80"/>
      </w:pPr>
      <w:r>
        <w:rPr>
          <w:rFonts w:ascii="Calibri" w:hAnsi="Calibri"/>
          <w:b/>
          <w:color w:val="37474F"/>
          <w:sz w:val="23"/>
        </w:rPr>
        <w:t>A7.3 Consultations</w:t>
      </w:r>
      <w:bookmarkEnd w:id="1117"/>
    </w:p>
    <w:p>
      <w:pPr>
        <w:pStyle w:val="OperativeClause"/>
      </w:pPr>
      <w:r>
        <w:rPr>
          <w:rFonts w:ascii="Calibri" w:hAnsi="Calibri"/>
          <w:sz w:val="20"/>
        </w:rPr>
        <w:t>A complaining Party shall provide a written request identifying the measure, legal basis, material trade effect, and requested resolution. Consultations begin within 10 days, or within 72 hours for an urgent tariff, border closure, perishable-goods matter, or digital-service interruption with immediate commercial effect.</w:t>
      </w:r>
    </w:p>
    <w:p>
      <w:bookmarkStart w:id="1118" w:name="toc_118"/>
      <w:pPr>
        <w:pStyle w:val="Heading2"/>
        <w:spacing w:before="160" w:after="80"/>
      </w:pPr>
      <w:r>
        <w:rPr>
          <w:rFonts w:ascii="Calibri" w:hAnsi="Calibri"/>
          <w:b/>
          <w:color w:val="37474F"/>
          <w:sz w:val="23"/>
        </w:rPr>
        <w:t>A7.4 Accelerated Panel</w:t>
      </w:r>
      <w:bookmarkEnd w:id="1118"/>
    </w:p>
    <w:p>
      <w:pPr>
        <w:pStyle w:val="OperativeClause"/>
      </w:pPr>
      <w:r>
        <w:rPr>
          <w:rFonts w:ascii="Calibri" w:hAnsi="Calibri"/>
          <w:sz w:val="20"/>
        </w:rPr>
        <w:t>If consultations fail, a panel may be requested after 20 days, or after 7 days in an urgent matter. The panel is constituted within 10 days of request. Written submissions follow a fixed calendar, the hearing ordinarily occurs within 45 days of constitution, and the final report issues within 120 days unless the Parties agree otherwise or due process requires a short extension explained in writing.</w:t>
      </w:r>
    </w:p>
    <w:p>
      <w:bookmarkStart w:id="1119" w:name="toc_119"/>
      <w:pPr>
        <w:pStyle w:val="Heading2"/>
        <w:spacing w:before="160" w:after="80"/>
      </w:pPr>
      <w:r>
        <w:rPr>
          <w:rFonts w:ascii="Calibri" w:hAnsi="Calibri"/>
          <w:b/>
          <w:color w:val="37474F"/>
          <w:sz w:val="23"/>
        </w:rPr>
        <w:t>A7.5 Transparency and Confidentiality</w:t>
      </w:r>
      <w:bookmarkEnd w:id="1119"/>
    </w:p>
    <w:p>
      <w:pPr>
        <w:pStyle w:val="OperativeClause"/>
      </w:pPr>
      <w:r>
        <w:rPr>
          <w:rFonts w:ascii="Calibri" w:hAnsi="Calibri"/>
          <w:sz w:val="20"/>
        </w:rPr>
        <w:t>Hearings are public except for protected sessions. Non-confidential submissions and final reports are published. A panel may receive amicus submissions under published rules. Confidential business, personal, law-enforcement, and security information is protected and may be summarized where disclosure would cause legally protected harm.</w:t>
      </w:r>
    </w:p>
    <w:p>
      <w:bookmarkStart w:id="1120" w:name="toc_120"/>
      <w:pPr>
        <w:pStyle w:val="Heading2"/>
        <w:spacing w:before="160" w:after="80"/>
      </w:pPr>
      <w:r>
        <w:rPr>
          <w:rFonts w:ascii="Calibri" w:hAnsi="Calibri"/>
          <w:b/>
          <w:color w:val="37474F"/>
          <w:sz w:val="23"/>
        </w:rPr>
        <w:t>A7.6 Compliance Review</w:t>
      </w:r>
      <w:bookmarkEnd w:id="1120"/>
    </w:p>
    <w:p>
      <w:pPr>
        <w:pStyle w:val="OperativeClause"/>
      </w:pPr>
      <w:r>
        <w:rPr>
          <w:rFonts w:ascii="Calibri" w:hAnsi="Calibri"/>
          <w:sz w:val="20"/>
        </w:rPr>
        <w:t>The responding Party shall notify its implementation plan within 20 days after a final report finding non-conformity. If the Parties disagree over compliance, the original panel where available conducts an accelerated review. A remedy is limited to the trade effect attributable to the unresolved non-conformity and should be concentrated in the affected module where practicable.</w:t>
      </w:r>
    </w:p>
    <w:p>
      <w:bookmarkStart w:id="1121" w:name="toc_121"/>
      <w:pPr>
        <w:pStyle w:val="Heading2"/>
        <w:spacing w:before="160" w:after="80"/>
      </w:pPr>
      <w:r>
        <w:rPr>
          <w:rFonts w:ascii="Calibri" w:hAnsi="Calibri"/>
          <w:b/>
          <w:color w:val="37474F"/>
          <w:sz w:val="23"/>
        </w:rPr>
        <w:t>A7.7 Advance Tariff and Safeguard Consultation</w:t>
      </w:r>
      <w:bookmarkEnd w:id="1121"/>
    </w:p>
    <w:p>
      <w:pPr>
        <w:pStyle w:val="OperativeClause"/>
      </w:pPr>
      <w:r>
        <w:rPr>
          <w:rFonts w:ascii="Calibri" w:hAnsi="Calibri"/>
          <w:sz w:val="20"/>
        </w:rPr>
        <w:t>Before a participating Party imposes a new tariff, quota, safeguard, or equivalent border charge specifically affecting another participating Party, it shall provide at least 15 days' notice and consultation where law and urgency permit. The notice shall identify authority, objective, products, proposed duration, evidence summary, and less restrictive alternatives considered. Emergency action is permitted, but post-action consultation begins within 72 hours.</w:t>
      </w:r>
    </w:p>
    <w:p>
      <w:bookmarkStart w:id="1122" w:name="toc_122"/>
      <w:pPr>
        <w:pStyle w:val="Heading2"/>
        <w:spacing w:before="160" w:after="80"/>
      </w:pPr>
      <w:r>
        <w:rPr>
          <w:rFonts w:ascii="Calibri" w:hAnsi="Calibri"/>
          <w:b/>
          <w:color w:val="37474F"/>
          <w:sz w:val="23"/>
        </w:rPr>
        <w:t>A7.8 Cothrom Step-Back</w:t>
      </w:r>
      <w:bookmarkEnd w:id="1122"/>
    </w:p>
    <w:p>
      <w:pPr>
        <w:pStyle w:val="OperativeClause"/>
      </w:pPr>
      <w:r>
        <w:rPr>
          <w:rFonts w:ascii="Calibri" w:hAnsi="Calibri"/>
          <w:sz w:val="20"/>
        </w:rPr>
        <w:t>For obligations created solely by this Protocol, the first remedy is correction. Tier 1 produces no suspension. Tier 2 may pause up to 25 percent of incremental Annex benefits demonstrably connected to the breach after cure opportunity. Tier 3 may pause up to 50 percent of such benefits after accelerated neutral review, except where the Parties agree that immediate action is necessary to prevent ongoing fraud or serious harm.</w:t>
      </w:r>
    </w:p>
    <w:p>
      <w:bookmarkStart w:id="1123" w:name="toc_123"/>
      <w:pPr>
        <w:pStyle w:val="Heading2"/>
        <w:spacing w:before="160" w:after="80"/>
      </w:pPr>
      <w:r>
        <w:rPr>
          <w:rFonts w:ascii="Calibri" w:hAnsi="Calibri"/>
          <w:b/>
          <w:color w:val="37474F"/>
          <w:sz w:val="23"/>
        </w:rPr>
        <w:t>A7.9 Earn-Back</w:t>
      </w:r>
      <w:bookmarkEnd w:id="1123"/>
    </w:p>
    <w:p>
      <w:pPr>
        <w:pStyle w:val="OperativeClause"/>
      </w:pPr>
      <w:r>
        <w:rPr>
          <w:rFonts w:ascii="Calibri" w:hAnsi="Calibri"/>
          <w:sz w:val="20"/>
        </w:rPr>
        <w:t>A Party that cures a Tier 2 failure regains paused benefits after 10 business days of verified clean performance. A Party that cures a Tier 3 failure regains paused benefits after 30 business days of verified clean performance. The neutral reviewer may shorten the period for exceptional over-compliance or extend it once for up to 15 business days where the evidence remains materially incomplete.</w:t>
      </w:r>
    </w:p>
    <w:p>
      <w:bookmarkStart w:id="1124" w:name="toc_124"/>
      <w:pPr>
        <w:pStyle w:val="Heading2"/>
        <w:spacing w:before="160" w:after="80"/>
      </w:pPr>
      <w:r>
        <w:rPr>
          <w:rFonts w:ascii="Calibri" w:hAnsi="Calibri"/>
          <w:b/>
          <w:color w:val="37474F"/>
          <w:sz w:val="23"/>
        </w:rPr>
        <w:t>A7.10 Relationship to Chapter 31</w:t>
      </w:r>
      <w:bookmarkEnd w:id="1124"/>
    </w:p>
    <w:p>
      <w:pPr>
        <w:pStyle w:val="OperativeClause"/>
      </w:pPr>
      <w:r>
        <w:rPr>
          <w:rFonts w:ascii="Calibri" w:hAnsi="Calibri"/>
          <w:sz w:val="20"/>
        </w:rPr>
        <w:t>Nothing in this Annex removes access to Chapter 31 where Chapter 31 applies. A Party shall not obtain double compensation for the same trade injury. Findings under this Annex may be submitted as evidence in a Chapter 31 proceeding but do not bind a Chapter 31 panel on questions outside the Annex.</w:t>
      </w:r>
    </w:p>
    <w:p>
      <w:bookmarkStart w:id="1125" w:name="toc_125"/>
      <w:pPr>
        <w:pStyle w:val="Heading2"/>
        <w:spacing w:before="160" w:after="80"/>
      </w:pPr>
      <w:r>
        <w:rPr>
          <w:rFonts w:ascii="Calibri" w:hAnsi="Calibri"/>
          <w:b/>
          <w:color w:val="37474F"/>
          <w:sz w:val="23"/>
        </w:rPr>
        <w:t>IMPLEMENTATION SCHEDULE 7-A — FIRST 180 DAYS</w:t>
      </w:r>
      <w:bookmarkEnd w:id="1125"/>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126" w:name="toc_126"/>
      <w:pPr>
        <w:pStyle w:val="Heading2"/>
        <w:spacing w:before="160" w:after="80"/>
      </w:pPr>
      <w:r>
        <w:rPr>
          <w:rFonts w:ascii="Calibri" w:hAnsi="Calibri"/>
          <w:b/>
          <w:color w:val="37474F"/>
          <w:sz w:val="23"/>
        </w:rPr>
        <w:t>VERIFICATION MATRIX 7-B — COTHROM ADAPTATION</w:t>
      </w:r>
      <w:bookmarkEnd w:id="1126"/>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127" w:name="toc_127"/>
      <w:pPr>
        <w:pStyle w:val="Heading2"/>
        <w:spacing w:before="160" w:after="80"/>
      </w:pPr>
      <w:r>
        <w:rPr>
          <w:rFonts w:ascii="Calibri" w:hAnsi="Calibri"/>
          <w:b/>
          <w:color w:val="37474F"/>
          <w:sz w:val="23"/>
        </w:rPr>
        <w:t>MODEL NOTICE 7-C — ANNEX ISSUE REGISTRATION</w:t>
      </w:r>
      <w:bookmarkEnd w:id="1127"/>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128" w:name="toc_128"/>
      <w:pPr>
        <w:pStyle w:val="Heading2"/>
        <w:spacing w:before="160" w:after="80"/>
      </w:pPr>
      <w:r>
        <w:rPr>
          <w:rFonts w:ascii="Calibri" w:hAnsi="Calibri"/>
          <w:b/>
          <w:color w:val="37474F"/>
          <w:sz w:val="23"/>
        </w:rPr>
        <w:t>DATA AND RECORDS SCHEDULE 7-D</w:t>
      </w:r>
      <w:bookmarkEnd w:id="1128"/>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129" w:name="toc_129"/>
      <w:pPr>
        <w:pStyle w:val="Heading2"/>
        <w:spacing w:before="160" w:after="80"/>
      </w:pPr>
      <w:r>
        <w:rPr>
          <w:rFonts w:ascii="Calibri" w:hAnsi="Calibri"/>
          <w:b/>
          <w:color w:val="37474F"/>
          <w:sz w:val="23"/>
        </w:rPr>
        <w:t>STAKEHOLDER AND SME ACCESS SCHEDULE 7-E</w:t>
      </w:r>
      <w:bookmarkEnd w:id="1129"/>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130" w:name="toc_130"/>
      <w:pPr>
        <w:pStyle w:val="Heading2"/>
        <w:spacing w:before="160" w:after="80"/>
      </w:pPr>
      <w:r>
        <w:rPr>
          <w:rFonts w:ascii="Calibri" w:hAnsi="Calibri"/>
          <w:b/>
          <w:color w:val="37474F"/>
          <w:sz w:val="23"/>
        </w:rPr>
        <w:t>FAILURE-MODE PLAYBOOK 7-F</w:t>
      </w:r>
      <w:bookmarkEnd w:id="1130"/>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131" w:name="toc_131"/>
      <w:pPr>
        <w:pStyle w:val="Heading1"/>
        <w:spacing w:before="200" w:after="120"/>
      </w:pPr>
      <w:r>
        <w:rPr>
          <w:rFonts w:ascii="Calibri" w:hAnsi="Calibri"/>
          <w:b/>
          <w:color w:val="37474F"/>
          <w:sz w:val="30"/>
        </w:rPr>
        <w:t>ANNEX 8 — RECIPROCAL MARKET ACCESS, AGRICULTURE, ALCOHOL, PROCUREMENT, AND REGULATORY FRICTION</w:t>
      </w:r>
      <w:bookmarkEnd w:id="1131"/>
    </w:p>
    <w:p>
      <w:pPr>
        <w:pStyle w:val="OperativeClause"/>
      </w:pPr>
      <w:r>
        <w:rPr>
          <w:rFonts w:ascii="Calibri" w:hAnsi="Calibri"/>
          <w:sz w:val="20"/>
        </w:rPr>
        <w:t>Interface: Cross-cutting market-access interface. This Annex is independently adoptable. Its obligations bind only the Parties identified in the adopting instrument and only for the schedules or modules expressly activated.</w:t>
      </w:r>
    </w:p>
    <w:p>
      <w:bookmarkStart w:id="1132" w:name="toc_132"/>
      <w:pPr>
        <w:pStyle w:val="Heading2"/>
        <w:spacing w:before="160" w:after="80"/>
      </w:pPr>
      <w:r>
        <w:rPr>
          <w:rFonts w:ascii="Calibri" w:hAnsi="Calibri"/>
          <w:b/>
          <w:color w:val="37474F"/>
          <w:sz w:val="23"/>
        </w:rPr>
        <w:t>A8.1 Objective</w:t>
      </w:r>
      <w:bookmarkEnd w:id="1132"/>
    </w:p>
    <w:p>
      <w:pPr>
        <w:pStyle w:val="OperativeClause"/>
      </w:pPr>
      <w:r>
        <w:rPr>
          <w:rFonts w:ascii="Calibri" w:hAnsi="Calibri"/>
          <w:sz w:val="20"/>
        </w:rPr>
        <w:t>This Annex addresses high-salience bilateral frictions that do not fit cleanly inside the seven technical modernization modules. It is separately adoptable and uses opt-in schedules so that dairy administration, alcoholic-beverage treatment, procurement reciprocity, agricultural regulatory issues, and other identified frictions can be resolved without reopening unrelated CUSMA commitments.</w:t>
      </w:r>
    </w:p>
    <w:p>
      <w:bookmarkStart w:id="1133" w:name="toc_133"/>
      <w:pPr>
        <w:pStyle w:val="Heading2"/>
        <w:spacing w:before="160" w:after="80"/>
      </w:pPr>
      <w:r>
        <w:rPr>
          <w:rFonts w:ascii="Calibri" w:hAnsi="Calibri"/>
          <w:b/>
          <w:color w:val="37474F"/>
          <w:sz w:val="23"/>
        </w:rPr>
        <w:t>A8.2 Dairy TRQ Administration</w:t>
      </w:r>
      <w:bookmarkEnd w:id="1133"/>
    </w:p>
    <w:p>
      <w:pPr>
        <w:pStyle w:val="OperativeClause"/>
      </w:pPr>
      <w:r>
        <w:rPr>
          <w:rFonts w:ascii="Calibri" w:hAnsi="Calibri"/>
          <w:sz w:val="20"/>
        </w:rPr>
        <w:t>Where a participating Party administers a dairy tariff-rate quota covered by an adopting schedule, allocation criteria shall be published in advance, commercially relevant applicant classes shall have a fair opportunity to participate, and unused allocations shall be returned and reallocated early enough to be commercially usable. The administering Party shall publish fill rates, returned volume, reallocation volume, application deadlines, and non-confidential reasons for material allocation-rule changes.</w:t>
      </w:r>
    </w:p>
    <w:p>
      <w:bookmarkStart w:id="1134" w:name="toc_134"/>
      <w:pPr>
        <w:pStyle w:val="Heading2"/>
        <w:spacing w:before="160" w:after="80"/>
      </w:pPr>
      <w:r>
        <w:rPr>
          <w:rFonts w:ascii="Calibri" w:hAnsi="Calibri"/>
          <w:b/>
          <w:color w:val="37474F"/>
          <w:sz w:val="23"/>
        </w:rPr>
        <w:t>A8.3 Retailer and Distributor Eligibility Neutrality</w:t>
      </w:r>
      <w:bookmarkEnd w:id="1134"/>
    </w:p>
    <w:p>
      <w:pPr>
        <w:pStyle w:val="OperativeClause"/>
      </w:pPr>
      <w:r>
        <w:rPr>
          <w:rFonts w:ascii="Calibri" w:hAnsi="Calibri"/>
          <w:sz w:val="20"/>
        </w:rPr>
        <w:t>If comparable quota access is available to retailers, distributors, processors, or other applicant classes under another preferential arrangement, the administering Party shall explain any materially less favorable eligibility rule applied to a participating Party. A difference may be maintained where it serves a legitimate policy objective and is not arbitrary discrimination. The affected Party may request accelerated Cothrom factual review.</w:t>
      </w:r>
    </w:p>
    <w:p>
      <w:bookmarkStart w:id="1135" w:name="toc_135"/>
      <w:pPr>
        <w:pStyle w:val="Heading2"/>
        <w:spacing w:before="160" w:after="80"/>
      </w:pPr>
      <w:r>
        <w:rPr>
          <w:rFonts w:ascii="Calibri" w:hAnsi="Calibri"/>
          <w:b/>
          <w:color w:val="37474F"/>
          <w:sz w:val="23"/>
        </w:rPr>
        <w:t>A8.4 Supply-Management Firewall</w:t>
      </w:r>
      <w:bookmarkEnd w:id="1135"/>
    </w:p>
    <w:p>
      <w:pPr>
        <w:pStyle w:val="OperativeClause"/>
      </w:pPr>
      <w:r>
        <w:rPr>
          <w:rFonts w:ascii="Calibri" w:hAnsi="Calibri"/>
          <w:sz w:val="20"/>
        </w:rPr>
        <w:t>Nothing in this Annex requires a Party to abolish supply management, eliminate an over-quota tariff, or increase a negotiated quota quantity unless an adopting schedule expressly states that commitment. The operative bargain is usable, transparent, non-discriminatory administration of access actually granted, not an implied surrender of domestic agricultural policy.</w:t>
      </w:r>
    </w:p>
    <w:p>
      <w:bookmarkStart w:id="1136" w:name="toc_136"/>
      <w:pPr>
        <w:pStyle w:val="Heading2"/>
        <w:spacing w:before="160" w:after="80"/>
      </w:pPr>
      <w:r>
        <w:rPr>
          <w:rFonts w:ascii="Calibri" w:hAnsi="Calibri"/>
          <w:b/>
          <w:color w:val="37474F"/>
          <w:sz w:val="23"/>
        </w:rPr>
        <w:t>A8.5 Alcoholic Beverage Non-Discrimination</w:t>
      </w:r>
      <w:bookmarkEnd w:id="1136"/>
    </w:p>
    <w:p>
      <w:pPr>
        <w:pStyle w:val="OperativeClause"/>
      </w:pPr>
      <w:r>
        <w:rPr>
          <w:rFonts w:ascii="Calibri" w:hAnsi="Calibri"/>
          <w:sz w:val="20"/>
        </w:rPr>
        <w:t>A provincial, territorial, state, or federal liquor authority participating through an adopting schedule shall not delist, refuse listing, impose a nationality-specific markup, or deny ordinary distribution solely because the product originates in another participating Party, except pursuant to a generally applicable law, sanctions measure, health or safety action, or other published public-policy measure. Emergency action shall receive prompt review and written reasons.</w:t>
      </w:r>
    </w:p>
    <w:p>
      <w:bookmarkStart w:id="1137" w:name="toc_137"/>
      <w:pPr>
        <w:pStyle w:val="Heading2"/>
        <w:spacing w:before="160" w:after="80"/>
      </w:pPr>
      <w:r>
        <w:rPr>
          <w:rFonts w:ascii="Calibri" w:hAnsi="Calibri"/>
          <w:b/>
          <w:color w:val="37474F"/>
          <w:sz w:val="23"/>
        </w:rPr>
        <w:t>A8.6 Liquor-Board Transparency</w:t>
      </w:r>
      <w:bookmarkEnd w:id="1137"/>
    </w:p>
    <w:p>
      <w:pPr>
        <w:pStyle w:val="OperativeClause"/>
      </w:pPr>
      <w:r>
        <w:rPr>
          <w:rFonts w:ascii="Calibri" w:hAnsi="Calibri"/>
          <w:sz w:val="20"/>
        </w:rPr>
        <w:t>Participating liquor authorities shall publish listing criteria, standard commercial terms, markups or fee methodologies, appeal or reconsideration channels, and ordinary timelines. Commercial decisions may consider demand, shelf capacity, performance, responsible-service requirements, and portfolio strategy, provided nationality is not used as an undisclosed retaliatory criterion.</w:t>
      </w:r>
    </w:p>
    <w:p>
      <w:bookmarkStart w:id="1138" w:name="toc_138"/>
      <w:pPr>
        <w:pStyle w:val="Heading2"/>
        <w:spacing w:before="160" w:after="80"/>
      </w:pPr>
      <w:r>
        <w:rPr>
          <w:rFonts w:ascii="Calibri" w:hAnsi="Calibri"/>
          <w:b/>
          <w:color w:val="37474F"/>
          <w:sz w:val="23"/>
        </w:rPr>
        <w:t>A8.7 Agricultural Regulatory Friction</w:t>
      </w:r>
      <w:bookmarkEnd w:id="1138"/>
    </w:p>
    <w:p>
      <w:pPr>
        <w:pStyle w:val="OperativeClause"/>
      </w:pPr>
      <w:r>
        <w:rPr>
          <w:rFonts w:ascii="Calibri" w:hAnsi="Calibri"/>
          <w:sz w:val="20"/>
        </w:rPr>
        <w:t>The Agriculture Track shall maintain a register of recurring seed, produce, inspection, certification, residue, labeling, and other market-access frictions. Each item receives a responsible authority, evidence request, scientific or regulatory issue statement, and target resolution date. Equivalence or systems recognition may be used where it provides the importing Party's chosen level of protection.</w:t>
      </w:r>
    </w:p>
    <w:p>
      <w:bookmarkStart w:id="1139" w:name="toc_139"/>
      <w:pPr>
        <w:pStyle w:val="Heading2"/>
        <w:spacing w:before="160" w:after="80"/>
      </w:pPr>
      <w:r>
        <w:rPr>
          <w:rFonts w:ascii="Calibri" w:hAnsi="Calibri"/>
          <w:b/>
          <w:color w:val="37474F"/>
          <w:sz w:val="23"/>
        </w:rPr>
        <w:t>A8.8 Reciprocal Procurement Schedule</w:t>
      </w:r>
      <w:bookmarkEnd w:id="1139"/>
    </w:p>
    <w:p>
      <w:pPr>
        <w:pStyle w:val="OperativeClause"/>
      </w:pPr>
      <w:r>
        <w:rPr>
          <w:rFonts w:ascii="Calibri" w:hAnsi="Calibri"/>
          <w:sz w:val="20"/>
        </w:rPr>
        <w:t>Canada and the United States, and Mexico where it elects to participate, may list federal and consenting sub-federal entities in a reciprocal procurement schedule. Access is matched by entity class, sector, threshold, or funding program rather than presumed universal. A Party may condition new sub-federal access on commercially meaningful reciprocal access by the other Party.</w:t>
      </w:r>
    </w:p>
    <w:p>
      <w:bookmarkStart w:id="1140" w:name="toc_140"/>
      <w:pPr>
        <w:pStyle w:val="Heading2"/>
        <w:spacing w:before="160" w:after="80"/>
      </w:pPr>
      <w:r>
        <w:rPr>
          <w:rFonts w:ascii="Calibri" w:hAnsi="Calibri"/>
          <w:b/>
          <w:color w:val="37474F"/>
          <w:sz w:val="23"/>
        </w:rPr>
        <w:t>A8.9 Procurement Transparency and Domestic-Preference Notice</w:t>
      </w:r>
      <w:bookmarkEnd w:id="1140"/>
    </w:p>
    <w:p>
      <w:pPr>
        <w:pStyle w:val="OperativeClause"/>
      </w:pPr>
      <w:r>
        <w:rPr>
          <w:rFonts w:ascii="Calibri" w:hAnsi="Calibri"/>
          <w:sz w:val="20"/>
        </w:rPr>
        <w:t>A covered procuring entity shall disclose material domestic-content preferences, evaluation credits, local-production conditions, and eligibility exclusions in the solicitation. A new preference that materially reduces access for suppliers of another participating Party shall be notified to the Procurement Working Group. Essential-security, defense, Indigenous procurement, small-business set-asides, and other listed public-policy exclusions remain available as scheduled.</w:t>
      </w:r>
    </w:p>
    <w:p>
      <w:bookmarkStart w:id="1141" w:name="toc_141"/>
      <w:pPr>
        <w:pStyle w:val="Heading2"/>
        <w:spacing w:before="160" w:after="80"/>
      </w:pPr>
      <w:r>
        <w:rPr>
          <w:rFonts w:ascii="Calibri" w:hAnsi="Calibri"/>
          <w:b/>
          <w:color w:val="37474F"/>
          <w:sz w:val="23"/>
        </w:rPr>
        <w:t>A8.10 Retaliatory Measure Stand-Down Option</w:t>
      </w:r>
      <w:bookmarkEnd w:id="1141"/>
    </w:p>
    <w:p>
      <w:pPr>
        <w:pStyle w:val="OperativeClause"/>
      </w:pPr>
      <w:r>
        <w:rPr>
          <w:rFonts w:ascii="Calibri" w:hAnsi="Calibri"/>
          <w:sz w:val="20"/>
        </w:rPr>
        <w:t>An adopting schedule may pair suspension or removal of a retaliatory measure with a reciprocal suspension or removal by another Party. Paired measures shall use synchronized effective times and a defined restoration procedure. Restoration after breach follows Annex 7 and Cothrom rather than automatic across-the-board snapback.</w:t>
      </w:r>
    </w:p>
    <w:p>
      <w:bookmarkStart w:id="1142" w:name="toc_142"/>
      <w:pPr>
        <w:pStyle w:val="Heading2"/>
        <w:spacing w:before="160" w:after="80"/>
      </w:pPr>
      <w:r>
        <w:rPr>
          <w:rFonts w:ascii="Calibri" w:hAnsi="Calibri"/>
          <w:b/>
          <w:color w:val="37474F"/>
          <w:sz w:val="23"/>
        </w:rPr>
        <w:t>A8.11 Regulatory Equivalence</w:t>
      </w:r>
      <w:bookmarkEnd w:id="1142"/>
    </w:p>
    <w:p>
      <w:pPr>
        <w:pStyle w:val="OperativeClause"/>
      </w:pPr>
      <w:r>
        <w:rPr>
          <w:rFonts w:ascii="Calibri" w:hAnsi="Calibri"/>
          <w:sz w:val="20"/>
        </w:rPr>
        <w:t>Where a Party alleges that a technical or administrative rule denies practical market access, the competent authorities shall first test whether equivalence, mutual reliance, shared inspection, electronic certification, or a targeted pilot can resolve the problem without lowering the importing Party's protection level.</w:t>
      </w:r>
    </w:p>
    <w:p>
      <w:bookmarkStart w:id="1143" w:name="toc_143"/>
      <w:pPr>
        <w:pStyle w:val="Heading2"/>
        <w:spacing w:before="160" w:after="80"/>
      </w:pPr>
      <w:r>
        <w:rPr>
          <w:rFonts w:ascii="Calibri" w:hAnsi="Calibri"/>
          <w:b/>
          <w:color w:val="37474F"/>
          <w:sz w:val="23"/>
        </w:rPr>
        <w:t>A8.12 Review</w:t>
      </w:r>
      <w:bookmarkEnd w:id="1143"/>
    </w:p>
    <w:p>
      <w:pPr>
        <w:pStyle w:val="OperativeClause"/>
      </w:pPr>
      <w:r>
        <w:rPr>
          <w:rFonts w:ascii="Calibri" w:hAnsi="Calibri"/>
          <w:sz w:val="20"/>
        </w:rPr>
        <w:t>The Market Access Committee shall review the friction register quarterly and publish a non-confidential scorecard identifying open items, resolved items, average time to resolution, utilization of granted access, and any matter escalated to Annex 7.</w:t>
      </w:r>
    </w:p>
    <w:p>
      <w:bookmarkStart w:id="1144" w:name="toc_144"/>
      <w:pPr>
        <w:pStyle w:val="Heading2"/>
        <w:spacing w:before="160" w:after="80"/>
      </w:pPr>
      <w:r>
        <w:rPr>
          <w:rFonts w:ascii="Calibri" w:hAnsi="Calibri"/>
          <w:b/>
          <w:color w:val="37474F"/>
          <w:sz w:val="23"/>
        </w:rPr>
        <w:t>IMPLEMENTATION SCHEDULE 8-A — FIRST 180 DAYS</w:t>
      </w:r>
      <w:bookmarkEnd w:id="1144"/>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3F0"/>
          </w:tcPr>
          <w:p>
            <w:r>
              <w:rPr>
                <w:rFonts w:ascii="Calibri" w:hAnsi="Calibri"/>
                <w:b/>
                <w:color w:val="37474F"/>
                <w:sz w:val="17"/>
              </w:rPr>
              <w:t>Window</w:t>
            </w:r>
          </w:p>
        </w:tc>
        <w:tc>
          <w:tcPr>
            <w:tcW w:type="dxa" w:w="5083"/>
            <w:shd w:fill="D9E3F0"/>
          </w:tcPr>
          <w:p>
            <w:r>
              <w:rPr>
                <w:rFonts w:ascii="Calibri" w:hAnsi="Calibri"/>
                <w:b/>
                <w:color w:val="37474F"/>
                <w:sz w:val="17"/>
              </w:rPr>
              <w:t>Required implementation action</w:t>
            </w:r>
          </w:p>
        </w:tc>
      </w:tr>
      <w:tr>
        <w:tc>
          <w:tcPr>
            <w:tcW w:type="dxa" w:w="5083"/>
            <w:vAlign w:val="top"/>
          </w:tcPr>
          <w:p>
            <w:pPr>
              <w:spacing w:after="30"/>
            </w:pPr>
            <w:r>
              <w:rPr>
                <w:rFonts w:ascii="Calibri" w:hAnsi="Calibri"/>
                <w:sz w:val="17"/>
              </w:rPr>
              <w:t>Day 0–10</w:t>
            </w:r>
          </w:p>
        </w:tc>
        <w:tc>
          <w:tcPr>
            <w:tcW w:type="dxa" w:w="5083"/>
            <w:vAlign w:val="top"/>
          </w:tcPr>
          <w:p>
            <w:pPr>
              <w:spacing w:after="30"/>
            </w:pPr>
            <w:r>
              <w:rPr>
                <w:rFonts w:ascii="Calibri" w:hAnsi="Calibri"/>
                <w:sz w:val="17"/>
              </w:rPr>
              <w:t>Designate lead ministry/agency, technical contact points, legal contact, registry administrator, and confidentiality officer.</w:t>
            </w:r>
          </w:p>
        </w:tc>
      </w:tr>
      <w:tr>
        <w:tc>
          <w:tcPr>
            <w:tcW w:type="dxa" w:w="5083"/>
            <w:vAlign w:val="top"/>
          </w:tcPr>
          <w:p>
            <w:pPr>
              <w:spacing w:after="30"/>
            </w:pPr>
            <w:r>
              <w:rPr>
                <w:rFonts w:ascii="Calibri" w:hAnsi="Calibri"/>
                <w:sz w:val="17"/>
              </w:rPr>
              <w:t>Day 11–30</w:t>
            </w:r>
          </w:p>
        </w:tc>
        <w:tc>
          <w:tcPr>
            <w:tcW w:type="dxa" w:w="5083"/>
            <w:vAlign w:val="top"/>
          </w:tcPr>
          <w:p>
            <w:pPr>
              <w:spacing w:after="30"/>
            </w:pPr>
            <w:r>
              <w:rPr>
                <w:rFonts w:ascii="Calibri" w:hAnsi="Calibri"/>
                <w:sz w:val="17"/>
              </w:rPr>
              <w:t>Publish implementation notice, forms, data dictionary, initial covered schedules, and contact channel; identify any domestic legal step still required.</w:t>
            </w:r>
          </w:p>
        </w:tc>
      </w:tr>
      <w:tr>
        <w:tc>
          <w:tcPr>
            <w:tcW w:type="dxa" w:w="5083"/>
            <w:vAlign w:val="top"/>
          </w:tcPr>
          <w:p>
            <w:pPr>
              <w:spacing w:after="30"/>
            </w:pPr>
            <w:r>
              <w:rPr>
                <w:rFonts w:ascii="Calibri" w:hAnsi="Calibri"/>
                <w:sz w:val="17"/>
              </w:rPr>
              <w:t>Day 31–60</w:t>
            </w:r>
          </w:p>
        </w:tc>
        <w:tc>
          <w:tcPr>
            <w:tcW w:type="dxa" w:w="5083"/>
            <w:vAlign w:val="top"/>
          </w:tcPr>
          <w:p>
            <w:pPr>
              <w:spacing w:after="30"/>
            </w:pPr>
            <w:r>
              <w:rPr>
                <w:rFonts w:ascii="Calibri" w:hAnsi="Calibri"/>
                <w:sz w:val="17"/>
              </w:rPr>
              <w:t>Run first interoperability or compliance test; open stakeholder intake; log baseline performance metrics; correct critical technical defects.</w:t>
            </w:r>
          </w:p>
        </w:tc>
      </w:tr>
      <w:tr>
        <w:tc>
          <w:tcPr>
            <w:tcW w:type="dxa" w:w="5083"/>
            <w:vAlign w:val="top"/>
          </w:tcPr>
          <w:p>
            <w:pPr>
              <w:spacing w:after="30"/>
            </w:pPr>
            <w:r>
              <w:rPr>
                <w:rFonts w:ascii="Calibri" w:hAnsi="Calibri"/>
                <w:sz w:val="17"/>
              </w:rPr>
              <w:t>Day 61–90</w:t>
            </w:r>
          </w:p>
        </w:tc>
        <w:tc>
          <w:tcPr>
            <w:tcW w:type="dxa" w:w="5083"/>
            <w:vAlign w:val="top"/>
          </w:tcPr>
          <w:p>
            <w:pPr>
              <w:spacing w:after="30"/>
            </w:pPr>
            <w:r>
              <w:rPr>
                <w:rFonts w:ascii="Calibri" w:hAnsi="Calibri"/>
                <w:sz w:val="17"/>
              </w:rPr>
              <w:t>Complete first Cothrom readiness audit; publish non-confidential dashboard; resolve Tier 1 launch issues; escalate unresolved material issues.</w:t>
            </w:r>
          </w:p>
        </w:tc>
      </w:tr>
      <w:tr>
        <w:tc>
          <w:tcPr>
            <w:tcW w:type="dxa" w:w="5083"/>
            <w:vAlign w:val="top"/>
          </w:tcPr>
          <w:p>
            <w:pPr>
              <w:spacing w:after="30"/>
            </w:pPr>
            <w:r>
              <w:rPr>
                <w:rFonts w:ascii="Calibri" w:hAnsi="Calibri"/>
                <w:sz w:val="17"/>
              </w:rPr>
              <w:t>Day 91–120</w:t>
            </w:r>
          </w:p>
        </w:tc>
        <w:tc>
          <w:tcPr>
            <w:tcW w:type="dxa" w:w="5083"/>
            <w:vAlign w:val="top"/>
          </w:tcPr>
          <w:p>
            <w:pPr>
              <w:spacing w:after="30"/>
            </w:pPr>
            <w:r>
              <w:rPr>
                <w:rFonts w:ascii="Calibri" w:hAnsi="Calibri"/>
                <w:sz w:val="17"/>
              </w:rPr>
              <w:t>Conduct cross-border simulation or sample case review; validate evidence exchange, confidentiality, clocks, and appeal routing.</w:t>
            </w:r>
          </w:p>
        </w:tc>
      </w:tr>
      <w:tr>
        <w:tc>
          <w:tcPr>
            <w:tcW w:type="dxa" w:w="5083"/>
            <w:vAlign w:val="top"/>
          </w:tcPr>
          <w:p>
            <w:pPr>
              <w:spacing w:after="30"/>
            </w:pPr>
            <w:r>
              <w:rPr>
                <w:rFonts w:ascii="Calibri" w:hAnsi="Calibri"/>
                <w:sz w:val="17"/>
              </w:rPr>
              <w:t>Day 121–180</w:t>
            </w:r>
          </w:p>
        </w:tc>
        <w:tc>
          <w:tcPr>
            <w:tcW w:type="dxa" w:w="5083"/>
            <w:vAlign w:val="top"/>
          </w:tcPr>
          <w:p>
            <w:pPr>
              <w:spacing w:after="30"/>
            </w:pPr>
            <w:r>
              <w:rPr>
                <w:rFonts w:ascii="Calibri" w:hAnsi="Calibri"/>
                <w:sz w:val="17"/>
              </w:rPr>
              <w:t>Issue first implementation report and ministerial/committee decision on any schedule adjustment that falls within delegated technical authority.</w:t>
            </w:r>
          </w:p>
        </w:tc>
      </w:tr>
    </w:tbl>
    <w:p/>
    <w:p>
      <w:bookmarkStart w:id="1145" w:name="toc_145"/>
      <w:pPr>
        <w:pStyle w:val="Heading2"/>
        <w:spacing w:before="160" w:after="80"/>
      </w:pPr>
      <w:r>
        <w:rPr>
          <w:rFonts w:ascii="Calibri" w:hAnsi="Calibri"/>
          <w:b/>
          <w:color w:val="37474F"/>
          <w:sz w:val="23"/>
        </w:rPr>
        <w:t>VERIFICATION MATRIX 8-B — COTHROM ADAPTATION</w:t>
      </w:r>
      <w:bookmarkEnd w:id="1145"/>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ID</w:t>
            </w:r>
          </w:p>
        </w:tc>
        <w:tc>
          <w:tcPr>
            <w:tcW w:type="dxa" w:w="2033"/>
            <w:shd w:fill="D9E3F0"/>
          </w:tcPr>
          <w:p>
            <w:r>
              <w:rPr>
                <w:rFonts w:ascii="Calibri" w:hAnsi="Calibri"/>
                <w:b/>
                <w:color w:val="37474F"/>
                <w:sz w:val="17"/>
              </w:rPr>
              <w:t>Test</w:t>
            </w:r>
          </w:p>
        </w:tc>
        <w:tc>
          <w:tcPr>
            <w:tcW w:type="dxa" w:w="2033"/>
            <w:shd w:fill="D9E3F0"/>
          </w:tcPr>
          <w:p>
            <w:r>
              <w:rPr>
                <w:rFonts w:ascii="Calibri" w:hAnsi="Calibri"/>
                <w:b/>
                <w:color w:val="37474F"/>
                <w:sz w:val="17"/>
              </w:rPr>
              <w:t>Operative benchmark</w:t>
            </w:r>
          </w:p>
        </w:tc>
        <w:tc>
          <w:tcPr>
            <w:tcW w:type="dxa" w:w="2033"/>
            <w:shd w:fill="D9E3F0"/>
          </w:tcPr>
          <w:p>
            <w:r>
              <w:rPr>
                <w:rFonts w:ascii="Calibri" w:hAnsi="Calibri"/>
                <w:b/>
                <w:color w:val="37474F"/>
                <w:sz w:val="17"/>
              </w:rPr>
              <w:t>Primary evidence</w:t>
            </w:r>
          </w:p>
        </w:tc>
        <w:tc>
          <w:tcPr>
            <w:tcW w:type="dxa" w:w="2033"/>
            <w:shd w:fill="D9E3F0"/>
          </w:tcPr>
          <w:p>
            <w:r>
              <w:rPr>
                <w:rFonts w:ascii="Calibri" w:hAnsi="Calibri"/>
                <w:b/>
                <w:color w:val="37474F"/>
                <w:sz w:val="17"/>
              </w:rPr>
              <w:t>Cothrom treatment</w:t>
            </w:r>
          </w:p>
        </w:tc>
      </w:tr>
      <w:tr>
        <w:tc>
          <w:tcPr>
            <w:tcW w:type="dxa" w:w="2033"/>
            <w:vAlign w:val="top"/>
          </w:tcPr>
          <w:p>
            <w:pPr>
              <w:spacing w:after="30"/>
            </w:pPr>
            <w:r>
              <w:rPr>
                <w:rFonts w:ascii="Calibri" w:hAnsi="Calibri"/>
                <w:sz w:val="17"/>
              </w:rPr>
              <w:t>V1</w:t>
            </w:r>
          </w:p>
        </w:tc>
        <w:tc>
          <w:tcPr>
            <w:tcW w:type="dxa" w:w="2033"/>
            <w:vAlign w:val="top"/>
          </w:tcPr>
          <w:p>
            <w:pPr>
              <w:spacing w:after="30"/>
            </w:pPr>
            <w:r>
              <w:rPr>
                <w:rFonts w:ascii="Calibri" w:hAnsi="Calibri"/>
                <w:sz w:val="17"/>
              </w:rPr>
              <w:t>Timeliness</w:t>
            </w:r>
          </w:p>
        </w:tc>
        <w:tc>
          <w:tcPr>
            <w:tcW w:type="dxa" w:w="2033"/>
            <w:vAlign w:val="top"/>
          </w:tcPr>
          <w:p>
            <w:pPr>
              <w:spacing w:after="30"/>
            </w:pPr>
            <w:r>
              <w:rPr>
                <w:rFonts w:ascii="Calibri" w:hAnsi="Calibri"/>
                <w:sz w:val="17"/>
              </w:rPr>
              <w:t>Required notice, decision, data transmission, or review occurs within the Annex clock.</w:t>
            </w:r>
          </w:p>
        </w:tc>
        <w:tc>
          <w:tcPr>
            <w:tcW w:type="dxa" w:w="2033"/>
            <w:vAlign w:val="top"/>
          </w:tcPr>
          <w:p>
            <w:pPr>
              <w:spacing w:after="30"/>
            </w:pPr>
            <w:r>
              <w:rPr>
                <w:rFonts w:ascii="Calibri" w:hAnsi="Calibri"/>
                <w:sz w:val="17"/>
              </w:rPr>
              <w:t>Registry timestamp, agency log, decision record.</w:t>
            </w:r>
          </w:p>
        </w:tc>
        <w:tc>
          <w:tcPr>
            <w:tcW w:type="dxa" w:w="2033"/>
            <w:vAlign w:val="top"/>
          </w:tcPr>
          <w:p>
            <w:pPr>
              <w:spacing w:after="30"/>
            </w:pPr>
            <w:r>
              <w:rPr>
                <w:rFonts w:ascii="Calibri" w:hAnsi="Calibri"/>
                <w:sz w:val="17"/>
              </w:rPr>
              <w:t>Tier 1 for isolated delay; Tier 2 for repeated material delay.</w:t>
            </w:r>
          </w:p>
        </w:tc>
      </w:tr>
      <w:tr>
        <w:tc>
          <w:tcPr>
            <w:tcW w:type="dxa" w:w="2033"/>
            <w:vAlign w:val="top"/>
          </w:tcPr>
          <w:p>
            <w:pPr>
              <w:spacing w:after="30"/>
            </w:pPr>
            <w:r>
              <w:rPr>
                <w:rFonts w:ascii="Calibri" w:hAnsi="Calibri"/>
                <w:sz w:val="17"/>
              </w:rPr>
              <w:t>V2</w:t>
            </w:r>
          </w:p>
        </w:tc>
        <w:tc>
          <w:tcPr>
            <w:tcW w:type="dxa" w:w="2033"/>
            <w:vAlign w:val="top"/>
          </w:tcPr>
          <w:p>
            <w:pPr>
              <w:spacing w:after="30"/>
            </w:pPr>
            <w:r>
              <w:rPr>
                <w:rFonts w:ascii="Calibri" w:hAnsi="Calibri"/>
                <w:sz w:val="17"/>
              </w:rPr>
              <w:t>Non-discrimination</w:t>
            </w:r>
          </w:p>
        </w:tc>
        <w:tc>
          <w:tcPr>
            <w:tcW w:type="dxa" w:w="2033"/>
            <w:vAlign w:val="top"/>
          </w:tcPr>
          <w:p>
            <w:pPr>
              <w:spacing w:after="30"/>
            </w:pPr>
            <w:r>
              <w:rPr>
                <w:rFonts w:ascii="Calibri" w:hAnsi="Calibri"/>
                <w:sz w:val="17"/>
              </w:rPr>
              <w:t>Comparable persons, goods, services, or applications receive materially comparable administration absent a documented lawful distinction.</w:t>
            </w:r>
          </w:p>
        </w:tc>
        <w:tc>
          <w:tcPr>
            <w:tcW w:type="dxa" w:w="2033"/>
            <w:vAlign w:val="top"/>
          </w:tcPr>
          <w:p>
            <w:pPr>
              <w:spacing w:after="30"/>
            </w:pPr>
            <w:r>
              <w:rPr>
                <w:rFonts w:ascii="Calibri" w:hAnsi="Calibri"/>
                <w:sz w:val="17"/>
              </w:rPr>
              <w:t>Published criteria, sample decisions, transaction data, reasons.</w:t>
            </w:r>
          </w:p>
        </w:tc>
        <w:tc>
          <w:tcPr>
            <w:tcW w:type="dxa" w:w="2033"/>
            <w:vAlign w:val="top"/>
          </w:tcPr>
          <w:p>
            <w:pPr>
              <w:spacing w:after="30"/>
            </w:pPr>
            <w:r>
              <w:rPr>
                <w:rFonts w:ascii="Calibri" w:hAnsi="Calibri"/>
                <w:sz w:val="17"/>
              </w:rPr>
              <w:t>Correction first; targeted step-back only after material verified pattern.</w:t>
            </w:r>
          </w:p>
        </w:tc>
      </w:tr>
      <w:tr>
        <w:tc>
          <w:tcPr>
            <w:tcW w:type="dxa" w:w="2033"/>
            <w:vAlign w:val="top"/>
          </w:tcPr>
          <w:p>
            <w:pPr>
              <w:spacing w:after="30"/>
            </w:pPr>
            <w:r>
              <w:rPr>
                <w:rFonts w:ascii="Calibri" w:hAnsi="Calibri"/>
                <w:sz w:val="17"/>
              </w:rPr>
              <w:t>V3</w:t>
            </w:r>
          </w:p>
        </w:tc>
        <w:tc>
          <w:tcPr>
            <w:tcW w:type="dxa" w:w="2033"/>
            <w:vAlign w:val="top"/>
          </w:tcPr>
          <w:p>
            <w:pPr>
              <w:spacing w:after="30"/>
            </w:pPr>
            <w:r>
              <w:rPr>
                <w:rFonts w:ascii="Calibri" w:hAnsi="Calibri"/>
                <w:sz w:val="17"/>
              </w:rPr>
              <w:t>Evidence integrity</w:t>
            </w:r>
          </w:p>
        </w:tc>
        <w:tc>
          <w:tcPr>
            <w:tcW w:type="dxa" w:w="2033"/>
            <w:vAlign w:val="top"/>
          </w:tcPr>
          <w:p>
            <w:pPr>
              <w:spacing w:after="30"/>
            </w:pPr>
            <w:r>
              <w:rPr>
                <w:rFonts w:ascii="Calibri" w:hAnsi="Calibri"/>
                <w:sz w:val="17"/>
              </w:rPr>
              <w:t>Material factual claims are traceable to reliable records and protected against alteration.</w:t>
            </w:r>
          </w:p>
        </w:tc>
        <w:tc>
          <w:tcPr>
            <w:tcW w:type="dxa" w:w="2033"/>
            <w:vAlign w:val="top"/>
          </w:tcPr>
          <w:p>
            <w:pPr>
              <w:spacing w:after="30"/>
            </w:pPr>
            <w:r>
              <w:rPr>
                <w:rFonts w:ascii="Calibri" w:hAnsi="Calibri"/>
                <w:sz w:val="17"/>
              </w:rPr>
              <w:t>Source records, audit trail, hashes or system logs where used, witness or agency certification.</w:t>
            </w:r>
          </w:p>
        </w:tc>
        <w:tc>
          <w:tcPr>
            <w:tcW w:type="dxa" w:w="2033"/>
            <w:vAlign w:val="top"/>
          </w:tcPr>
          <w:p>
            <w:pPr>
              <w:spacing w:after="30"/>
            </w:pPr>
            <w:r>
              <w:rPr>
                <w:rFonts w:ascii="Calibri" w:hAnsi="Calibri"/>
                <w:sz w:val="17"/>
              </w:rPr>
              <w:t>Deliberate falsification may be Tier 3.</w:t>
            </w:r>
          </w:p>
        </w:tc>
      </w:tr>
      <w:tr>
        <w:tc>
          <w:tcPr>
            <w:tcW w:type="dxa" w:w="2033"/>
            <w:vAlign w:val="top"/>
          </w:tcPr>
          <w:p>
            <w:pPr>
              <w:spacing w:after="30"/>
            </w:pPr>
            <w:r>
              <w:rPr>
                <w:rFonts w:ascii="Calibri" w:hAnsi="Calibri"/>
                <w:sz w:val="17"/>
              </w:rPr>
              <w:t>V4</w:t>
            </w:r>
          </w:p>
        </w:tc>
        <w:tc>
          <w:tcPr>
            <w:tcW w:type="dxa" w:w="2033"/>
            <w:vAlign w:val="top"/>
          </w:tcPr>
          <w:p>
            <w:pPr>
              <w:spacing w:after="30"/>
            </w:pPr>
            <w:r>
              <w:rPr>
                <w:rFonts w:ascii="Calibri" w:hAnsi="Calibri"/>
                <w:sz w:val="17"/>
              </w:rPr>
              <w:t>Commercial usability</w:t>
            </w:r>
          </w:p>
        </w:tc>
        <w:tc>
          <w:tcPr>
            <w:tcW w:type="dxa" w:w="2033"/>
            <w:vAlign w:val="top"/>
          </w:tcPr>
          <w:p>
            <w:pPr>
              <w:spacing w:after="30"/>
            </w:pPr>
            <w:r>
              <w:rPr>
                <w:rFonts w:ascii="Calibri" w:hAnsi="Calibri"/>
                <w:sz w:val="17"/>
              </w:rPr>
              <w:t>A formal access right can actually be used within commercially relevant timelines and procedures.</w:t>
            </w:r>
          </w:p>
        </w:tc>
        <w:tc>
          <w:tcPr>
            <w:tcW w:type="dxa" w:w="2033"/>
            <w:vAlign w:val="top"/>
          </w:tcPr>
          <w:p>
            <w:pPr>
              <w:spacing w:after="30"/>
            </w:pPr>
            <w:r>
              <w:rPr>
                <w:rFonts w:ascii="Calibri" w:hAnsi="Calibri"/>
                <w:sz w:val="17"/>
              </w:rPr>
              <w:t>Utilization, wait time, rejection reasons, reallocation or processing data.</w:t>
            </w:r>
          </w:p>
        </w:tc>
        <w:tc>
          <w:tcPr>
            <w:tcW w:type="dxa" w:w="2033"/>
            <w:vAlign w:val="top"/>
          </w:tcPr>
          <w:p>
            <w:pPr>
              <w:spacing w:after="30"/>
            </w:pPr>
            <w:r>
              <w:rPr>
                <w:rFonts w:ascii="Calibri" w:hAnsi="Calibri"/>
                <w:sz w:val="17"/>
              </w:rPr>
              <w:t>Remediation plan; benefit pause only if government-caused and material.</w:t>
            </w:r>
          </w:p>
        </w:tc>
      </w:tr>
      <w:tr>
        <w:tc>
          <w:tcPr>
            <w:tcW w:type="dxa" w:w="2033"/>
            <w:vAlign w:val="top"/>
          </w:tcPr>
          <w:p>
            <w:pPr>
              <w:spacing w:after="30"/>
            </w:pPr>
            <w:r>
              <w:rPr>
                <w:rFonts w:ascii="Calibri" w:hAnsi="Calibri"/>
                <w:sz w:val="17"/>
              </w:rPr>
              <w:t>V5</w:t>
            </w:r>
          </w:p>
        </w:tc>
        <w:tc>
          <w:tcPr>
            <w:tcW w:type="dxa" w:w="2033"/>
            <w:vAlign w:val="top"/>
          </w:tcPr>
          <w:p>
            <w:pPr>
              <w:spacing w:after="30"/>
            </w:pPr>
            <w:r>
              <w:rPr>
                <w:rFonts w:ascii="Calibri" w:hAnsi="Calibri"/>
                <w:sz w:val="17"/>
              </w:rPr>
              <w:t>Cure and earn-back</w:t>
            </w:r>
          </w:p>
        </w:tc>
        <w:tc>
          <w:tcPr>
            <w:tcW w:type="dxa" w:w="2033"/>
            <w:vAlign w:val="top"/>
          </w:tcPr>
          <w:p>
            <w:pPr>
              <w:spacing w:after="30"/>
            </w:pPr>
            <w:r>
              <w:rPr>
                <w:rFonts w:ascii="Calibri" w:hAnsi="Calibri"/>
                <w:sz w:val="17"/>
              </w:rPr>
              <w:t>Corrective action is completed and clean performance is sustained for the prescribed period.</w:t>
            </w:r>
          </w:p>
        </w:tc>
        <w:tc>
          <w:tcPr>
            <w:tcW w:type="dxa" w:w="2033"/>
            <w:vAlign w:val="top"/>
          </w:tcPr>
          <w:p>
            <w:pPr>
              <w:spacing w:after="30"/>
            </w:pPr>
            <w:r>
              <w:rPr>
                <w:rFonts w:ascii="Calibri" w:hAnsi="Calibri"/>
                <w:sz w:val="17"/>
              </w:rPr>
              <w:t>Corrected decision, system test, subsequent sample, neutral certification where required.</w:t>
            </w:r>
          </w:p>
        </w:tc>
        <w:tc>
          <w:tcPr>
            <w:tcW w:type="dxa" w:w="2033"/>
            <w:vAlign w:val="top"/>
          </w:tcPr>
          <w:p>
            <w:pPr>
              <w:spacing w:after="30"/>
            </w:pPr>
            <w:r>
              <w:rPr>
                <w:rFonts w:ascii="Calibri" w:hAnsi="Calibri"/>
                <w:sz w:val="17"/>
              </w:rPr>
              <w:t>Automatic restoration after clean period.</w:t>
            </w:r>
          </w:p>
        </w:tc>
      </w:tr>
    </w:tbl>
    <w:p/>
    <w:p>
      <w:bookmarkStart w:id="1146" w:name="toc_146"/>
      <w:pPr>
        <w:pStyle w:val="Heading2"/>
        <w:spacing w:before="160" w:after="80"/>
      </w:pPr>
      <w:r>
        <w:rPr>
          <w:rFonts w:ascii="Calibri" w:hAnsi="Calibri"/>
          <w:b/>
          <w:color w:val="37474F"/>
          <w:sz w:val="23"/>
        </w:rPr>
        <w:t>MODEL NOTICE 8-C — ANNEX ISSUE REGISTRATION</w:t>
      </w:r>
      <w:bookmarkEnd w:id="1146"/>
    </w:p>
    <w:p>
      <w:pPr>
        <w:pStyle w:val="OperativeClause"/>
      </w:pPr>
      <w:r>
        <w:rPr>
          <w:rFonts w:ascii="Calibri" w:hAnsi="Calibri"/>
          <w:sz w:val="20"/>
        </w:rPr>
        <w:t>A notice initiating Annex review shall contain: unique matter identifier; notifying Party; responding Party; Annex and provision; affected measure or transaction class; concise factual statement; known commercial effect; evidence attached; confidentiality claims; requested cure; urgency classification; proposed consultation dates; and designated officials. The Registry shall acknowledge receipt automatically and calculate the next procedural deadline.</w:t>
      </w:r>
    </w:p>
    <w:p>
      <w:bookmarkStart w:id="1147" w:name="toc_147"/>
      <w:pPr>
        <w:pStyle w:val="Heading2"/>
        <w:spacing w:before="160" w:after="80"/>
      </w:pPr>
      <w:r>
        <w:rPr>
          <w:rFonts w:ascii="Calibri" w:hAnsi="Calibri"/>
          <w:b/>
          <w:color w:val="37474F"/>
          <w:sz w:val="23"/>
        </w:rPr>
        <w:t>DATA AND RECORDS SCHEDULE 8-D</w:t>
      </w:r>
      <w:bookmarkEnd w:id="1147"/>
    </w:p>
    <w:p>
      <w:pPr>
        <w:pStyle w:val="OperativeClause"/>
      </w:pPr>
      <w:r>
        <w:rPr>
          <w:rFonts w:ascii="Calibri" w:hAnsi="Calibri"/>
          <w:sz w:val="20"/>
        </w:rPr>
        <w:t>Records required solely for this Annex shall be retained for at least five years unless domestic law requires a longer period. A Party shall not require creation of records that do not ordinarily exist when equivalent reliable evidence is reasonably available. Requests for confidential firm-level data shall be scoped to the issue under review, access-controlled, logged, and destroyed or archived under the applicable records law when no longer required.</w:t>
      </w:r>
    </w:p>
    <w:p>
      <w:bookmarkStart w:id="1148" w:name="toc_148"/>
      <w:pPr>
        <w:pStyle w:val="Heading2"/>
        <w:spacing w:before="160" w:after="80"/>
      </w:pPr>
      <w:r>
        <w:rPr>
          <w:rFonts w:ascii="Calibri" w:hAnsi="Calibri"/>
          <w:b/>
          <w:color w:val="37474F"/>
          <w:sz w:val="23"/>
        </w:rPr>
        <w:t>STAKEHOLDER AND SME ACCESS SCHEDULE 8-E</w:t>
      </w:r>
      <w:bookmarkEnd w:id="1148"/>
    </w:p>
    <w:p>
      <w:pPr>
        <w:pStyle w:val="OperativeClause"/>
      </w:pPr>
      <w:r>
        <w:rPr>
          <w:rFonts w:ascii="Calibri" w:hAnsi="Calibri"/>
          <w:sz w:val="20"/>
        </w:rPr>
        <w:t>The responsible committee shall maintain a public submission channel and at least one annual stakeholder session. SMEs may use simplified forms and may request procedural assistance from a designated help desk. Stakeholder submissions do not themselves establish a breach; they enter the evidence record and receive a disposition code showing whether the issue was accepted for review, referred elsewhere, resolved, or closed with reasons.</w:t>
      </w:r>
    </w:p>
    <w:p>
      <w:bookmarkStart w:id="1149" w:name="toc_149"/>
      <w:pPr>
        <w:pStyle w:val="Heading2"/>
        <w:spacing w:before="160" w:after="80"/>
      </w:pPr>
      <w:r>
        <w:rPr>
          <w:rFonts w:ascii="Calibri" w:hAnsi="Calibri"/>
          <w:b/>
          <w:color w:val="37474F"/>
          <w:sz w:val="23"/>
        </w:rPr>
        <w:t>FAILURE-MODE PLAYBOOK 8-F</w:t>
      </w:r>
      <w:bookmarkEnd w:id="1149"/>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Failure mode</w:t>
            </w:r>
          </w:p>
        </w:tc>
        <w:tc>
          <w:tcPr>
            <w:tcW w:type="dxa" w:w="2541"/>
            <w:shd w:fill="D9E3F0"/>
          </w:tcPr>
          <w:p>
            <w:r>
              <w:rPr>
                <w:rFonts w:ascii="Calibri" w:hAnsi="Calibri"/>
                <w:b/>
                <w:color w:val="37474F"/>
                <w:sz w:val="17"/>
              </w:rPr>
              <w:t>Immediate response</w:t>
            </w:r>
          </w:p>
        </w:tc>
        <w:tc>
          <w:tcPr>
            <w:tcW w:type="dxa" w:w="2541"/>
            <w:shd w:fill="D9E3F0"/>
          </w:tcPr>
          <w:p>
            <w:r>
              <w:rPr>
                <w:rFonts w:ascii="Calibri" w:hAnsi="Calibri"/>
                <w:b/>
                <w:color w:val="37474F"/>
                <w:sz w:val="17"/>
              </w:rPr>
              <w:t>Escalation</w:t>
            </w:r>
          </w:p>
        </w:tc>
        <w:tc>
          <w:tcPr>
            <w:tcW w:type="dxa" w:w="2541"/>
            <w:shd w:fill="D9E3F0"/>
          </w:tcPr>
          <w:p>
            <w:r>
              <w:rPr>
                <w:rFonts w:ascii="Calibri" w:hAnsi="Calibri"/>
                <w:b/>
                <w:color w:val="37474F"/>
                <w:sz w:val="17"/>
              </w:rPr>
              <w:t>Restoration</w:t>
            </w:r>
          </w:p>
        </w:tc>
      </w:tr>
      <w:tr>
        <w:tc>
          <w:tcPr>
            <w:tcW w:type="dxa" w:w="2541"/>
            <w:vAlign w:val="top"/>
          </w:tcPr>
          <w:p>
            <w:pPr>
              <w:spacing w:after="30"/>
            </w:pPr>
            <w:r>
              <w:rPr>
                <w:rFonts w:ascii="Calibri" w:hAnsi="Calibri"/>
                <w:sz w:val="17"/>
              </w:rPr>
              <w:t>System or portal outage</w:t>
            </w:r>
          </w:p>
        </w:tc>
        <w:tc>
          <w:tcPr>
            <w:tcW w:type="dxa" w:w="2541"/>
            <w:vAlign w:val="top"/>
          </w:tcPr>
          <w:p>
            <w:pPr>
              <w:spacing w:after="30"/>
            </w:pPr>
            <w:r>
              <w:rPr>
                <w:rFonts w:ascii="Calibri" w:hAnsi="Calibri"/>
                <w:sz w:val="17"/>
              </w:rPr>
              <w:t>Use alternate secure channel; preserve original timestamp.</w:t>
            </w:r>
          </w:p>
        </w:tc>
        <w:tc>
          <w:tcPr>
            <w:tcW w:type="dxa" w:w="2541"/>
            <w:vAlign w:val="top"/>
          </w:tcPr>
          <w:p>
            <w:pPr>
              <w:spacing w:after="30"/>
            </w:pPr>
            <w:r>
              <w:rPr>
                <w:rFonts w:ascii="Calibri" w:hAnsi="Calibri"/>
                <w:sz w:val="17"/>
              </w:rPr>
              <w:t>Technical lead review after 4 hours; committee notice after 24 hours.</w:t>
            </w:r>
          </w:p>
        </w:tc>
        <w:tc>
          <w:tcPr>
            <w:tcW w:type="dxa" w:w="2541"/>
            <w:vAlign w:val="top"/>
          </w:tcPr>
          <w:p>
            <w:pPr>
              <w:spacing w:after="30"/>
            </w:pPr>
            <w:r>
              <w:rPr>
                <w:rFonts w:ascii="Calibri" w:hAnsi="Calibri"/>
                <w:sz w:val="17"/>
              </w:rPr>
              <w:t>Reconcile registry when restored; no penalty absent material avoidable harm.</w:t>
            </w:r>
          </w:p>
        </w:tc>
      </w:tr>
      <w:tr>
        <w:tc>
          <w:tcPr>
            <w:tcW w:type="dxa" w:w="2541"/>
            <w:vAlign w:val="top"/>
          </w:tcPr>
          <w:p>
            <w:pPr>
              <w:spacing w:after="30"/>
            </w:pPr>
            <w:r>
              <w:rPr>
                <w:rFonts w:ascii="Calibri" w:hAnsi="Calibri"/>
                <w:sz w:val="17"/>
              </w:rPr>
              <w:t>Conflicting agency interpretations</w:t>
            </w:r>
          </w:p>
        </w:tc>
        <w:tc>
          <w:tcPr>
            <w:tcW w:type="dxa" w:w="2541"/>
            <w:vAlign w:val="top"/>
          </w:tcPr>
          <w:p>
            <w:pPr>
              <w:spacing w:after="30"/>
            </w:pPr>
            <w:r>
              <w:rPr>
                <w:rFonts w:ascii="Calibri" w:hAnsi="Calibri"/>
                <w:sz w:val="17"/>
              </w:rPr>
              <w:t>Freeze adverse expansion where lawful; identify controlling authority.</w:t>
            </w:r>
          </w:p>
        </w:tc>
        <w:tc>
          <w:tcPr>
            <w:tcW w:type="dxa" w:w="2541"/>
            <w:vAlign w:val="top"/>
          </w:tcPr>
          <w:p>
            <w:pPr>
              <w:spacing w:after="30"/>
            </w:pPr>
            <w:r>
              <w:rPr>
                <w:rFonts w:ascii="Calibri" w:hAnsi="Calibri"/>
                <w:sz w:val="17"/>
              </w:rPr>
              <w:t>Senior technical consultation within 5 business days.</w:t>
            </w:r>
          </w:p>
        </w:tc>
        <w:tc>
          <w:tcPr>
            <w:tcW w:type="dxa" w:w="2541"/>
            <w:vAlign w:val="top"/>
          </w:tcPr>
          <w:p>
            <w:pPr>
              <w:spacing w:after="30"/>
            </w:pPr>
            <w:r>
              <w:rPr>
                <w:rFonts w:ascii="Calibri" w:hAnsi="Calibri"/>
                <w:sz w:val="17"/>
              </w:rPr>
              <w:t>Publish harmonized guidance and correct affected decisions where legally available.</w:t>
            </w:r>
          </w:p>
        </w:tc>
      </w:tr>
      <w:tr>
        <w:tc>
          <w:tcPr>
            <w:tcW w:type="dxa" w:w="2541"/>
            <w:vAlign w:val="top"/>
          </w:tcPr>
          <w:p>
            <w:pPr>
              <w:spacing w:after="30"/>
            </w:pPr>
            <w:r>
              <w:rPr>
                <w:rFonts w:ascii="Calibri" w:hAnsi="Calibri"/>
                <w:sz w:val="17"/>
              </w:rPr>
              <w:t>Suspected fraud or deliberate evasion</w:t>
            </w:r>
          </w:p>
        </w:tc>
        <w:tc>
          <w:tcPr>
            <w:tcW w:type="dxa" w:w="2541"/>
            <w:vAlign w:val="top"/>
          </w:tcPr>
          <w:p>
            <w:pPr>
              <w:spacing w:after="30"/>
            </w:pPr>
            <w:r>
              <w:rPr>
                <w:rFonts w:ascii="Calibri" w:hAnsi="Calibri"/>
                <w:sz w:val="17"/>
              </w:rPr>
              <w:t>Preserve evidence; target implicated transaction or actor first.</w:t>
            </w:r>
          </w:p>
        </w:tc>
        <w:tc>
          <w:tcPr>
            <w:tcW w:type="dxa" w:w="2541"/>
            <w:vAlign w:val="top"/>
          </w:tcPr>
          <w:p>
            <w:pPr>
              <w:spacing w:after="30"/>
            </w:pPr>
            <w:r>
              <w:rPr>
                <w:rFonts w:ascii="Calibri" w:hAnsi="Calibri"/>
                <w:sz w:val="17"/>
              </w:rPr>
              <w:t>Accelerated Cothrom review; law-enforcement referral where appropriate.</w:t>
            </w:r>
          </w:p>
        </w:tc>
        <w:tc>
          <w:tcPr>
            <w:tcW w:type="dxa" w:w="2541"/>
            <w:vAlign w:val="top"/>
          </w:tcPr>
          <w:p>
            <w:pPr>
              <w:spacing w:after="30"/>
            </w:pPr>
            <w:r>
              <w:rPr>
                <w:rFonts w:ascii="Calibri" w:hAnsi="Calibri"/>
                <w:sz w:val="17"/>
              </w:rPr>
              <w:t>Ordinary access restores for unaffected actors; implicated actor follows domestic remedy and Annex earn-back if applicable.</w:t>
            </w:r>
          </w:p>
        </w:tc>
      </w:tr>
      <w:tr>
        <w:tc>
          <w:tcPr>
            <w:tcW w:type="dxa" w:w="2541"/>
            <w:vAlign w:val="top"/>
          </w:tcPr>
          <w:p>
            <w:pPr>
              <w:spacing w:after="30"/>
            </w:pPr>
            <w:r>
              <w:rPr>
                <w:rFonts w:ascii="Calibri" w:hAnsi="Calibri"/>
                <w:sz w:val="17"/>
              </w:rPr>
              <w:t>Subnational non-performance</w:t>
            </w:r>
          </w:p>
        </w:tc>
        <w:tc>
          <w:tcPr>
            <w:tcW w:type="dxa" w:w="2541"/>
            <w:vAlign w:val="top"/>
          </w:tcPr>
          <w:p>
            <w:pPr>
              <w:spacing w:after="30"/>
            </w:pPr>
            <w:r>
              <w:rPr>
                <w:rFonts w:ascii="Calibri" w:hAnsi="Calibri"/>
                <w:sz w:val="17"/>
              </w:rPr>
              <w:t>Federal contact initiates coordination and identifies lawful corrective tools.</w:t>
            </w:r>
          </w:p>
        </w:tc>
        <w:tc>
          <w:tcPr>
            <w:tcW w:type="dxa" w:w="2541"/>
            <w:vAlign w:val="top"/>
          </w:tcPr>
          <w:p>
            <w:pPr>
              <w:spacing w:after="30"/>
            </w:pPr>
            <w:r>
              <w:rPr>
                <w:rFonts w:ascii="Calibri" w:hAnsi="Calibri"/>
                <w:sz w:val="17"/>
              </w:rPr>
              <w:t>Committee review of actual federal capacity and Annex schedule.</w:t>
            </w:r>
          </w:p>
        </w:tc>
        <w:tc>
          <w:tcPr>
            <w:tcW w:type="dxa" w:w="2541"/>
            <w:vAlign w:val="top"/>
          </w:tcPr>
          <w:p>
            <w:pPr>
              <w:spacing w:after="30"/>
            </w:pPr>
            <w:r>
              <w:rPr>
                <w:rFonts w:ascii="Calibri" w:hAnsi="Calibri"/>
                <w:sz w:val="17"/>
              </w:rPr>
              <w:t>Adjust schedule, cure practice, or suspend only the subnational incremental benefit implicated.</w:t>
            </w:r>
          </w:p>
        </w:tc>
      </w:tr>
      <w:tr>
        <w:tc>
          <w:tcPr>
            <w:tcW w:type="dxa" w:w="2541"/>
            <w:vAlign w:val="top"/>
          </w:tcPr>
          <w:p>
            <w:pPr>
              <w:spacing w:after="30"/>
            </w:pPr>
            <w:r>
              <w:rPr>
                <w:rFonts w:ascii="Calibri" w:hAnsi="Calibri"/>
                <w:sz w:val="17"/>
              </w:rPr>
              <w:t>Policy emergency</w:t>
            </w:r>
          </w:p>
        </w:tc>
        <w:tc>
          <w:tcPr>
            <w:tcW w:type="dxa" w:w="2541"/>
            <w:vAlign w:val="top"/>
          </w:tcPr>
          <w:p>
            <w:pPr>
              <w:spacing w:after="30"/>
            </w:pPr>
            <w:r>
              <w:rPr>
                <w:rFonts w:ascii="Calibri" w:hAnsi="Calibri"/>
                <w:sz w:val="17"/>
              </w:rPr>
              <w:t>Permit temporary measure within Annex exception and notify promptly.</w:t>
            </w:r>
          </w:p>
        </w:tc>
        <w:tc>
          <w:tcPr>
            <w:tcW w:type="dxa" w:w="2541"/>
            <w:vAlign w:val="top"/>
          </w:tcPr>
          <w:p>
            <w:pPr>
              <w:spacing w:after="30"/>
            </w:pPr>
            <w:r>
              <w:rPr>
                <w:rFonts w:ascii="Calibri" w:hAnsi="Calibri"/>
                <w:sz w:val="17"/>
              </w:rPr>
              <w:t>Evidence review and necessity/proportionality consultation.</w:t>
            </w:r>
          </w:p>
        </w:tc>
        <w:tc>
          <w:tcPr>
            <w:tcW w:type="dxa" w:w="2541"/>
            <w:vAlign w:val="top"/>
          </w:tcPr>
          <w:p>
            <w:pPr>
              <w:spacing w:after="30"/>
            </w:pPr>
            <w:r>
              <w:rPr>
                <w:rFonts w:ascii="Calibri" w:hAnsi="Calibri"/>
                <w:sz w:val="17"/>
              </w:rPr>
              <w:t>Measure terminates or narrows when emergency basis ends.</w:t>
            </w:r>
          </w:p>
        </w:tc>
      </w:tr>
    </w:tbl>
    <w:p/>
    <w:p>
      <w:r/>
    </w:p>
    <w:p>
      <w:bookmarkStart w:id="1150" w:name="toc_150"/>
      <w:pPr>
        <w:pStyle w:val="Heading1"/>
        <w:spacing w:before="200" w:after="120"/>
      </w:pPr>
      <w:r>
        <w:rPr>
          <w:rFonts w:ascii="Calibri" w:hAnsi="Calibri"/>
          <w:b/>
          <w:color w:val="37474F"/>
          <w:sz w:val="30"/>
        </w:rPr>
        <w:t>PART II — CROSS-ANNEX OPERATIVE SCHEDULES</w:t>
      </w:r>
      <w:bookmarkEnd w:id="1150"/>
    </w:p>
    <w:p>
      <w:bookmarkStart w:id="1151" w:name="toc_151"/>
      <w:pPr>
        <w:pStyle w:val="Heading2"/>
        <w:spacing w:before="160" w:after="80"/>
      </w:pPr>
      <w:r>
        <w:rPr>
          <w:rFonts w:ascii="Calibri" w:hAnsi="Calibri"/>
          <w:b/>
          <w:color w:val="37474F"/>
          <w:sz w:val="23"/>
        </w:rPr>
        <w:t>Schedule X-1 — Shared Digital Annex Registry</w:t>
      </w:r>
      <w:bookmarkEnd w:id="1151"/>
    </w:p>
    <w:p>
      <w:pPr>
        <w:pStyle w:val="OperativeClause"/>
      </w:pPr>
      <w:r>
        <w:rPr>
          <w:rFonts w:ascii="Calibri" w:hAnsi="Calibri"/>
          <w:sz w:val="20"/>
        </w:rPr>
        <w:t>The Parties shall establish a secure Shared Digital Annex Registry or interoperable national registries. The Registry is an evidentiary and workflow system, not a supranational regulator. It records notices, deadlines, evidence inventories, confidentiality markings, technical findings, committee decisions, Cothrom tier classifications, cure plans, clean-performance periods, and restoration events.</w:t>
      </w:r>
    </w:p>
    <w:p>
      <w:pPr>
        <w:pStyle w:val="OperativeClause"/>
      </w:pPr>
      <w:r>
        <w:rPr>
          <w:rFonts w:ascii="Calibri" w:hAnsi="Calibri"/>
          <w:sz w:val="20"/>
        </w:rPr>
        <w:t>Each record shall preserve an audit trail of creation, modification, access, and transmission. Where a Party cannot lawfully place protected information in a shared system, it may place a metadata stub identifying the custodian, legal basis for protection, date, document type, and procedure for authorized review. The absence of shared raw data does not create an adverse inference where lawful protected access is provided to the reviewer.</w:t>
      </w:r>
    </w:p>
    <w:p>
      <w:bookmarkStart w:id="1152" w:name="toc_152"/>
      <w:pPr>
        <w:pStyle w:val="Heading2"/>
        <w:spacing w:before="160" w:after="80"/>
      </w:pPr>
      <w:r>
        <w:rPr>
          <w:rFonts w:ascii="Calibri" w:hAnsi="Calibri"/>
          <w:b/>
          <w:color w:val="37474F"/>
          <w:sz w:val="23"/>
        </w:rPr>
        <w:t>Schedule X-2 — Common Evidence Hierarchy</w:t>
      </w:r>
      <w:bookmarkEnd w:id="1152"/>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3F0"/>
          </w:tcPr>
          <w:p>
            <w:r>
              <w:rPr>
                <w:rFonts w:ascii="Calibri" w:hAnsi="Calibri"/>
                <w:b/>
                <w:color w:val="37474F"/>
                <w:sz w:val="17"/>
              </w:rPr>
              <w:t>Class</w:t>
            </w:r>
          </w:p>
        </w:tc>
        <w:tc>
          <w:tcPr>
            <w:tcW w:type="dxa" w:w="3389"/>
            <w:shd w:fill="D9E3F0"/>
          </w:tcPr>
          <w:p>
            <w:r>
              <w:rPr>
                <w:rFonts w:ascii="Calibri" w:hAnsi="Calibri"/>
                <w:b/>
                <w:color w:val="37474F"/>
                <w:sz w:val="17"/>
              </w:rPr>
              <w:t>Description</w:t>
            </w:r>
          </w:p>
        </w:tc>
        <w:tc>
          <w:tcPr>
            <w:tcW w:type="dxa" w:w="3389"/>
            <w:shd w:fill="D9E3F0"/>
          </w:tcPr>
          <w:p>
            <w:r>
              <w:rPr>
                <w:rFonts w:ascii="Calibri" w:hAnsi="Calibri"/>
                <w:b/>
                <w:color w:val="37474F"/>
                <w:sz w:val="17"/>
              </w:rPr>
              <w:t>Default weight</w:t>
            </w:r>
          </w:p>
        </w:tc>
      </w:tr>
      <w:tr>
        <w:tc>
          <w:tcPr>
            <w:tcW w:type="dxa" w:w="3389"/>
            <w:vAlign w:val="top"/>
          </w:tcPr>
          <w:p>
            <w:pPr>
              <w:spacing w:after="30"/>
            </w:pPr>
            <w:r>
              <w:rPr>
                <w:rFonts w:ascii="Calibri" w:hAnsi="Calibri"/>
                <w:sz w:val="17"/>
              </w:rPr>
              <w:t>E1</w:t>
            </w:r>
          </w:p>
        </w:tc>
        <w:tc>
          <w:tcPr>
            <w:tcW w:type="dxa" w:w="3389"/>
            <w:vAlign w:val="top"/>
          </w:tcPr>
          <w:p>
            <w:pPr>
              <w:spacing w:after="30"/>
            </w:pPr>
            <w:r>
              <w:rPr>
                <w:rFonts w:ascii="Calibri" w:hAnsi="Calibri"/>
                <w:sz w:val="17"/>
              </w:rPr>
              <w:t>Official customs, regulatory, judicial, or administrative record created in ordinary course.</w:t>
            </w:r>
          </w:p>
        </w:tc>
        <w:tc>
          <w:tcPr>
            <w:tcW w:type="dxa" w:w="3389"/>
            <w:vAlign w:val="top"/>
          </w:tcPr>
          <w:p>
            <w:pPr>
              <w:spacing w:after="30"/>
            </w:pPr>
            <w:r>
              <w:rPr>
                <w:rFonts w:ascii="Calibri" w:hAnsi="Calibri"/>
                <w:sz w:val="17"/>
              </w:rPr>
              <w:t>High, subject to rebuttal.</w:t>
            </w:r>
          </w:p>
        </w:tc>
      </w:tr>
      <w:tr>
        <w:tc>
          <w:tcPr>
            <w:tcW w:type="dxa" w:w="3389"/>
            <w:vAlign w:val="top"/>
          </w:tcPr>
          <w:p>
            <w:pPr>
              <w:spacing w:after="30"/>
            </w:pPr>
            <w:r>
              <w:rPr>
                <w:rFonts w:ascii="Calibri" w:hAnsi="Calibri"/>
                <w:sz w:val="17"/>
              </w:rPr>
              <w:t>E2</w:t>
            </w:r>
          </w:p>
        </w:tc>
        <w:tc>
          <w:tcPr>
            <w:tcW w:type="dxa" w:w="3389"/>
            <w:vAlign w:val="top"/>
          </w:tcPr>
          <w:p>
            <w:pPr>
              <w:spacing w:after="30"/>
            </w:pPr>
            <w:r>
              <w:rPr>
                <w:rFonts w:ascii="Calibri" w:hAnsi="Calibri"/>
                <w:sz w:val="17"/>
              </w:rPr>
              <w:t>Audited business record, certified system export, independently verified test, or mutually recognized certification.</w:t>
            </w:r>
          </w:p>
        </w:tc>
        <w:tc>
          <w:tcPr>
            <w:tcW w:type="dxa" w:w="3389"/>
            <w:vAlign w:val="top"/>
          </w:tcPr>
          <w:p>
            <w:pPr>
              <w:spacing w:after="30"/>
            </w:pPr>
            <w:r>
              <w:rPr>
                <w:rFonts w:ascii="Calibri" w:hAnsi="Calibri"/>
                <w:sz w:val="17"/>
              </w:rPr>
              <w:t>High to medium.</w:t>
            </w:r>
          </w:p>
        </w:tc>
      </w:tr>
      <w:tr>
        <w:tc>
          <w:tcPr>
            <w:tcW w:type="dxa" w:w="3389"/>
            <w:vAlign w:val="top"/>
          </w:tcPr>
          <w:p>
            <w:pPr>
              <w:spacing w:after="30"/>
            </w:pPr>
            <w:r>
              <w:rPr>
                <w:rFonts w:ascii="Calibri" w:hAnsi="Calibri"/>
                <w:sz w:val="17"/>
              </w:rPr>
              <w:t>E3</w:t>
            </w:r>
          </w:p>
        </w:tc>
        <w:tc>
          <w:tcPr>
            <w:tcW w:type="dxa" w:w="3389"/>
            <w:vAlign w:val="top"/>
          </w:tcPr>
          <w:p>
            <w:pPr>
              <w:spacing w:after="30"/>
            </w:pPr>
            <w:r>
              <w:rPr>
                <w:rFonts w:ascii="Calibri" w:hAnsi="Calibri"/>
                <w:sz w:val="17"/>
              </w:rPr>
              <w:t>Contemporaneous commercial record, invoice, contract, logistics record, supplier declaration, worker statement, or technical log.</w:t>
            </w:r>
          </w:p>
        </w:tc>
        <w:tc>
          <w:tcPr>
            <w:tcW w:type="dxa" w:w="3389"/>
            <w:vAlign w:val="top"/>
          </w:tcPr>
          <w:p>
            <w:pPr>
              <w:spacing w:after="30"/>
            </w:pPr>
            <w:r>
              <w:rPr>
                <w:rFonts w:ascii="Calibri" w:hAnsi="Calibri"/>
                <w:sz w:val="17"/>
              </w:rPr>
              <w:t>Medium, strengthened by corroboration.</w:t>
            </w:r>
          </w:p>
        </w:tc>
      </w:tr>
      <w:tr>
        <w:tc>
          <w:tcPr>
            <w:tcW w:type="dxa" w:w="3389"/>
            <w:vAlign w:val="top"/>
          </w:tcPr>
          <w:p>
            <w:pPr>
              <w:spacing w:after="30"/>
            </w:pPr>
            <w:r>
              <w:rPr>
                <w:rFonts w:ascii="Calibri" w:hAnsi="Calibri"/>
                <w:sz w:val="17"/>
              </w:rPr>
              <w:t>E4</w:t>
            </w:r>
          </w:p>
        </w:tc>
        <w:tc>
          <w:tcPr>
            <w:tcW w:type="dxa" w:w="3389"/>
            <w:vAlign w:val="top"/>
          </w:tcPr>
          <w:p>
            <w:pPr>
              <w:spacing w:after="30"/>
            </w:pPr>
            <w:r>
              <w:rPr>
                <w:rFonts w:ascii="Calibri" w:hAnsi="Calibri"/>
                <w:sz w:val="17"/>
              </w:rPr>
              <w:t>Public-source report, market analysis, complaint, anomaly indicator, or unverified allegation.</w:t>
            </w:r>
          </w:p>
        </w:tc>
        <w:tc>
          <w:tcPr>
            <w:tcW w:type="dxa" w:w="3389"/>
            <w:vAlign w:val="top"/>
          </w:tcPr>
          <w:p>
            <w:pPr>
              <w:spacing w:after="30"/>
            </w:pPr>
            <w:r>
              <w:rPr>
                <w:rFonts w:ascii="Calibri" w:hAnsi="Calibri"/>
                <w:sz w:val="17"/>
              </w:rPr>
              <w:t>Screening value; insufficient alone for material adverse finding.</w:t>
            </w:r>
          </w:p>
        </w:tc>
      </w:tr>
      <w:tr>
        <w:tc>
          <w:tcPr>
            <w:tcW w:type="dxa" w:w="3389"/>
            <w:vAlign w:val="top"/>
          </w:tcPr>
          <w:p>
            <w:pPr>
              <w:spacing w:after="30"/>
            </w:pPr>
            <w:r>
              <w:rPr>
                <w:rFonts w:ascii="Calibri" w:hAnsi="Calibri"/>
                <w:sz w:val="17"/>
              </w:rPr>
              <w:t>E5</w:t>
            </w:r>
          </w:p>
        </w:tc>
        <w:tc>
          <w:tcPr>
            <w:tcW w:type="dxa" w:w="3389"/>
            <w:vAlign w:val="top"/>
          </w:tcPr>
          <w:p>
            <w:pPr>
              <w:spacing w:after="30"/>
            </w:pPr>
            <w:r>
              <w:rPr>
                <w:rFonts w:ascii="Calibri" w:hAnsi="Calibri"/>
                <w:sz w:val="17"/>
              </w:rPr>
              <w:t>Anonymous intelligence or protected lead that cannot be disclosed.</w:t>
            </w:r>
          </w:p>
        </w:tc>
        <w:tc>
          <w:tcPr>
            <w:tcW w:type="dxa" w:w="3389"/>
            <w:vAlign w:val="top"/>
          </w:tcPr>
          <w:p>
            <w:pPr>
              <w:spacing w:after="30"/>
            </w:pPr>
            <w:r>
              <w:rPr>
                <w:rFonts w:ascii="Calibri" w:hAnsi="Calibri"/>
                <w:sz w:val="17"/>
              </w:rPr>
              <w:t>May justify inquiry or protective step; final adverse finding requires corroboration or protected neutral review.</w:t>
            </w:r>
          </w:p>
        </w:tc>
      </w:tr>
    </w:tbl>
    <w:p/>
    <w:p>
      <w:bookmarkStart w:id="1153" w:name="toc_153"/>
      <w:pPr>
        <w:pStyle w:val="Heading2"/>
        <w:spacing w:before="160" w:after="80"/>
      </w:pPr>
      <w:r>
        <w:rPr>
          <w:rFonts w:ascii="Calibri" w:hAnsi="Calibri"/>
          <w:b/>
          <w:color w:val="37474F"/>
          <w:sz w:val="23"/>
        </w:rPr>
        <w:t>Schedule X-3 — Cothrom Trade Tier Matrix</w:t>
      </w:r>
      <w:bookmarkEnd w:id="1153"/>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Tier</w:t>
            </w:r>
          </w:p>
        </w:tc>
        <w:tc>
          <w:tcPr>
            <w:tcW w:type="dxa" w:w="2033"/>
            <w:shd w:fill="D9E3F0"/>
          </w:tcPr>
          <w:p>
            <w:r>
              <w:rPr>
                <w:rFonts w:ascii="Calibri" w:hAnsi="Calibri"/>
                <w:b/>
                <w:color w:val="37474F"/>
                <w:sz w:val="17"/>
              </w:rPr>
              <w:t>Typical event</w:t>
            </w:r>
          </w:p>
        </w:tc>
        <w:tc>
          <w:tcPr>
            <w:tcW w:type="dxa" w:w="2033"/>
            <w:shd w:fill="D9E3F0"/>
          </w:tcPr>
          <w:p>
            <w:r>
              <w:rPr>
                <w:rFonts w:ascii="Calibri" w:hAnsi="Calibri"/>
                <w:b/>
                <w:color w:val="37474F"/>
                <w:sz w:val="17"/>
              </w:rPr>
              <w:t>Cure</w:t>
            </w:r>
          </w:p>
        </w:tc>
        <w:tc>
          <w:tcPr>
            <w:tcW w:type="dxa" w:w="2033"/>
            <w:shd w:fill="D9E3F0"/>
          </w:tcPr>
          <w:p>
            <w:r>
              <w:rPr>
                <w:rFonts w:ascii="Calibri" w:hAnsi="Calibri"/>
                <w:b/>
                <w:color w:val="37474F"/>
                <w:sz w:val="17"/>
              </w:rPr>
              <w:t>Maximum Annex-specific step-back</w:t>
            </w:r>
          </w:p>
        </w:tc>
        <w:tc>
          <w:tcPr>
            <w:tcW w:type="dxa" w:w="2033"/>
            <w:shd w:fill="D9E3F0"/>
          </w:tcPr>
          <w:p>
            <w:r>
              <w:rPr>
                <w:rFonts w:ascii="Calibri" w:hAnsi="Calibri"/>
                <w:b/>
                <w:color w:val="37474F"/>
                <w:sz w:val="17"/>
              </w:rPr>
              <w:t>Earn-back</w:t>
            </w:r>
          </w:p>
        </w:tc>
      </w:tr>
      <w:tr>
        <w:tc>
          <w:tcPr>
            <w:tcW w:type="dxa" w:w="2033"/>
            <w:vAlign w:val="top"/>
          </w:tcPr>
          <w:p>
            <w:pPr>
              <w:spacing w:after="30"/>
            </w:pPr>
            <w:r>
              <w:rPr>
                <w:rFonts w:ascii="Calibri" w:hAnsi="Calibri"/>
                <w:sz w:val="17"/>
              </w:rPr>
              <w:t>Tier 1</w:t>
            </w:r>
          </w:p>
        </w:tc>
        <w:tc>
          <w:tcPr>
            <w:tcW w:type="dxa" w:w="2033"/>
            <w:vAlign w:val="top"/>
          </w:tcPr>
          <w:p>
            <w:pPr>
              <w:spacing w:after="30"/>
            </w:pPr>
            <w:r>
              <w:rPr>
                <w:rFonts w:ascii="Calibri" w:hAnsi="Calibri"/>
                <w:sz w:val="17"/>
              </w:rPr>
              <w:t>Clerical error, isolated late filing, formatting defect, short outage, de minimis discrepancy.</w:t>
            </w:r>
          </w:p>
        </w:tc>
        <w:tc>
          <w:tcPr>
            <w:tcW w:type="dxa" w:w="2033"/>
            <w:vAlign w:val="top"/>
          </w:tcPr>
          <w:p>
            <w:pPr>
              <w:spacing w:after="30"/>
            </w:pPr>
            <w:r>
              <w:rPr>
                <w:rFonts w:ascii="Calibri" w:hAnsi="Calibri"/>
                <w:sz w:val="17"/>
              </w:rPr>
              <w:t>Normally 10 business days.</w:t>
            </w:r>
          </w:p>
        </w:tc>
        <w:tc>
          <w:tcPr>
            <w:tcW w:type="dxa" w:w="2033"/>
            <w:vAlign w:val="top"/>
          </w:tcPr>
          <w:p>
            <w:pPr>
              <w:spacing w:after="30"/>
            </w:pPr>
            <w:r>
              <w:rPr>
                <w:rFonts w:ascii="Calibri" w:hAnsi="Calibri"/>
                <w:sz w:val="17"/>
              </w:rPr>
              <w:t>None.</w:t>
            </w:r>
          </w:p>
        </w:tc>
        <w:tc>
          <w:tcPr>
            <w:tcW w:type="dxa" w:w="2033"/>
            <w:vAlign w:val="top"/>
          </w:tcPr>
          <w:p>
            <w:pPr>
              <w:spacing w:after="30"/>
            </w:pPr>
            <w:r>
              <w:rPr>
                <w:rFonts w:ascii="Calibri" w:hAnsi="Calibri"/>
                <w:sz w:val="17"/>
              </w:rPr>
              <w:t>Immediate on cure.</w:t>
            </w:r>
          </w:p>
        </w:tc>
      </w:tr>
      <w:tr>
        <w:tc>
          <w:tcPr>
            <w:tcW w:type="dxa" w:w="2033"/>
            <w:vAlign w:val="top"/>
          </w:tcPr>
          <w:p>
            <w:pPr>
              <w:spacing w:after="30"/>
            </w:pPr>
            <w:r>
              <w:rPr>
                <w:rFonts w:ascii="Calibri" w:hAnsi="Calibri"/>
                <w:sz w:val="17"/>
              </w:rPr>
              <w:t>Tier 2</w:t>
            </w:r>
          </w:p>
        </w:tc>
        <w:tc>
          <w:tcPr>
            <w:tcW w:type="dxa" w:w="2033"/>
            <w:vAlign w:val="top"/>
          </w:tcPr>
          <w:p>
            <w:pPr>
              <w:spacing w:after="30"/>
            </w:pPr>
            <w:r>
              <w:rPr>
                <w:rFonts w:ascii="Calibri" w:hAnsi="Calibri"/>
                <w:sz w:val="17"/>
              </w:rPr>
              <w:t>Repeated material delay, unjustified discriminatory administration, material verification obstruction, confirmed circumvention with bounded effect.</w:t>
            </w:r>
          </w:p>
        </w:tc>
        <w:tc>
          <w:tcPr>
            <w:tcW w:type="dxa" w:w="2033"/>
            <w:vAlign w:val="top"/>
          </w:tcPr>
          <w:p>
            <w:pPr>
              <w:spacing w:after="30"/>
            </w:pPr>
            <w:r>
              <w:rPr>
                <w:rFonts w:ascii="Calibri" w:hAnsi="Calibri"/>
                <w:sz w:val="17"/>
              </w:rPr>
              <w:t>Normally 20 business days.</w:t>
            </w:r>
          </w:p>
        </w:tc>
        <w:tc>
          <w:tcPr>
            <w:tcW w:type="dxa" w:w="2033"/>
            <w:vAlign w:val="top"/>
          </w:tcPr>
          <w:p>
            <w:pPr>
              <w:spacing w:after="30"/>
            </w:pPr>
            <w:r>
              <w:rPr>
                <w:rFonts w:ascii="Calibri" w:hAnsi="Calibri"/>
                <w:sz w:val="17"/>
              </w:rPr>
              <w:t>Up to 25% of incremental benefit in affected module.</w:t>
            </w:r>
          </w:p>
        </w:tc>
        <w:tc>
          <w:tcPr>
            <w:tcW w:type="dxa" w:w="2033"/>
            <w:vAlign w:val="top"/>
          </w:tcPr>
          <w:p>
            <w:pPr>
              <w:spacing w:after="30"/>
            </w:pPr>
            <w:r>
              <w:rPr>
                <w:rFonts w:ascii="Calibri" w:hAnsi="Calibri"/>
                <w:sz w:val="17"/>
              </w:rPr>
              <w:t>10 clean business days.</w:t>
            </w:r>
          </w:p>
        </w:tc>
      </w:tr>
      <w:tr>
        <w:tc>
          <w:tcPr>
            <w:tcW w:type="dxa" w:w="2033"/>
            <w:vAlign w:val="top"/>
          </w:tcPr>
          <w:p>
            <w:pPr>
              <w:spacing w:after="30"/>
            </w:pPr>
            <w:r>
              <w:rPr>
                <w:rFonts w:ascii="Calibri" w:hAnsi="Calibri"/>
                <w:sz w:val="17"/>
              </w:rPr>
              <w:t>Tier 3</w:t>
            </w:r>
          </w:p>
        </w:tc>
        <w:tc>
          <w:tcPr>
            <w:tcW w:type="dxa" w:w="2033"/>
            <w:vAlign w:val="top"/>
          </w:tcPr>
          <w:p>
            <w:pPr>
              <w:spacing w:after="30"/>
            </w:pPr>
            <w:r>
              <w:rPr>
                <w:rFonts w:ascii="Calibri" w:hAnsi="Calibri"/>
                <w:sz w:val="17"/>
              </w:rPr>
              <w:t>Deliberate falsification, systemic evasion, intentional disabling of verification, repeated Tier 2 pattern showing institutional bad faith.</w:t>
            </w:r>
          </w:p>
        </w:tc>
        <w:tc>
          <w:tcPr>
            <w:tcW w:type="dxa" w:w="2033"/>
            <w:vAlign w:val="top"/>
          </w:tcPr>
          <w:p>
            <w:pPr>
              <w:spacing w:after="30"/>
            </w:pPr>
            <w:r>
              <w:rPr>
                <w:rFonts w:ascii="Calibri" w:hAnsi="Calibri"/>
                <w:sz w:val="17"/>
              </w:rPr>
              <w:t>Immediate remediation plan; neutral review.</w:t>
            </w:r>
          </w:p>
        </w:tc>
        <w:tc>
          <w:tcPr>
            <w:tcW w:type="dxa" w:w="2033"/>
            <w:vAlign w:val="top"/>
          </w:tcPr>
          <w:p>
            <w:pPr>
              <w:spacing w:after="30"/>
            </w:pPr>
            <w:r>
              <w:rPr>
                <w:rFonts w:ascii="Calibri" w:hAnsi="Calibri"/>
                <w:sz w:val="17"/>
              </w:rPr>
              <w:t>Up to 50% of incremental benefit in affected module; Chapter 31 rights preserved.</w:t>
            </w:r>
          </w:p>
        </w:tc>
        <w:tc>
          <w:tcPr>
            <w:tcW w:type="dxa" w:w="2033"/>
            <w:vAlign w:val="top"/>
          </w:tcPr>
          <w:p>
            <w:pPr>
              <w:spacing w:after="30"/>
            </w:pPr>
            <w:r>
              <w:rPr>
                <w:rFonts w:ascii="Calibri" w:hAnsi="Calibri"/>
                <w:sz w:val="17"/>
              </w:rPr>
              <w:t>30 clean business days, subject to one evidence-based extension.</w:t>
            </w:r>
          </w:p>
        </w:tc>
      </w:tr>
    </w:tbl>
    <w:p/>
    <w:p>
      <w:bookmarkStart w:id="1154" w:name="toc_154"/>
      <w:pPr>
        <w:pStyle w:val="Heading2"/>
        <w:spacing w:before="160" w:after="80"/>
      </w:pPr>
      <w:r>
        <w:rPr>
          <w:rFonts w:ascii="Calibri" w:hAnsi="Calibri"/>
          <w:b/>
          <w:color w:val="37474F"/>
          <w:sz w:val="23"/>
        </w:rPr>
        <w:t>Schedule X-4 — No Cross-Module Cascade</w:t>
      </w:r>
      <w:bookmarkEnd w:id="1154"/>
    </w:p>
    <w:p>
      <w:pPr>
        <w:pStyle w:val="OperativeClause"/>
      </w:pPr>
      <w:r>
        <w:rPr>
          <w:rFonts w:ascii="Calibri" w:hAnsi="Calibri"/>
          <w:sz w:val="20"/>
        </w:rPr>
        <w:t>A breach in one Annex does not automatically infect another Annex. A Party seeking a cross-module consequence bears the burden of showing that the same verified conduct independently violates the second Annex or that a benefit in the second Annex was expressly conditioned on compliance with the first. Political dissatisfaction, unrelated retaliation, or a generalized allegation of bad faith is insufficient.</w:t>
      </w:r>
    </w:p>
    <w:p>
      <w:bookmarkStart w:id="1155" w:name="toc_155"/>
      <w:pPr>
        <w:pStyle w:val="Heading2"/>
        <w:spacing w:before="160" w:after="80"/>
      </w:pPr>
      <w:r>
        <w:rPr>
          <w:rFonts w:ascii="Calibri" w:hAnsi="Calibri"/>
          <w:b/>
          <w:color w:val="37474F"/>
          <w:sz w:val="23"/>
        </w:rPr>
        <w:t>Schedule X-5 — Emergency Action</w:t>
      </w:r>
      <w:bookmarkEnd w:id="1155"/>
    </w:p>
    <w:p>
      <w:pPr>
        <w:pStyle w:val="OperativeClause"/>
      </w:pPr>
      <w:r>
        <w:rPr>
          <w:rFonts w:ascii="Calibri" w:hAnsi="Calibri"/>
          <w:sz w:val="20"/>
        </w:rPr>
        <w:t>Nothing prevents a Party from taking an emergency measure necessary to address an imminent threat to health, safety, security, financial stability, critical infrastructure, or the environment under applicable law. The acting Party shall tailor the measure to the threat, state its expected duration, provide notice as soon as practicable, and enter Annex consultation. Emergency status does not permanently displace ordinary Annex disciplines.</w:t>
      </w:r>
    </w:p>
    <w:p>
      <w:r/>
    </w:p>
    <w:p>
      <w:bookmarkStart w:id="1156" w:name="toc_156"/>
      <w:pPr>
        <w:pStyle w:val="Heading1"/>
        <w:spacing w:before="200" w:after="120"/>
      </w:pPr>
      <w:r>
        <w:rPr>
          <w:rFonts w:ascii="Calibri" w:hAnsi="Calibri"/>
          <w:b/>
          <w:color w:val="37474F"/>
          <w:sz w:val="30"/>
        </w:rPr>
        <w:t>PART III — ADOPTION, ACCESSION, REVIEW, AND MODEL EXECUTION TEXT</w:t>
      </w:r>
      <w:bookmarkEnd w:id="1156"/>
    </w:p>
    <w:p>
      <w:bookmarkStart w:id="1157" w:name="toc_157"/>
      <w:pPr>
        <w:pStyle w:val="Heading2"/>
        <w:spacing w:before="160" w:after="80"/>
      </w:pPr>
      <w:r>
        <w:rPr>
          <w:rFonts w:ascii="Calibri" w:hAnsi="Calibri"/>
          <w:b/>
          <w:color w:val="37474F"/>
          <w:sz w:val="23"/>
        </w:rPr>
        <w:t>Article F.1 — Adoption</w:t>
      </w:r>
      <w:bookmarkEnd w:id="1157"/>
    </w:p>
    <w:p>
      <w:pPr>
        <w:pStyle w:val="OperativeClause"/>
      </w:pPr>
      <w:r>
        <w:rPr>
          <w:rFonts w:ascii="Calibri" w:hAnsi="Calibri"/>
          <w:sz w:val="20"/>
        </w:rPr>
        <w:t>An Annex becomes operative only through a written adopting instrument executed or otherwise brought into effect by the participating Parties in accordance with their applicable legal procedures. The adopting instrument shall identify the Annex version, activated schedules, participating Parties, effective date, implementing bodies, and any permitted reservation.</w:t>
      </w:r>
    </w:p>
    <w:p>
      <w:bookmarkStart w:id="1158" w:name="toc_158"/>
      <w:pPr>
        <w:pStyle w:val="Heading2"/>
        <w:spacing w:before="160" w:after="80"/>
      </w:pPr>
      <w:r>
        <w:rPr>
          <w:rFonts w:ascii="Calibri" w:hAnsi="Calibri"/>
          <w:b/>
          <w:color w:val="37474F"/>
          <w:sz w:val="23"/>
        </w:rPr>
        <w:t>Article F.2 — Accession</w:t>
      </w:r>
      <w:bookmarkEnd w:id="1158"/>
    </w:p>
    <w:p>
      <w:pPr>
        <w:pStyle w:val="OperativeClause"/>
      </w:pPr>
      <w:r>
        <w:rPr>
          <w:rFonts w:ascii="Calibri" w:hAnsi="Calibri"/>
          <w:sz w:val="20"/>
        </w:rPr>
        <w:t>A CUSMA Party not initially participating in an Annex may accede by written instrument accepted by the existing participants. Accession shall not require renegotiation of completed performance, but the participants shall agree on transition dates for data systems, rosters, schedules, and pending matters.</w:t>
      </w:r>
    </w:p>
    <w:p>
      <w:bookmarkStart w:id="1159" w:name="toc_159"/>
      <w:pPr>
        <w:pStyle w:val="Heading2"/>
        <w:spacing w:before="160" w:after="80"/>
      </w:pPr>
      <w:r>
        <w:rPr>
          <w:rFonts w:ascii="Calibri" w:hAnsi="Calibri"/>
          <w:b/>
          <w:color w:val="37474F"/>
          <w:sz w:val="23"/>
        </w:rPr>
        <w:t>Article F.3 — Withdrawal</w:t>
      </w:r>
      <w:bookmarkEnd w:id="1159"/>
    </w:p>
    <w:p>
      <w:pPr>
        <w:pStyle w:val="OperativeClause"/>
      </w:pPr>
      <w:r>
        <w:rPr>
          <w:rFonts w:ascii="Calibri" w:hAnsi="Calibri"/>
          <w:sz w:val="20"/>
        </w:rPr>
        <w:t>A Party may withdraw from an Annex on 180 days' written notice unless the adopting instrument provides a longer period. Withdrawal does not extinguish accrued payment obligations, confidentiality duties, pending dispute procedures, or rights relating to transactions completed before withdrawal. The Parties shall adopt a wind-down plan for open cases.</w:t>
      </w:r>
    </w:p>
    <w:p>
      <w:bookmarkStart w:id="1160" w:name="toc_160"/>
      <w:pPr>
        <w:pStyle w:val="Heading2"/>
        <w:spacing w:before="160" w:after="80"/>
      </w:pPr>
      <w:r>
        <w:rPr>
          <w:rFonts w:ascii="Calibri" w:hAnsi="Calibri"/>
          <w:b/>
          <w:color w:val="37474F"/>
          <w:sz w:val="23"/>
        </w:rPr>
        <w:t>Article F.4 — Periodic Review</w:t>
      </w:r>
      <w:bookmarkEnd w:id="1160"/>
    </w:p>
    <w:p>
      <w:pPr>
        <w:pStyle w:val="OperativeClause"/>
      </w:pPr>
      <w:r>
        <w:rPr>
          <w:rFonts w:ascii="Calibri" w:hAnsi="Calibri"/>
          <w:sz w:val="20"/>
        </w:rPr>
        <w:t>Each Annex remains in effect according to its adopting instrument and does not lapse merely because a scheduled review is delayed. A missed review triggers an obligation to convene, not automatic expiry. Technical schedules continue until replaced or withdrawn through the applicable procedure.</w:t>
      </w:r>
    </w:p>
    <w:p>
      <w:bookmarkStart w:id="1161" w:name="toc_161"/>
      <w:pPr>
        <w:pStyle w:val="Heading2"/>
        <w:spacing w:before="160" w:after="80"/>
      </w:pPr>
      <w:r>
        <w:rPr>
          <w:rFonts w:ascii="Calibri" w:hAnsi="Calibri"/>
          <w:b/>
          <w:color w:val="37474F"/>
          <w:sz w:val="23"/>
        </w:rPr>
        <w:t>Article F.5 — Authentic Languages</w:t>
      </w:r>
      <w:bookmarkEnd w:id="1161"/>
    </w:p>
    <w:p>
      <w:pPr>
        <w:pStyle w:val="OperativeClause"/>
      </w:pPr>
      <w:r>
        <w:rPr>
          <w:rFonts w:ascii="Calibri" w:hAnsi="Calibri"/>
          <w:sz w:val="20"/>
        </w:rPr>
        <w:t>A trilateral adoption should be prepared in English, French, and Spanish, each equally authentic if the adopting instrument so provides. A bilateral adoption may specify the authentic languages applicable to that bilateral instrument.</w:t>
      </w:r>
    </w:p>
    <w:p>
      <w:bookmarkStart w:id="1162" w:name="toc_162"/>
      <w:pPr>
        <w:pStyle w:val="Heading2"/>
        <w:spacing w:before="160" w:after="80"/>
      </w:pPr>
      <w:r>
        <w:rPr>
          <w:rFonts w:ascii="Calibri" w:hAnsi="Calibri"/>
          <w:b/>
          <w:color w:val="37474F"/>
          <w:sz w:val="23"/>
        </w:rPr>
        <w:t>Model Execution Clause</w:t>
      </w:r>
      <w:bookmarkEnd w:id="1162"/>
    </w:p>
    <w:p>
      <w:pPr>
        <w:pStyle w:val="OperativeClause"/>
      </w:pPr>
      <w:r>
        <w:rPr>
          <w:rFonts w:ascii="Calibri" w:hAnsi="Calibri"/>
          <w:sz w:val="20"/>
        </w:rPr>
        <w:t>The authorized representatives, having completed the procedures required by their respective legal systems, may adopt the Annexes identified in the attached Schedule of Adoption. No signature block in this model text represents an actual governmental signature or authorization.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3F0"/>
          </w:tcPr>
          <w:p>
            <w:r>
              <w:rPr>
                <w:rFonts w:ascii="Calibri" w:hAnsi="Calibri"/>
                <w:b/>
                <w:color w:val="37474F"/>
                <w:sz w:val="17"/>
              </w:rPr>
              <w:t>Annex</w:t>
            </w:r>
          </w:p>
        </w:tc>
        <w:tc>
          <w:tcPr>
            <w:tcW w:type="dxa" w:w="2033"/>
            <w:shd w:fill="D9E3F0"/>
          </w:tcPr>
          <w:p>
            <w:r>
              <w:rPr>
                <w:rFonts w:ascii="Calibri" w:hAnsi="Calibri"/>
                <w:b/>
                <w:color w:val="37474F"/>
                <w:sz w:val="17"/>
              </w:rPr>
              <w:t>Adopt?</w:t>
            </w:r>
          </w:p>
        </w:tc>
        <w:tc>
          <w:tcPr>
            <w:tcW w:type="dxa" w:w="2033"/>
            <w:shd w:fill="D9E3F0"/>
          </w:tcPr>
          <w:p>
            <w:r>
              <w:rPr>
                <w:rFonts w:ascii="Calibri" w:hAnsi="Calibri"/>
                <w:b/>
                <w:color w:val="37474F"/>
                <w:sz w:val="17"/>
              </w:rPr>
              <w:t>Bilateral / trilateral</w:t>
            </w:r>
          </w:p>
        </w:tc>
        <w:tc>
          <w:tcPr>
            <w:tcW w:type="dxa" w:w="2033"/>
            <w:shd w:fill="D9E3F0"/>
          </w:tcPr>
          <w:p>
            <w:r>
              <w:rPr>
                <w:rFonts w:ascii="Calibri" w:hAnsi="Calibri"/>
                <w:b/>
                <w:color w:val="37474F"/>
                <w:sz w:val="17"/>
              </w:rPr>
              <w:t>Activated schedules</w:t>
            </w:r>
          </w:p>
        </w:tc>
        <w:tc>
          <w:tcPr>
            <w:tcW w:type="dxa" w:w="2033"/>
            <w:shd w:fill="D9E3F0"/>
          </w:tcPr>
          <w:p>
            <w:r>
              <w:rPr>
                <w:rFonts w:ascii="Calibri" w:hAnsi="Calibri"/>
                <w:b/>
                <w:color w:val="37474F"/>
                <w:sz w:val="17"/>
              </w:rPr>
              <w:t>Effective date</w:t>
            </w:r>
          </w:p>
        </w:tc>
      </w:tr>
      <w:tr>
        <w:tc>
          <w:tcPr>
            <w:tcW w:type="dxa" w:w="2033"/>
            <w:vAlign w:val="top"/>
          </w:tcPr>
          <w:p>
            <w:pPr>
              <w:spacing w:after="30"/>
            </w:pPr>
            <w:r>
              <w:rPr>
                <w:rFonts w:ascii="Calibri" w:hAnsi="Calibri"/>
                <w:sz w:val="17"/>
              </w:rPr>
              <w:t>Annex 1 — Digital Trade</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r>
        <w:tc>
          <w:tcPr>
            <w:tcW w:type="dxa" w:w="2033"/>
            <w:vAlign w:val="top"/>
          </w:tcPr>
          <w:p>
            <w:pPr>
              <w:spacing w:after="30"/>
            </w:pPr>
            <w:r>
              <w:rPr>
                <w:rFonts w:ascii="Calibri" w:hAnsi="Calibri"/>
                <w:sz w:val="17"/>
              </w:rPr>
              <w:t>Annex 2 — Customs and Facilitation</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r>
        <w:tc>
          <w:tcPr>
            <w:tcW w:type="dxa" w:w="2033"/>
            <w:vAlign w:val="top"/>
          </w:tcPr>
          <w:p>
            <w:pPr>
              <w:spacing w:after="30"/>
            </w:pPr>
            <w:r>
              <w:rPr>
                <w:rFonts w:ascii="Calibri" w:hAnsi="Calibri"/>
                <w:sz w:val="17"/>
              </w:rPr>
              <w:t>Annex 3 — Automotive Origin</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r>
        <w:tc>
          <w:tcPr>
            <w:tcW w:type="dxa" w:w="2033"/>
            <w:vAlign w:val="top"/>
          </w:tcPr>
          <w:p>
            <w:pPr>
              <w:spacing w:after="30"/>
            </w:pPr>
            <w:r>
              <w:rPr>
                <w:rFonts w:ascii="Calibri" w:hAnsi="Calibri"/>
                <w:sz w:val="17"/>
              </w:rPr>
              <w:t>Annex 4 — Competitiveness and Economic Security</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r>
        <w:tc>
          <w:tcPr>
            <w:tcW w:type="dxa" w:w="2033"/>
            <w:vAlign w:val="top"/>
          </w:tcPr>
          <w:p>
            <w:pPr>
              <w:spacing w:after="30"/>
            </w:pPr>
            <w:r>
              <w:rPr>
                <w:rFonts w:ascii="Calibri" w:hAnsi="Calibri"/>
                <w:sz w:val="17"/>
              </w:rPr>
              <w:t>Annex 5 — Labor</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r>
        <w:tc>
          <w:tcPr>
            <w:tcW w:type="dxa" w:w="2033"/>
            <w:vAlign w:val="top"/>
          </w:tcPr>
          <w:p>
            <w:pPr>
              <w:spacing w:after="30"/>
            </w:pPr>
            <w:r>
              <w:rPr>
                <w:rFonts w:ascii="Calibri" w:hAnsi="Calibri"/>
                <w:sz w:val="17"/>
              </w:rPr>
              <w:t>Annex 6 — Environment</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r>
        <w:tc>
          <w:tcPr>
            <w:tcW w:type="dxa" w:w="2033"/>
            <w:vAlign w:val="top"/>
          </w:tcPr>
          <w:p>
            <w:pPr>
              <w:spacing w:after="30"/>
            </w:pPr>
            <w:r>
              <w:rPr>
                <w:rFonts w:ascii="Calibri" w:hAnsi="Calibri"/>
                <w:sz w:val="17"/>
              </w:rPr>
              <w:t>Annex 7 — Dispute Settlement</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r>
        <w:tc>
          <w:tcPr>
            <w:tcW w:type="dxa" w:w="2033"/>
            <w:vAlign w:val="top"/>
          </w:tcPr>
          <w:p>
            <w:pPr>
              <w:spacing w:after="30"/>
            </w:pPr>
            <w:r>
              <w:rPr>
                <w:rFonts w:ascii="Calibri" w:hAnsi="Calibri"/>
                <w:sz w:val="17"/>
              </w:rPr>
              <w:t>Annex 8 — Market Access and Procurement</w:t>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c>
          <w:tcPr>
            <w:tcW w:type="dxa" w:w="2033"/>
            <w:vAlign w:val="top"/>
          </w:tcPr>
          <w:p>
            <w:pPr>
              <w:spacing w:after="30"/>
            </w:pPr>
            <w:r>
              <w:rPr>
                <w:rFonts w:ascii="Calibri" w:hAnsi="Calibri"/>
                <w:sz w:val="17"/>
              </w:rPr>
            </w:r>
          </w:p>
        </w:tc>
      </w:tr>
    </w:tbl>
    <w:p/>
    <w:p>
      <w:r/>
    </w:p>
    <w:p>
      <w:bookmarkStart w:id="1163" w:name="toc_163"/>
      <w:pPr>
        <w:pStyle w:val="Heading1"/>
        <w:spacing w:before="200" w:after="120"/>
      </w:pPr>
      <w:r>
        <w:rPr>
          <w:rFonts w:ascii="Calibri" w:hAnsi="Calibri"/>
          <w:b/>
          <w:color w:val="37474F"/>
          <w:sz w:val="30"/>
        </w:rPr>
        <w:t>APPENDIX A — ISSUE-TO-ANNEX TRACEABILITY MATRIX</w:t>
      </w:r>
      <w:bookmarkEnd w:id="1163"/>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3F0"/>
          </w:tcPr>
          <w:p>
            <w:r>
              <w:rPr>
                <w:rFonts w:ascii="Calibri" w:hAnsi="Calibri"/>
                <w:b/>
                <w:color w:val="37474F"/>
                <w:sz w:val="17"/>
              </w:rPr>
              <w:t>Issue</w:t>
            </w:r>
          </w:p>
        </w:tc>
        <w:tc>
          <w:tcPr>
            <w:tcW w:type="dxa" w:w="2541"/>
            <w:shd w:fill="D9E3F0"/>
          </w:tcPr>
          <w:p>
            <w:r>
              <w:rPr>
                <w:rFonts w:ascii="Calibri" w:hAnsi="Calibri"/>
                <w:b/>
                <w:color w:val="37474F"/>
                <w:sz w:val="17"/>
              </w:rPr>
              <w:t>Annex</w:t>
            </w:r>
          </w:p>
        </w:tc>
        <w:tc>
          <w:tcPr>
            <w:tcW w:type="dxa" w:w="2541"/>
            <w:shd w:fill="D9E3F0"/>
          </w:tcPr>
          <w:p>
            <w:r>
              <w:rPr>
                <w:rFonts w:ascii="Calibri" w:hAnsi="Calibri"/>
                <w:b/>
                <w:color w:val="37474F"/>
                <w:sz w:val="17"/>
              </w:rPr>
              <w:t>Primary provisions</w:t>
            </w:r>
          </w:p>
        </w:tc>
        <w:tc>
          <w:tcPr>
            <w:tcW w:type="dxa" w:w="2541"/>
            <w:shd w:fill="D9E3F0"/>
          </w:tcPr>
          <w:p>
            <w:r>
              <w:rPr>
                <w:rFonts w:ascii="Calibri" w:hAnsi="Calibri"/>
                <w:b/>
                <w:color w:val="37474F"/>
                <w:sz w:val="17"/>
              </w:rPr>
              <w:t>Verification focus</w:t>
            </w:r>
          </w:p>
        </w:tc>
      </w:tr>
      <w:tr>
        <w:tc>
          <w:tcPr>
            <w:tcW w:type="dxa" w:w="2541"/>
            <w:vAlign w:val="top"/>
          </w:tcPr>
          <w:p>
            <w:pPr>
              <w:spacing w:after="30"/>
            </w:pPr>
            <w:r>
              <w:rPr>
                <w:rFonts w:ascii="Calibri" w:hAnsi="Calibri"/>
                <w:sz w:val="17"/>
              </w:rPr>
              <w:t>Dairy TRQ allocation / utilization</w:t>
            </w:r>
          </w:p>
        </w:tc>
        <w:tc>
          <w:tcPr>
            <w:tcW w:type="dxa" w:w="2541"/>
            <w:vAlign w:val="top"/>
          </w:tcPr>
          <w:p>
            <w:pPr>
              <w:spacing w:after="30"/>
            </w:pPr>
            <w:r>
              <w:rPr>
                <w:rFonts w:ascii="Calibri" w:hAnsi="Calibri"/>
                <w:sz w:val="17"/>
              </w:rPr>
              <w:t>8</w:t>
            </w:r>
          </w:p>
        </w:tc>
        <w:tc>
          <w:tcPr>
            <w:tcW w:type="dxa" w:w="2541"/>
            <w:vAlign w:val="top"/>
          </w:tcPr>
          <w:p>
            <w:pPr>
              <w:spacing w:after="30"/>
            </w:pPr>
            <w:r>
              <w:rPr>
                <w:rFonts w:ascii="Calibri" w:hAnsi="Calibri"/>
                <w:sz w:val="17"/>
              </w:rPr>
              <w:t>A8.2–A8.4</w:t>
            </w:r>
          </w:p>
        </w:tc>
        <w:tc>
          <w:tcPr>
            <w:tcW w:type="dxa" w:w="2541"/>
            <w:vAlign w:val="top"/>
          </w:tcPr>
          <w:p>
            <w:pPr>
              <w:spacing w:after="30"/>
            </w:pPr>
            <w:r>
              <w:rPr>
                <w:rFonts w:ascii="Calibri" w:hAnsi="Calibri"/>
                <w:sz w:val="17"/>
              </w:rPr>
              <w:t>Utilization dashboard, reallocation records, applicant eligibility, reasons for rule changes.</w:t>
            </w:r>
          </w:p>
        </w:tc>
      </w:tr>
      <w:tr>
        <w:tc>
          <w:tcPr>
            <w:tcW w:type="dxa" w:w="2541"/>
            <w:vAlign w:val="top"/>
          </w:tcPr>
          <w:p>
            <w:pPr>
              <w:spacing w:after="30"/>
            </w:pPr>
            <w:r>
              <w:rPr>
                <w:rFonts w:ascii="Calibri" w:hAnsi="Calibri"/>
                <w:sz w:val="17"/>
              </w:rPr>
              <w:t>Alcohol listing / delisting / markups</w:t>
            </w:r>
          </w:p>
        </w:tc>
        <w:tc>
          <w:tcPr>
            <w:tcW w:type="dxa" w:w="2541"/>
            <w:vAlign w:val="top"/>
          </w:tcPr>
          <w:p>
            <w:pPr>
              <w:spacing w:after="30"/>
            </w:pPr>
            <w:r>
              <w:rPr>
                <w:rFonts w:ascii="Calibri" w:hAnsi="Calibri"/>
                <w:sz w:val="17"/>
              </w:rPr>
              <w:t>8</w:t>
            </w:r>
          </w:p>
        </w:tc>
        <w:tc>
          <w:tcPr>
            <w:tcW w:type="dxa" w:w="2541"/>
            <w:vAlign w:val="top"/>
          </w:tcPr>
          <w:p>
            <w:pPr>
              <w:spacing w:after="30"/>
            </w:pPr>
            <w:r>
              <w:rPr>
                <w:rFonts w:ascii="Calibri" w:hAnsi="Calibri"/>
                <w:sz w:val="17"/>
              </w:rPr>
              <w:t>A8.5–A8.6</w:t>
            </w:r>
          </w:p>
        </w:tc>
        <w:tc>
          <w:tcPr>
            <w:tcW w:type="dxa" w:w="2541"/>
            <w:vAlign w:val="top"/>
          </w:tcPr>
          <w:p>
            <w:pPr>
              <w:spacing w:after="30"/>
            </w:pPr>
            <w:r>
              <w:rPr>
                <w:rFonts w:ascii="Calibri" w:hAnsi="Calibri"/>
                <w:sz w:val="17"/>
              </w:rPr>
              <w:t>Listing decisions, pricing methodology, nationality-neutral criteria, emergency reasons.</w:t>
            </w:r>
          </w:p>
        </w:tc>
      </w:tr>
      <w:tr>
        <w:tc>
          <w:tcPr>
            <w:tcW w:type="dxa" w:w="2541"/>
            <w:vAlign w:val="top"/>
          </w:tcPr>
          <w:p>
            <w:pPr>
              <w:spacing w:after="30"/>
            </w:pPr>
            <w:r>
              <w:rPr>
                <w:rFonts w:ascii="Calibri" w:hAnsi="Calibri"/>
                <w:sz w:val="17"/>
              </w:rPr>
              <w:t>Auto retaliation / tariff instability</w:t>
            </w:r>
          </w:p>
        </w:tc>
        <w:tc>
          <w:tcPr>
            <w:tcW w:type="dxa" w:w="2541"/>
            <w:vAlign w:val="top"/>
          </w:tcPr>
          <w:p>
            <w:pPr>
              <w:spacing w:after="30"/>
            </w:pPr>
            <w:r>
              <w:rPr>
                <w:rFonts w:ascii="Calibri" w:hAnsi="Calibri"/>
                <w:sz w:val="17"/>
              </w:rPr>
              <w:t>7, 8</w:t>
            </w:r>
          </w:p>
        </w:tc>
        <w:tc>
          <w:tcPr>
            <w:tcW w:type="dxa" w:w="2541"/>
            <w:vAlign w:val="top"/>
          </w:tcPr>
          <w:p>
            <w:pPr>
              <w:spacing w:after="30"/>
            </w:pPr>
            <w:r>
              <w:rPr>
                <w:rFonts w:ascii="Calibri" w:hAnsi="Calibri"/>
                <w:sz w:val="17"/>
              </w:rPr>
              <w:t>A7.7; A8.10</w:t>
            </w:r>
          </w:p>
        </w:tc>
        <w:tc>
          <w:tcPr>
            <w:tcW w:type="dxa" w:w="2541"/>
            <w:vAlign w:val="top"/>
          </w:tcPr>
          <w:p>
            <w:pPr>
              <w:spacing w:after="30"/>
            </w:pPr>
            <w:r>
              <w:rPr>
                <w:rFonts w:ascii="Calibri" w:hAnsi="Calibri"/>
                <w:sz w:val="17"/>
              </w:rPr>
              <w:t>Advance notice, paired suspension schedule, proportional restoration.</w:t>
            </w:r>
          </w:p>
        </w:tc>
      </w:tr>
      <w:tr>
        <w:tc>
          <w:tcPr>
            <w:tcW w:type="dxa" w:w="2541"/>
            <w:vAlign w:val="top"/>
          </w:tcPr>
          <w:p>
            <w:pPr>
              <w:spacing w:after="30"/>
            </w:pPr>
            <w:r>
              <w:rPr>
                <w:rFonts w:ascii="Calibri" w:hAnsi="Calibri"/>
                <w:sz w:val="17"/>
              </w:rPr>
              <w:t>Core-parts roll-up dispute</w:t>
            </w:r>
          </w:p>
        </w:tc>
        <w:tc>
          <w:tcPr>
            <w:tcW w:type="dxa" w:w="2541"/>
            <w:vAlign w:val="top"/>
          </w:tcPr>
          <w:p>
            <w:pPr>
              <w:spacing w:after="30"/>
            </w:pPr>
            <w:r>
              <w:rPr>
                <w:rFonts w:ascii="Calibri" w:hAnsi="Calibri"/>
                <w:sz w:val="17"/>
              </w:rPr>
              <w:t>3</w:t>
            </w:r>
          </w:p>
        </w:tc>
        <w:tc>
          <w:tcPr>
            <w:tcW w:type="dxa" w:w="2541"/>
            <w:vAlign w:val="top"/>
          </w:tcPr>
          <w:p>
            <w:pPr>
              <w:spacing w:after="30"/>
            </w:pPr>
            <w:r>
              <w:rPr>
                <w:rFonts w:ascii="Calibri" w:hAnsi="Calibri"/>
                <w:sz w:val="17"/>
              </w:rPr>
              <w:t>A3.1–A3.4</w:t>
            </w:r>
          </w:p>
        </w:tc>
        <w:tc>
          <w:tcPr>
            <w:tcW w:type="dxa" w:w="2541"/>
            <w:vAlign w:val="top"/>
          </w:tcPr>
          <w:p>
            <w:pPr>
              <w:spacing w:after="30"/>
            </w:pPr>
            <w:r>
              <w:rPr>
                <w:rFonts w:ascii="Calibri" w:hAnsi="Calibri"/>
                <w:sz w:val="17"/>
              </w:rPr>
              <w:t>Model-year file, part-level origin finding, vehicle-level calculation.</w:t>
            </w:r>
          </w:p>
        </w:tc>
      </w:tr>
      <w:tr>
        <w:tc>
          <w:tcPr>
            <w:tcW w:type="dxa" w:w="2541"/>
            <w:vAlign w:val="top"/>
          </w:tcPr>
          <w:p>
            <w:pPr>
              <w:spacing w:after="30"/>
            </w:pPr>
            <w:r>
              <w:rPr>
                <w:rFonts w:ascii="Calibri" w:hAnsi="Calibri"/>
                <w:sz w:val="17"/>
              </w:rPr>
              <w:t>Chinese / non-party free-riding</w:t>
            </w:r>
          </w:p>
        </w:tc>
        <w:tc>
          <w:tcPr>
            <w:tcW w:type="dxa" w:w="2541"/>
            <w:vAlign w:val="top"/>
          </w:tcPr>
          <w:p>
            <w:pPr>
              <w:spacing w:after="30"/>
            </w:pPr>
            <w:r>
              <w:rPr>
                <w:rFonts w:ascii="Calibri" w:hAnsi="Calibri"/>
                <w:sz w:val="17"/>
              </w:rPr>
              <w:t>2, 3, 4</w:t>
            </w:r>
          </w:p>
        </w:tc>
        <w:tc>
          <w:tcPr>
            <w:tcW w:type="dxa" w:w="2541"/>
            <w:vAlign w:val="top"/>
          </w:tcPr>
          <w:p>
            <w:pPr>
              <w:spacing w:after="30"/>
            </w:pPr>
            <w:r>
              <w:rPr>
                <w:rFonts w:ascii="Calibri" w:hAnsi="Calibri"/>
                <w:sz w:val="17"/>
              </w:rPr>
              <w:t>A2.5; A3.7; A4.5</w:t>
            </w:r>
          </w:p>
        </w:tc>
        <w:tc>
          <w:tcPr>
            <w:tcW w:type="dxa" w:w="2541"/>
            <w:vAlign w:val="top"/>
          </w:tcPr>
          <w:p>
            <w:pPr>
              <w:spacing w:after="30"/>
            </w:pPr>
            <w:r>
              <w:rPr>
                <w:rFonts w:ascii="Calibri" w:hAnsi="Calibri"/>
                <w:sz w:val="17"/>
              </w:rPr>
              <w:t>Economic substance, transformation, traceability, capacity, overcapacity evidence.</w:t>
            </w:r>
          </w:p>
        </w:tc>
      </w:tr>
      <w:tr>
        <w:tc>
          <w:tcPr>
            <w:tcW w:type="dxa" w:w="2541"/>
            <w:vAlign w:val="top"/>
          </w:tcPr>
          <w:p>
            <w:pPr>
              <w:spacing w:after="30"/>
            </w:pPr>
            <w:r>
              <w:rPr>
                <w:rFonts w:ascii="Calibri" w:hAnsi="Calibri"/>
                <w:sz w:val="17"/>
              </w:rPr>
              <w:t>Digital data-flow restrictions</w:t>
            </w:r>
          </w:p>
        </w:tc>
        <w:tc>
          <w:tcPr>
            <w:tcW w:type="dxa" w:w="2541"/>
            <w:vAlign w:val="top"/>
          </w:tcPr>
          <w:p>
            <w:pPr>
              <w:spacing w:after="30"/>
            </w:pPr>
            <w:r>
              <w:rPr>
                <w:rFonts w:ascii="Calibri" w:hAnsi="Calibri"/>
                <w:sz w:val="17"/>
              </w:rPr>
              <w:t>1</w:t>
            </w:r>
          </w:p>
        </w:tc>
        <w:tc>
          <w:tcPr>
            <w:tcW w:type="dxa" w:w="2541"/>
            <w:vAlign w:val="top"/>
          </w:tcPr>
          <w:p>
            <w:pPr>
              <w:spacing w:after="30"/>
            </w:pPr>
            <w:r>
              <w:rPr>
                <w:rFonts w:ascii="Calibri" w:hAnsi="Calibri"/>
                <w:sz w:val="17"/>
              </w:rPr>
              <w:t>A1.2–A1.4</w:t>
            </w:r>
          </w:p>
        </w:tc>
        <w:tc>
          <w:tcPr>
            <w:tcW w:type="dxa" w:w="2541"/>
            <w:vAlign w:val="top"/>
          </w:tcPr>
          <w:p>
            <w:pPr>
              <w:spacing w:after="30"/>
            </w:pPr>
            <w:r>
              <w:rPr>
                <w:rFonts w:ascii="Calibri" w:hAnsi="Calibri"/>
                <w:sz w:val="17"/>
              </w:rPr>
              <w:t>Published legal basis, risk statement, alternatives, equivalence evidence.</w:t>
            </w:r>
          </w:p>
        </w:tc>
      </w:tr>
      <w:tr>
        <w:tc>
          <w:tcPr>
            <w:tcW w:type="dxa" w:w="2541"/>
            <w:vAlign w:val="top"/>
          </w:tcPr>
          <w:p>
            <w:pPr>
              <w:spacing w:after="30"/>
            </w:pPr>
            <w:r>
              <w:rPr>
                <w:rFonts w:ascii="Calibri" w:hAnsi="Calibri"/>
                <w:sz w:val="17"/>
              </w:rPr>
              <w:t>Online service / cultural regulation concerns</w:t>
            </w:r>
          </w:p>
        </w:tc>
        <w:tc>
          <w:tcPr>
            <w:tcW w:type="dxa" w:w="2541"/>
            <w:vAlign w:val="top"/>
          </w:tcPr>
          <w:p>
            <w:pPr>
              <w:spacing w:after="30"/>
            </w:pPr>
            <w:r>
              <w:rPr>
                <w:rFonts w:ascii="Calibri" w:hAnsi="Calibri"/>
                <w:sz w:val="17"/>
              </w:rPr>
              <w:t>1</w:t>
            </w:r>
          </w:p>
        </w:tc>
        <w:tc>
          <w:tcPr>
            <w:tcW w:type="dxa" w:w="2541"/>
            <w:vAlign w:val="top"/>
          </w:tcPr>
          <w:p>
            <w:pPr>
              <w:spacing w:after="30"/>
            </w:pPr>
            <w:r>
              <w:rPr>
                <w:rFonts w:ascii="Calibri" w:hAnsi="Calibri"/>
                <w:sz w:val="17"/>
              </w:rPr>
              <w:t>A1.8</w:t>
            </w:r>
          </w:p>
        </w:tc>
        <w:tc>
          <w:tcPr>
            <w:tcW w:type="dxa" w:w="2541"/>
            <w:vAlign w:val="top"/>
          </w:tcPr>
          <w:p>
            <w:pPr>
              <w:spacing w:after="30"/>
            </w:pPr>
            <w:r>
              <w:rPr>
                <w:rFonts w:ascii="Calibri" w:hAnsi="Calibri"/>
                <w:sz w:val="17"/>
              </w:rPr>
              <w:t>Non-discrimination, transparent contribution calculation, public-policy objective.</w:t>
            </w:r>
          </w:p>
        </w:tc>
      </w:tr>
      <w:tr>
        <w:tc>
          <w:tcPr>
            <w:tcW w:type="dxa" w:w="2541"/>
            <w:vAlign w:val="top"/>
          </w:tcPr>
          <w:p>
            <w:pPr>
              <w:spacing w:after="30"/>
            </w:pPr>
            <w:r>
              <w:rPr>
                <w:rFonts w:ascii="Calibri" w:hAnsi="Calibri"/>
                <w:sz w:val="17"/>
              </w:rPr>
              <w:t>Forced-labour enforcement</w:t>
            </w:r>
          </w:p>
        </w:tc>
        <w:tc>
          <w:tcPr>
            <w:tcW w:type="dxa" w:w="2541"/>
            <w:vAlign w:val="top"/>
          </w:tcPr>
          <w:p>
            <w:pPr>
              <w:spacing w:after="30"/>
            </w:pPr>
            <w:r>
              <w:rPr>
                <w:rFonts w:ascii="Calibri" w:hAnsi="Calibri"/>
                <w:sz w:val="17"/>
              </w:rPr>
              <w:t>2, 5</w:t>
            </w:r>
          </w:p>
        </w:tc>
        <w:tc>
          <w:tcPr>
            <w:tcW w:type="dxa" w:w="2541"/>
            <w:vAlign w:val="top"/>
          </w:tcPr>
          <w:p>
            <w:pPr>
              <w:spacing w:after="30"/>
            </w:pPr>
            <w:r>
              <w:rPr>
                <w:rFonts w:ascii="Calibri" w:hAnsi="Calibri"/>
                <w:sz w:val="17"/>
              </w:rPr>
              <w:t>A2.7; A5.6</w:t>
            </w:r>
          </w:p>
        </w:tc>
        <w:tc>
          <w:tcPr>
            <w:tcW w:type="dxa" w:w="2541"/>
            <w:vAlign w:val="top"/>
          </w:tcPr>
          <w:p>
            <w:pPr>
              <w:spacing w:after="30"/>
            </w:pPr>
            <w:r>
              <w:rPr>
                <w:rFonts w:ascii="Calibri" w:hAnsi="Calibri"/>
                <w:sz w:val="17"/>
              </w:rPr>
              <w:t>Evidence hierarchy, importer/worker process, remediation evidence.</w:t>
            </w:r>
          </w:p>
        </w:tc>
      </w:tr>
      <w:tr>
        <w:tc>
          <w:tcPr>
            <w:tcW w:type="dxa" w:w="2541"/>
            <w:vAlign w:val="top"/>
          </w:tcPr>
          <w:p>
            <w:pPr>
              <w:spacing w:after="30"/>
            </w:pPr>
            <w:r>
              <w:rPr>
                <w:rFonts w:ascii="Calibri" w:hAnsi="Calibri"/>
                <w:sz w:val="17"/>
              </w:rPr>
              <w:t>Procurement reciprocity</w:t>
            </w:r>
          </w:p>
        </w:tc>
        <w:tc>
          <w:tcPr>
            <w:tcW w:type="dxa" w:w="2541"/>
            <w:vAlign w:val="top"/>
          </w:tcPr>
          <w:p>
            <w:pPr>
              <w:spacing w:after="30"/>
            </w:pPr>
            <w:r>
              <w:rPr>
                <w:rFonts w:ascii="Calibri" w:hAnsi="Calibri"/>
                <w:sz w:val="17"/>
              </w:rPr>
              <w:t>8</w:t>
            </w:r>
          </w:p>
        </w:tc>
        <w:tc>
          <w:tcPr>
            <w:tcW w:type="dxa" w:w="2541"/>
            <w:vAlign w:val="top"/>
          </w:tcPr>
          <w:p>
            <w:pPr>
              <w:spacing w:after="30"/>
            </w:pPr>
            <w:r>
              <w:rPr>
                <w:rFonts w:ascii="Calibri" w:hAnsi="Calibri"/>
                <w:sz w:val="17"/>
              </w:rPr>
              <w:t>A8.8–A8.9</w:t>
            </w:r>
          </w:p>
        </w:tc>
        <w:tc>
          <w:tcPr>
            <w:tcW w:type="dxa" w:w="2541"/>
            <w:vAlign w:val="top"/>
          </w:tcPr>
          <w:p>
            <w:pPr>
              <w:spacing w:after="30"/>
            </w:pPr>
            <w:r>
              <w:rPr>
                <w:rFonts w:ascii="Calibri" w:hAnsi="Calibri"/>
                <w:sz w:val="17"/>
              </w:rPr>
              <w:t>Opt-in entity schedules, thresholds, preference disclosure, matched access.</w:t>
            </w:r>
          </w:p>
        </w:tc>
      </w:tr>
      <w:tr>
        <w:tc>
          <w:tcPr>
            <w:tcW w:type="dxa" w:w="2541"/>
            <w:vAlign w:val="top"/>
          </w:tcPr>
          <w:p>
            <w:pPr>
              <w:spacing w:after="30"/>
            </w:pPr>
            <w:r>
              <w:rPr>
                <w:rFonts w:ascii="Calibri" w:hAnsi="Calibri"/>
                <w:sz w:val="17"/>
              </w:rPr>
              <w:t>Steel / aluminum / autos security tariffs</w:t>
            </w:r>
          </w:p>
        </w:tc>
        <w:tc>
          <w:tcPr>
            <w:tcW w:type="dxa" w:w="2541"/>
            <w:vAlign w:val="top"/>
          </w:tcPr>
          <w:p>
            <w:pPr>
              <w:spacing w:after="30"/>
            </w:pPr>
            <w:r>
              <w:rPr>
                <w:rFonts w:ascii="Calibri" w:hAnsi="Calibri"/>
                <w:sz w:val="17"/>
              </w:rPr>
              <w:t>4, 7</w:t>
            </w:r>
          </w:p>
        </w:tc>
        <w:tc>
          <w:tcPr>
            <w:tcW w:type="dxa" w:w="2541"/>
            <w:vAlign w:val="top"/>
          </w:tcPr>
          <w:p>
            <w:pPr>
              <w:spacing w:after="30"/>
            </w:pPr>
            <w:r>
              <w:rPr>
                <w:rFonts w:ascii="Calibri" w:hAnsi="Calibri"/>
                <w:sz w:val="17"/>
              </w:rPr>
              <w:t>A4.7; A7.7</w:t>
            </w:r>
          </w:p>
        </w:tc>
        <w:tc>
          <w:tcPr>
            <w:tcW w:type="dxa" w:w="2541"/>
            <w:vAlign w:val="top"/>
          </w:tcPr>
          <w:p>
            <w:pPr>
              <w:spacing w:after="30"/>
            </w:pPr>
            <w:r>
              <w:rPr>
                <w:rFonts w:ascii="Calibri" w:hAnsi="Calibri"/>
                <w:sz w:val="17"/>
              </w:rPr>
              <w:t>Evidence summary, consultation, continental-supply analysis, alternatives.</w:t>
            </w:r>
          </w:p>
        </w:tc>
      </w:tr>
      <w:tr>
        <w:tc>
          <w:tcPr>
            <w:tcW w:type="dxa" w:w="2541"/>
            <w:vAlign w:val="top"/>
          </w:tcPr>
          <w:p>
            <w:pPr>
              <w:spacing w:after="30"/>
            </w:pPr>
            <w:r>
              <w:rPr>
                <w:rFonts w:ascii="Calibri" w:hAnsi="Calibri"/>
                <w:sz w:val="17"/>
              </w:rPr>
              <w:t>Softwood lumber / sectoral remedies</w:t>
            </w:r>
          </w:p>
        </w:tc>
        <w:tc>
          <w:tcPr>
            <w:tcW w:type="dxa" w:w="2541"/>
            <w:vAlign w:val="top"/>
          </w:tcPr>
          <w:p>
            <w:pPr>
              <w:spacing w:after="30"/>
            </w:pPr>
            <w:r>
              <w:rPr>
                <w:rFonts w:ascii="Calibri" w:hAnsi="Calibri"/>
                <w:sz w:val="17"/>
              </w:rPr>
              <w:t>4, 7</w:t>
            </w:r>
          </w:p>
        </w:tc>
        <w:tc>
          <w:tcPr>
            <w:tcW w:type="dxa" w:w="2541"/>
            <w:vAlign w:val="top"/>
          </w:tcPr>
          <w:p>
            <w:pPr>
              <w:spacing w:after="30"/>
            </w:pPr>
            <w:r>
              <w:rPr>
                <w:rFonts w:ascii="Calibri" w:hAnsi="Calibri"/>
                <w:sz w:val="17"/>
              </w:rPr>
              <w:t>A4.7; A7.3–A7.7</w:t>
            </w:r>
          </w:p>
        </w:tc>
        <w:tc>
          <w:tcPr>
            <w:tcW w:type="dxa" w:w="2541"/>
            <w:vAlign w:val="top"/>
          </w:tcPr>
          <w:p>
            <w:pPr>
              <w:spacing w:after="30"/>
            </w:pPr>
            <w:r>
              <w:rPr>
                <w:rFonts w:ascii="Calibri" w:hAnsi="Calibri"/>
                <w:sz w:val="17"/>
              </w:rPr>
              <w:t>Sector evidence, consultation, accelerated panel where Annex obligation implicated.</w:t>
            </w:r>
          </w:p>
        </w:tc>
      </w:tr>
      <w:tr>
        <w:tc>
          <w:tcPr>
            <w:tcW w:type="dxa" w:w="2541"/>
            <w:vAlign w:val="top"/>
          </w:tcPr>
          <w:p>
            <w:pPr>
              <w:spacing w:after="30"/>
            </w:pPr>
            <w:r>
              <w:rPr>
                <w:rFonts w:ascii="Calibri" w:hAnsi="Calibri"/>
                <w:sz w:val="17"/>
              </w:rPr>
              <w:t>Wildfire smoke / forest management</w:t>
            </w:r>
          </w:p>
        </w:tc>
        <w:tc>
          <w:tcPr>
            <w:tcW w:type="dxa" w:w="2541"/>
            <w:vAlign w:val="top"/>
          </w:tcPr>
          <w:p>
            <w:pPr>
              <w:spacing w:after="30"/>
            </w:pPr>
            <w:r>
              <w:rPr>
                <w:rFonts w:ascii="Calibri" w:hAnsi="Calibri"/>
                <w:sz w:val="17"/>
              </w:rPr>
              <w:t>6</w:t>
            </w:r>
          </w:p>
        </w:tc>
        <w:tc>
          <w:tcPr>
            <w:tcW w:type="dxa" w:w="2541"/>
            <w:vAlign w:val="top"/>
          </w:tcPr>
          <w:p>
            <w:pPr>
              <w:spacing w:after="30"/>
            </w:pPr>
            <w:r>
              <w:rPr>
                <w:rFonts w:ascii="Calibri" w:hAnsi="Calibri"/>
                <w:sz w:val="17"/>
              </w:rPr>
              <w:t>A6.2–A6.4</w:t>
            </w:r>
          </w:p>
        </w:tc>
        <w:tc>
          <w:tcPr>
            <w:tcW w:type="dxa" w:w="2541"/>
            <w:vAlign w:val="top"/>
          </w:tcPr>
          <w:p>
            <w:pPr>
              <w:spacing w:after="30"/>
            </w:pPr>
            <w:r>
              <w:rPr>
                <w:rFonts w:ascii="Calibri" w:hAnsi="Calibri"/>
                <w:sz w:val="17"/>
              </w:rPr>
              <w:t>Forecast data, fuel-management projects, emergency notifications.</w:t>
            </w:r>
          </w:p>
        </w:tc>
      </w:tr>
      <w:tr>
        <w:tc>
          <w:tcPr>
            <w:tcW w:type="dxa" w:w="2541"/>
            <w:vAlign w:val="top"/>
          </w:tcPr>
          <w:p>
            <w:pPr>
              <w:spacing w:after="30"/>
            </w:pPr>
            <w:r>
              <w:rPr>
                <w:rFonts w:ascii="Calibri" w:hAnsi="Calibri"/>
                <w:sz w:val="17"/>
              </w:rPr>
              <w:t>Customs inconsistency / border friction</w:t>
            </w:r>
          </w:p>
        </w:tc>
        <w:tc>
          <w:tcPr>
            <w:tcW w:type="dxa" w:w="2541"/>
            <w:vAlign w:val="top"/>
          </w:tcPr>
          <w:p>
            <w:pPr>
              <w:spacing w:after="30"/>
            </w:pPr>
            <w:r>
              <w:rPr>
                <w:rFonts w:ascii="Calibri" w:hAnsi="Calibri"/>
                <w:sz w:val="17"/>
              </w:rPr>
              <w:t>2</w:t>
            </w:r>
          </w:p>
        </w:tc>
        <w:tc>
          <w:tcPr>
            <w:tcW w:type="dxa" w:w="2541"/>
            <w:vAlign w:val="top"/>
          </w:tcPr>
          <w:p>
            <w:pPr>
              <w:spacing w:after="30"/>
            </w:pPr>
            <w:r>
              <w:rPr>
                <w:rFonts w:ascii="Calibri" w:hAnsi="Calibri"/>
                <w:sz w:val="17"/>
              </w:rPr>
              <w:t>A2.2–A2.10</w:t>
            </w:r>
          </w:p>
        </w:tc>
        <w:tc>
          <w:tcPr>
            <w:tcW w:type="dxa" w:w="2541"/>
            <w:vAlign w:val="top"/>
          </w:tcPr>
          <w:p>
            <w:pPr>
              <w:spacing w:after="30"/>
            </w:pPr>
            <w:r>
              <w:rPr>
                <w:rFonts w:ascii="Calibri" w:hAnsi="Calibri"/>
                <w:sz w:val="17"/>
              </w:rPr>
              <w:t>Release time, port consistency, trusted-trader recognition, verification clocks.</w:t>
            </w:r>
          </w:p>
        </w:tc>
      </w:tr>
      <w:tr>
        <w:tc>
          <w:tcPr>
            <w:tcW w:type="dxa" w:w="2541"/>
            <w:vAlign w:val="top"/>
          </w:tcPr>
          <w:p>
            <w:pPr>
              <w:spacing w:after="30"/>
            </w:pPr>
            <w:r>
              <w:rPr>
                <w:rFonts w:ascii="Calibri" w:hAnsi="Calibri"/>
                <w:sz w:val="17"/>
              </w:rPr>
              <w:t>Trade deficit / U.S. export access concern</w:t>
            </w:r>
          </w:p>
        </w:tc>
        <w:tc>
          <w:tcPr>
            <w:tcW w:type="dxa" w:w="2541"/>
            <w:vAlign w:val="top"/>
          </w:tcPr>
          <w:p>
            <w:pPr>
              <w:spacing w:after="30"/>
            </w:pPr>
            <w:r>
              <w:rPr>
                <w:rFonts w:ascii="Calibri" w:hAnsi="Calibri"/>
                <w:sz w:val="17"/>
              </w:rPr>
              <w:t>4, 8</w:t>
            </w:r>
          </w:p>
        </w:tc>
        <w:tc>
          <w:tcPr>
            <w:tcW w:type="dxa" w:w="2541"/>
            <w:vAlign w:val="top"/>
          </w:tcPr>
          <w:p>
            <w:pPr>
              <w:spacing w:after="30"/>
            </w:pPr>
            <w:r>
              <w:rPr>
                <w:rFonts w:ascii="Calibri" w:hAnsi="Calibri"/>
                <w:sz w:val="17"/>
              </w:rPr>
              <w:t>A4.8; A8.1–A8.12</w:t>
            </w:r>
          </w:p>
        </w:tc>
        <w:tc>
          <w:tcPr>
            <w:tcW w:type="dxa" w:w="2541"/>
            <w:vAlign w:val="top"/>
          </w:tcPr>
          <w:p>
            <w:pPr>
              <w:spacing w:after="30"/>
            </w:pPr>
            <w:r>
              <w:rPr>
                <w:rFonts w:ascii="Calibri" w:hAnsi="Calibri"/>
                <w:sz w:val="17"/>
              </w:rPr>
              <w:t>Supplier matching, market-access utilization, procurement access, friction register.</w:t>
            </w:r>
          </w:p>
        </w:tc>
      </w:tr>
    </w:tbl>
    <w:p/>
    <w:p>
      <w:bookmarkStart w:id="1164" w:name="toc_164"/>
      <w:pPr>
        <w:pStyle w:val="Heading1"/>
        <w:spacing w:before="200" w:after="120"/>
      </w:pPr>
      <w:r>
        <w:rPr>
          <w:rFonts w:ascii="Calibri" w:hAnsi="Calibri"/>
          <w:b/>
          <w:color w:val="37474F"/>
          <w:sz w:val="30"/>
        </w:rPr>
        <w:t>APPENDIX B — DRAFTING AND IMPLEMENTATION NOTES</w:t>
      </w:r>
      <w:bookmarkEnd w:id="1164"/>
    </w:p>
    <w:p>
      <w:pPr>
        <w:pStyle w:val="OperativeClause"/>
      </w:pPr>
      <w:r>
        <w:rPr>
          <w:rFonts w:ascii="Calibri" w:hAnsi="Calibri"/>
          <w:sz w:val="20"/>
        </w:rPr>
        <w:t>This Protocol intentionally does not reproduce CUSMA chapter text. It is drafted as supplemental, modular model language and uses fresh operative formulations. Before governmental use, legal counsel would need to verify the precise Free Trade Commission authority, domestic implementation pathway, constitutional treatment of subnational commitments, relationship to existing side letters and reservations, and any requirement for legislative approval.</w:t>
      </w:r>
    </w:p>
    <w:p>
      <w:pPr>
        <w:pStyle w:val="OperativeClause"/>
      </w:pPr>
      <w:r>
        <w:rPr>
          <w:rFonts w:ascii="Calibri" w:hAnsi="Calibri"/>
          <w:sz w:val="20"/>
        </w:rPr>
        <w:t>The architecture deliberately separates technical clarification from political concession. In automotive origin, for example, the calculation outcome and the verification burden are treated as distinct questions: roll-up can remain the operative treatment for a qualifying core part while audit, supplier evidence, model-year reconciliation, battery traceability, and anti-circumvention become materially stronger.</w:t>
      </w:r>
    </w:p>
    <w:p>
      <w:pPr>
        <w:pStyle w:val="OperativeClause"/>
      </w:pPr>
      <w:r>
        <w:rPr>
          <w:rFonts w:ascii="Calibri" w:hAnsi="Calibri"/>
          <w:sz w:val="20"/>
        </w:rPr>
        <w:t>Likewise, the digital Annex does not solve regulatory disagreement by deleting domestic regulation. It converts the disagreement into tests that negotiators and panels can administer: legitimate objective, published rule, evidence of risk, non-discrimination, functional equivalence, less restrictive alternatives, reasons, review, and cure.</w:t>
      </w:r>
    </w:p>
    <w:p>
      <w:pPr>
        <w:pStyle w:val="OperativeClause"/>
      </w:pPr>
      <w:r>
        <w:rPr>
          <w:rFonts w:ascii="Calibri" w:hAnsi="Calibri"/>
          <w:sz w:val="20"/>
        </w:rPr>
        <w:t>The Cothrom adaptation is intentionally narrower than the original security-oriented method. Trade verification does not need military telemetry, performance bonds, or security facilitators. It preserves the useful core: shared evidence, neutral factual review, tiered classification, no penalty for ordinary technical error, narrow consequences for bounded breach, and a defined path back to full benefits.</w:t>
      </w:r>
    </w:p>
    <w:p>
      <w:pPr>
        <w:pStyle w:val="OperativeClause"/>
      </w:pPr>
      <w:r>
        <w:rPr>
          <w:rFonts w:ascii="Calibri" w:hAnsi="Calibri"/>
          <w:sz w:val="20"/>
        </w:rPr>
        <w:t>The Protocol also avoids automatic treaty-wide snapback. A tariff war is too large a hammer for a late data transmission, a disputed liquor-board listing, a single origin file, or one procurement solicitation. Annex remedies therefore attach first to the implicated module, actor, transaction class, or incremental benefit, while Chapter 31 remains available for genuine treaty-level disputes.</w:t>
      </w:r>
    </w:p>
    <w:p>
      <w:r/>
    </w:p>
    <w:p>
      <w:bookmarkStart w:id="1165" w:name="toc_165"/>
      <w:pPr>
        <w:pStyle w:val="Heading1"/>
        <w:spacing w:before="200" w:after="120"/>
      </w:pPr>
      <w:r>
        <w:rPr>
          <w:rFonts w:ascii="Calibri" w:hAnsi="Calibri"/>
          <w:b/>
          <w:color w:val="37474F"/>
          <w:sz w:val="30"/>
        </w:rPr>
        <w:t>APPENDIX C — NAVIGATION MAP</w:t>
      </w:r>
      <w:bookmarkEnd w:id="1165"/>
    </w:p>
    <w:p>
      <w:pPr>
        <w:pStyle w:val="Heading2"/>
        <w:spacing w:before="160" w:after="80"/>
      </w:pPr>
      <w:r>
        <w:rPr>
          <w:rFonts w:ascii="Calibri" w:hAnsi="Calibri"/>
          <w:b/>
          <w:color w:val="37474F"/>
          <w:sz w:val="23"/>
        </w:rPr>
        <w:t>ANNEX 1 — DIGITAL TRADE MODERNIZATION</w:t>
      </w:r>
    </w:p>
    <w:p>
      <w:pPr/>
      <w:r>
        <w:t>A1.1 Objective and Scope</w:t>
      </w:r>
    </w:p>
    <w:p>
      <w:pPr/>
      <w:r>
        <w:t>A1.2 Cross-Border Data Transfers</w:t>
      </w:r>
    </w:p>
    <w:p>
      <w:pPr/>
      <w:r>
        <w:t>A1.3 Computing Facilities and Cloud Reciprocity</w:t>
      </w:r>
    </w:p>
    <w:p>
      <w:pPr/>
      <w:r>
        <w:t>A1.4 Privacy and Data Protection Interoperability</w:t>
      </w:r>
    </w:p>
    <w:p>
      <w:pPr/>
      <w:r>
        <w:t>A1.5 Artificial Intelligence Governance</w:t>
      </w:r>
    </w:p>
    <w:p>
      <w:pPr/>
      <w:r>
        <w:t>A1.6 Cybersecurity Cooperation</w:t>
      </w:r>
    </w:p>
    <w:p>
      <w:pPr/>
      <w:r>
        <w:t>A1.7 Source Code, Encryption, and Security Testing</w:t>
      </w:r>
    </w:p>
    <w:p>
      <w:pPr/>
      <w:r>
        <w:t>A1.8 Digital Cultural and Public-Interest Measures</w:t>
      </w:r>
    </w:p>
    <w:p>
      <w:pPr/>
      <w:r>
        <w:t>A1.9 SME Digital Access</w:t>
      </w:r>
    </w:p>
    <w:p>
      <w:pPr/>
      <w:r>
        <w:t>A1.10 Governance and Review</w:t>
      </w:r>
    </w:p>
    <w:p>
      <w:pPr/>
      <w:r>
        <w:t>Implementation Schedule 1-A; Verification Matrix 1-B; Model Notice 1-C; Data and Records Schedule 1-D; Stakeholder and SME Access Schedule 1-E; Failure-Mode Playbook 1-F.</w:t>
      </w:r>
    </w:p>
    <w:p>
      <w:pPr>
        <w:pStyle w:val="Heading2"/>
        <w:spacing w:before="160" w:after="80"/>
      </w:pPr>
      <w:r>
        <w:rPr>
          <w:rFonts w:ascii="Calibri" w:hAnsi="Calibri"/>
          <w:b/>
          <w:color w:val="37474F"/>
          <w:sz w:val="23"/>
        </w:rPr>
        <w:t>ANNEX 2 — CUSTOMS, ORIGIN ENFORCEMENT, AND TRADE FACILITATION</w:t>
      </w:r>
    </w:p>
    <w:p>
      <w:pPr/>
      <w:r>
        <w:t>A2.1 Objective</w:t>
      </w:r>
    </w:p>
    <w:p>
      <w:pPr/>
      <w:r>
        <w:t>A2.2 Single-Window Interoperability</w:t>
      </w:r>
    </w:p>
    <w:p>
      <w:pPr/>
      <w:r>
        <w:t>A2.3 Trusted Trader Mutual Recognition</w:t>
      </w:r>
    </w:p>
    <w:p>
      <w:pPr/>
      <w:r>
        <w:t>A2.4 Low-Value Shipments</w:t>
      </w:r>
    </w:p>
    <w:p>
      <w:pPr/>
      <w:r>
        <w:t>A2.5 Anti-Transshipment and Economic-Substance Test</w:t>
      </w:r>
    </w:p>
    <w:p>
      <w:pPr/>
      <w:r>
        <w:t>A2.6 Origin Verification Requests</w:t>
      </w:r>
    </w:p>
    <w:p>
      <w:pPr/>
      <w:r>
        <w:t>A2.7 Forced-Labour Enforcement Cooperation</w:t>
      </w:r>
    </w:p>
    <w:p>
      <w:pPr/>
      <w:r>
        <w:t>A2.8 Joint Inspection and Port Consistency</w:t>
      </w:r>
    </w:p>
    <w:p>
      <w:pPr/>
      <w:r>
        <w:t>A2.9 Advance Rulings and Model Decisions</w:t>
      </w:r>
    </w:p>
    <w:p>
      <w:pPr/>
      <w:r>
        <w:t>A2.10 Review</w:t>
      </w:r>
    </w:p>
    <w:p>
      <w:pPr/>
      <w:r>
        <w:t>Implementation Schedule 2-A; Verification Matrix 2-B; Model Notice 2-C; Data and Records Schedule 2-D; Stakeholder and SME Access Schedule 2-E; Failure-Mode Playbook 2-F.</w:t>
      </w:r>
    </w:p>
    <w:p>
      <w:pPr>
        <w:pStyle w:val="Heading2"/>
        <w:spacing w:before="160" w:after="80"/>
      </w:pPr>
      <w:r>
        <w:rPr>
          <w:rFonts w:ascii="Calibri" w:hAnsi="Calibri"/>
          <w:b/>
          <w:color w:val="37474F"/>
          <w:sz w:val="23"/>
        </w:rPr>
        <w:t>ANNEX 3 — AUTOMOTIVE ORIGIN TECHNICAL CLARIFICATION AND EV SUPPLY CHAINS</w:t>
      </w:r>
    </w:p>
    <w:p>
      <w:pPr/>
      <w:r>
        <w:t>A3.1 Settlement Objective</w:t>
      </w:r>
    </w:p>
    <w:p>
      <w:pPr/>
      <w:r>
        <w:t>A3.2 Roll-Up Clarification</w:t>
      </w:r>
    </w:p>
    <w:p>
      <w:pPr/>
      <w:r>
        <w:t>A3.3 Covered Core and Advanced Components</w:t>
      </w:r>
    </w:p>
    <w:p>
      <w:pPr/>
      <w:r>
        <w:t>A3.4 Standard Calculation File</w:t>
      </w:r>
    </w:p>
    <w:p>
      <w:pPr/>
      <w:r>
        <w:t>A3.5 Supplier Evidence and Confidentiality</w:t>
      </w:r>
    </w:p>
    <w:p>
      <w:pPr/>
      <w:r>
        <w:t>A3.6 Battery and Critical-Mineral Traceability</w:t>
      </w:r>
    </w:p>
    <w:p>
      <w:pPr/>
      <w:r>
        <w:t>A3.7 Non-Party Free-Riding Safeguard</w:t>
      </w:r>
    </w:p>
    <w:p>
      <w:pPr/>
      <w:r>
        <w:t>A3.8 Model-Year Determinations and Safe Harbor</w:t>
      </w:r>
    </w:p>
    <w:p>
      <w:pPr/>
      <w:r>
        <w:t>A3.9 Audit Protocol</w:t>
      </w:r>
    </w:p>
    <w:p>
      <w:pPr/>
      <w:r>
        <w:t>A3.10 Three-Year Technical Review</w:t>
      </w:r>
    </w:p>
    <w:p>
      <w:pPr/>
      <w:r>
        <w:t>Implementation Schedule 3-A; Verification Matrix 3-B; Model Notice 3-C; Data and Records Schedule 3-D; Stakeholder and SME Access Schedule 3-E; Failure-Mode Playbook 3-F.</w:t>
      </w:r>
    </w:p>
    <w:p>
      <w:pPr>
        <w:pStyle w:val="Heading2"/>
        <w:spacing w:before="160" w:after="80"/>
      </w:pPr>
      <w:r>
        <w:rPr>
          <w:rFonts w:ascii="Calibri" w:hAnsi="Calibri"/>
          <w:b/>
          <w:color w:val="37474F"/>
          <w:sz w:val="23"/>
        </w:rPr>
        <w:t>ANNEX 4 — COMPETITIVENESS, ECONOMIC SECURITY, AND STRATEGIC SUPPLY CHAINS</w:t>
      </w:r>
    </w:p>
    <w:p>
      <w:pPr/>
      <w:r>
        <w:t>A4.1 Objective</w:t>
      </w:r>
    </w:p>
    <w:p>
      <w:pPr/>
      <w:r>
        <w:t>A4.2 North American Supply-Chain Map</w:t>
      </w:r>
    </w:p>
    <w:p>
      <w:pPr/>
      <w:r>
        <w:t>A4.3 Critical Minerals Cooperation</w:t>
      </w:r>
    </w:p>
    <w:p>
      <w:pPr/>
      <w:r>
        <w:t>A4.4 Semiconductor and Battery Resilience</w:t>
      </w:r>
    </w:p>
    <w:p>
      <w:pPr/>
      <w:r>
        <w:t>A4.5 Non-Market Overcapacity and Investment Risk</w:t>
      </w:r>
    </w:p>
    <w:p>
      <w:pPr/>
      <w:r>
        <w:t>A4.6 Industrial Policy Transparency</w:t>
      </w:r>
    </w:p>
    <w:p>
      <w:pPr/>
      <w:r>
        <w:t>A4.7 Security-Tariff Consultation</w:t>
      </w:r>
    </w:p>
    <w:p>
      <w:pPr/>
      <w:r>
        <w:t>A4.8 SME and Regional Participation</w:t>
      </w:r>
    </w:p>
    <w:p>
      <w:pPr/>
      <w:r>
        <w:t>A4.9 Emergency Continuity</w:t>
      </w:r>
    </w:p>
    <w:p>
      <w:pPr/>
      <w:r>
        <w:t>A4.10 Annual Security and Competitiveness Review</w:t>
      </w:r>
    </w:p>
    <w:p>
      <w:pPr/>
      <w:r>
        <w:t>Implementation Schedule 4-A; Verification Matrix 4-B; Model Notice 4-C; Data and Records Schedule 4-D; Stakeholder and SME Access Schedule 4-E; Failure-Mode Playbook 4-F.</w:t>
      </w:r>
    </w:p>
    <w:p>
      <w:pPr>
        <w:pStyle w:val="Heading2"/>
        <w:spacing w:before="160" w:after="80"/>
      </w:pPr>
      <w:r>
        <w:rPr>
          <w:rFonts w:ascii="Calibri" w:hAnsi="Calibri"/>
          <w:b/>
          <w:color w:val="37474F"/>
          <w:sz w:val="23"/>
        </w:rPr>
        <w:t>ANNEX 5 — LABOR ENFORCEMENT AND WORKER-PROTECTION MODULE</w:t>
      </w:r>
    </w:p>
    <w:p>
      <w:pPr/>
      <w:r>
        <w:t>A5.1 Objective</w:t>
      </w:r>
    </w:p>
    <w:p>
      <w:pPr/>
      <w:r>
        <w:t>A5.2 Complaint Intake</w:t>
      </w:r>
    </w:p>
    <w:p>
      <w:pPr/>
      <w:r>
        <w:t>A5.3 Preliminary Screening</w:t>
      </w:r>
    </w:p>
    <w:p>
      <w:pPr/>
      <w:r>
        <w:t>A5.4 Joint Inspection Protocol</w:t>
      </w:r>
    </w:p>
    <w:p>
      <w:pPr/>
      <w:r>
        <w:t>A5.5 Migrant and Temporary Workers</w:t>
      </w:r>
    </w:p>
    <w:p>
      <w:pPr/>
      <w:r>
        <w:t>A5.6 Forced-Labour Supply Chains</w:t>
      </w:r>
    </w:p>
    <w:p>
      <w:pPr/>
      <w:r>
        <w:t>A5.7 Remediation Plan</w:t>
      </w:r>
    </w:p>
    <w:p>
      <w:pPr/>
      <w:r>
        <w:t>A5.8 Transparency</w:t>
      </w:r>
    </w:p>
    <w:p>
      <w:pPr/>
      <w:r>
        <w:t>A5.9 Technical Assistance</w:t>
      </w:r>
    </w:p>
    <w:p>
      <w:pPr/>
      <w:r>
        <w:t>A5.10 Review</w:t>
      </w:r>
    </w:p>
    <w:p>
      <w:pPr/>
      <w:r>
        <w:t>Implementation Schedule 5-A; Verification Matrix 5-B; Model Notice 5-C; Data and Records Schedule 5-D; Stakeholder and SME Access Schedule 5-E; Failure-Mode Playbook 5-F.</w:t>
      </w:r>
    </w:p>
    <w:p>
      <w:pPr>
        <w:pStyle w:val="Heading2"/>
        <w:spacing w:before="160" w:after="80"/>
      </w:pPr>
      <w:r>
        <w:rPr>
          <w:rFonts w:ascii="Calibri" w:hAnsi="Calibri"/>
          <w:b/>
          <w:color w:val="37474F"/>
          <w:sz w:val="23"/>
        </w:rPr>
        <w:t>ANNEX 6 — ENVIRONMENT, WILDFIRE, CIRCULAR PRODUCTION, AND SUSTAINABLE MINERALS</w:t>
      </w:r>
    </w:p>
    <w:p>
      <w:pPr/>
      <w:r>
        <w:t>A6.1 Objective</w:t>
      </w:r>
    </w:p>
    <w:p>
      <w:pPr/>
      <w:r>
        <w:t>A6.2 Wildfire Prevention and Smoke Cooperation</w:t>
      </w:r>
    </w:p>
    <w:p>
      <w:pPr/>
      <w:r>
        <w:t>A6.3 Incident Notification</w:t>
      </w:r>
    </w:p>
    <w:p>
      <w:pPr/>
      <w:r>
        <w:t>A6.4 Forest and Fuel Management Cooperation</w:t>
      </w:r>
    </w:p>
    <w:p>
      <w:pPr/>
      <w:r>
        <w:t>A6.5 Circular Production</w:t>
      </w:r>
    </w:p>
    <w:p>
      <w:pPr/>
      <w:r>
        <w:t>A6.6 Sustainable Critical Minerals</w:t>
      </w:r>
    </w:p>
    <w:p>
      <w:pPr/>
      <w:r>
        <w:t>A6.7 Climate and Hazard Data</w:t>
      </w:r>
    </w:p>
    <w:p>
      <w:pPr/>
      <w:r>
        <w:t>A6.8 No Disguised Restriction</w:t>
      </w:r>
    </w:p>
    <w:p>
      <w:pPr/>
      <w:r>
        <w:t>A6.9 Emergency Mutual Assistance</w:t>
      </w:r>
    </w:p>
    <w:p>
      <w:pPr/>
      <w:r>
        <w:t>A6.10 Review</w:t>
      </w:r>
    </w:p>
    <w:p>
      <w:pPr/>
      <w:r>
        <w:t>Implementation Schedule 6-A; Verification Matrix 6-B; Model Notice 6-C; Data and Records Schedule 6-D; Stakeholder and SME Access Schedule 6-E; Failure-Mode Playbook 6-F.</w:t>
      </w:r>
    </w:p>
    <w:p>
      <w:pPr>
        <w:pStyle w:val="Heading2"/>
        <w:spacing w:before="160" w:after="80"/>
      </w:pPr>
      <w:r>
        <w:rPr>
          <w:rFonts w:ascii="Calibri" w:hAnsi="Calibri"/>
          <w:b/>
          <w:color w:val="37474F"/>
          <w:sz w:val="23"/>
        </w:rPr>
        <w:t>ANNEX 7 — ACCELERATED DISPUTE SETTLEMENT, TARIFF CONSULTATION, AND COTHROM COMPLIANCE</w:t>
      </w:r>
    </w:p>
    <w:p>
      <w:pPr/>
      <w:r>
        <w:t>A7.1 Objective</w:t>
      </w:r>
    </w:p>
    <w:p>
      <w:pPr/>
      <w:r>
        <w:t>A7.2 Standing Roster</w:t>
      </w:r>
    </w:p>
    <w:p>
      <w:pPr/>
      <w:r>
        <w:t>A7.3 Consultations</w:t>
      </w:r>
    </w:p>
    <w:p>
      <w:pPr/>
      <w:r>
        <w:t>A7.4 Accelerated Panel</w:t>
      </w:r>
    </w:p>
    <w:p>
      <w:pPr/>
      <w:r>
        <w:t>A7.5 Transparency and Confidentiality</w:t>
      </w:r>
    </w:p>
    <w:p>
      <w:pPr/>
      <w:r>
        <w:t>A7.6 Compliance Review</w:t>
      </w:r>
    </w:p>
    <w:p>
      <w:pPr/>
      <w:r>
        <w:t>A7.7 Advance Tariff and Safeguard Consultation</w:t>
      </w:r>
    </w:p>
    <w:p>
      <w:pPr/>
      <w:r>
        <w:t>A7.8 Cothrom Step-Back</w:t>
      </w:r>
    </w:p>
    <w:p>
      <w:pPr/>
      <w:r>
        <w:t>A7.9 Earn-Back</w:t>
      </w:r>
    </w:p>
    <w:p>
      <w:pPr/>
      <w:r>
        <w:t>A7.10 Relationship to Chapter 31</w:t>
      </w:r>
    </w:p>
    <w:p>
      <w:pPr/>
      <w:r>
        <w:t>Implementation Schedule 7-A; Verification Matrix 7-B; Model Notice 7-C; Data and Records Schedule 7-D; Stakeholder and SME Access Schedule 7-E; Failure-Mode Playbook 7-F.</w:t>
      </w:r>
    </w:p>
    <w:p>
      <w:pPr>
        <w:pStyle w:val="Heading2"/>
        <w:spacing w:before="160" w:after="80"/>
      </w:pPr>
      <w:r>
        <w:rPr>
          <w:rFonts w:ascii="Calibri" w:hAnsi="Calibri"/>
          <w:b/>
          <w:color w:val="37474F"/>
          <w:sz w:val="23"/>
        </w:rPr>
        <w:t>ANNEX 8 — RECIPROCAL MARKET ACCESS, AGRICULTURE, ALCOHOL, PROCUREMENT, AND REGULATORY FRICTION</w:t>
      </w:r>
    </w:p>
    <w:p>
      <w:pPr/>
      <w:r>
        <w:t>A8.1 Objective</w:t>
      </w:r>
    </w:p>
    <w:p>
      <w:pPr/>
      <w:r>
        <w:t>A8.2 Dairy TRQ Administration</w:t>
      </w:r>
    </w:p>
    <w:p>
      <w:pPr/>
      <w:r>
        <w:t>A8.3 Retailer and Distributor Eligibility Neutrality</w:t>
      </w:r>
    </w:p>
    <w:p>
      <w:pPr/>
      <w:r>
        <w:t>A8.4 Supply-Management Firewall</w:t>
      </w:r>
    </w:p>
    <w:p>
      <w:pPr/>
      <w:r>
        <w:t>A8.5 Alcoholic Beverage Non-Discrimination</w:t>
      </w:r>
    </w:p>
    <w:p>
      <w:pPr/>
      <w:r>
        <w:t>A8.6 Liquor-Board Transparency</w:t>
      </w:r>
    </w:p>
    <w:p>
      <w:pPr/>
      <w:r>
        <w:t>A8.7 Agricultural Regulatory Friction</w:t>
      </w:r>
    </w:p>
    <w:p>
      <w:pPr/>
      <w:r>
        <w:t>A8.8 Reciprocal Procurement Schedule</w:t>
      </w:r>
    </w:p>
    <w:p>
      <w:pPr/>
      <w:r>
        <w:t>A8.9 Procurement Transparency and Domestic-Preference Notice</w:t>
      </w:r>
    </w:p>
    <w:p>
      <w:pPr/>
      <w:r>
        <w:t>A8.10 Retaliatory Measure Stand-Down Option</w:t>
      </w:r>
    </w:p>
    <w:p>
      <w:pPr/>
      <w:r>
        <w:t>A8.11 Regulatory Equivalence</w:t>
      </w:r>
    </w:p>
    <w:p>
      <w:pPr/>
      <w:r>
        <w:t>A8.12 Review</w:t>
      </w:r>
    </w:p>
    <w:p>
      <w:pPr/>
      <w:r>
        <w:t>Implementation Schedule 8-A; Verification Matrix 8-B; Model Notice 8-C; Data and Records Schedule 8-D; Stakeholder and SME Access Schedule 8-E; Failure-Mode Playbook 8-F.</w:t>
      </w:r>
    </w:p>
    <w:p>
      <w:r/>
    </w:p>
    <w:p>
      <w:bookmarkStart w:id="1166" w:name="toc_166"/>
      <w:pPr>
        <w:pStyle w:val="Heading1"/>
        <w:spacing w:before="200" w:after="120"/>
      </w:pPr>
      <w:r>
        <w:rPr>
          <w:rFonts w:ascii="Calibri" w:hAnsi="Calibri"/>
          <w:b/>
          <w:color w:val="37474F"/>
          <w:sz w:val="30"/>
        </w:rPr>
        <w:t>APPENDIX D — COMMON OPERATING PROCEDURES MANUAL</w:t>
      </w:r>
      <w:bookmarkEnd w:id="1166"/>
    </w:p>
    <w:p>
      <w:pPr>
        <w:pStyle w:val="Heading2"/>
        <w:spacing w:before="160" w:after="80"/>
      </w:pPr>
      <w:r>
        <w:rPr>
          <w:rFonts w:ascii="Calibri" w:hAnsi="Calibri"/>
          <w:b/>
          <w:color w:val="37474F"/>
          <w:sz w:val="23"/>
        </w:rPr>
        <w:t>D.1 Intake and Triage</w:t>
      </w:r>
    </w:p>
    <w:p>
      <w:pPr>
        <w:pStyle w:val="OperativeClause"/>
      </w:pPr>
      <w:r>
        <w:rPr>
          <w:rFonts w:ascii="Calibri" w:hAnsi="Calibri"/>
          <w:sz w:val="20"/>
        </w:rPr>
        <w:t>A designated Annex Secretariat shall review each incoming notice for completeness within two business days. It shall not decide the merits at intake. If information is missing, the Secretariat shall identify the missing field, preserve the original filing date for a curable defect, and provide a reasonable correction period. A matter is classified as routine, accelerated, or emergency according to objective criteria published by the responsible committee.</w:t>
      </w:r>
    </w:p>
    <w:p>
      <w:pPr>
        <w:pStyle w:val="Heading2"/>
        <w:spacing w:before="160" w:after="80"/>
      </w:pPr>
      <w:r>
        <w:rPr>
          <w:rFonts w:ascii="Calibri" w:hAnsi="Calibri"/>
          <w:b/>
          <w:color w:val="37474F"/>
          <w:sz w:val="23"/>
        </w:rPr>
        <w:t>D.2 Evidence Package Assembly</w:t>
      </w:r>
    </w:p>
    <w:p>
      <w:pPr>
        <w:pStyle w:val="OperativeClause"/>
      </w:pPr>
      <w:r>
        <w:rPr>
          <w:rFonts w:ascii="Calibri" w:hAnsi="Calibri"/>
          <w:sz w:val="20"/>
        </w:rPr>
        <w:t>The initiating Party shall assemble a numbered evidence index. Each item shall identify source, date, custodian, confidentiality status, relevance, and whether the item is offered as proof, corroboration, context, or a lead requiring further verification. The responding Party may object to authenticity, completeness, relevance, methodology, or legal significance. The reviewer shall resolve evidentiary disputes expressly rather than silently ignoring contested material.</w:t>
      </w:r>
    </w:p>
    <w:p>
      <w:pPr>
        <w:pStyle w:val="Heading2"/>
        <w:spacing w:before="160" w:after="80"/>
      </w:pPr>
      <w:r>
        <w:rPr>
          <w:rFonts w:ascii="Calibri" w:hAnsi="Calibri"/>
          <w:b/>
          <w:color w:val="37474F"/>
          <w:sz w:val="23"/>
        </w:rPr>
        <w:t>D.3 Confidential Information Room</w:t>
      </w:r>
    </w:p>
    <w:p>
      <w:pPr>
        <w:pStyle w:val="OperativeClause"/>
      </w:pPr>
      <w:r>
        <w:rPr>
          <w:rFonts w:ascii="Calibri" w:hAnsi="Calibri"/>
          <w:sz w:val="20"/>
        </w:rPr>
        <w:t>Where firm-level records cannot be exchanged openly, the Parties may use a secure information room accessible to cleared officials, panelists, or agreed independent experts. Access shall be role-based and logged. A non-confidential summary shall be prepared when feasible so that the opposing Party can understand the substance of the case without receiving protected commercial information.</w:t>
      </w:r>
    </w:p>
    <w:p>
      <w:pPr>
        <w:pStyle w:val="Heading2"/>
        <w:spacing w:before="160" w:after="80"/>
      </w:pPr>
      <w:r>
        <w:rPr>
          <w:rFonts w:ascii="Calibri" w:hAnsi="Calibri"/>
          <w:b/>
          <w:color w:val="37474F"/>
          <w:sz w:val="23"/>
        </w:rPr>
        <w:t>D.4 Technical Conference</w:t>
      </w:r>
    </w:p>
    <w:p>
      <w:pPr>
        <w:pStyle w:val="OperativeClause"/>
      </w:pPr>
      <w:r>
        <w:rPr>
          <w:rFonts w:ascii="Calibri" w:hAnsi="Calibri"/>
          <w:sz w:val="20"/>
        </w:rPr>
        <w:t>Before an adverse technical finding becomes final, the reviewer shall offer a technical conference. The conference shall identify agreed facts, disputed facts, methodology disagreements, missing records, and possible cures. Statements made solely to explore settlement or correction are not treated as admissions unless the Party expressly adopts them into the record.</w:t>
      </w:r>
    </w:p>
    <w:p>
      <w:pPr>
        <w:pStyle w:val="Heading2"/>
        <w:spacing w:before="160" w:after="80"/>
      </w:pPr>
      <w:r>
        <w:rPr>
          <w:rFonts w:ascii="Calibri" w:hAnsi="Calibri"/>
          <w:b/>
          <w:color w:val="37474F"/>
          <w:sz w:val="23"/>
        </w:rPr>
        <w:t>D.5 Preliminary Finding</w:t>
      </w:r>
    </w:p>
    <w:p>
      <w:pPr>
        <w:pStyle w:val="OperativeClause"/>
      </w:pPr>
      <w:r>
        <w:rPr>
          <w:rFonts w:ascii="Calibri" w:hAnsi="Calibri"/>
          <w:sz w:val="20"/>
        </w:rPr>
        <w:t>A preliminary finding shall state the issue, governing Annex provision, material facts, evidentiary weight, unresolved uncertainty, proposed classification, and proposed cure. The responding Party receives a meaningful opportunity to comment. A final finding shall address material contrary evidence and explain any departure from the preliminary finding.</w:t>
      </w:r>
    </w:p>
    <w:p>
      <w:pPr>
        <w:pStyle w:val="Heading2"/>
        <w:spacing w:before="160" w:after="80"/>
      </w:pPr>
      <w:r>
        <w:rPr>
          <w:rFonts w:ascii="Calibri" w:hAnsi="Calibri"/>
          <w:b/>
          <w:color w:val="37474F"/>
          <w:sz w:val="23"/>
        </w:rPr>
        <w:t>D.6 Corrective Action Plan</w:t>
      </w:r>
    </w:p>
    <w:p>
      <w:pPr>
        <w:pStyle w:val="OperativeClause"/>
      </w:pPr>
      <w:r>
        <w:rPr>
          <w:rFonts w:ascii="Calibri" w:hAnsi="Calibri"/>
          <w:sz w:val="20"/>
        </w:rPr>
        <w:t>A corrective action plan shall identify the specific practice to be corrected, responsible authority, operational steps, milestones, evidence of completion, treatment of affected transactions where legally available, and the date on which clean-performance monitoring begins. The plan shall not demand changes unrelated to the verified failure.</w:t>
      </w:r>
    </w:p>
    <w:p>
      <w:pPr>
        <w:pStyle w:val="Heading2"/>
        <w:spacing w:before="160" w:after="80"/>
      </w:pPr>
      <w:r>
        <w:rPr>
          <w:rFonts w:ascii="Calibri" w:hAnsi="Calibri"/>
          <w:b/>
          <w:color w:val="37474F"/>
          <w:sz w:val="23"/>
        </w:rPr>
        <w:t>D.7 Neutral Expert Selection</w:t>
      </w:r>
    </w:p>
    <w:p>
      <w:pPr>
        <w:pStyle w:val="OperativeClause"/>
      </w:pPr>
      <w:r>
        <w:rPr>
          <w:rFonts w:ascii="Calibri" w:hAnsi="Calibri"/>
          <w:sz w:val="20"/>
        </w:rPr>
        <w:t>When neutral technical review is required, the Secretariat shall select from a standing pool using rotation, subject-matter fit, conflict screening, and nationality rules agreed by the Parties. A Party may challenge an expert for a concrete conflict of interest. Strategic challenges intended only to delay the clock may be rejected with reasons.</w:t>
      </w:r>
    </w:p>
    <w:p>
      <w:pPr>
        <w:pStyle w:val="Heading2"/>
        <w:spacing w:before="160" w:after="80"/>
      </w:pPr>
      <w:r>
        <w:rPr>
          <w:rFonts w:ascii="Calibri" w:hAnsi="Calibri"/>
          <w:b/>
          <w:color w:val="37474F"/>
          <w:sz w:val="23"/>
        </w:rPr>
        <w:t>D.8 Final Certification and Closure</w:t>
      </w:r>
    </w:p>
    <w:p>
      <w:pPr>
        <w:pStyle w:val="OperativeClause"/>
      </w:pPr>
      <w:r>
        <w:rPr>
          <w:rFonts w:ascii="Calibri" w:hAnsi="Calibri"/>
          <w:sz w:val="20"/>
        </w:rPr>
        <w:t>A matter closes when the required correction is verified, any clean-performance period is complete, and all paused Annex benefits have restored or a final Chapter 31 remedy has superseded the Annex process. The Registry shall retain a closure record identifying the outcome without disclosing protected information.</w:t>
      </w:r>
    </w:p>
    <w:p>
      <w:r/>
    </w:p>
    <w:p>
      <w:bookmarkStart w:id="1167" w:name="toc_167"/>
      <w:pPr>
        <w:pStyle w:val="Heading1"/>
        <w:spacing w:before="200" w:after="120"/>
      </w:pPr>
      <w:r>
        <w:rPr>
          <w:rFonts w:ascii="Calibri" w:hAnsi="Calibri"/>
          <w:b/>
          <w:color w:val="37474F"/>
          <w:sz w:val="30"/>
        </w:rPr>
        <w:t>APPENDIX E — MODEL FORMS AND REQUIRED FIELDS</w:t>
      </w:r>
      <w:bookmarkEnd w:id="1167"/>
    </w:p>
    <w:p>
      <w:pPr>
        <w:pStyle w:val="Heading2"/>
        <w:spacing w:before="160" w:after="80"/>
      </w:pPr>
      <w:r>
        <w:rPr>
          <w:rFonts w:ascii="Calibri" w:hAnsi="Calibri"/>
          <w:b/>
          <w:color w:val="37474F"/>
          <w:sz w:val="23"/>
        </w:rPr>
        <w:t>E-1 Annex Adoption Notice</w:t>
      </w:r>
    </w:p>
    <w:tbl>
      <w:tblPr>
        <w:tblStyle w:val="TableGrid"/>
        <w:tblW w:type="auto" w:w="0"/>
        <w:jc w:val="center"/>
        <w:tblLook w:firstColumn="1" w:firstRow="1" w:lastColumn="0" w:lastRow="0" w:noHBand="0" w:noVBand="1" w:val="04A0"/>
      </w:tblPr>
      <w:tblGrid>
        <w:gridCol w:w="4939"/>
        <w:gridCol w:w="4939"/>
      </w:tblGrid>
      <w:tr>
        <w:tc>
          <w:tcPr>
            <w:tcW w:type="dxa" w:w="4939"/>
            <w:shd w:fill="D9E3F0"/>
          </w:tcPr>
          <w:p>
            <w:r>
              <w:rPr>
                <w:rFonts w:ascii="Calibri" w:hAnsi="Calibri"/>
                <w:b/>
                <w:color w:val="37474F"/>
                <w:sz w:val="17"/>
              </w:rPr>
              <w:t>Required field</w:t>
            </w:r>
          </w:p>
        </w:tc>
        <w:tc>
          <w:tcPr>
            <w:tcW w:type="dxa" w:w="4939"/>
            <w:shd w:fill="D9E3F0"/>
          </w:tcPr>
          <w:p>
            <w:r>
              <w:rPr>
                <w:rFonts w:ascii="Calibri" w:hAnsi="Calibri"/>
                <w:b/>
                <w:color w:val="37474F"/>
                <w:sz w:val="17"/>
              </w:rPr>
              <w:t>Completion rule</w:t>
            </w:r>
          </w:p>
        </w:tc>
      </w:tr>
      <w:tr>
        <w:tc>
          <w:tcPr>
            <w:tcW w:type="dxa" w:w="4939"/>
          </w:tcPr>
          <w:p>
            <w:r>
              <w:rPr>
                <w:rFonts w:ascii="Calibri" w:hAnsi="Calibri"/>
                <w:sz w:val="17"/>
              </w:rPr>
              <w:t>Adopting Parties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Annex and version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Activated modules and schedules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Effective date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Lead implementing authorities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Subnational participants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Permitted reservations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Review date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Authentic languages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Signatory or adopting authority</w:t>
            </w:r>
          </w:p>
        </w:tc>
        <w:tc>
          <w:tcPr>
            <w:tcW w:type="dxa" w:w="4939"/>
          </w:tcPr>
          <w:p>
            <w:r>
              <w:rPr>
                <w:rFonts w:ascii="Calibri" w:hAnsi="Calibri"/>
                <w:sz w:val="17"/>
              </w:rPr>
              <w:t>Must be completed or marked 'not applicable' with a short reason. Material supporting documents are indexed rather than pasted into the form.</w:t>
            </w:r>
          </w:p>
        </w:tc>
      </w:tr>
    </w:tbl>
    <w:p/>
    <w:p>
      <w:pPr>
        <w:pStyle w:val="Heading2"/>
        <w:spacing w:before="160" w:after="80"/>
      </w:pPr>
      <w:r>
        <w:rPr>
          <w:rFonts w:ascii="Calibri" w:hAnsi="Calibri"/>
          <w:b/>
          <w:color w:val="37474F"/>
          <w:sz w:val="23"/>
        </w:rPr>
        <w:t>E-2 Technical Issue Notice</w:t>
      </w:r>
    </w:p>
    <w:tbl>
      <w:tblPr>
        <w:tblStyle w:val="TableGrid"/>
        <w:tblW w:type="auto" w:w="0"/>
        <w:jc w:val="center"/>
        <w:tblLook w:firstColumn="1" w:firstRow="1" w:lastColumn="0" w:lastRow="0" w:noHBand="0" w:noVBand="1" w:val="04A0"/>
      </w:tblPr>
      <w:tblGrid>
        <w:gridCol w:w="4939"/>
        <w:gridCol w:w="4939"/>
      </w:tblGrid>
      <w:tr>
        <w:tc>
          <w:tcPr>
            <w:tcW w:type="dxa" w:w="4939"/>
            <w:shd w:fill="D9E3F0"/>
          </w:tcPr>
          <w:p>
            <w:r>
              <w:rPr>
                <w:rFonts w:ascii="Calibri" w:hAnsi="Calibri"/>
                <w:b/>
                <w:color w:val="37474F"/>
                <w:sz w:val="17"/>
              </w:rPr>
              <w:t>Required field</w:t>
            </w:r>
          </w:p>
        </w:tc>
        <w:tc>
          <w:tcPr>
            <w:tcW w:type="dxa" w:w="4939"/>
            <w:shd w:fill="D9E3F0"/>
          </w:tcPr>
          <w:p>
            <w:r>
              <w:rPr>
                <w:rFonts w:ascii="Calibri" w:hAnsi="Calibri"/>
                <w:b/>
                <w:color w:val="37474F"/>
                <w:sz w:val="17"/>
              </w:rPr>
              <w:t>Completion rule</w:t>
            </w:r>
          </w:p>
        </w:tc>
      </w:tr>
      <w:tr>
        <w:tc>
          <w:tcPr>
            <w:tcW w:type="dxa" w:w="4939"/>
          </w:tcPr>
          <w:p>
            <w:r>
              <w:rPr>
                <w:rFonts w:ascii="Calibri" w:hAnsi="Calibri"/>
                <w:sz w:val="17"/>
              </w:rPr>
              <w:t>Matter ID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Annex provision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Measure or transaction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Affected sector</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Factual allegation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Commercial effect</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Evidence index</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Requested cure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Urgency</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Confidentiality</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Proposed consultation date</w:t>
            </w:r>
          </w:p>
        </w:tc>
        <w:tc>
          <w:tcPr>
            <w:tcW w:type="dxa" w:w="4939"/>
          </w:tcPr>
          <w:p>
            <w:r>
              <w:rPr>
                <w:rFonts w:ascii="Calibri" w:hAnsi="Calibri"/>
                <w:sz w:val="17"/>
              </w:rPr>
              <w:t>Must be completed or marked 'not applicable' with a short reason. Material supporting documents are indexed rather than pasted into the form.</w:t>
            </w:r>
          </w:p>
        </w:tc>
      </w:tr>
    </w:tbl>
    <w:p/>
    <w:p>
      <w:pPr>
        <w:pStyle w:val="Heading2"/>
        <w:spacing w:before="160" w:after="80"/>
      </w:pPr>
      <w:r>
        <w:rPr>
          <w:rFonts w:ascii="Calibri" w:hAnsi="Calibri"/>
          <w:b/>
          <w:color w:val="37474F"/>
          <w:sz w:val="23"/>
        </w:rPr>
        <w:t>E-3 Response</w:t>
      </w:r>
    </w:p>
    <w:tbl>
      <w:tblPr>
        <w:tblStyle w:val="TableGrid"/>
        <w:tblW w:type="auto" w:w="0"/>
        <w:jc w:val="center"/>
        <w:tblLook w:firstColumn="1" w:firstRow="1" w:lastColumn="0" w:lastRow="0" w:noHBand="0" w:noVBand="1" w:val="04A0"/>
      </w:tblPr>
      <w:tblGrid>
        <w:gridCol w:w="4939"/>
        <w:gridCol w:w="4939"/>
      </w:tblGrid>
      <w:tr>
        <w:tc>
          <w:tcPr>
            <w:tcW w:type="dxa" w:w="4939"/>
            <w:shd w:fill="D9E3F0"/>
          </w:tcPr>
          <w:p>
            <w:r>
              <w:rPr>
                <w:rFonts w:ascii="Calibri" w:hAnsi="Calibri"/>
                <w:b/>
                <w:color w:val="37474F"/>
                <w:sz w:val="17"/>
              </w:rPr>
              <w:t>Required field</w:t>
            </w:r>
          </w:p>
        </w:tc>
        <w:tc>
          <w:tcPr>
            <w:tcW w:type="dxa" w:w="4939"/>
            <w:shd w:fill="D9E3F0"/>
          </w:tcPr>
          <w:p>
            <w:r>
              <w:rPr>
                <w:rFonts w:ascii="Calibri" w:hAnsi="Calibri"/>
                <w:b/>
                <w:color w:val="37474F"/>
                <w:sz w:val="17"/>
              </w:rPr>
              <w:t>Completion rule</w:t>
            </w:r>
          </w:p>
        </w:tc>
      </w:tr>
      <w:tr>
        <w:tc>
          <w:tcPr>
            <w:tcW w:type="dxa" w:w="4939"/>
          </w:tcPr>
          <w:p>
            <w:r>
              <w:rPr>
                <w:rFonts w:ascii="Calibri" w:hAnsi="Calibri"/>
                <w:sz w:val="17"/>
              </w:rPr>
              <w:t>Admissions and denials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Alternative factual account</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Jurisdiction or scope objection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Evidence index</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Confidentiality claims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Corrective action already taken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Requested disposition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Availability for technical conference</w:t>
            </w:r>
          </w:p>
        </w:tc>
        <w:tc>
          <w:tcPr>
            <w:tcW w:type="dxa" w:w="4939"/>
          </w:tcPr>
          <w:p>
            <w:r>
              <w:rPr>
                <w:rFonts w:ascii="Calibri" w:hAnsi="Calibri"/>
                <w:sz w:val="17"/>
              </w:rPr>
              <w:t>Must be completed or marked 'not applicable' with a short reason. Material supporting documents are indexed rather than pasted into the form.</w:t>
            </w:r>
          </w:p>
        </w:tc>
      </w:tr>
    </w:tbl>
    <w:p/>
    <w:p>
      <w:pPr>
        <w:pStyle w:val="Heading2"/>
        <w:spacing w:before="160" w:after="80"/>
      </w:pPr>
      <w:r>
        <w:rPr>
          <w:rFonts w:ascii="Calibri" w:hAnsi="Calibri"/>
          <w:b/>
          <w:color w:val="37474F"/>
          <w:sz w:val="23"/>
        </w:rPr>
        <w:t>E-4 Preliminary Finding</w:t>
      </w:r>
    </w:p>
    <w:tbl>
      <w:tblPr>
        <w:tblStyle w:val="TableGrid"/>
        <w:tblW w:type="auto" w:w="0"/>
        <w:jc w:val="center"/>
        <w:tblLook w:firstColumn="1" w:firstRow="1" w:lastColumn="0" w:lastRow="0" w:noHBand="0" w:noVBand="1" w:val="04A0"/>
      </w:tblPr>
      <w:tblGrid>
        <w:gridCol w:w="4939"/>
        <w:gridCol w:w="4939"/>
      </w:tblGrid>
      <w:tr>
        <w:tc>
          <w:tcPr>
            <w:tcW w:type="dxa" w:w="4939"/>
            <w:shd w:fill="D9E3F0"/>
          </w:tcPr>
          <w:p>
            <w:r>
              <w:rPr>
                <w:rFonts w:ascii="Calibri" w:hAnsi="Calibri"/>
                <w:b/>
                <w:color w:val="37474F"/>
                <w:sz w:val="17"/>
              </w:rPr>
              <w:t>Required field</w:t>
            </w:r>
          </w:p>
        </w:tc>
        <w:tc>
          <w:tcPr>
            <w:tcW w:type="dxa" w:w="4939"/>
            <w:shd w:fill="D9E3F0"/>
          </w:tcPr>
          <w:p>
            <w:r>
              <w:rPr>
                <w:rFonts w:ascii="Calibri" w:hAnsi="Calibri"/>
                <w:b/>
                <w:color w:val="37474F"/>
                <w:sz w:val="17"/>
              </w:rPr>
              <w:t>Completion rule</w:t>
            </w:r>
          </w:p>
        </w:tc>
      </w:tr>
      <w:tr>
        <w:tc>
          <w:tcPr>
            <w:tcW w:type="dxa" w:w="4939"/>
          </w:tcPr>
          <w:p>
            <w:r>
              <w:rPr>
                <w:rFonts w:ascii="Calibri" w:hAnsi="Calibri"/>
                <w:sz w:val="17"/>
              </w:rPr>
              <w:t>Issue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Applicable provision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Agreed facts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Disputed facts</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Evidence assessment</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Cothrom tier</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Proposed cure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Potential benefit affected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Response deadline</w:t>
            </w:r>
          </w:p>
        </w:tc>
        <w:tc>
          <w:tcPr>
            <w:tcW w:type="dxa" w:w="4939"/>
          </w:tcPr>
          <w:p>
            <w:r>
              <w:rPr>
                <w:rFonts w:ascii="Calibri" w:hAnsi="Calibri"/>
                <w:sz w:val="17"/>
              </w:rPr>
              <w:t>Must be completed or marked 'not applicable' with a short reason. Material supporting documents are indexed rather than pasted into the form.</w:t>
            </w:r>
          </w:p>
        </w:tc>
      </w:tr>
    </w:tbl>
    <w:p/>
    <w:p>
      <w:pPr>
        <w:pStyle w:val="Heading2"/>
        <w:spacing w:before="160" w:after="80"/>
      </w:pPr>
      <w:r>
        <w:rPr>
          <w:rFonts w:ascii="Calibri" w:hAnsi="Calibri"/>
          <w:b/>
          <w:color w:val="37474F"/>
          <w:sz w:val="23"/>
        </w:rPr>
        <w:t>E-5 Cure Certification</w:t>
      </w:r>
    </w:p>
    <w:tbl>
      <w:tblPr>
        <w:tblStyle w:val="TableGrid"/>
        <w:tblW w:type="auto" w:w="0"/>
        <w:jc w:val="center"/>
        <w:tblLook w:firstColumn="1" w:firstRow="1" w:lastColumn="0" w:lastRow="0" w:noHBand="0" w:noVBand="1" w:val="04A0"/>
      </w:tblPr>
      <w:tblGrid>
        <w:gridCol w:w="4939"/>
        <w:gridCol w:w="4939"/>
      </w:tblGrid>
      <w:tr>
        <w:tc>
          <w:tcPr>
            <w:tcW w:type="dxa" w:w="4939"/>
            <w:shd w:fill="D9E3F0"/>
          </w:tcPr>
          <w:p>
            <w:r>
              <w:rPr>
                <w:rFonts w:ascii="Calibri" w:hAnsi="Calibri"/>
                <w:b/>
                <w:color w:val="37474F"/>
                <w:sz w:val="17"/>
              </w:rPr>
              <w:t>Required field</w:t>
            </w:r>
          </w:p>
        </w:tc>
        <w:tc>
          <w:tcPr>
            <w:tcW w:type="dxa" w:w="4939"/>
            <w:shd w:fill="D9E3F0"/>
          </w:tcPr>
          <w:p>
            <w:r>
              <w:rPr>
                <w:rFonts w:ascii="Calibri" w:hAnsi="Calibri"/>
                <w:b/>
                <w:color w:val="37474F"/>
                <w:sz w:val="17"/>
              </w:rPr>
              <w:t>Completion rule</w:t>
            </w:r>
          </w:p>
        </w:tc>
      </w:tr>
      <w:tr>
        <w:tc>
          <w:tcPr>
            <w:tcW w:type="dxa" w:w="4939"/>
          </w:tcPr>
          <w:p>
            <w:r>
              <w:rPr>
                <w:rFonts w:ascii="Calibri" w:hAnsi="Calibri"/>
                <w:sz w:val="17"/>
              </w:rPr>
              <w:t>Corrective action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Date completed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Responsible authority</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Evidence of completion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Affected entries or decisions corrected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Clean-performance start date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Verification method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Outstanding limitations</w:t>
            </w:r>
          </w:p>
        </w:tc>
        <w:tc>
          <w:tcPr>
            <w:tcW w:type="dxa" w:w="4939"/>
          </w:tcPr>
          <w:p>
            <w:r>
              <w:rPr>
                <w:rFonts w:ascii="Calibri" w:hAnsi="Calibri"/>
                <w:sz w:val="17"/>
              </w:rPr>
              <w:t>Must be completed or marked 'not applicable' with a short reason. Material supporting documents are indexed rather than pasted into the form.</w:t>
            </w:r>
          </w:p>
        </w:tc>
      </w:tr>
    </w:tbl>
    <w:p/>
    <w:p>
      <w:pPr>
        <w:pStyle w:val="Heading2"/>
        <w:spacing w:before="160" w:after="80"/>
      </w:pPr>
      <w:r>
        <w:rPr>
          <w:rFonts w:ascii="Calibri" w:hAnsi="Calibri"/>
          <w:b/>
          <w:color w:val="37474F"/>
          <w:sz w:val="23"/>
        </w:rPr>
        <w:t>E-6 Earn-Back Certificate</w:t>
      </w:r>
    </w:p>
    <w:tbl>
      <w:tblPr>
        <w:tblStyle w:val="TableGrid"/>
        <w:tblW w:type="auto" w:w="0"/>
        <w:jc w:val="center"/>
        <w:tblLook w:firstColumn="1" w:firstRow="1" w:lastColumn="0" w:lastRow="0" w:noHBand="0" w:noVBand="1" w:val="04A0"/>
      </w:tblPr>
      <w:tblGrid>
        <w:gridCol w:w="4939"/>
        <w:gridCol w:w="4939"/>
      </w:tblGrid>
      <w:tr>
        <w:tc>
          <w:tcPr>
            <w:tcW w:type="dxa" w:w="4939"/>
            <w:shd w:fill="D9E3F0"/>
          </w:tcPr>
          <w:p>
            <w:r>
              <w:rPr>
                <w:rFonts w:ascii="Calibri" w:hAnsi="Calibri"/>
                <w:b/>
                <w:color w:val="37474F"/>
                <w:sz w:val="17"/>
              </w:rPr>
              <w:t>Required field</w:t>
            </w:r>
          </w:p>
        </w:tc>
        <w:tc>
          <w:tcPr>
            <w:tcW w:type="dxa" w:w="4939"/>
            <w:shd w:fill="D9E3F0"/>
          </w:tcPr>
          <w:p>
            <w:r>
              <w:rPr>
                <w:rFonts w:ascii="Calibri" w:hAnsi="Calibri"/>
                <w:b/>
                <w:color w:val="37474F"/>
                <w:sz w:val="17"/>
              </w:rPr>
              <w:t>Completion rule</w:t>
            </w:r>
          </w:p>
        </w:tc>
      </w:tr>
      <w:tr>
        <w:tc>
          <w:tcPr>
            <w:tcW w:type="dxa" w:w="4939"/>
          </w:tcPr>
          <w:p>
            <w:r>
              <w:rPr>
                <w:rFonts w:ascii="Calibri" w:hAnsi="Calibri"/>
                <w:sz w:val="17"/>
              </w:rPr>
              <w:t>Matter ID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Tier</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Cure date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Clean-performance period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Samples reviewed</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New failures, if any</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Neutral reviewer conclusion</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Restoration date</w:t>
            </w:r>
          </w:p>
        </w:tc>
        <w:tc>
          <w:tcPr>
            <w:tcW w:type="dxa" w:w="4939"/>
          </w:tcPr>
          <w:p>
            <w:r>
              <w:rPr>
                <w:rFonts w:ascii="Calibri" w:hAnsi="Calibri"/>
                <w:sz w:val="17"/>
              </w:rPr>
              <w:t>Must be completed or marked 'not applicable' with a short reason. Material supporting documents are indexed rather than pasted into the form.</w:t>
            </w:r>
          </w:p>
        </w:tc>
      </w:tr>
      <w:tr>
        <w:tc>
          <w:tcPr>
            <w:tcW w:type="dxa" w:w="4939"/>
          </w:tcPr>
          <w:p>
            <w:r>
              <w:rPr>
                <w:rFonts w:ascii="Calibri" w:hAnsi="Calibri"/>
                <w:sz w:val="17"/>
              </w:rPr>
              <w:t>Benefits restored</w:t>
            </w:r>
          </w:p>
        </w:tc>
        <w:tc>
          <w:tcPr>
            <w:tcW w:type="dxa" w:w="4939"/>
          </w:tcPr>
          <w:p>
            <w:r>
              <w:rPr>
                <w:rFonts w:ascii="Calibri" w:hAnsi="Calibri"/>
                <w:sz w:val="17"/>
              </w:rPr>
              <w:t>Must be completed or marked 'not applicable' with a short reason. Material supporting documents are indexed rather than pasted into the form.</w:t>
            </w:r>
          </w:p>
        </w:tc>
      </w:tr>
    </w:tbl>
    <w:p/>
    <w:p>
      <w:r/>
    </w:p>
    <w:p>
      <w:bookmarkStart w:id="1168" w:name="toc_168"/>
      <w:pPr>
        <w:pStyle w:val="Heading1"/>
        <w:spacing w:before="200" w:after="120"/>
      </w:pPr>
      <w:r>
        <w:rPr>
          <w:rFonts w:ascii="Calibri" w:hAnsi="Calibri"/>
          <w:b/>
          <w:color w:val="37474F"/>
          <w:sz w:val="30"/>
        </w:rPr>
        <w:t>APPENDIX F — ANNEX-SPECIFIC PERFORMANCE INDICATORS</w:t>
      </w:r>
      <w:bookmarkEnd w:id="1168"/>
    </w:p>
    <w:tbl>
      <w:tblPr>
        <w:tblStyle w:val="TableGrid"/>
        <w:tblW w:type="auto" w:w="0"/>
        <w:jc w:val="center"/>
        <w:tblLook w:firstColumn="1" w:firstRow="1" w:lastColumn="0" w:lastRow="0" w:noHBand="0" w:noVBand="1" w:val="04A0"/>
      </w:tblPr>
      <w:tblGrid>
        <w:gridCol w:w="4939"/>
        <w:gridCol w:w="4939"/>
      </w:tblGrid>
      <w:tr>
        <w:tc>
          <w:tcPr>
            <w:tcW w:type="dxa" w:w="4939"/>
            <w:shd w:fill="D9E3F0"/>
          </w:tcPr>
          <w:p>
            <w:r>
              <w:rPr>
                <w:rFonts w:ascii="Calibri" w:hAnsi="Calibri"/>
                <w:b/>
                <w:color w:val="37474F"/>
                <w:sz w:val="17"/>
              </w:rPr>
              <w:t>Module</w:t>
            </w:r>
          </w:p>
        </w:tc>
        <w:tc>
          <w:tcPr>
            <w:tcW w:type="dxa" w:w="4939"/>
            <w:shd w:fill="D9E3F0"/>
          </w:tcPr>
          <w:p>
            <w:r>
              <w:rPr>
                <w:rFonts w:ascii="Calibri" w:hAnsi="Calibri"/>
                <w:b/>
                <w:color w:val="37474F"/>
                <w:sz w:val="17"/>
              </w:rPr>
              <w:t>Minimum annual indicators</w:t>
            </w:r>
          </w:p>
        </w:tc>
      </w:tr>
      <w:tr>
        <w:tc>
          <w:tcPr>
            <w:tcW w:type="dxa" w:w="4939"/>
          </w:tcPr>
          <w:p>
            <w:r>
              <w:rPr>
                <w:rFonts w:ascii="Calibri" w:hAnsi="Calibri"/>
                <w:sz w:val="17"/>
              </w:rPr>
              <w:t>Digital</w:t>
            </w:r>
          </w:p>
        </w:tc>
        <w:tc>
          <w:tcPr>
            <w:tcW w:type="dxa" w:w="4939"/>
          </w:tcPr>
          <w:p>
            <w:r>
              <w:rPr>
                <w:rFonts w:ascii="Calibri" w:hAnsi="Calibri"/>
                <w:sz w:val="17"/>
              </w:rPr>
              <w:t>Median cross-border transfer authorization time where authorization is required; cloud-recognition decisions; reusable assurance acceptances; cyber notification timeliness; SME portal usage; unresolved discrimination complaints.</w:t>
            </w:r>
          </w:p>
        </w:tc>
      </w:tr>
      <w:tr>
        <w:tc>
          <w:tcPr>
            <w:tcW w:type="dxa" w:w="4939"/>
          </w:tcPr>
          <w:p>
            <w:r>
              <w:rPr>
                <w:rFonts w:ascii="Calibri" w:hAnsi="Calibri"/>
                <w:sz w:val="17"/>
              </w:rPr>
              <w:t>Customs</w:t>
            </w:r>
          </w:p>
        </w:tc>
        <w:tc>
          <w:tcPr>
            <w:tcW w:type="dxa" w:w="4939"/>
          </w:tcPr>
          <w:p>
            <w:r>
              <w:rPr>
                <w:rFonts w:ascii="Calibri" w:hAnsi="Calibri"/>
                <w:sz w:val="17"/>
              </w:rPr>
              <w:t>Median release time; pre-arrival decision rate; duplicate inspection rate; trusted-trader recognition rate; verification duration; correction frequency; confirmed transshipment cases; port-to-port outcome variance.</w:t>
            </w:r>
          </w:p>
        </w:tc>
      </w:tr>
      <w:tr>
        <w:tc>
          <w:tcPr>
            <w:tcW w:type="dxa" w:w="4939"/>
          </w:tcPr>
          <w:p>
            <w:r>
              <w:rPr>
                <w:rFonts w:ascii="Calibri" w:hAnsi="Calibri"/>
                <w:sz w:val="17"/>
              </w:rPr>
              <w:t>Automotive</w:t>
            </w:r>
          </w:p>
        </w:tc>
        <w:tc>
          <w:tcPr>
            <w:tcW w:type="dxa" w:w="4939"/>
          </w:tcPr>
          <w:p>
            <w:r>
              <w:rPr>
                <w:rFonts w:ascii="Calibri" w:hAnsi="Calibri"/>
                <w:sz w:val="17"/>
              </w:rPr>
              <w:t>Model-year determinations completed before launch; supplier evidence acceptance rate; average audit scope; days to preliminary and final finding; battery traceability completeness; corrections resolved without entry disruption.</w:t>
            </w:r>
          </w:p>
        </w:tc>
      </w:tr>
      <w:tr>
        <w:tc>
          <w:tcPr>
            <w:tcW w:type="dxa" w:w="4939"/>
          </w:tcPr>
          <w:p>
            <w:r>
              <w:rPr>
                <w:rFonts w:ascii="Calibri" w:hAnsi="Calibri"/>
                <w:sz w:val="17"/>
              </w:rPr>
              <w:t>Economic Security</w:t>
            </w:r>
          </w:p>
        </w:tc>
        <w:tc>
          <w:tcPr>
            <w:tcW w:type="dxa" w:w="4939"/>
          </w:tcPr>
          <w:p>
            <w:r>
              <w:rPr>
                <w:rFonts w:ascii="Calibri" w:hAnsi="Calibri"/>
                <w:sz w:val="17"/>
              </w:rPr>
              <w:t>Number of mapped bottlenecks; strategic projects reaching investment decision; emergency continuity activations; security-tariff consultations; verified non-market overcapacity matters; SME supplier matches.</w:t>
            </w:r>
          </w:p>
        </w:tc>
      </w:tr>
      <w:tr>
        <w:tc>
          <w:tcPr>
            <w:tcW w:type="dxa" w:w="4939"/>
          </w:tcPr>
          <w:p>
            <w:r>
              <w:rPr>
                <w:rFonts w:ascii="Calibri" w:hAnsi="Calibri"/>
                <w:sz w:val="17"/>
              </w:rPr>
              <w:t>Labor</w:t>
            </w:r>
          </w:p>
        </w:tc>
        <w:tc>
          <w:tcPr>
            <w:tcW w:type="dxa" w:w="4939"/>
          </w:tcPr>
          <w:p>
            <w:r>
              <w:rPr>
                <w:rFonts w:ascii="Calibri" w:hAnsi="Calibri"/>
                <w:sz w:val="17"/>
              </w:rPr>
              <w:t>Complaint acknowledgment time; screening time; inspections completed; retaliation allegations; remediation completion; worker restitution where available; unresolved matters by age.</w:t>
            </w:r>
          </w:p>
        </w:tc>
      </w:tr>
      <w:tr>
        <w:tc>
          <w:tcPr>
            <w:tcW w:type="dxa" w:w="4939"/>
          </w:tcPr>
          <w:p>
            <w:r>
              <w:rPr>
                <w:rFonts w:ascii="Calibri" w:hAnsi="Calibri"/>
                <w:sz w:val="17"/>
              </w:rPr>
              <w:t>Environment</w:t>
            </w:r>
          </w:p>
        </w:tc>
        <w:tc>
          <w:tcPr>
            <w:tcW w:type="dxa" w:w="4939"/>
          </w:tcPr>
          <w:p>
            <w:r>
              <w:rPr>
                <w:rFonts w:ascii="Calibri" w:hAnsi="Calibri"/>
                <w:sz w:val="17"/>
              </w:rPr>
              <w:t>Wildfire data exchange uptime; mutual-aid requests fulfilled; smoke forecast coordination; circular-material recognition decisions; critical-mineral equivalence assessments; emergency clearance time.</w:t>
            </w:r>
          </w:p>
        </w:tc>
      </w:tr>
      <w:tr>
        <w:tc>
          <w:tcPr>
            <w:tcW w:type="dxa" w:w="4939"/>
          </w:tcPr>
          <w:p>
            <w:r>
              <w:rPr>
                <w:rFonts w:ascii="Calibri" w:hAnsi="Calibri"/>
                <w:sz w:val="17"/>
              </w:rPr>
              <w:t>Dispute Settlement</w:t>
            </w:r>
          </w:p>
        </w:tc>
        <w:tc>
          <w:tcPr>
            <w:tcW w:type="dxa" w:w="4939"/>
          </w:tcPr>
          <w:p>
            <w:r>
              <w:rPr>
                <w:rFonts w:ascii="Calibri" w:hAnsi="Calibri"/>
                <w:sz w:val="17"/>
              </w:rPr>
              <w:t>Roster completeness; days to consultation; days to panel constitution; final report timeliness; compliance-review duration; percentage of Annex disputes cured before suspension.</w:t>
            </w:r>
          </w:p>
        </w:tc>
      </w:tr>
      <w:tr>
        <w:tc>
          <w:tcPr>
            <w:tcW w:type="dxa" w:w="4939"/>
          </w:tcPr>
          <w:p>
            <w:r>
              <w:rPr>
                <w:rFonts w:ascii="Calibri" w:hAnsi="Calibri"/>
                <w:sz w:val="17"/>
              </w:rPr>
              <w:t>Market Access</w:t>
            </w:r>
          </w:p>
        </w:tc>
        <w:tc>
          <w:tcPr>
            <w:tcW w:type="dxa" w:w="4939"/>
          </w:tcPr>
          <w:p>
            <w:r>
              <w:rPr>
                <w:rFonts w:ascii="Calibri" w:hAnsi="Calibri"/>
                <w:sz w:val="17"/>
              </w:rPr>
              <w:t>TRQ fill and reallocation rates; liquor listing decision time; procurement notices with disclosed preferences; reciprocal entity coverage; agricultural friction register closure rate.</w:t>
            </w:r>
          </w:p>
        </w:tc>
      </w:tr>
    </w:tbl>
    <w:p/>
    <w:p>
      <w:pPr>
        <w:pStyle w:val="OperativeClause"/>
      </w:pPr>
      <w:r>
        <w:rPr>
          <w:rFonts w:ascii="Calibri" w:hAnsi="Calibri"/>
          <w:sz w:val="20"/>
        </w:rPr>
        <w:t>Metrics are diagnostic. A poor metric does not by itself establish breach. A metric becomes evidentiary when it is linked to an operative obligation, a material deviation is verified, and the responsible Party has an opportunity to explain market conditions, emergencies, data limitations, or other causes.</w:t>
      </w:r>
    </w:p>
    <w:p>
      <w:r/>
    </w:p>
    <w:p>
      <w:bookmarkStart w:id="1169" w:name="toc_169"/>
      <w:pPr>
        <w:pStyle w:val="Heading1"/>
        <w:spacing w:before="200" w:after="120"/>
      </w:pPr>
      <w:r>
        <w:rPr>
          <w:rFonts w:ascii="Calibri" w:hAnsi="Calibri"/>
          <w:b/>
          <w:color w:val="37474F"/>
          <w:sz w:val="30"/>
        </w:rPr>
        <w:t>APPENDIX G — DETAILED SECTOR PLAYBOOKS</w:t>
      </w:r>
      <w:bookmarkEnd w:id="1169"/>
    </w:p>
    <w:p>
      <w:pPr>
        <w:pStyle w:val="Heading2"/>
        <w:spacing w:before="160" w:after="80"/>
      </w:pPr>
      <w:r>
        <w:rPr>
          <w:rFonts w:ascii="Calibri" w:hAnsi="Calibri"/>
          <w:b/>
          <w:color w:val="37474F"/>
          <w:sz w:val="23"/>
        </w:rPr>
        <w:t>G-1 Dairy Under-Utilization Playbook</w:t>
      </w:r>
    </w:p>
    <w:p>
      <w:pPr>
        <w:pStyle w:val="OperativeClause"/>
      </w:pPr>
      <w:r>
        <w:rPr>
          <w:rFonts w:ascii="Calibri" w:hAnsi="Calibri"/>
          <w:sz w:val="20"/>
        </w:rPr>
        <w:t>Trigger: utilization of an adopted dairy quota falls materially below the benchmark established in the schedule for two consecutive reporting periods. The administering authority first separates demand weakness, price conditions, exporter capacity, sanitary restrictions, applicant behavior, allocation design, and administrative delay. If government administration is a material cause, the cure may include earlier return deadlines, supplemental allocation rounds, broader eligible applicant classes, simplified transfer rules, or an application-calendar change. No finding requires enlargement of the quota quantity unless the adopting schedule separately provides it.</w:t>
      </w:r>
    </w:p>
    <w:p>
      <w:pPr>
        <w:pStyle w:val="Heading2"/>
        <w:spacing w:before="160" w:after="80"/>
      </w:pPr>
      <w:r>
        <w:rPr>
          <w:rFonts w:ascii="Calibri" w:hAnsi="Calibri"/>
          <w:b/>
          <w:color w:val="37474F"/>
          <w:sz w:val="23"/>
        </w:rPr>
        <w:t>G-2 Alcohol Delisting Playbook</w:t>
      </w:r>
    </w:p>
    <w:p>
      <w:pPr>
        <w:pStyle w:val="OperativeClause"/>
      </w:pPr>
      <w:r>
        <w:rPr>
          <w:rFonts w:ascii="Calibri" w:hAnsi="Calibri"/>
          <w:sz w:val="20"/>
        </w:rPr>
        <w:t>Trigger: a participating liquor authority removes or materially restricts products of another Party on a nationality-specific basis. The authority provides the legal basis, scope, duration, and comparator treatment. A retaliatory commercial delisting is presumptively referred for accelerated consultation; a health, safety, sanctions, or generally applicable commercial decision is reviewed under its stated criteria. Cure focuses on restoration of ordinary commercial eligibility, not guaranteed shelf placement or sales volume.</w:t>
      </w:r>
    </w:p>
    <w:p>
      <w:pPr>
        <w:pStyle w:val="Heading2"/>
        <w:spacing w:before="160" w:after="80"/>
      </w:pPr>
      <w:r>
        <w:rPr>
          <w:rFonts w:ascii="Calibri" w:hAnsi="Calibri"/>
          <w:b/>
          <w:color w:val="37474F"/>
          <w:sz w:val="23"/>
        </w:rPr>
        <w:t>G-3 Auto Origin Discrepancy Playbook</w:t>
      </w:r>
    </w:p>
    <w:p>
      <w:pPr>
        <w:pStyle w:val="OperativeClause"/>
      </w:pPr>
      <w:r>
        <w:rPr>
          <w:rFonts w:ascii="Calibri" w:hAnsi="Calibri"/>
          <w:sz w:val="20"/>
        </w:rPr>
        <w:t>Trigger: customs identifies a material mismatch between a producer's model-year origin file and supplier evidence. The verifier isolates the affected part, supplier, period, and calculation field before expanding the audit. The producer may substitute direct supplier transmission or trustee verification for sensitive records. If the part fails origin, the vehicle calculation is reconciled according to the Annex; if the discrepancy resulted from fraud, Cothrom Tier 3 and domestic enforcement remain available.</w:t>
      </w:r>
    </w:p>
    <w:p>
      <w:pPr>
        <w:pStyle w:val="Heading2"/>
        <w:spacing w:before="160" w:after="80"/>
      </w:pPr>
      <w:r>
        <w:rPr>
          <w:rFonts w:ascii="Calibri" w:hAnsi="Calibri"/>
          <w:b/>
          <w:color w:val="37474F"/>
          <w:sz w:val="23"/>
        </w:rPr>
        <w:t>G-4 Suspected Transshipment Playbook</w:t>
      </w:r>
    </w:p>
    <w:p>
      <w:pPr>
        <w:pStyle w:val="OperativeClause"/>
      </w:pPr>
      <w:r>
        <w:rPr>
          <w:rFonts w:ascii="Calibri" w:hAnsi="Calibri"/>
          <w:sz w:val="20"/>
        </w:rPr>
        <w:t>Trigger: trade data, capacity analysis, routing, invoices, or physical inspection indicate possible third-country circumvention. Customs compares claimed production with facility capacity, transformation steps, labor and energy use where relevant, purchase and sales records, and logistics. A finding attaches to the implicated trade first. A country-wide or sector-wide restriction requires evidence that the circumvention is systemic and that narrower enforcement is insufficient.</w:t>
      </w:r>
    </w:p>
    <w:p>
      <w:pPr>
        <w:pStyle w:val="Heading2"/>
        <w:spacing w:before="160" w:after="80"/>
      </w:pPr>
      <w:r>
        <w:rPr>
          <w:rFonts w:ascii="Calibri" w:hAnsi="Calibri"/>
          <w:b/>
          <w:color w:val="37474F"/>
          <w:sz w:val="23"/>
        </w:rPr>
        <w:t>G-5 Security Tariff Playbook</w:t>
      </w:r>
    </w:p>
    <w:p>
      <w:pPr>
        <w:pStyle w:val="OperativeClause"/>
      </w:pPr>
      <w:r>
        <w:rPr>
          <w:rFonts w:ascii="Calibri" w:hAnsi="Calibri"/>
          <w:sz w:val="20"/>
        </w:rPr>
        <w:t>Trigger: a Party proposes a tariff or quota on another participating Party for national-security reasons. The acting Party identifies the security objective, affected products, risk pathway, duration, and why ordinary customs enforcement, procurement screening, investment review, targeted sanctions, quota administration, or trusted-source treatment would be insufficient. The consultation record expressly considers whether verified supply from the other Party strengthens rather than weakens the security objective.</w:t>
      </w:r>
    </w:p>
    <w:p>
      <w:pPr>
        <w:pStyle w:val="Heading2"/>
        <w:spacing w:before="160" w:after="80"/>
      </w:pPr>
      <w:r>
        <w:rPr>
          <w:rFonts w:ascii="Calibri" w:hAnsi="Calibri"/>
          <w:b/>
          <w:color w:val="37474F"/>
          <w:sz w:val="23"/>
        </w:rPr>
        <w:t>G-6 Digital Regulation Playbook</w:t>
      </w:r>
    </w:p>
    <w:p>
      <w:pPr>
        <w:pStyle w:val="OperativeClause"/>
      </w:pPr>
      <w:r>
        <w:rPr>
          <w:rFonts w:ascii="Calibri" w:hAnsi="Calibri"/>
          <w:sz w:val="20"/>
        </w:rPr>
        <w:t>Trigger: a Party alleges that a digital measure discriminates against its suppliers or forces unnecessary localization. The regulator identifies the protected interest, evidence of risk, covered services, compliance route, and alternatives considered. The review tests whether an equivalent outcome can be achieved through certification, contractual safeguards, audit access, privacy-enhancing technology, local representative requirements, or other less trade-restrictive means.</w:t>
      </w:r>
    </w:p>
    <w:p>
      <w:pPr>
        <w:pStyle w:val="Heading2"/>
        <w:spacing w:before="160" w:after="80"/>
      </w:pPr>
      <w:r>
        <w:rPr>
          <w:rFonts w:ascii="Calibri" w:hAnsi="Calibri"/>
          <w:b/>
          <w:color w:val="37474F"/>
          <w:sz w:val="23"/>
        </w:rPr>
        <w:t>G-7 Wildfire Smoke Playbook</w:t>
      </w:r>
    </w:p>
    <w:p>
      <w:pPr>
        <w:pStyle w:val="OperativeClause"/>
      </w:pPr>
      <w:r>
        <w:rPr>
          <w:rFonts w:ascii="Calibri" w:hAnsi="Calibri"/>
          <w:sz w:val="20"/>
        </w:rPr>
        <w:t>Trigger: a major fire is forecast to produce significant cross-border smoke or transport disruption. The environmental contact points exchange forecast products, uncertainty ranges, public-health messaging inputs, aviation or road impacts, and mutual-aid needs. The process is cooperative and does not convert smoke transport into a trade violation. A separate trade issue arises only if a border measure discriminates without a defensible health, safety, or emergency basis.</w:t>
      </w:r>
    </w:p>
    <w:p>
      <w:pPr>
        <w:pStyle w:val="Heading2"/>
        <w:spacing w:before="160" w:after="80"/>
      </w:pPr>
      <w:r>
        <w:rPr>
          <w:rFonts w:ascii="Calibri" w:hAnsi="Calibri"/>
          <w:b/>
          <w:color w:val="37474F"/>
          <w:sz w:val="23"/>
        </w:rPr>
        <w:t>G-8 Procurement Reciprocity Playbook</w:t>
      </w:r>
    </w:p>
    <w:p>
      <w:pPr>
        <w:pStyle w:val="OperativeClause"/>
      </w:pPr>
      <w:r>
        <w:rPr>
          <w:rFonts w:ascii="Calibri" w:hAnsi="Calibri"/>
          <w:sz w:val="20"/>
        </w:rPr>
        <w:t>Trigger: a covered procurement excludes suppliers of another Party through a domestic-content rule or funding condition. The procuring entity identifies whether the procurement is covered, excluded, below threshold, or subject to a scheduled preference. If covered and the exclusion was not disclosed or authorized, the available cure may include amendment, extension of bid time, recompetition, bid-protest relief, or prospective correction consistent with domestic law.</w:t>
      </w:r>
    </w:p>
    <w:p>
      <w:r/>
    </w:p>
    <w:p>
      <w:bookmarkStart w:id="1170" w:name="toc_170"/>
      <w:pPr>
        <w:pStyle w:val="Heading1"/>
        <w:spacing w:before="200" w:after="120"/>
      </w:pPr>
      <w:r>
        <w:rPr>
          <w:rFonts w:ascii="Calibri" w:hAnsi="Calibri"/>
          <w:b/>
          <w:color w:val="37474F"/>
          <w:sz w:val="30"/>
        </w:rPr>
        <w:t>APPENDIX H — NEGOTIATOR DECISION GATES</w:t>
      </w:r>
      <w:bookmarkEnd w:id="1170"/>
    </w:p>
    <w:p>
      <w:pPr>
        <w:pStyle w:val="Heading2"/>
        <w:spacing w:before="160" w:after="80"/>
      </w:pPr>
      <w:r>
        <w:rPr>
          <w:rFonts w:ascii="Calibri" w:hAnsi="Calibri"/>
          <w:b/>
          <w:color w:val="37474F"/>
          <w:sz w:val="23"/>
        </w:rPr>
        <w:t>Gate 1: Scope</w:t>
      </w:r>
    </w:p>
    <w:p>
      <w:pPr>
        <w:pStyle w:val="OperativeClause"/>
      </w:pPr>
      <w:r>
        <w:rPr>
          <w:rFonts w:ascii="Calibri" w:hAnsi="Calibri"/>
          <w:sz w:val="20"/>
        </w:rPr>
        <w:t>Are the Parties solving an implementation problem, adding a new commitment, or modifying an existing CUSMA obligation? The adopting instrument must say which. Ambiguity at this gate creates downstream legal risk.</w:t>
      </w:r>
    </w:p>
    <w:p>
      <w:pPr>
        <w:pStyle w:val="Heading2"/>
        <w:spacing w:before="160" w:after="80"/>
      </w:pPr>
      <w:r>
        <w:rPr>
          <w:rFonts w:ascii="Calibri" w:hAnsi="Calibri"/>
          <w:b/>
          <w:color w:val="37474F"/>
          <w:sz w:val="23"/>
        </w:rPr>
        <w:t>Gate 2: Geometry</w:t>
      </w:r>
    </w:p>
    <w:p>
      <w:pPr>
        <w:pStyle w:val="OperativeClause"/>
      </w:pPr>
      <w:r>
        <w:rPr>
          <w:rFonts w:ascii="Calibri" w:hAnsi="Calibri"/>
          <w:sz w:val="20"/>
        </w:rPr>
        <w:t>Is the module bilateral or trilateral? Are subnational entities participating? Are their commitments binding, cooperative, or merely listed as implementation objectives?</w:t>
      </w:r>
    </w:p>
    <w:p>
      <w:pPr>
        <w:pStyle w:val="Heading2"/>
        <w:spacing w:before="160" w:after="80"/>
      </w:pPr>
      <w:r>
        <w:rPr>
          <w:rFonts w:ascii="Calibri" w:hAnsi="Calibri"/>
          <w:b/>
          <w:color w:val="37474F"/>
          <w:sz w:val="23"/>
        </w:rPr>
        <w:t>Gate 3: Evidence</w:t>
      </w:r>
    </w:p>
    <w:p>
      <w:pPr>
        <w:pStyle w:val="OperativeClause"/>
      </w:pPr>
      <w:r>
        <w:rPr>
          <w:rFonts w:ascii="Calibri" w:hAnsi="Calibri"/>
          <w:sz w:val="20"/>
        </w:rPr>
        <w:t>What objective record will show performance? If performance cannot be verified without impossible or commercially destructive disclosure, redesign the obligation before adoption.</w:t>
      </w:r>
    </w:p>
    <w:p>
      <w:pPr>
        <w:pStyle w:val="Heading2"/>
        <w:spacing w:before="160" w:after="80"/>
      </w:pPr>
      <w:r>
        <w:rPr>
          <w:rFonts w:ascii="Calibri" w:hAnsi="Calibri"/>
          <w:b/>
          <w:color w:val="37474F"/>
          <w:sz w:val="23"/>
        </w:rPr>
        <w:t>Gate 4: Remedy</w:t>
      </w:r>
    </w:p>
    <w:p>
      <w:pPr>
        <w:pStyle w:val="OperativeClause"/>
      </w:pPr>
      <w:r>
        <w:rPr>
          <w:rFonts w:ascii="Calibri" w:hAnsi="Calibri"/>
          <w:sz w:val="20"/>
        </w:rPr>
        <w:t>What is the narrowest benefit that can be paused if the obligation is materially breached? If the only imaginable remedy is treaty-wide retaliation, the module is not sufficiently modular.</w:t>
      </w:r>
    </w:p>
    <w:p>
      <w:pPr>
        <w:pStyle w:val="Heading2"/>
        <w:spacing w:before="160" w:after="80"/>
      </w:pPr>
      <w:r>
        <w:rPr>
          <w:rFonts w:ascii="Calibri" w:hAnsi="Calibri"/>
          <w:b/>
          <w:color w:val="37474F"/>
          <w:sz w:val="23"/>
        </w:rPr>
        <w:t>Gate 5: Earn-Back</w:t>
      </w:r>
    </w:p>
    <w:p>
      <w:pPr>
        <w:pStyle w:val="OperativeClause"/>
      </w:pPr>
      <w:r>
        <w:rPr>
          <w:rFonts w:ascii="Calibri" w:hAnsi="Calibri"/>
          <w:sz w:val="20"/>
        </w:rPr>
        <w:t>What exact evidence restores the paused benefit, and how long must clean performance continue? A remedy without a defined restoration route is inconsistent with Cothrom.</w:t>
      </w:r>
    </w:p>
    <w:p>
      <w:pPr>
        <w:pStyle w:val="Heading2"/>
        <w:spacing w:before="160" w:after="80"/>
      </w:pPr>
      <w:r>
        <w:rPr>
          <w:rFonts w:ascii="Calibri" w:hAnsi="Calibri"/>
          <w:b/>
          <w:color w:val="37474F"/>
          <w:sz w:val="23"/>
        </w:rPr>
        <w:t>Gate 6: Domestic Law</w:t>
      </w:r>
    </w:p>
    <w:p>
      <w:pPr>
        <w:pStyle w:val="OperativeClause"/>
      </w:pPr>
      <w:r>
        <w:rPr>
          <w:rFonts w:ascii="Calibri" w:hAnsi="Calibri"/>
          <w:sz w:val="20"/>
        </w:rPr>
        <w:t>Which agency can actually perform the obligation? Does it need legislation, regulation, an order, guidance, an MOU, a procurement schedule, or subnational consent?</w:t>
      </w:r>
    </w:p>
    <w:p>
      <w:pPr>
        <w:pStyle w:val="Heading2"/>
        <w:spacing w:before="160" w:after="80"/>
      </w:pPr>
      <w:r>
        <w:rPr>
          <w:rFonts w:ascii="Calibri" w:hAnsi="Calibri"/>
          <w:b/>
          <w:color w:val="37474F"/>
          <w:sz w:val="23"/>
        </w:rPr>
        <w:t>Gate 7: Public Explanation</w:t>
      </w:r>
    </w:p>
    <w:p>
      <w:pPr>
        <w:pStyle w:val="OperativeClause"/>
      </w:pPr>
      <w:r>
        <w:rPr>
          <w:rFonts w:ascii="Calibri" w:hAnsi="Calibri"/>
          <w:sz w:val="20"/>
        </w:rPr>
        <w:t>Can the bargain be explained accurately to workers, producers, firms, provinces, states, and legislators without pretending that either Party surrendered a red line it did not surrender?</w:t>
      </w:r>
    </w:p>
    <w:p>
      <w:pPr>
        <w:pStyle w:val="Heading2"/>
        <w:spacing w:before="160" w:after="80"/>
      </w:pPr>
      <w:r>
        <w:rPr>
          <w:rFonts w:ascii="Calibri" w:hAnsi="Calibri"/>
          <w:b/>
          <w:color w:val="37474F"/>
          <w:sz w:val="23"/>
        </w:rPr>
        <w:t>Gate 8: Review</w:t>
      </w:r>
    </w:p>
    <w:p>
      <w:pPr>
        <w:pStyle w:val="OperativeClause"/>
      </w:pPr>
      <w:r>
        <w:rPr>
          <w:rFonts w:ascii="Calibri" w:hAnsi="Calibri"/>
          <w:sz w:val="20"/>
        </w:rPr>
        <w:t>Which parts can technicians update and which parts require political re-adoption? The line must be explicit.</w:t>
      </w:r>
    </w:p>
    <w:p>
      <w:r/>
    </w:p>
    <w:p>
      <w:bookmarkStart w:id="1171" w:name="toc_171"/>
      <w:pPr>
        <w:pStyle w:val="Heading1"/>
        <w:spacing w:before="200" w:after="120"/>
      </w:pPr>
      <w:r>
        <w:rPr>
          <w:rFonts w:ascii="Calibri" w:hAnsi="Calibri"/>
          <w:b/>
          <w:color w:val="37474F"/>
          <w:sz w:val="30"/>
        </w:rPr>
        <w:t>APPENDIX I — ANNEX-BY-ANNEX IMPLEMENTATION CHECKLISTS</w:t>
      </w:r>
      <w:bookmarkEnd w:id="1171"/>
    </w:p>
    <w:p>
      <w:pPr>
        <w:pStyle w:val="Heading2"/>
        <w:spacing w:before="160" w:after="80"/>
      </w:pPr>
      <w:r>
        <w:rPr>
          <w:rFonts w:ascii="Calibri" w:hAnsi="Calibri"/>
          <w:b/>
          <w:color w:val="37474F"/>
          <w:sz w:val="23"/>
        </w:rPr>
        <w:t>Annex 1 — Digital Trade</w:t>
      </w:r>
    </w:p>
    <w:p>
      <w:pPr>
        <w:pStyle w:val="OperativeClause"/>
      </w:pPr>
      <w:r>
        <w:rPr>
          <w:rFonts w:ascii="Calibri" w:hAnsi="Calibri"/>
          <w:sz w:val="20"/>
        </w:rPr>
        <w:t>1. Legal mapping: identify every domestic statute, regulation, regulator rule, cultural-policy measure, privacy transfer mechanism, cybersecurity rule, financial-sector restriction, and public-cloud requirement that could interact with the Annex. The mapping shall distinguish rules that are facially nationality-neutral from rules that create different practical treatment for foreign suppliers.</w:t>
      </w:r>
    </w:p>
    <w:p>
      <w:pPr>
        <w:pStyle w:val="OperativeClause"/>
      </w:pPr>
      <w:r>
        <w:rPr>
          <w:rFonts w:ascii="Calibri" w:hAnsi="Calibri"/>
          <w:sz w:val="20"/>
        </w:rPr>
        <w:t>2. Technical interoperability: publish a machine-readable catalogue of accepted digital identity, electronic signature, audit, cybersecurity, and privacy assurance mechanisms. For each mechanism, state assurance level, permitted use, expiry, revocation method, evidence format, and contact point for recognition questions.</w:t>
      </w:r>
    </w:p>
    <w:p>
      <w:pPr>
        <w:pStyle w:val="OperativeClause"/>
      </w:pPr>
      <w:r>
        <w:rPr>
          <w:rFonts w:ascii="Calibri" w:hAnsi="Calibri"/>
          <w:sz w:val="20"/>
        </w:rPr>
        <w:t>3. AI cooperation: create a common template for high-impact AI documentation that records intended use, material limitations, evaluation method, incident contact, human oversight, security controls, and version history. Acceptance of the template does not imply approval of the system for every regulated use.</w:t>
      </w:r>
    </w:p>
    <w:p>
      <w:pPr>
        <w:pStyle w:val="OperativeClause"/>
      </w:pPr>
      <w:r>
        <w:rPr>
          <w:rFonts w:ascii="Calibri" w:hAnsi="Calibri"/>
          <w:sz w:val="20"/>
        </w:rPr>
        <w:t>4. Cloud reciprocity: identify regulated sectors in which local infrastructure may still be required and state the exact supervisory reason. Establish a process for suppliers to propose equivalent controls such as mirrored logs, local keys, local representative, regulator access, resilience testing, or segregated storage.</w:t>
      </w:r>
    </w:p>
    <w:p>
      <w:pPr>
        <w:pStyle w:val="OperativeClause"/>
      </w:pPr>
      <w:r>
        <w:rPr>
          <w:rFonts w:ascii="Calibri" w:hAnsi="Calibri"/>
          <w:sz w:val="20"/>
        </w:rPr>
        <w:t>5. Cyber incident operations: test the 24-hour contact network at least twice yearly. Exercises shall include a customs outage, logistics ransomware event, cloud-region failure, payment interruption, and compromised digital credential, with after-action reports focused on trade continuity rather than attribution politics.</w:t>
      </w:r>
    </w:p>
    <w:p>
      <w:pPr>
        <w:pStyle w:val="OperativeClause"/>
      </w:pPr>
      <w:r>
        <w:rPr>
          <w:rFonts w:ascii="Calibri" w:hAnsi="Calibri"/>
          <w:sz w:val="20"/>
        </w:rPr>
        <w:t>6. SME usability: test all digital guidance with small exporters and service suppliers before publication. The Committee shall remove duplicate evidence requests, unexplained acronyms, circular links, and requirements that assume a dedicated legal or cybersecurity department.</w:t>
      </w:r>
    </w:p>
    <w:p>
      <w:pPr>
        <w:pStyle w:val="Heading2"/>
        <w:spacing w:before="160" w:after="80"/>
      </w:pPr>
      <w:r>
        <w:rPr>
          <w:rFonts w:ascii="Calibri" w:hAnsi="Calibri"/>
          <w:b/>
          <w:color w:val="37474F"/>
          <w:sz w:val="23"/>
        </w:rPr>
        <w:t>Annex 2 — Customs</w:t>
      </w:r>
    </w:p>
    <w:p>
      <w:pPr>
        <w:pStyle w:val="OperativeClause"/>
      </w:pPr>
      <w:r>
        <w:rPr>
          <w:rFonts w:ascii="Calibri" w:hAnsi="Calibri"/>
          <w:sz w:val="20"/>
        </w:rPr>
        <w:t>1. Data dictionary: align shipment identifiers, importer/exporter fields, origin status, trusted-trader status, admissibility messages, inspection holds, release codes, and correction records. Each field receives a definition, permitted format, source system, confidentiality classification, and validation rule.</w:t>
      </w:r>
    </w:p>
    <w:p>
      <w:pPr>
        <w:pStyle w:val="OperativeClause"/>
      </w:pPr>
      <w:r>
        <w:rPr>
          <w:rFonts w:ascii="Calibri" w:hAnsi="Calibri"/>
          <w:sz w:val="20"/>
        </w:rPr>
        <w:t>2. Trusted trader: compare C-TPAT, Partners in Protection, and participating Mexican programs by security domain rather than program name. Gaps may be bridged by supplemental controls rather than forcing a company to repeat an entire certification.</w:t>
      </w:r>
    </w:p>
    <w:p>
      <w:pPr>
        <w:pStyle w:val="OperativeClause"/>
      </w:pPr>
      <w:r>
        <w:rPr>
          <w:rFonts w:ascii="Calibri" w:hAnsi="Calibri"/>
          <w:sz w:val="20"/>
        </w:rPr>
        <w:t>3. Port consistency: customs administrations shall select recurring classification and origin questions and compare outcomes across major ports. Material unexplained divergence triggers guidance, training, or supervisory review, not automatic adverse treatment of traders.</w:t>
      </w:r>
    </w:p>
    <w:p>
      <w:pPr>
        <w:pStyle w:val="OperativeClause"/>
      </w:pPr>
      <w:r>
        <w:rPr>
          <w:rFonts w:ascii="Calibri" w:hAnsi="Calibri"/>
          <w:sz w:val="20"/>
        </w:rPr>
        <w:t>4. Anti-circumvention: develop sector risk profiles for steel, aluminum, autos, batteries, electronics, textiles, and other agreed sectors. Profiles guide targeting but do not replace transaction-specific evidence for a final adverse origin decision.</w:t>
      </w:r>
    </w:p>
    <w:p>
      <w:pPr>
        <w:pStyle w:val="OperativeClause"/>
      </w:pPr>
      <w:r>
        <w:rPr>
          <w:rFonts w:ascii="Calibri" w:hAnsi="Calibri"/>
          <w:sz w:val="20"/>
        </w:rPr>
        <w:t>5. Forced labor: establish protected channels for sharing admissible supply-chain evidence and remediation information. Importers shall know what category of evidence is missing even when protected intelligence itself cannot be disclosed.</w:t>
      </w:r>
    </w:p>
    <w:p>
      <w:pPr>
        <w:pStyle w:val="OperativeClause"/>
      </w:pPr>
      <w:r>
        <w:rPr>
          <w:rFonts w:ascii="Calibri" w:hAnsi="Calibri"/>
          <w:sz w:val="20"/>
        </w:rPr>
        <w:t>6. Low-value shipments: conduct an annual fraud and facilitation review using seizure, undervaluation, misdescription, duty collection, delivery time, and SME participation data. Threshold changes remain sovereign, but operational impacts become visible before abrupt implementation.</w:t>
      </w:r>
    </w:p>
    <w:p>
      <w:pPr>
        <w:pStyle w:val="Heading2"/>
        <w:spacing w:before="160" w:after="80"/>
      </w:pPr>
      <w:r>
        <w:rPr>
          <w:rFonts w:ascii="Calibri" w:hAnsi="Calibri"/>
          <w:b/>
          <w:color w:val="37474F"/>
          <w:sz w:val="23"/>
        </w:rPr>
        <w:t>Annex 3 — Automotive</w:t>
      </w:r>
    </w:p>
    <w:p>
      <w:pPr>
        <w:pStyle w:val="OperativeClause"/>
      </w:pPr>
      <w:r>
        <w:rPr>
          <w:rFonts w:ascii="Calibri" w:hAnsi="Calibri"/>
          <w:sz w:val="20"/>
        </w:rPr>
        <w:t>1. Core-parts list: maintain a version-controlled schedule of covered components and tariff classifications, with technical descriptions that can accommodate EV and hybrid architectures. Classification disputes are separated from origin disputes whenever possible.</w:t>
      </w:r>
    </w:p>
    <w:p>
      <w:pPr>
        <w:pStyle w:val="OperativeClause"/>
      </w:pPr>
      <w:r>
        <w:rPr>
          <w:rFonts w:ascii="Calibri" w:hAnsi="Calibri"/>
          <w:sz w:val="20"/>
        </w:rPr>
        <w:t>2. Calculation file: publish a canonical data schema and worked fictional examples for net-cost and other permitted calculations. Examples shall include a qualifying core part with non-party inputs, a failed core part, supplier data transmitted directly to customs, and a mid-model-year sourcing change.</w:t>
      </w:r>
    </w:p>
    <w:p>
      <w:pPr>
        <w:pStyle w:val="OperativeClause"/>
      </w:pPr>
      <w:r>
        <w:rPr>
          <w:rFonts w:ascii="Calibri" w:hAnsi="Calibri"/>
          <w:sz w:val="20"/>
        </w:rPr>
        <w:t>3. Supplier declarations: create tiered declaration forms so low-risk commodity suppliers do not face the same data burden as high-value strategic-component suppliers. Customs may escalate the evidence level when anomalies justify it.</w:t>
      </w:r>
    </w:p>
    <w:p>
      <w:pPr>
        <w:pStyle w:val="OperativeClause"/>
      </w:pPr>
      <w:r>
        <w:rPr>
          <w:rFonts w:ascii="Calibri" w:hAnsi="Calibri"/>
          <w:sz w:val="20"/>
        </w:rPr>
        <w:t>4. Battery tracing: accept audited mass balance where physical segregation is impracticable. The producer shall document system boundaries, conversion factors, inventory reconciliation, loss assumptions, and independent audit controls.</w:t>
      </w:r>
    </w:p>
    <w:p>
      <w:pPr>
        <w:pStyle w:val="OperativeClause"/>
      </w:pPr>
      <w:r>
        <w:rPr>
          <w:rFonts w:ascii="Calibri" w:hAnsi="Calibri"/>
          <w:sz w:val="20"/>
        </w:rPr>
        <w:t>5. Audit sampling: define initial sample sizes and objective expansion triggers. A verifier may expand when discrepancies are material or patterned, but shall record why expansion is necessary and which additional risk it tests.</w:t>
      </w:r>
    </w:p>
    <w:p>
      <w:pPr>
        <w:pStyle w:val="OperativeClause"/>
      </w:pPr>
      <w:r>
        <w:rPr>
          <w:rFonts w:ascii="Calibri" w:hAnsi="Calibri"/>
          <w:sz w:val="20"/>
        </w:rPr>
        <w:t>6. Reliance: model-year rulings remain usable unless a material fact changes. Where customs changes an interpretation prospectively, producers receive a transition period appropriate to sourcing and production cycles unless fraud or an urgent legal requirement makes transition inappropriate.</w:t>
      </w:r>
    </w:p>
    <w:p>
      <w:pPr>
        <w:pStyle w:val="Heading2"/>
        <w:spacing w:before="160" w:after="80"/>
      </w:pPr>
      <w:r>
        <w:rPr>
          <w:rFonts w:ascii="Calibri" w:hAnsi="Calibri"/>
          <w:b/>
          <w:color w:val="37474F"/>
          <w:sz w:val="23"/>
        </w:rPr>
        <w:t>Annex 4 — Economic Security</w:t>
      </w:r>
    </w:p>
    <w:p>
      <w:pPr>
        <w:pStyle w:val="OperativeClause"/>
      </w:pPr>
      <w:r>
        <w:rPr>
          <w:rFonts w:ascii="Calibri" w:hAnsi="Calibri"/>
          <w:sz w:val="20"/>
        </w:rPr>
        <w:t>1. Supply-chain map: assign each strategic node a concentration score, substitution difficulty, lead time, infrastructure dependency, and emergency criticality. Public reports aggregate firm-sensitive details while preserving enough information for investment decisions.</w:t>
      </w:r>
    </w:p>
    <w:p>
      <w:pPr>
        <w:pStyle w:val="OperativeClause"/>
      </w:pPr>
      <w:r>
        <w:rPr>
          <w:rFonts w:ascii="Calibri" w:hAnsi="Calibri"/>
          <w:sz w:val="20"/>
        </w:rPr>
        <w:t>2. Minerals: identify extraction, concentration, refining, chemical conversion, precursor, recycling, and transport bottlenecks separately. A country can be mineral-rich and still have a processing vulnerability; the work program shall not collapse those stages into one metric.</w:t>
      </w:r>
    </w:p>
    <w:p>
      <w:pPr>
        <w:pStyle w:val="OperativeClause"/>
      </w:pPr>
      <w:r>
        <w:rPr>
          <w:rFonts w:ascii="Calibri" w:hAnsi="Calibri"/>
          <w:sz w:val="20"/>
        </w:rPr>
        <w:t>3. Industrial incentives: notify major new incentives with eligibility, duration, domestic-content rules, stacking limits, and expected production effect. The purpose is to identify collision and exclusion risks early, not to give another Party a veto over domestic industrial policy.</w:t>
      </w:r>
    </w:p>
    <w:p>
      <w:pPr>
        <w:pStyle w:val="OperativeClause"/>
      </w:pPr>
      <w:r>
        <w:rPr>
          <w:rFonts w:ascii="Calibri" w:hAnsi="Calibri"/>
          <w:sz w:val="20"/>
        </w:rPr>
        <w:t>4. Non-market risk: distinguish ownership, control, subsidy, overcapacity, sanctions exposure, data/security access, and circumvention as separate factors. A response should match the factor actually verified.</w:t>
      </w:r>
    </w:p>
    <w:p>
      <w:pPr>
        <w:pStyle w:val="OperativeClause"/>
      </w:pPr>
      <w:r>
        <w:rPr>
          <w:rFonts w:ascii="Calibri" w:hAnsi="Calibri"/>
          <w:sz w:val="20"/>
        </w:rPr>
        <w:t>5. Security tariffs: maintain a confidential consultation template capable of handling sensitive evidence. The reviewing officials shall consider trusted-source designations, quotas, monitoring, procurement restrictions, investment screening, or product-specific enforcement before broad tariffs.</w:t>
      </w:r>
    </w:p>
    <w:p>
      <w:pPr>
        <w:pStyle w:val="OperativeClause"/>
      </w:pPr>
      <w:r>
        <w:rPr>
          <w:rFonts w:ascii="Calibri" w:hAnsi="Calibri"/>
          <w:sz w:val="20"/>
        </w:rPr>
        <w:t>6. Continuity exercises: annually simulate at least one disruption involving a strategic mineral, semiconductor, medicine, grid component, or transport corridor. The exercise shall test customs priority, substitute sourcing, regulatory reliance, and communications.</w:t>
      </w:r>
    </w:p>
    <w:p>
      <w:pPr>
        <w:pStyle w:val="Heading2"/>
        <w:spacing w:before="160" w:after="80"/>
      </w:pPr>
      <w:r>
        <w:rPr>
          <w:rFonts w:ascii="Calibri" w:hAnsi="Calibri"/>
          <w:b/>
          <w:color w:val="37474F"/>
          <w:sz w:val="23"/>
        </w:rPr>
        <w:t>Annex 5 — Labor</w:t>
      </w:r>
    </w:p>
    <w:p>
      <w:pPr>
        <w:pStyle w:val="OperativeClause"/>
      </w:pPr>
      <w:r>
        <w:rPr>
          <w:rFonts w:ascii="Calibri" w:hAnsi="Calibri"/>
          <w:sz w:val="20"/>
        </w:rPr>
        <w:t>1. Worker access: complaint channels shall support relevant languages, mobile access, disability accessibility, and protected submission. Workers shall receive plain-language information on confidentiality limits and the difference between an Annex complaint and domestic litigation.</w:t>
      </w:r>
    </w:p>
    <w:p>
      <w:pPr>
        <w:pStyle w:val="OperativeClause"/>
      </w:pPr>
      <w:r>
        <w:rPr>
          <w:rFonts w:ascii="Calibri" w:hAnsi="Calibri"/>
          <w:sz w:val="20"/>
        </w:rPr>
        <w:t>2. Screening discipline: the secretariat shall use a checklist that separates jurisdiction, credibility, urgency, retaliation risk, and evidentiary sufficiency. A politically salient allegation does not bypass the same minimum screening logic applied to other cases.</w:t>
      </w:r>
    </w:p>
    <w:p>
      <w:pPr>
        <w:pStyle w:val="OperativeClause"/>
      </w:pPr>
      <w:r>
        <w:rPr>
          <w:rFonts w:ascii="Calibri" w:hAnsi="Calibri"/>
          <w:sz w:val="20"/>
        </w:rPr>
        <w:t>3. Inspection integrity: worker interviews should occur without employer supervision where domestic law permits. Inspectors shall document sampling, translation, interview conditions, and any limitation that could affect reliability.</w:t>
      </w:r>
    </w:p>
    <w:p>
      <w:pPr>
        <w:pStyle w:val="OperativeClause"/>
      </w:pPr>
      <w:r>
        <w:rPr>
          <w:rFonts w:ascii="Calibri" w:hAnsi="Calibri"/>
          <w:sz w:val="20"/>
        </w:rPr>
        <w:t>4. Remediation: plans shall specify measurable actions rather than promises to improve. Where collective bargaining rights are implicated, the plan shall protect genuine worker choice and avoid substituting government preference for worker decision-making.</w:t>
      </w:r>
    </w:p>
    <w:p>
      <w:pPr>
        <w:pStyle w:val="OperativeClause"/>
      </w:pPr>
      <w:r>
        <w:rPr>
          <w:rFonts w:ascii="Calibri" w:hAnsi="Calibri"/>
          <w:sz w:val="20"/>
        </w:rPr>
        <w:t>5. Retaliation: credible retaliation allegations receive accelerated triage because retaliation can destroy the evidence base of the underlying case. Interim protective steps remain governed by domestic law.</w:t>
      </w:r>
    </w:p>
    <w:p>
      <w:pPr>
        <w:pStyle w:val="OperativeClause"/>
      </w:pPr>
      <w:r>
        <w:rPr>
          <w:rFonts w:ascii="Calibri" w:hAnsi="Calibri"/>
          <w:sz w:val="20"/>
        </w:rPr>
        <w:t>6. Closure: a case is not closed merely because a document was issued. Closure requires evidence that ordered or agreed remediation occurred, subject to reasonable verification.</w:t>
      </w:r>
    </w:p>
    <w:p>
      <w:pPr>
        <w:pStyle w:val="Heading2"/>
        <w:spacing w:before="160" w:after="80"/>
      </w:pPr>
      <w:r>
        <w:rPr>
          <w:rFonts w:ascii="Calibri" w:hAnsi="Calibri"/>
          <w:b/>
          <w:color w:val="37474F"/>
          <w:sz w:val="23"/>
        </w:rPr>
        <w:t>Annex 6 — Environment</w:t>
      </w:r>
    </w:p>
    <w:p>
      <w:pPr>
        <w:pStyle w:val="OperativeClause"/>
      </w:pPr>
      <w:r>
        <w:rPr>
          <w:rFonts w:ascii="Calibri" w:hAnsi="Calibri"/>
          <w:sz w:val="20"/>
        </w:rPr>
        <w:t>1. Wildfire data: agree common metadata for fire perimeter, hotspot confidence, smoke plume, air quality, wind, road closure, aviation restriction, and resource-request information. Each feed shall state update frequency and uncertainty.</w:t>
      </w:r>
    </w:p>
    <w:p>
      <w:pPr>
        <w:pStyle w:val="OperativeClause"/>
      </w:pPr>
      <w:r>
        <w:rPr>
          <w:rFonts w:ascii="Calibri" w:hAnsi="Calibri"/>
          <w:sz w:val="20"/>
        </w:rPr>
        <w:t>2. Mutual aid: pre-clear customs procedures for aircraft parts, retardant equipment, protective gear, pumps, communications equipment, and emergency vehicles. Temporary admission records may be reconciled after the emergency.</w:t>
      </w:r>
    </w:p>
    <w:p>
      <w:pPr>
        <w:pStyle w:val="OperativeClause"/>
      </w:pPr>
      <w:r>
        <w:rPr>
          <w:rFonts w:ascii="Calibri" w:hAnsi="Calibri"/>
          <w:sz w:val="20"/>
        </w:rPr>
        <w:t>3. Forest projects: demonstration projects shall state ecological objective, community protection objective, treatment method, monitoring period, biomass disposition, and safeguards for habitat, water, and cultural values.</w:t>
      </w:r>
    </w:p>
    <w:p>
      <w:pPr>
        <w:pStyle w:val="OperativeClause"/>
      </w:pPr>
      <w:r>
        <w:rPr>
          <w:rFonts w:ascii="Calibri" w:hAnsi="Calibri"/>
          <w:sz w:val="20"/>
        </w:rPr>
        <w:t>4. Circular materials: publish evidence rules for recycled content, remanufactured status, chain of custody, and mass balance. Recognition should reduce duplicate testing without converting waste classification differences into automatic trade barriers.</w:t>
      </w:r>
    </w:p>
    <w:p>
      <w:pPr>
        <w:pStyle w:val="OperativeClause"/>
      </w:pPr>
      <w:r>
        <w:rPr>
          <w:rFonts w:ascii="Calibri" w:hAnsi="Calibri"/>
          <w:sz w:val="20"/>
        </w:rPr>
        <w:t>5. Mineral sustainability: develop comparable disclosure fields without pretending environmental laws are identical. A recognition decision may be partial and may identify additional evidence required for a particular use.</w:t>
      </w:r>
    </w:p>
    <w:p>
      <w:pPr>
        <w:pStyle w:val="OperativeClause"/>
      </w:pPr>
      <w:r>
        <w:rPr>
          <w:rFonts w:ascii="Calibri" w:hAnsi="Calibri"/>
          <w:sz w:val="20"/>
        </w:rPr>
        <w:t>6. Trade barrier review: when an environmental rule is challenged, reviewers shall examine comparators, objective, evidence, administration, alternatives, and cure. They shall not substitute their preferred environmental policy for the regulator's chosen level of protection.</w:t>
      </w:r>
    </w:p>
    <w:p>
      <w:pPr>
        <w:pStyle w:val="Heading2"/>
        <w:spacing w:before="160" w:after="80"/>
      </w:pPr>
      <w:r>
        <w:rPr>
          <w:rFonts w:ascii="Calibri" w:hAnsi="Calibri"/>
          <w:b/>
          <w:color w:val="37474F"/>
          <w:sz w:val="23"/>
        </w:rPr>
        <w:t>Annex 7 — Disputes</w:t>
      </w:r>
    </w:p>
    <w:p>
      <w:pPr>
        <w:pStyle w:val="OperativeClause"/>
      </w:pPr>
      <w:r>
        <w:rPr>
          <w:rFonts w:ascii="Calibri" w:hAnsi="Calibri"/>
          <w:sz w:val="20"/>
        </w:rPr>
        <w:t>1. Roster readiness: maintain enough panelists to form multiple simultaneous panels. Conflict disclosures are updated annually and again at selection. A panelist's nationality, expertise, and prior government service are handled under published eligibility and conflict rules rather than ad hoc objections.</w:t>
      </w:r>
    </w:p>
    <w:p>
      <w:pPr>
        <w:pStyle w:val="OperativeClause"/>
      </w:pPr>
      <w:r>
        <w:rPr>
          <w:rFonts w:ascii="Calibri" w:hAnsi="Calibri"/>
          <w:sz w:val="20"/>
        </w:rPr>
        <w:t>2. Urgency: define urgent cases narrowly, including perishable goods, immediate tariff application, border closure, critical digital outage, or rapidly accumulating commercial harm. Urgency compresses clocks but does not eliminate the right to know and answer the case.</w:t>
      </w:r>
    </w:p>
    <w:p>
      <w:pPr>
        <w:pStyle w:val="OperativeClause"/>
      </w:pPr>
      <w:r>
        <w:rPr>
          <w:rFonts w:ascii="Calibri" w:hAnsi="Calibri"/>
          <w:sz w:val="20"/>
        </w:rPr>
        <w:t>3. Record: establish page limits, evidence indexes, confidential annexes, translation rules, hearing technology, and public access procedures before disputes arise. Procedural infrastructure should not be invented during a crisis.</w:t>
      </w:r>
    </w:p>
    <w:p>
      <w:pPr>
        <w:pStyle w:val="OperativeClause"/>
      </w:pPr>
      <w:r>
        <w:rPr>
          <w:rFonts w:ascii="Calibri" w:hAnsi="Calibri"/>
          <w:sz w:val="20"/>
        </w:rPr>
        <w:t>4. Compliance: implementation plans shall identify the legal instrument, responsible authority, target date, and any interim relief. A compliance panel reviews what was actually done, not whether the responding Party used the complaining Party's preferred legislative technique.</w:t>
      </w:r>
    </w:p>
    <w:p>
      <w:pPr>
        <w:pStyle w:val="OperativeClause"/>
      </w:pPr>
      <w:r>
        <w:rPr>
          <w:rFonts w:ascii="Calibri" w:hAnsi="Calibri"/>
          <w:sz w:val="20"/>
        </w:rPr>
        <w:t>5. Remedy calibration: the complaining Party shall explain the trade effect and why the proposed suspension is proportionate. The responding Party may propose an alternative module or equivalent adjustment, but unrelated political leverage is discouraged.</w:t>
      </w:r>
    </w:p>
    <w:p>
      <w:pPr>
        <w:pStyle w:val="OperativeClause"/>
      </w:pPr>
      <w:r>
        <w:rPr>
          <w:rFonts w:ascii="Calibri" w:hAnsi="Calibri"/>
          <w:sz w:val="20"/>
        </w:rPr>
        <w:t>6. Earn-back: the Secretariat automatically calendars the restoration date when clean performance begins. A Party seeking to delay restoration bears the burden of identifying a new material failure before that date.</w:t>
      </w:r>
    </w:p>
    <w:p>
      <w:pPr>
        <w:pStyle w:val="Heading2"/>
        <w:spacing w:before="160" w:after="80"/>
      </w:pPr>
      <w:r>
        <w:rPr>
          <w:rFonts w:ascii="Calibri" w:hAnsi="Calibri"/>
          <w:b/>
          <w:color w:val="37474F"/>
          <w:sz w:val="23"/>
        </w:rPr>
        <w:t>Annex 8 — Market Access and Procurement</w:t>
      </w:r>
    </w:p>
    <w:p>
      <w:pPr>
        <w:pStyle w:val="OperativeClause"/>
      </w:pPr>
      <w:r>
        <w:rPr>
          <w:rFonts w:ascii="Calibri" w:hAnsi="Calibri"/>
          <w:sz w:val="20"/>
        </w:rPr>
        <w:t>1. Dairy dashboard: publish quota quantity, allocated quantity, returned quantity, reallocated quantity, applications, allocation by applicant class where lawful, fill rate, and material administrative changes. Commercially sensitive individual data may be aggregated.</w:t>
      </w:r>
    </w:p>
    <w:p>
      <w:pPr>
        <w:pStyle w:val="OperativeClause"/>
      </w:pPr>
      <w:r>
        <w:rPr>
          <w:rFonts w:ascii="Calibri" w:hAnsi="Calibri"/>
          <w:sz w:val="20"/>
        </w:rPr>
        <w:t>2. TRQ reallocation: return and reallocation dates shall leave enough time for contracting, production, shipping, customs clearance, and sale. A technically available allocation that cannot be commercially used before period-end is not treated as successful reallocation.</w:t>
      </w:r>
    </w:p>
    <w:p>
      <w:pPr>
        <w:pStyle w:val="OperativeClause"/>
      </w:pPr>
      <w:r>
        <w:rPr>
          <w:rFonts w:ascii="Calibri" w:hAnsi="Calibri"/>
          <w:sz w:val="20"/>
        </w:rPr>
        <w:t>3. Alcohol: participating liquor authorities shall distinguish political delisting from ordinary assortment management. Commercial performance rules may remain, but nationality-specific retaliation is routed into consultation and restoration of ordinary eligibility.</w:t>
      </w:r>
    </w:p>
    <w:p>
      <w:pPr>
        <w:pStyle w:val="OperativeClause"/>
      </w:pPr>
      <w:r>
        <w:rPr>
          <w:rFonts w:ascii="Calibri" w:hAnsi="Calibri"/>
          <w:sz w:val="20"/>
        </w:rPr>
        <w:t>4. Procurement schedules: every covered entity entry shall identify threshold, covered sectors, exclusions, domestic preference treatment, bid challenge route, and effective date. Subnational participation is explicit and voluntary where required by domestic constitutional structure.</w:t>
      </w:r>
    </w:p>
    <w:p>
      <w:pPr>
        <w:pStyle w:val="OperativeClause"/>
      </w:pPr>
      <w:r>
        <w:rPr>
          <w:rFonts w:ascii="Calibri" w:hAnsi="Calibri"/>
          <w:sz w:val="20"/>
        </w:rPr>
        <w:t>5. Preference transparency: solicitations shall disclose evaluation credits and domestic-content conditions in a place a bidder can reasonably find before bid preparation. Hidden preference rules are treated as an administrative defect even where the preference itself is lawful.</w:t>
      </w:r>
    </w:p>
    <w:p>
      <w:pPr>
        <w:pStyle w:val="OperativeClause"/>
      </w:pPr>
      <w:r>
        <w:rPr>
          <w:rFonts w:ascii="Calibri" w:hAnsi="Calibri"/>
          <w:sz w:val="20"/>
        </w:rPr>
        <w:t>6. Friction register: each agriculture or regulatory item receives an owner, next action, evidence gap, and target date. Items do not remain indefinitely as political talking points without a technical disposition.</w:t>
      </w:r>
    </w:p>
    <w:sectPr w:rsidR="00FC693F" w:rsidRPr="0006063C" w:rsidSect="00034616">
      <w:footerReference w:type="default" r:id="rId9"/>
      <w:headerReference w:type="default" r:id="rId10"/>
      <w:headerReference w:type="first" r:id="rId11"/>
      <w:footerReference w:type="first" r:id="rId12"/>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b/>
        <w:color w:val="78909C"/>
        <w:sz w:val="16"/>
      </w:rPr>
      <w:t xml:space="preserve">CUSMA-PLUS MODULAR MODERNIZATION PROTOCOL  •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b/>
        <w:color w:val="78909C"/>
        <w:sz w:val="16"/>
      </w:rPr>
      <w:t>CUSMA-PLUS MODULAR MODERNIZATION PROTOCOL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78"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rativeClause">
    <w:name w:val="Operative Clause"/>
    <w:pPr>
      <w:spacing w:after="88" w:line="278" w:lineRule="auto"/>
    </w:pPr>
    <w:rPr>
      <w:rFonts w:ascii="Aptos" w:hAnsi="Aptos"/>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CUSMA-Plus Modular Modernization Protocol</dc:title>
  <dc:subject>Eight Stand-Alone, Incorporable Annexes for Canada–United States–Mexico Trade Modernization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