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20" w:after="0"/>
      </w:pPr>
      <w:r>
        <w:rPr>
          <w:sz w:val="22"/>
          <w:szCs w:val="22"/>
          <w:rFonts w:ascii="Aptos" w:hAnsi="Aptos"/>
        </w:rPr>
        <w:t/>
      </w:r>
    </w:p>
    <w:p>
      <w:pPr>
        <w:jc w:val="center"/>
        <w:spacing w:before="0" w:after="160"/>
      </w:pPr>
      <w:r>
        <w:rPr>
          <w:b/>
          <w:sz w:val="32"/>
          <w:szCs w:val="32"/>
          <w:rFonts w:ascii="Aptos" w:hAnsi="Aptos"/>
        </w:rPr>
        <w:t>CANADA–UNITED STATES</w:t>
      </w:r>
    </w:p>
    <w:p>
      <w:pPr>
        <w:jc w:val="center"/>
        <w:spacing w:before="0" w:after="0"/>
      </w:pPr>
      <w:r>
        <w:rPr>
          <w:b/>
          <w:sz w:val="48"/>
          <w:szCs w:val="48"/>
          <w:rFonts w:ascii="Aptos" w:hAnsi="Aptos"/>
        </w:rPr>
        <w:t>COUNTER-TARIFF STANDSTILL AND</w:t>
      </w:r>
    </w:p>
    <w:p>
      <w:pPr>
        <w:jc w:val="center"/>
        <w:spacing w:before="0" w:after="280"/>
      </w:pPr>
      <w:r>
        <w:rPr>
          <w:b/>
          <w:sz w:val="48"/>
          <w:szCs w:val="48"/>
          <w:rFonts w:ascii="Aptos" w:hAnsi="Aptos"/>
        </w:rPr>
        <w:t>RECIPROCAL ABEYANCE PROTOCOL</w:t>
      </w:r>
    </w:p>
    <w:p>
      <w:pPr>
        <w:jc w:val="center"/>
        <w:spacing w:before="0" w:after="320"/>
      </w:pPr>
      <w:r>
        <w:rPr>
          <w:sz w:val="26"/>
          <w:szCs w:val="26"/>
          <w:rFonts w:ascii="Aptos" w:hAnsi="Aptos"/>
        </w:rPr>
        <w:t>A Temporary Framework for Reciprocal Tariff Abeyance, Verification, and Negotiating Continuity</w:t>
      </w:r>
    </w:p>
    <w:p>
      <w:pPr>
        <w:jc w:val="center"/>
        <w:spacing w:before="0" w:after="80"/>
      </w:pPr>
      <w:r>
        <w:rPr>
          <w:sz w:val="22"/>
          <w:szCs w:val="22"/>
          <w:rFonts w:ascii="Aptos" w:hAnsi="Aptos"/>
        </w:rPr>
        <w:t>Version 1.1 · September 2026</w:t>
      </w:r>
    </w:p>
    <w:p>
      <w:pPr>
        <w:jc w:val="center"/>
        <w:spacing w:before="0" w:after="360"/>
      </w:pPr>
      <w:r>
        <w:rPr>
          <w:b/>
          <w:sz w:val="22"/>
          <w:szCs w:val="22"/>
          <w:rFonts w:ascii="Aptos" w:hAnsi="Aptos"/>
        </w:rPr>
        <w:t>Emergency Negotiating Draft</w:t>
      </w:r>
    </w:p>
    <w:p>
      <w:pPr>
        <w:jc w:val="center"/>
        <w:spacing w:before="0" w:after="520"/>
      </w:pPr>
      <w:r>
        <w:rPr>
          <w:i/>
          <w:sz w:val="19"/>
          <w:szCs w:val="19"/>
          <w:rFonts w:ascii="Aptos" w:hAnsi="Aptos"/>
        </w:rPr>
        <w:t>Prepared as an independent public-domain negotiating instrument</w:t>
      </w:r>
    </w:p>
    <w:p>
      <w:pPr>
        <w:jc w:val="center"/>
        <w:spacing w:before="0" w:after="160"/>
      </w:pPr>
      <w:r>
        <w:rPr>
          <w:b/>
          <w:sz w:val="22"/>
          <w:szCs w:val="22"/>
          <w:rFonts w:ascii="Aptos" w:hAnsi="Aptos"/>
        </w:rPr>
        <w:t>CANADA  ·  THE UNITED STATES OF AMERICA</w:t>
      </w:r>
    </w:p>
    <w:p>
      <w:pPr>
        <w:jc w:val="center"/>
        <w:spacing w:before="0" w:after="120"/>
      </w:pPr>
      <w:r>
        <w:rPr>
          <w:sz w:val="19"/>
          <w:szCs w:val="19"/>
          <w:rFonts w:ascii="Aptos" w:hAnsi="Aptos"/>
        </w:rPr>
        <w:t>Twenty-One-Day Standstill · Simultaneous Activation · Cothrom Verification and Earn-Back</w:t>
      </w:r>
    </w:p>
    <w:p>
      <w:pPr>
        <w:jc w:val="center"/>
        <w:spacing w:before="0" w:after="0"/>
      </w:pPr>
      <w:r>
        <w:rPr>
          <w:i/>
          <w:sz w:val="19"/>
          <w:szCs w:val="19"/>
          <w:rFonts w:ascii="Aptos" w:hAnsi="Aptos"/>
        </w:rPr>
        <w:t>Without prejudice to CUSMA/USMCA, WTO rights, domestic law, and pending proceedings</w:t>
      </w:r>
    </w:p>
    <w:p>
      <w:r>
        <w:br w:type="page"/>
      </w:r>
    </w:p>
    <w:p>
      <w:pPr>
        <w:jc w:val="left"/>
        <w:spacing w:before="80" w:after="240"/>
      </w:pPr>
      <w:r>
        <w:rPr>
          <w:b/>
          <w:sz w:val="30"/>
          <w:szCs w:val="30"/>
          <w:rFonts w:ascii="Aptos" w:hAnsi="Aptos"/>
        </w:rPr>
        <w:t>TABLE OF CONTENTS</w:t>
      </w:r>
    </w:p>
    <w:p>
      <w:pPr>
        <w:spacing w:after="55"/>
        <w:tabs>
          <w:tab w:val="right" w:leader="dot" w:pos="9000"/>
        </w:tabs>
      </w:pPr>
      <w:r>
        <w:rPr>
          <w:rFonts w:ascii="Aptos" w:hAnsi="Aptos"/>
          <w:sz w:val="19"/>
        </w:rPr>
        <w:t>Drafting and Verification Note</w:t>
      </w:r>
      <w:r>
        <w:tab/>
      </w:r>
      <w:r>
        <w:rPr>
          <w:sz w:val="19"/>
        </w:rPr>
        <w:t>2</w:t>
      </w:r>
    </w:p>
    <w:p>
      <w:pPr>
        <w:spacing w:after="55"/>
        <w:tabs>
          <w:tab w:val="right" w:leader="dot" w:pos="9000"/>
        </w:tabs>
      </w:pPr>
      <w:r>
        <w:rPr>
          <w:rFonts w:ascii="Aptos" w:hAnsi="Aptos"/>
          <w:sz w:val="19"/>
        </w:rPr>
        <w:t>Preamble</w:t>
      </w:r>
      <w:r>
        <w:tab/>
      </w:r>
      <w:r>
        <w:rPr>
          <w:sz w:val="19"/>
        </w:rPr>
        <w:t>2</w:t>
      </w:r>
    </w:p>
    <w:p>
      <w:pPr>
        <w:spacing w:after="55"/>
        <w:tabs>
          <w:tab w:val="right" w:leader="dot" w:pos="9000"/>
        </w:tabs>
      </w:pPr>
      <w:r>
        <w:rPr>
          <w:rFonts w:ascii="Aptos" w:hAnsi="Aptos"/>
          <w:sz w:val="19"/>
        </w:rPr>
        <w:t>Article 1: Purpose, Scope, and Definitions</w:t>
      </w:r>
      <w:r>
        <w:tab/>
      </w:r>
      <w:r>
        <w:rPr>
          <w:sz w:val="19"/>
        </w:rPr>
        <w:t>3</w:t>
      </w:r>
    </w:p>
    <w:p>
      <w:pPr>
        <w:spacing w:after="55"/>
        <w:tabs>
          <w:tab w:val="right" w:leader="dot" w:pos="9000"/>
        </w:tabs>
      </w:pPr>
      <w:r>
        <w:rPr>
          <w:rFonts w:ascii="Aptos" w:hAnsi="Aptos"/>
          <w:sz w:val="19"/>
        </w:rPr>
        <w:t>Article 2: Reciprocal Abeyance of Covered Measures</w:t>
      </w:r>
      <w:r>
        <w:tab/>
      </w:r>
      <w:r>
        <w:rPr>
          <w:sz w:val="19"/>
        </w:rPr>
        <w:t>5</w:t>
      </w:r>
    </w:p>
    <w:p>
      <w:pPr>
        <w:spacing w:after="55"/>
        <w:tabs>
          <w:tab w:val="right" w:leader="dot" w:pos="9000"/>
        </w:tabs>
      </w:pPr>
      <w:r>
        <w:rPr>
          <w:rFonts w:ascii="Aptos" w:hAnsi="Aptos"/>
          <w:sz w:val="19"/>
        </w:rPr>
        <w:t>Article 3: Simultaneous Activation and Domestic Implementation</w:t>
      </w:r>
      <w:r>
        <w:tab/>
      </w:r>
      <w:r>
        <w:rPr>
          <w:sz w:val="19"/>
        </w:rPr>
        <w:t>6</w:t>
      </w:r>
    </w:p>
    <w:p>
      <w:pPr>
        <w:spacing w:after="55"/>
        <w:tabs>
          <w:tab w:val="right" w:leader="dot" w:pos="9000"/>
        </w:tabs>
      </w:pPr>
      <w:r>
        <w:rPr>
          <w:rFonts w:ascii="Aptos" w:hAnsi="Aptos"/>
          <w:sz w:val="19"/>
        </w:rPr>
        <w:t>Article 4: Preservation of Rights and Without-Prejudice Effect</w:t>
      </w:r>
      <w:r>
        <w:tab/>
      </w:r>
      <w:r>
        <w:rPr>
          <w:sz w:val="19"/>
        </w:rPr>
        <w:t>7</w:t>
      </w:r>
    </w:p>
    <w:p>
      <w:pPr>
        <w:spacing w:after="55"/>
        <w:tabs>
          <w:tab w:val="right" w:leader="dot" w:pos="9000"/>
        </w:tabs>
      </w:pPr>
      <w:r>
        <w:rPr>
          <w:rFonts w:ascii="Aptos" w:hAnsi="Aptos"/>
          <w:sz w:val="19"/>
        </w:rPr>
        <w:t>Article 5: No New Escalation and Permitted Administration</w:t>
      </w:r>
      <w:r>
        <w:tab/>
      </w:r>
      <w:r>
        <w:rPr>
          <w:sz w:val="19"/>
        </w:rPr>
        <w:t>8</w:t>
      </w:r>
    </w:p>
    <w:p>
      <w:pPr>
        <w:spacing w:after="55"/>
        <w:tabs>
          <w:tab w:val="right" w:leader="dot" w:pos="9000"/>
        </w:tabs>
      </w:pPr>
      <w:r>
        <w:rPr>
          <w:rFonts w:ascii="Aptos" w:hAnsi="Aptos"/>
          <w:sz w:val="19"/>
        </w:rPr>
        <w:t>Article 6: Implementation, Data, and Verification</w:t>
      </w:r>
      <w:r>
        <w:tab/>
      </w:r>
      <w:r>
        <w:rPr>
          <w:sz w:val="19"/>
        </w:rPr>
        <w:t>9</w:t>
      </w:r>
    </w:p>
    <w:p>
      <w:pPr>
        <w:spacing w:after="55"/>
        <w:tabs>
          <w:tab w:val="right" w:leader="dot" w:pos="9000"/>
        </w:tabs>
      </w:pPr>
      <w:r>
        <w:rPr>
          <w:rFonts w:ascii="Aptos" w:hAnsi="Aptos"/>
          <w:sz w:val="19"/>
        </w:rPr>
        <w:t>Article 7: Streamlined Cothrom Compliance, Cure, Step-Back, and Earn-Back</w:t>
      </w:r>
      <w:r>
        <w:tab/>
      </w:r>
      <w:r>
        <w:rPr>
          <w:sz w:val="19"/>
        </w:rPr>
        <w:t>10</w:t>
      </w:r>
    </w:p>
    <w:p>
      <w:pPr>
        <w:spacing w:after="55"/>
        <w:tabs>
          <w:tab w:val="right" w:leader="dot" w:pos="9000"/>
        </w:tabs>
      </w:pPr>
      <w:r>
        <w:rPr>
          <w:rFonts w:ascii="Aptos" w:hAnsi="Aptos"/>
          <w:sz w:val="19"/>
        </w:rPr>
        <w:t>Article 8: Negotiations During the Standstill</w:t>
      </w:r>
      <w:r>
        <w:tab/>
      </w:r>
      <w:r>
        <w:rPr>
          <w:sz w:val="19"/>
        </w:rPr>
        <w:t>12</w:t>
      </w:r>
    </w:p>
    <w:p>
      <w:pPr>
        <w:spacing w:after="55"/>
        <w:tabs>
          <w:tab w:val="right" w:leader="dot" w:pos="9000"/>
        </w:tabs>
      </w:pPr>
      <w:r>
        <w:rPr>
          <w:rFonts w:ascii="Aptos" w:hAnsi="Aptos"/>
          <w:sz w:val="19"/>
        </w:rPr>
        <w:t>Article 9: Humanitarian, Essential-Function, and Transit Safeguards</w:t>
      </w:r>
      <w:r>
        <w:tab/>
      </w:r>
      <w:r>
        <w:rPr>
          <w:sz w:val="19"/>
        </w:rPr>
        <w:t>13</w:t>
      </w:r>
    </w:p>
    <w:p>
      <w:pPr>
        <w:spacing w:after="55"/>
        <w:tabs>
          <w:tab w:val="right" w:leader="dot" w:pos="9000"/>
        </w:tabs>
      </w:pPr>
      <w:r>
        <w:rPr>
          <w:rFonts w:ascii="Aptos" w:hAnsi="Aptos"/>
          <w:sz w:val="19"/>
        </w:rPr>
        <w:t>Article 10: Relationship to CUSMA/USMCA and Other Arrangements</w:t>
      </w:r>
      <w:r>
        <w:tab/>
      </w:r>
      <w:r>
        <w:rPr>
          <w:sz w:val="19"/>
        </w:rPr>
        <w:t>14</w:t>
      </w:r>
    </w:p>
    <w:p>
      <w:pPr>
        <w:spacing w:after="55"/>
        <w:tabs>
          <w:tab w:val="right" w:leader="dot" w:pos="9000"/>
        </w:tabs>
      </w:pPr>
      <w:r>
        <w:rPr>
          <w:rFonts w:ascii="Aptos" w:hAnsi="Aptos"/>
          <w:sz w:val="19"/>
        </w:rPr>
        <w:t>Article 11: Duration, Extension, Expiry, and Termination</w:t>
      </w:r>
      <w:r>
        <w:tab/>
      </w:r>
      <w:r>
        <w:rPr>
          <w:sz w:val="19"/>
        </w:rPr>
        <w:t>14</w:t>
      </w:r>
    </w:p>
    <w:p>
      <w:pPr>
        <w:spacing w:after="55"/>
        <w:tabs>
          <w:tab w:val="right" w:leader="dot" w:pos="9000"/>
        </w:tabs>
      </w:pPr>
      <w:r>
        <w:rPr>
          <w:rFonts w:ascii="Aptos" w:hAnsi="Aptos"/>
          <w:sz w:val="19"/>
        </w:rPr>
        <w:t>Article 12: Final and Administrative Provisions</w:t>
      </w:r>
      <w:r>
        <w:tab/>
      </w:r>
      <w:r>
        <w:rPr>
          <w:sz w:val="19"/>
        </w:rPr>
        <w:t>16</w:t>
      </w:r>
    </w:p>
    <w:p>
      <w:pPr>
        <w:spacing w:after="55"/>
        <w:tabs>
          <w:tab w:val="right" w:leader="dot" w:pos="9000"/>
        </w:tabs>
      </w:pPr>
      <w:r>
        <w:rPr>
          <w:rFonts w:ascii="Aptos" w:hAnsi="Aptos"/>
          <w:sz w:val="19"/>
        </w:rPr>
        <w:t>Signature Block</w:t>
      </w:r>
      <w:r>
        <w:tab/>
      </w:r>
      <w:r>
        <w:rPr>
          <w:sz w:val="19"/>
        </w:rPr>
        <w:t>16</w:t>
      </w:r>
    </w:p>
    <w:p>
      <w:pPr>
        <w:spacing w:after="55"/>
        <w:tabs>
          <w:tab w:val="right" w:leader="dot" w:pos="9000"/>
        </w:tabs>
      </w:pPr>
      <w:r>
        <w:rPr>
          <w:rFonts w:ascii="Aptos" w:hAnsi="Aptos"/>
          <w:sz w:val="19"/>
        </w:rPr>
        <w:t>Annex I: Schedule of Covered Measures</w:t>
      </w:r>
      <w:r>
        <w:tab/>
      </w:r>
      <w:r>
        <w:rPr>
          <w:sz w:val="19"/>
        </w:rPr>
        <w:t>18</w:t>
      </w:r>
    </w:p>
    <w:p>
      <w:pPr>
        <w:spacing w:after="55"/>
        <w:tabs>
          <w:tab w:val="right" w:leader="dot" w:pos="9000"/>
        </w:tabs>
      </w:pPr>
      <w:r>
        <w:rPr>
          <w:rFonts w:ascii="Aptos" w:hAnsi="Aptos"/>
          <w:sz w:val="19"/>
        </w:rPr>
        <w:t>Annex II: Implementation and Customs Coordination</w:t>
      </w:r>
      <w:r>
        <w:tab/>
      </w:r>
      <w:r>
        <w:rPr>
          <w:sz w:val="19"/>
        </w:rPr>
        <w:t>19</w:t>
      </w:r>
    </w:p>
    <w:p>
      <w:pPr>
        <w:spacing w:after="55"/>
        <w:tabs>
          <w:tab w:val="right" w:leader="dot" w:pos="9000"/>
        </w:tabs>
      </w:pPr>
      <w:r>
        <w:rPr>
          <w:rFonts w:ascii="Aptos" w:hAnsi="Aptos"/>
          <w:sz w:val="19"/>
        </w:rPr>
        <w:t>Annex III: Cothrom Verification and Remedy Matrix</w:t>
      </w:r>
      <w:r>
        <w:tab/>
      </w:r>
      <w:r>
        <w:rPr>
          <w:sz w:val="19"/>
        </w:rPr>
        <w:t>20</w:t>
      </w:r>
    </w:p>
    <w:p>
      <w:pPr>
        <w:spacing w:after="55"/>
        <w:tabs>
          <w:tab w:val="right" w:leader="dot" w:pos="9000"/>
        </w:tabs>
      </w:pPr>
      <w:r>
        <w:rPr>
          <w:rFonts w:ascii="Aptos" w:hAnsi="Aptos"/>
          <w:sz w:val="19"/>
        </w:rPr>
        <w:t>Annex IV: Twenty-One-Day Negotiating Work Programme</w:t>
      </w:r>
      <w:r>
        <w:tab/>
      </w:r>
      <w:r>
        <w:rPr>
          <w:sz w:val="19"/>
        </w:rPr>
        <w:t>21</w:t>
      </w:r>
    </w:p>
    <w:p>
      <w:pPr>
        <w:spacing w:after="55"/>
        <w:tabs>
          <w:tab w:val="right" w:leader="dot" w:pos="9000"/>
        </w:tabs>
      </w:pPr>
      <w:r>
        <w:rPr>
          <w:rFonts w:ascii="Aptos" w:hAnsi="Aptos"/>
          <w:sz w:val="19"/>
        </w:rPr>
        <w:t>Annex V: Ministerial Decision and Activation Sheet</w:t>
      </w:r>
      <w:r>
        <w:tab/>
      </w:r>
      <w:r>
        <w:rPr>
          <w:sz w:val="19"/>
        </w:rPr>
        <w:t>22</w:t>
      </w:r>
    </w:p>
    <w:p>
      <w:pPr>
        <w:spacing w:after="55"/>
        <w:tabs>
          <w:tab w:val="right" w:leader="dot" w:pos="9000"/>
        </w:tabs>
      </w:pPr>
      <w:r>
        <w:rPr>
          <w:rFonts w:ascii="Aptos" w:hAnsi="Aptos"/>
          <w:sz w:val="19"/>
        </w:rPr>
        <w:t>Source and Legal-Verification Register</w:t>
      </w:r>
      <w:r>
        <w:tab/>
      </w:r>
      <w:r>
        <w:rPr>
          <w:sz w:val="19"/>
        </w:rPr>
        <w:t>23</w:t>
      </w:r>
    </w:p>
    <w:p>
      <w:r>
        <w:br w:type="page"/>
      </w:r>
    </w:p>
    <w:p>
      <w:pPr>
        <w:pStyle w:val="Heading1"/>
        <w:keepNext/>
        <w:widowControl/>
        <w:spacing w:before="240" w:after="120"/>
      </w:pPr>
      <w:r>
        <w:t>DRAFTING AND VERIFICATION NOTE</w:t>
      </w:r>
    </w:p>
    <w:p>
      <w:pPr>
        <w:widowControl/>
      </w:pPr>
      <w:r>
        <w:t>This negotiating draft draws its operational structure from the Canada–United States Emergency Tariff Standstill and Transition Protocol, the North American Emergency Tariff Standstill and Transition Protocol, the Cothrom Verification Method, and the Cothrom provisions contained in NAESTMA v9.7A. It deliberately narrows those larger architectures to the minimum machinery needed for a twenty-one-day bilateral standstill, including simultaneous activation, customs implementation, evidence-based verification, cure, proportionate step-back, earn-back, and cross-module firewalls. The draft does not reproduce or purport to amend CUSMA text, and any domestic legal authority identified or incorporated by reference must be confirmed by the competent government before execution.</w:t>
      </w:r>
    </w:p>
    <w:p>
      <w:pPr>
        <w:widowControl/>
      </w:pPr>
      <w:r>
        <w:t>The Canadian countermeasure schedule is incorporated by reference to the Department of Finance Canada authoritative list of United States products subject to counter-tariffs effective September 8, 2026, as updated August 26, 2026, including the stated rates of 15, 25, and 50 per cent. That official schedule states that the measures cover approximately C$27.6 billion in imports and that goods in transit on the effective date are excluded from the new countermeasures. The United States schedule is defined functionally in this draft because the final executing authority, proclamation numbers, exclusions, and customs instructions must be certified by the United States in its Activation Notice rather than guessed by the drafter.</w:t>
      </w:r>
    </w:p>
    <w:p>
      <w:pPr>
        <w:widowControl/>
      </w:pPr>
      <w:r>
        <w:t>No tariff classification, statutory citation, proclamation number, customs code, or administrative authority in this draft should be treated as a substitute for legal verification by the responsible government. Where an official schedule is incorporated by reference, the version and publication date identified in Annex I control unless the Parties jointly substitute a later official version before activation. If a discrepancy exists between an indicative description and the legally operative tariff item or government instrument, the legally operative item or instrument prevails for implementation purposes.</w:t>
      </w:r>
    </w:p>
    <w:p>
      <w:pPr>
        <w:pStyle w:val="Heading1"/>
        <w:keepNext/>
        <w:widowControl/>
        <w:spacing w:before="240" w:after="120"/>
      </w:pPr>
      <w:r>
        <w:t>PREAMBLE</w:t>
      </w:r>
    </w:p>
    <w:p>
      <w:pPr>
        <w:widowControl/>
      </w:pPr>
      <w:r>
        <w:t>Canada and the United States recognize that abrupt tariff escalation can impose immediate costs on workers, consumers, producers, integrated supply chains, and border communities before the underlying policy dispute can be resolved. The Parties therefore seek a temporary mechanism that prevents an additional escalation while preserving each Party’s sovereign authority, negotiating position, and legal claims. The Parties intend this Protocol to function as an emergency administrative standstill rather than as a comprehensive settlement of bilateral trade relations.</w:t>
      </w:r>
    </w:p>
    <w:p>
      <w:pPr>
        <w:widowControl/>
      </w:pPr>
      <w:r>
        <w:t>The Parties recognize that reciprocal action is essential to the political and operational durability of a standstill. Neither Party should be required to implement its abeyance materially earlier than the other Party, and neither Party should be required to rely solely on a political promise that has not been translated into executable domestic instructions. The Parties therefore establish a simultaneous activation procedure under which reciprocal obligations become operative only after both sides have certified the domestic steps necessary to give the pause practical effect.</w:t>
      </w:r>
    </w:p>
    <w:p>
      <w:pPr>
        <w:widowControl/>
      </w:pPr>
      <w:r>
        <w:t>The Parties further recognize that customs systems can produce clerical, coding, timing, classification, or systems errors even when governments are complying in good faith. Such errors should be corrected rapidly and should not become automatic triggers for renewed economic retaliation. The Parties therefore apply a streamlined Cothrom process that distinguishes technical error from material non-compliance, requires verified facts and human judgment, provides a defined opportunity to cure, and limits any step-back to the narrowest proportionate response.</w:t>
      </w:r>
    </w:p>
    <w:p>
      <w:pPr>
        <w:widowControl/>
      </w:pPr>
      <w:r>
        <w:t>The Parties affirm that the Protocol is without prejudice to CUSMA/USMCA, World Trade Organization rights and obligations, domestic law, pending proceedings, and the Parties’ respective positions concerning the legality or justification of the measures addressed. A decision to place a measure in abeyance is an act of temporary forbearance and does not constitute repeal, surrender, admission, acquiescence, or precedent. The Parties intend that failure to resolve one underlying dispute during the Standstill Period shall not itself constitute non-compliance with this Protocol.</w:t>
      </w:r>
    </w:p>
    <w:p>
      <w:pPr>
        <w:pStyle w:val="Heading1"/>
        <w:keepNext/>
        <w:widowControl/>
        <w:spacing w:before="240" w:after="120"/>
      </w:pPr>
      <w:r>
        <w:t>ARTICLE 1 — PURPOSE, SCOPE, AND DEFINITIONS</w:t>
      </w:r>
    </w:p>
    <w:p>
      <w:pPr>
        <w:pStyle w:val="Heading2"/>
        <w:keepNext/>
        <w:widowControl/>
        <w:spacing w:before="160" w:after="80"/>
      </w:pPr>
      <w:r>
        <w:t>1.1 Purpose</w:t>
      </w:r>
    </w:p>
    <w:p>
      <w:pPr>
        <w:widowControl/>
      </w:pPr>
      <w:r>
        <w:t>The purpose of this Protocol is to establish a temporary, reciprocal, verifiable, and reversible abeyance of the Covered Measures identified under Annex I. The Protocol creates a defined period in which neither Party collects or newly activates the Covered Measures assigned to it, while technical implementation is verified and negotiations continue on the underlying disputes. The Protocol shall be interpreted narrowly so that it performs that emergency function without creating obligations on unrelated sectors or requiring a final settlement.</w:t>
      </w:r>
    </w:p>
    <w:p>
      <w:pPr>
        <w:pStyle w:val="Heading2"/>
        <w:keepNext/>
        <w:widowControl/>
        <w:spacing w:before="160" w:after="80"/>
      </w:pPr>
      <w:r>
        <w:t>1.2 Scope</w:t>
      </w:r>
    </w:p>
    <w:p>
      <w:pPr>
        <w:widowControl/>
      </w:pPr>
      <w:r>
        <w:t>This Protocol applies only to a measure that is expressly identified as a Covered Measure in Annex I or is subsequently added through the written procedure in Article 2.5. A tariff, surtax, fee, quota, licensing condition, procurement restriction, regulatory measure, trade remedy, or other action that is not a Covered Measure remains outside the Protocol unless another provision expressly states otherwise. The exclusion of a measure from this Protocol neither validates nor invalidates that measure and does not prejudice any right to challenge, negotiate, modify, suspend, or maintain it under other applicable law.</w:t>
      </w:r>
    </w:p>
    <w:p>
      <w:pPr>
        <w:pStyle w:val="Heading2"/>
        <w:keepNext/>
        <w:widowControl/>
        <w:spacing w:before="160" w:after="80"/>
      </w:pPr>
      <w:r>
        <w:t>1.3 Covered Measure</w:t>
      </w:r>
    </w:p>
    <w:p>
      <w:pPr>
        <w:widowControl/>
      </w:pPr>
      <w:r>
        <w:t>“Covered Measure” means a tariff, surtax, additional duty, or other border measure that a Party has expressly designated for temporary abeyance under Annex I and its Activation Notice. A designation shall identify the controlling legal or administrative instrument, the goods or tariff lines affected, the rate or treatment being held in abeyance, and the competent implementing authority to the extent those elements are available. A measure is not covered merely because it is politically related to the same dispute, and ambiguity shall be resolved against automatic expansion of the Protocol’s scope.</w:t>
      </w:r>
    </w:p>
    <w:p>
      <w:pPr>
        <w:pStyle w:val="Heading2"/>
        <w:keepNext/>
        <w:widowControl/>
        <w:spacing w:before="160" w:after="80"/>
      </w:pPr>
      <w:r>
        <w:t>1.4 Abeyance</w:t>
      </w:r>
    </w:p>
    <w:p>
      <w:pPr>
        <w:widowControl/>
      </w:pPr>
      <w:r>
        <w:t>“Abeyance” means temporary non-application or non-collection of a Covered Measure while preserving the underlying legal instrument or authority to the extent permitted by the Party’s domestic law. Abeyance does not require permanent repeal, withdrawal, rescission, or an admission that the Covered Measure lacked legal basis. Each Party shall implement abeyance through the domestic instrument and customs instructions that its competent authorities determine are sufficient to prevent collection during the Standstill Period.</w:t>
      </w:r>
    </w:p>
    <w:p>
      <w:pPr>
        <w:pStyle w:val="Heading2"/>
        <w:keepNext/>
        <w:widowControl/>
        <w:spacing w:before="160" w:after="80"/>
      </w:pPr>
      <w:r>
        <w:t>1.5 Standstill Period and Effective Time</w:t>
      </w:r>
    </w:p>
    <w:p>
      <w:pPr>
        <w:widowControl/>
      </w:pPr>
      <w:r>
        <w:t>“Standstill Period” means the twenty-one-day period beginning at the Effective Time established under Article 3.4, unless extended under Article 11.2 or replaced by a successor arrangement. “Effective Time” means the single date and time jointly recorded in the reciprocal Activation Notices after each Party has certified that its implementing instructions are ready to operate. No reciprocal duty of non-collection under Article 2 arises before the Effective Time, although either Party may voluntarily take earlier relief without altering the other Party’s activation condition.</w:t>
      </w:r>
    </w:p>
    <w:p>
      <w:pPr>
        <w:pStyle w:val="Heading2"/>
        <w:keepNext/>
        <w:widowControl/>
        <w:spacing w:before="160" w:after="80"/>
      </w:pPr>
      <w:r>
        <w:t>1.6 Implementing Authority</w:t>
      </w:r>
    </w:p>
    <w:p>
      <w:pPr>
        <w:widowControl/>
      </w:pPr>
      <w:r>
        <w:t>“Implementing Authority” means the ministry, department, agency, customs administration, or other governmental body designated by a Party to give practical effect to a Covered Measure’s abeyance. Each Party remains solely responsible for determining the sufficiency of its domestic authority and for identifying the instrument needed to implement the Protocol within its legal system. The other Party may request evidence that implementation has occurred but shall not use this Protocol to adjudicate the constitutional allocation of authority within the other Party.</w:t>
      </w:r>
    </w:p>
    <w:p>
      <w:pPr>
        <w:pStyle w:val="Heading2"/>
        <w:keepNext/>
        <w:widowControl/>
        <w:spacing w:before="160" w:after="80"/>
      </w:pPr>
      <w:r>
        <w:t>1.7 Technical or Administrative Error</w:t>
      </w:r>
    </w:p>
    <w:p>
      <w:pPr>
        <w:widowControl/>
      </w:pPr>
      <w:r>
        <w:t>“Technical or Administrative Error” means an isolated or inadvertent failure in coding, classification, data transmission, entry processing, refund processing, timing, publication, or comparable administration that is inconsistent with the intended abeyance but does not demonstrate a governmental decision to repudiate or materially circumvent the Protocol. Repeated errors may cease to qualify as technical where objective evidence shows that they are systematic, knowingly uncorrected, or commercially material. Classification shall be based on verified facts, actual commercial effect, correction efforts, and evidence of intent rather than on the label assigned by either Party.</w:t>
      </w:r>
    </w:p>
    <w:p>
      <w:pPr>
        <w:pStyle w:val="Heading2"/>
        <w:keepNext/>
        <w:widowControl/>
        <w:spacing w:before="160" w:after="80"/>
      </w:pPr>
      <w:r>
        <w:t>1.8 Material Non-Compliance</w:t>
      </w:r>
    </w:p>
    <w:p>
      <w:pPr>
        <w:widowControl/>
      </w:pPr>
      <w:r>
        <w:t>“Material Non-Compliance” means a verified failure to maintain the abeyance of a Covered Measure that has meaningful commercial effect and is not corrected within the applicable cure period. Material Non-Compliance may include deliberate collection, an official instruction inconsistent with the standstill, refusal to correct a known systemic collection problem, or use of a substantially equivalent replacement measure for the purpose of circumventing Article 2.4. A disagreement about the underlying trade negotiation, political rhetoric, or an unverified allegation does not by itself constitute Material Non-Compliance.</w:t>
      </w:r>
    </w:p>
    <w:p>
      <w:pPr>
        <w:pStyle w:val="Heading2"/>
        <w:keepNext/>
        <w:widowControl/>
        <w:spacing w:before="160" w:after="80"/>
      </w:pPr>
      <w:r>
        <w:t>1.9 Substantially Equivalent Measure</w:t>
      </w:r>
    </w:p>
    <w:p>
      <w:pPr>
        <w:widowControl/>
      </w:pPr>
      <w:r>
        <w:t>“Substantially Equivalent Measure” means a new Canada-specific or United States-specific border charge or restriction that, in design and practical effect, replaces a Covered Measure and substantially recreates the burden that the Party agreed to hold in abeyance. The determination shall consider product coverage, rate or financial burden, timing, stated purpose, affected trade, exemptions, and whether the new measure would have been unnecessary but for the standstill. Ordinary measures of general application, legitimate health and safety actions, and trade remedies administered under pre-existing investigations are not substantially equivalent merely because they affect bilateral commerce.</w:t>
      </w:r>
    </w:p>
    <w:p>
      <w:pPr>
        <w:pStyle w:val="Heading2"/>
        <w:keepNext/>
        <w:widowControl/>
        <w:spacing w:before="160" w:after="80"/>
      </w:pPr>
      <w:r>
        <w:t>1.10 Cothrom Review</w:t>
      </w:r>
    </w:p>
    <w:p>
      <w:pPr>
        <w:widowControl/>
      </w:pPr>
      <w:r>
        <w:t>“Cothrom Review” means the expedited compliance process in Article 7 through which the Parties verify an alleged discrepancy, distinguish technical error from material breach, identify the narrowest sufficient cure, and authorize only proportionate and reversible responses. The process is reciprocal and applies materially equivalent evidentiary burdens, clocks, and opportunities to both Parties. Automated systems may flag anomalies or assemble records, but no disruptive remedy may be activated without human authorization by the designated officials.</w:t>
      </w:r>
    </w:p>
    <w:p>
      <w:pPr>
        <w:pStyle w:val="Heading1"/>
        <w:keepNext/>
        <w:widowControl/>
        <w:spacing w:before="240" w:after="120"/>
      </w:pPr>
      <w:r>
        <w:t>ARTICLE 2 — RECIPROCAL ABEYANCE OF COVERED MEASURES</w:t>
      </w:r>
    </w:p>
    <w:p>
      <w:pPr>
        <w:pStyle w:val="Heading2"/>
        <w:keepNext/>
        <w:widowControl/>
        <w:spacing w:before="160" w:after="80"/>
      </w:pPr>
      <w:r>
        <w:t>2.1 Canadian Abeyance</w:t>
      </w:r>
    </w:p>
    <w:p>
      <w:pPr>
        <w:widowControl/>
      </w:pPr>
      <w:r>
        <w:t>At the Effective Time, Canada shall place the Canadian Covered Measures identified in Annex I, Part A, into abeyance for the duration of the Standstill Period. Canada shall direct the Canada Border Services Agency and any other competent authority identified in its Activation Notice not to assess or collect the abeyant additional duties on covered entries during that period, subject to the entry-date and transit rules in Annex II. Canada may preserve the underlying orders, statutory authority, contingency preparations, and legal positions provided that they are not used to collect a Covered Measure during the standstill.</w:t>
      </w:r>
    </w:p>
    <w:p>
      <w:pPr>
        <w:pStyle w:val="Heading2"/>
        <w:keepNext/>
        <w:widowControl/>
        <w:spacing w:before="160" w:after="80"/>
      </w:pPr>
      <w:r>
        <w:t>2.2 United States Abeyance</w:t>
      </w:r>
    </w:p>
    <w:p>
      <w:pPr>
        <w:widowControl/>
      </w:pPr>
      <w:r>
        <w:t>At the Effective Time, the United States shall place the United States Covered Measures identified in Annex I, Part B, into abeyance for the duration of the Standstill Period. The United States shall direct U.S. Customs and Border Protection and any other competent authority identified in its Activation Notice not to assess or collect the abeyant additional duties on covered entries during that period, subject to the entry-date and transit rules in Annex II. The United States may preserve the underlying proclamations, orders, statutory authority, contingency preparations, and legal positions provided that they are not used to collect a Covered Measure during the standstill.</w:t>
      </w:r>
    </w:p>
    <w:p>
      <w:pPr>
        <w:pStyle w:val="Heading2"/>
        <w:keepNext/>
        <w:widowControl/>
        <w:spacing w:before="160" w:after="80"/>
      </w:pPr>
      <w:r>
        <w:t>2.3 Operational Effect</w:t>
      </w:r>
    </w:p>
    <w:p>
      <w:pPr>
        <w:widowControl/>
      </w:pPr>
      <w:r>
        <w:t>A Covered Measure scheduled to begin after signature but before or during the Standstill Period shall not become collectible while its abeyance remains in force. A Covered Measure already being collected may be included only where Annex I expressly identifies the existing measure and the Activation Notice confirms the domestic action necessary to suspend or remit collection. No importer shall be required to rely solely on a later discretionary refund where the implementing authority can reasonably program or instruct prospective non-collection at entry.</w:t>
      </w:r>
    </w:p>
    <w:p>
      <w:pPr>
        <w:pStyle w:val="Heading2"/>
        <w:keepNext/>
        <w:widowControl/>
        <w:spacing w:before="160" w:after="80"/>
      </w:pPr>
      <w:r>
        <w:t>2.4 No Substitution or Circumvention</w:t>
      </w:r>
    </w:p>
    <w:p>
      <w:pPr>
        <w:widowControl/>
      </w:pPr>
      <w:r>
        <w:t>Neither Party shall defeat the purpose of an agreed abeyance by imposing a Substantially Equivalent Measure directed at substantially the same bilateral trade during the Standstill Period. If a new measure is alleged to be substantially equivalent, the complaining Party shall use Article 7 before taking a responsive step-back, except where the other Party has formally repudiated the Protocol. The prohibition does not prevent ordinary customs enforcement, neutral measures of general application, or actions expressly excluded under Article 5.3.</w:t>
      </w:r>
    </w:p>
    <w:p>
      <w:pPr>
        <w:pStyle w:val="Heading2"/>
        <w:keepNext/>
        <w:widowControl/>
        <w:spacing w:before="160" w:after="80"/>
      </w:pPr>
      <w:r>
        <w:t>2.5 Addition or Removal of Covered Measures</w:t>
      </w:r>
    </w:p>
    <w:p>
      <w:pPr>
        <w:widowControl/>
      </w:pPr>
      <w:r>
        <w:t>The Parties may add a measure to Annex I, remove a measure by mutual consent, or deepen the degree of abeyance through an exchange of signed written notices by their designated senior officials. The notices shall identify the measure, implementation method, effective time, and any special transition treatment, and they shall become part of Annex I without requiring renegotiation of the remainder of the Protocol. A unilateral notice may clarify a Party’s own implementation details but may not enlarge the other Party’s obligations without that Party’s written consent.</w:t>
      </w:r>
    </w:p>
    <w:p>
      <w:pPr>
        <w:pStyle w:val="Heading2"/>
        <w:keepNext/>
        <w:widowControl/>
        <w:spacing w:before="160" w:after="80"/>
      </w:pPr>
      <w:r>
        <w:t>2.6 No Uncompensated Front-Loading</w:t>
      </w:r>
    </w:p>
    <w:p>
      <w:pPr>
        <w:widowControl/>
      </w:pPr>
      <w:r>
        <w:t>Neither Party shall be required to place a reciprocal Covered Measure into abeyance materially before the paired relief identified in the Activation Record is ready to take effect, unless that Party expressly elects to do so. Where implementation requires different technical lead times, the Parties shall use synchronized effective times, temporary non-collection instructions, or another mutually accepted bridge so that commercial exposure is not materially one-sided. A voluntary early action shall not create a legal entitlement to additional concessions or alter the agreed equivalence of the standstill.</w:t>
      </w:r>
    </w:p>
    <w:p>
      <w:pPr>
        <w:pStyle w:val="Heading1"/>
        <w:keepNext/>
        <w:widowControl/>
        <w:spacing w:before="240" w:after="120"/>
      </w:pPr>
      <w:r>
        <w:t>ARTICLE 3 — SIMULTANEOUS ACTIVATION AND DOMESTIC IMPLEMENTATION</w:t>
      </w:r>
    </w:p>
    <w:p>
      <w:pPr>
        <w:pStyle w:val="Heading2"/>
        <w:keepNext/>
        <w:widowControl/>
        <w:spacing w:before="160" w:after="80"/>
      </w:pPr>
      <w:r>
        <w:t>3.1 Pre-Activation Readiness</w:t>
      </w:r>
    </w:p>
    <w:p>
      <w:pPr>
        <w:widowControl/>
      </w:pPr>
      <w:r>
        <w:t>Before the Effective Time, each Party shall complete or place in executable form the domestic administrative steps necessary to implement its side of the standstill. Those steps should include the controlling executive or ministerial instrument where required, customs instructions, electronic system programming or manual override procedures, contact designations, and a method for correcting erroneous collections. A Party may certify readiness where a legally sufficient temporary instruction is operational even if a later publication, coding refinement, or housekeeping action remains to be completed.</w:t>
      </w:r>
    </w:p>
    <w:p>
      <w:pPr>
        <w:pStyle w:val="Heading2"/>
        <w:keepNext/>
        <w:widowControl/>
        <w:spacing w:before="160" w:after="80"/>
      </w:pPr>
      <w:r>
        <w:t>3.2 Activation Notice</w:t>
      </w:r>
    </w:p>
    <w:p>
      <w:pPr>
        <w:widowControl/>
      </w:pPr>
      <w:r>
        <w:t>Each Party shall transmit an Activation Notice signed or authenticated by its designated senior official. The notice shall identify the Covered Measures being placed in abeyance, the domestic implementing instruments, the responsible customs or border authority, the proposed Effective Time, and the operational contact capable of resolving an implementation failure. The notice shall also certify that the Party has authority, subject to its own law, to carry out the actions it is undertaking and that the identified customs instructions are effective or will become effective at the common time.</w:t>
      </w:r>
    </w:p>
    <w:p>
      <w:pPr>
        <w:pStyle w:val="Heading2"/>
        <w:keepNext/>
        <w:widowControl/>
        <w:spacing w:before="160" w:after="80"/>
      </w:pPr>
      <w:r>
        <w:t>3.3 Reciprocal Condition</w:t>
      </w:r>
    </w:p>
    <w:p>
      <w:pPr>
        <w:widowControl/>
      </w:pPr>
      <w:r>
        <w:t>No obligation under Article 2.1 or Article 2.2 becomes reciprocally binding until both Activation Notices have been exchanged and the Parties have confirmed that their identified relief can operate at the same Effective Time. If one notice is incomplete, the receiving Party shall identify the missing operational element promptly and the Parties shall attempt to cure the deficiency without reopening settled provisions. Neither Party may treat the other as non-compliant for failing to activate before the reciprocal condition has been satisfied.</w:t>
      </w:r>
    </w:p>
    <w:p>
      <w:pPr>
        <w:pStyle w:val="Heading2"/>
        <w:keepNext/>
        <w:widowControl/>
        <w:spacing w:before="160" w:after="80"/>
      </w:pPr>
      <w:r>
        <w:t>3.4 Effective Time</w:t>
      </w:r>
    </w:p>
    <w:p>
      <w:pPr>
        <w:widowControl/>
      </w:pPr>
      <w:r>
        <w:t>The designated senior officials shall record one common Effective Time in an Activation Record, using Eastern Time unless they expressly choose another reference. The Effective Time should be selected to minimize customs ambiguity and, where practicable, coincide with the beginning of a customs day or another administratively clean boundary. The Activation Record may be executed electronically and shall be circulated immediately to the designated customs contacts and other implementing authorities.</w:t>
      </w:r>
    </w:p>
    <w:p>
      <w:pPr>
        <w:pStyle w:val="Heading2"/>
        <w:keepNext/>
        <w:widowControl/>
        <w:spacing w:before="160" w:after="80"/>
      </w:pPr>
      <w:r>
        <w:t>3.5 Confirmation After Activation</w:t>
      </w:r>
    </w:p>
    <w:p>
      <w:pPr>
        <w:widowControl/>
      </w:pPr>
      <w:r>
        <w:t>Within six hours after the Effective Time, each Party’s customs contact shall confirm that the relevant non-collection instructions are operating and shall report any known systems or entry-processing anomaly. Within twenty-four hours, the designated technical officials shall exchange a short implementation confirmation identifying any erroneous collections, coding failures, publication delays, or interpretive questions requiring correction. A reported technical problem that is being actively corrected under Article 7.2 shall not be treated as evidence of bad faith.</w:t>
      </w:r>
    </w:p>
    <w:p>
      <w:pPr>
        <w:pStyle w:val="Heading2"/>
        <w:keepNext/>
        <w:widowControl/>
        <w:spacing w:before="160" w:after="80"/>
      </w:pPr>
      <w:r>
        <w:t>3.6 Failure to Activate</w:t>
      </w:r>
    </w:p>
    <w:p>
      <w:pPr>
        <w:widowControl/>
      </w:pPr>
      <w:r>
        <w:t>If either Party cannot complete the actions necessary for simultaneous activation, the Protocol remains signed but dormant unless the Parties agree to a revised Effective Time. The Party experiencing the delay shall provide the most specific explanation reasonably available, identify the corrective action underway, and propose a new activation time as soon as practicable. No tariff relief is deemed waived, surrendered, or owed merely because the Protocol was signed but never activated.</w:t>
      </w:r>
    </w:p>
    <w:p>
      <w:pPr>
        <w:pStyle w:val="Heading1"/>
        <w:keepNext/>
        <w:widowControl/>
        <w:spacing w:before="240" w:after="120"/>
      </w:pPr>
      <w:r>
        <w:t>ARTICLE 4 — PRESERVATION OF RIGHTS AND WITHOUT-PREJUDICE EFFECT</w:t>
      </w:r>
    </w:p>
    <w:p>
      <w:pPr>
        <w:pStyle w:val="Heading2"/>
        <w:keepNext/>
        <w:widowControl/>
        <w:spacing w:before="160" w:after="80"/>
      </w:pPr>
      <w:r>
        <w:t>4.1 No Waiver</w:t>
      </w:r>
    </w:p>
    <w:p>
      <w:pPr>
        <w:widowControl/>
      </w:pPr>
      <w:r>
        <w:t>Temporary abeyance is an act of forbearance and does not waive any right, claim, defense, objection, jurisdictional argument, or remedy available under domestic or international law. A Party may continue to maintain that a Covered Measure was lawful, unlawful, justified, unjustified, consistent, or inconsistent with CUSMA/USMCA or another applicable agreement. No tribunal, panel, court, agency, or negotiating forum should infer acquiescence solely from participation in this Protocol.</w:t>
      </w:r>
    </w:p>
    <w:p>
      <w:pPr>
        <w:pStyle w:val="Heading2"/>
        <w:keepNext/>
        <w:widowControl/>
        <w:spacing w:before="160" w:after="80"/>
      </w:pPr>
      <w:r>
        <w:t>4.2 No Admission</w:t>
      </w:r>
    </w:p>
    <w:p>
      <w:pPr>
        <w:widowControl/>
      </w:pPr>
      <w:r>
        <w:t>Nothing in this Protocol constitutes an admission concerning causation, injury, national security, emergency conditions, discrimination, retaliation, entitlement to countermeasures, or the merits of any underlying grievance. The terminology used for administrative convenience does not determine the legal characterization of a measure outside this Protocol. Each Party expressly reserves its position on the legal basis, scope, and consequences of every Covered Measure.</w:t>
      </w:r>
    </w:p>
    <w:p>
      <w:pPr>
        <w:pStyle w:val="Heading2"/>
        <w:keepNext/>
        <w:widowControl/>
        <w:spacing w:before="160" w:after="80"/>
      </w:pPr>
      <w:r>
        <w:t>4.3 No Precedent</w:t>
      </w:r>
    </w:p>
    <w:p>
      <w:pPr>
        <w:widowControl/>
      </w:pPr>
      <w:r>
        <w:t>This Protocol is a temporary emergency instrument and does not establish a precedent requiring either Party to use the same mechanism in a future dispute. The duration, coverage, evidentiary standards, and Cothrom clocks reflect the exceptional need for rapid de-escalation and may be modified in any successor arrangement. Neither Party may rely on this Protocol alone as evidence that a particular tariff rate, sectoral concession, or negotiating structure is appropriate in another context.</w:t>
      </w:r>
    </w:p>
    <w:p>
      <w:pPr>
        <w:pStyle w:val="Heading2"/>
        <w:keepNext/>
        <w:widowControl/>
        <w:spacing w:before="160" w:after="80"/>
      </w:pPr>
      <w:r>
        <w:t>4.4 Existing Proceedings and Negotiations</w:t>
      </w:r>
    </w:p>
    <w:p>
      <w:pPr>
        <w:widowControl/>
      </w:pPr>
      <w:r>
        <w:t>Existing consultations, administrative proceedings, judicial actions, CUSMA/USMCA processes, WTO matters, or domestic reviews may continue unless the competent participants separately agree to suspend them. The existence or continuation of such a proceeding does not breach the standstill so long as it does not cause collection or application of a Covered Measure contrary to Article 2. A settlement reached in another forum may be implemented through Article 2.5 or a successor instrument without reopening unrelated provisions.</w:t>
      </w:r>
    </w:p>
    <w:p>
      <w:pPr>
        <w:pStyle w:val="Heading2"/>
        <w:keepNext/>
        <w:widowControl/>
        <w:spacing w:before="160" w:after="80"/>
      </w:pPr>
      <w:r>
        <w:t>4.5 Preservation of Domestic Authority</w:t>
      </w:r>
    </w:p>
    <w:p>
      <w:pPr>
        <w:widowControl/>
      </w:pPr>
      <w:r>
        <w:t>Nothing in this Protocol requires a Party to legislate new authority or to represent that an executive or administrative action can accomplish more than its domestic law permits. Each Party shall select the lawful instrument it considers sufficient to implement the abeyance and shall remain responsible for the domestic validity of that choice. If a domestic legal development materially impairs implementation, the affected Party shall notify the other promptly and use Article 7 to seek the narrowest continuity solution before any broader step-back.</w:t>
      </w:r>
    </w:p>
    <w:p>
      <w:pPr>
        <w:pStyle w:val="Heading1"/>
        <w:keepNext/>
        <w:widowControl/>
        <w:spacing w:before="240" w:after="120"/>
      </w:pPr>
      <w:r>
        <w:t>ARTICLE 5 — NO NEW ESCALATION AND PERMITTED ADMINISTRATION</w:t>
      </w:r>
    </w:p>
    <w:p>
      <w:pPr>
        <w:pStyle w:val="Heading2"/>
        <w:keepNext/>
        <w:widowControl/>
        <w:spacing w:before="160" w:after="80"/>
      </w:pPr>
      <w:r>
        <w:t>5.1 Standstill Against Replacement Measures</w:t>
      </w:r>
    </w:p>
    <w:p>
      <w:pPr>
        <w:widowControl/>
      </w:pPr>
      <w:r>
        <w:t>During the Standstill Period, neither Party shall impose a new nationality-specific tariff, surtax, fee, or equivalent border charge whose principal practical function is to replace a Covered Measure that has been placed in abeyance. A measure is not prohibited merely because it affects the same industry if it arises from an independent legal process, applies on materially neutral terms, and is not designed to recreate the suspended burden. Disputes under this paragraph shall be evaluated through the anti-circumvention factors in Article 1.9 and the Cothrom process in Article 7.</w:t>
      </w:r>
    </w:p>
    <w:p>
      <w:pPr>
        <w:pStyle w:val="Heading2"/>
        <w:keepNext/>
        <w:widowControl/>
        <w:spacing w:before="160" w:after="80"/>
      </w:pPr>
      <w:r>
        <w:t>5.2 Emergency Action</w:t>
      </w:r>
    </w:p>
    <w:p>
      <w:pPr>
        <w:widowControl/>
      </w:pPr>
      <w:r>
        <w:t>A Party may take a genuinely necessary emergency action to protect health, safety, essential security, financial stability, or another compelling public interest where delay would create material risk and the action is permitted by applicable law. Where practicable, the Party shall provide advance notice describing the objective, expected duration, product scope, and reason a less trade-restrictive response is not reasonably sufficient, and where advance notice is impracticable it shall provide notice promptly after adoption. Emergency action remains subject to good-faith consultation and proportionality review, but this Protocol does not purport to extinguish lawful emergency authority.</w:t>
      </w:r>
    </w:p>
    <w:p>
      <w:pPr>
        <w:pStyle w:val="Heading2"/>
        <w:keepNext/>
        <w:widowControl/>
        <w:spacing w:before="160" w:after="80"/>
      </w:pPr>
      <w:r>
        <w:t>5.3 Ordinary Trade Administration</w:t>
      </w:r>
    </w:p>
    <w:p>
      <w:pPr>
        <w:widowControl/>
      </w:pPr>
      <w:r>
        <w:t>This Protocol does not automatically suspend anti-dumping or countervailing duty proceedings, ordinary customs enforcement, origin verification, sanctions unrelated to the covered bilateral tariff dispute, health and safety regulation, or measures required by a final court order. Such administration shall not be manipulated for the purpose of recreating a Covered Measure under another label, and a Party alleging such manipulation bears the initial burden of identifying objective evidence of circumvention. The Parties should resolve close cases through technical consultation before treating ordinary administration as a material breach.</w:t>
      </w:r>
    </w:p>
    <w:p>
      <w:pPr>
        <w:pStyle w:val="Heading2"/>
        <w:keepNext/>
        <w:widowControl/>
        <w:spacing w:before="160" w:after="80"/>
      </w:pPr>
      <w:r>
        <w:t>5.4 No Retaliation for Negotiating Pace</w:t>
      </w:r>
    </w:p>
    <w:p>
      <w:pPr>
        <w:widowControl/>
      </w:pPr>
      <w:r>
        <w:t>A Party shall not activate a Covered Measure or impose a Substantially Equivalent Measure merely because negotiations under Article 8 are slow, incomplete, politically difficult, or unsuccessful. Compliance with the standstill is judged against the operative obligations of this Protocol rather than against satisfaction with bargaining outcomes. The Parties may terminate under Article 11 if the arrangement no longer serves their interests, but termination rather than covert circumvention is the agreed exit mechanism.</w:t>
      </w:r>
    </w:p>
    <w:p>
      <w:pPr>
        <w:pStyle w:val="Heading1"/>
        <w:keepNext/>
        <w:widowControl/>
        <w:spacing w:before="240" w:after="120"/>
      </w:pPr>
      <w:r>
        <w:t>ARTICLE 6 — IMPLEMENTATION, DATA, AND VERIFICATION</w:t>
      </w:r>
    </w:p>
    <w:p>
      <w:pPr>
        <w:pStyle w:val="Heading2"/>
        <w:keepNext/>
        <w:widowControl/>
        <w:spacing w:before="160" w:after="80"/>
      </w:pPr>
      <w:r>
        <w:t>6.1 Designated Officials</w:t>
      </w:r>
    </w:p>
    <w:p>
      <w:pPr>
        <w:widowControl/>
      </w:pPr>
      <w:r>
        <w:t>Each Party shall designate one senior policy official, one customs or border implementation official, and at least one alternate for the duration of the Protocol. The officials shall be empowered to exchange operational confirmations, request records, agree technical corrections, and elevate unresolved matters to the competent minister or principal without creating a new permanent institution. Contact information shall be recorded in Annex II and may be updated administratively without formal amendment.</w:t>
      </w:r>
    </w:p>
    <w:p>
      <w:pPr>
        <w:pStyle w:val="Heading2"/>
        <w:keepNext/>
        <w:widowControl/>
        <w:spacing w:before="160" w:after="80"/>
      </w:pPr>
      <w:r>
        <w:t>6.2 Verification Standard</w:t>
      </w:r>
    </w:p>
    <w:p>
      <w:pPr>
        <w:widowControl/>
      </w:pPr>
      <w:r>
        <w:t>Verification shall be limited to information reasonably necessary to determine whether a Covered Measure is being applied, collected, refunded, or circumvented contrary to the Protocol. Evidence may include official customs instructions, entry summaries, tariff-treatment records, system messages, refund records, public notices, authenticated importer documentation, and mutually accepted aggregate data. A Party shall not demand commercially sensitive information where an official certification, redacted record, or aggregate extract can establish the same fact with materially equivalent reliability.</w:t>
      </w:r>
    </w:p>
    <w:p>
      <w:pPr>
        <w:pStyle w:val="Heading2"/>
        <w:keepNext/>
        <w:widowControl/>
        <w:spacing w:before="160" w:after="80"/>
      </w:pPr>
      <w:r>
        <w:t>6.3 Rapid Inquiry</w:t>
      </w:r>
    </w:p>
    <w:p>
      <w:pPr>
        <w:widowControl/>
      </w:pPr>
      <w:r>
        <w:t>Either Party may submit a Rapid Implementation Inquiry when it receives credible information suggesting that a Covered Measure has been collected or applied contrary to the standstill. The inquiry shall identify the transaction, tariff item, instrument, date, port or processing channel where known, and the specific inconsistency alleged, and it should attach supporting evidence that can reasonably be shared. The receiving Party shall acknowledge the inquiry within six hours and provide an initial substantive response within twenty-four hours unless the Parties agree that additional time is necessary.</w:t>
      </w:r>
    </w:p>
    <w:p>
      <w:pPr>
        <w:pStyle w:val="Heading2"/>
        <w:keepNext/>
        <w:widowControl/>
        <w:spacing w:before="160" w:after="80"/>
      </w:pPr>
      <w:r>
        <w:t>6.4 Data Integrity</w:t>
      </w:r>
    </w:p>
    <w:p>
      <w:pPr>
        <w:widowControl/>
      </w:pPr>
      <w:r>
        <w:t>Records used for Cothrom review shall be time-stamped or otherwise traceable to their source to the extent reasonably practicable. A technical discrepancy in a database, spreadsheet, system message, or importer record shall be distinguished from deliberate manipulation, and the existence of conflicting records shall trigger reconciliation rather than an automatic adverse inference. If a material data segment appears unreliable, the Parties may agree to an independent technical check or rely on a second authoritative source while preserving confidentiality.</w:t>
      </w:r>
    </w:p>
    <w:p>
      <w:pPr>
        <w:pStyle w:val="Heading2"/>
        <w:keepNext/>
        <w:widowControl/>
        <w:spacing w:before="160" w:after="80"/>
      </w:pPr>
      <w:r>
        <w:t>6.5 Confidentiality</w:t>
      </w:r>
    </w:p>
    <w:p>
      <w:pPr>
        <w:widowControl/>
      </w:pPr>
      <w:r>
        <w:t>A Party receiving confidential business information, customs information, or protected governmental information under this Protocol shall use it only for implementation and compliance purposes and shall protect it in accordance with its applicable law. Public reporting should use aggregate or redacted information where disclosure of transaction-level data would prejudice commercial interests or violate legal restrictions. Nothing requires a Party to disclose classified information, privileged legal advice, or information whose disclosure is prohibited by law, but the Party should provide a non-sensitive explanation sufficient to permit meaningful review where practicable.</w:t>
      </w:r>
    </w:p>
    <w:p>
      <w:pPr>
        <w:pStyle w:val="Heading2"/>
        <w:keepNext/>
        <w:widowControl/>
        <w:spacing w:before="160" w:after="80"/>
      </w:pPr>
      <w:r>
        <w:t>6.6 Verification Closure</w:t>
      </w:r>
    </w:p>
    <w:p>
      <w:pPr>
        <w:widowControl/>
      </w:pPr>
      <w:r>
        <w:t>A Rapid Implementation Inquiry closes when the complaining Party confirms correction, the Parties jointly determine that no inconsistency occurred, or the designated senior officials record that the available evidence does not justify further action under this Protocol. Closure does not prevent a later inquiry based on materially new evidence, but repetitive claims based on the same facts should be consolidated. The Parties shall maintain a simple decision log so that corrected issues do not repeatedly re-enter the system as unresolved anomalies.</w:t>
      </w:r>
    </w:p>
    <w:p>
      <w:pPr>
        <w:pStyle w:val="Heading1"/>
        <w:keepNext/>
        <w:widowControl/>
        <w:spacing w:before="240" w:after="120"/>
      </w:pPr>
      <w:r>
        <w:t>ARTICLE 7 — STREAMLINED COTHROM COMPLIANCE, CURE, STEP-BACK, AND EARN-BACK</w:t>
      </w:r>
    </w:p>
    <w:p>
      <w:pPr>
        <w:pStyle w:val="Heading2"/>
        <w:keepNext/>
        <w:widowControl/>
        <w:spacing w:before="160" w:after="80"/>
      </w:pPr>
      <w:r>
        <w:t>7.1 Governing Principles</w:t>
      </w:r>
    </w:p>
    <w:p>
      <w:pPr>
        <w:widowControl/>
      </w:pPr>
      <w:r>
        <w:t>Cothrom review under this Protocol shall be reciprocal, evidence-based, proportionate, reversible, and directed toward restoration of compliance rather than punishment. Technical noise shall be filtered before legal escalation, human judgment shall sit above automated flags, and cross-sector spillover shall be prohibited except where expressly agreed in writing. Every authorized step-back shall identify an earn-back route at the time it is imposed so that restored compliance can restore the standstill without requiring an admission of fault.</w:t>
      </w:r>
    </w:p>
    <w:p>
      <w:pPr>
        <w:pStyle w:val="Heading2"/>
        <w:keepNext/>
        <w:widowControl/>
        <w:spacing w:before="160" w:after="80"/>
      </w:pPr>
      <w:r>
        <w:t>7.2 Technical or Administrative Error</w:t>
      </w:r>
    </w:p>
    <w:p>
      <w:pPr>
        <w:widowControl/>
      </w:pPr>
      <w:r>
        <w:t>Where the evidence indicates a Technical or Administrative Error, the responsible Party shall begin correction as soon as practicable and shall provide an expected completion time to the other Party. Erroneously collected amounts shall be corrected, refunded, remitted, or otherwise adjusted through the legally available procedure, and the Parties shall cooperate to prevent recurrence where the cause is systemic. No tariff step-back may be imposed for an isolated technical error that is being corrected in good faith within the agreed period.</w:t>
      </w:r>
    </w:p>
    <w:p>
      <w:pPr>
        <w:pStyle w:val="Heading2"/>
        <w:keepNext/>
        <w:widowControl/>
        <w:spacing w:before="160" w:after="80"/>
      </w:pPr>
      <w:r>
        <w:t>7.3 Material Compliance Review</w:t>
      </w:r>
    </w:p>
    <w:p>
      <w:pPr>
        <w:widowControl/>
      </w:pPr>
      <w:r>
        <w:t>Where credible evidence suggests Material Non-Compliance, the complaining Party shall issue a written Material Compliance Notice identifying the Covered Measure, evidence, commercial effect, and requested cure. The designated officials shall confer within twenty-four hours and shall seek a joint technical determination within forty-eight hours after that conference, while the responding Party receives a cure period ordinarily not shorter than forty-eight hours unless immediate correction is technically possible. The Parties may shorten or extend those clocks by mutual consent where the commercial harm, customs mechanics, or complexity of the evidence makes the default period unreasonable.</w:t>
      </w:r>
    </w:p>
    <w:p>
      <w:pPr>
        <w:pStyle w:val="Heading2"/>
        <w:keepNext/>
        <w:widowControl/>
        <w:spacing w:before="160" w:after="80"/>
      </w:pPr>
      <w:r>
        <w:t>7.4 Joint Technical Determination and Deadlock</w:t>
      </w:r>
    </w:p>
    <w:p>
      <w:pPr>
        <w:widowControl/>
      </w:pPr>
      <w:r>
        <w:t>A joint technical determination shall state whether the event is a technical error, Material Non-Compliance, a permitted measure under Article 5, or an unresolved evidentiary dispute. If the technical officials cannot agree, they shall record the points of agreement and disagreement and immediately elevate only the unresolved questions to the designated senior officials, who shall confer within twenty-four hours. Failure to achieve a joint determination does not authorize an automatic penalty, but objective evidence of continuing collection after the cure period may support a narrowly tailored provisional step-back authorized by the complaining Party’s senior official.</w:t>
      </w:r>
    </w:p>
    <w:p>
      <w:pPr>
        <w:pStyle w:val="Heading2"/>
        <w:keepNext/>
        <w:widowControl/>
        <w:spacing w:before="160" w:after="80"/>
      </w:pPr>
      <w:r>
        <w:t>7.5 Proportionate Step-Back</w:t>
      </w:r>
    </w:p>
    <w:p>
      <w:pPr>
        <w:widowControl/>
      </w:pPr>
      <w:r>
        <w:t>An uncured and verified material breach permits the affected Party to suspend only the corresponding standstill benefit reasonably necessary to address the commercial impairment created by that breach. The response should, where administratively practicable, remain within the same Covered Measure, product group, or paired relief identified in the Activation Record and shall not exceed the value or practical burden reasonably attributable to the verified non-compliance. A broader restoration of all Covered Measures is reserved for serious or systemic non-compliance, repudiation, or termination under Article 11 and shall not arise automatically from an isolated breach.</w:t>
      </w:r>
    </w:p>
    <w:p>
      <w:pPr>
        <w:pStyle w:val="Heading2"/>
        <w:keepNext/>
        <w:widowControl/>
        <w:spacing w:before="160" w:after="80"/>
      </w:pPr>
      <w:r>
        <w:t>7.6 Serious or Systemic Non-Compliance</w:t>
      </w:r>
    </w:p>
    <w:p>
      <w:pPr>
        <w:widowControl/>
      </w:pPr>
      <w:r>
        <w:t>Serious or Systemic Non-Compliance exists where a Party repeatedly and deliberately collects Covered Measures after verified notice, formally repudiates the standstill, systematically substitutes equivalent measures, obstructs verification to conceal material collection, or otherwise defeats the central reciprocal bargain. The designated senior officials shall conduct an emergency consultation before a Party invokes this paragraph unless the other Party has expressly announced repudiation or immediate consultation is impossible. If the conduct remains uncured, the affected Party may restore corresponding Covered Measures or terminate the Protocol under Article 11.4, but unrelated treaty, security, border, humanitarian, or regulatory cooperation remains outside the response.</w:t>
      </w:r>
    </w:p>
    <w:p>
      <w:pPr>
        <w:pStyle w:val="Heading2"/>
        <w:keepNext/>
        <w:widowControl/>
        <w:spacing w:before="160" w:after="80"/>
      </w:pPr>
      <w:r>
        <w:t>7.7 Earn-Back</w:t>
      </w:r>
    </w:p>
    <w:p>
      <w:pPr>
        <w:widowControl/>
      </w:pPr>
      <w:r>
        <w:t>A Party subject to a step-back shall regain the corresponding standstill benefit promptly after it stops the non-compliant conduct, completes any required correction or refund process, and provides evidence sufficient to verify restored compliance. For an isolated material breach, restoration should ordinarily occur after forty-eight hours of verified compliant operation, while a systemic breach may require up to seventy-two hours of verified compliant operation unless the Parties agree to a shorter period. Earn-back does not require an admission of guilt, payment of punitive damages, unrelated political concessions, or renegotiation of the underlying trade grievance.</w:t>
      </w:r>
    </w:p>
    <w:p>
      <w:pPr>
        <w:pStyle w:val="Heading2"/>
        <w:keepNext/>
        <w:widowControl/>
        <w:spacing w:before="160" w:after="80"/>
      </w:pPr>
      <w:r>
        <w:t>7.8 Human-in-the-Loop Requirement</w:t>
      </w:r>
    </w:p>
    <w:p>
      <w:pPr>
        <w:widowControl/>
      </w:pPr>
      <w:r>
        <w:t>No automated customs system, monitoring tool, artificial-intelligence system, or data-matching process may itself classify a breach or activate a tariff step-back under this Protocol. Such systems may identify anomalies, assemble evidence, estimate affected trade, and route an issue to officials, but a designated human official must review the evidence and authorize any disruptive response. The authorizing record shall identify the evidence relied upon, the scope of the response, the applicable cure history, and the earn-back condition.</w:t>
      </w:r>
    </w:p>
    <w:p>
      <w:pPr>
        <w:pStyle w:val="Heading2"/>
        <w:keepNext/>
        <w:widowControl/>
        <w:spacing w:before="160" w:after="80"/>
      </w:pPr>
      <w:r>
        <w:t>7.9 Cross-Module Firewall</w:t>
      </w:r>
    </w:p>
    <w:p>
      <w:pPr>
        <w:widowControl/>
      </w:pPr>
      <w:r>
        <w:t>A breach of this Protocol shall not by itself justify suspension of obligations or cooperation under CUSMA/USMCA, NORAD, border-management arrangements, energy cooperation, environmental cooperation, law-enforcement cooperation, or another unrelated bilateral instrument. A response under Article 7 shall remain confined to the Covered Measures and the reciprocal standstill bargain unless the Parties separately exercise rights available under another legal instrument. This firewall survives termination for the purpose of preventing the Protocol from being interpreted as advance consent to cross-sector retaliation.</w:t>
      </w:r>
    </w:p>
    <w:p>
      <w:pPr>
        <w:pStyle w:val="Heading1"/>
        <w:keepNext/>
        <w:widowControl/>
        <w:spacing w:before="240" w:after="120"/>
      </w:pPr>
      <w:r>
        <w:t>ARTICLE 8 — NEGOTIATIONS DURING THE STANDSTILL</w:t>
      </w:r>
    </w:p>
    <w:p>
      <w:pPr>
        <w:pStyle w:val="Heading2"/>
        <w:keepNext/>
        <w:widowControl/>
        <w:spacing w:before="160" w:after="80"/>
      </w:pPr>
      <w:r>
        <w:t>8.1 Negotiating Mandate</w:t>
      </w:r>
    </w:p>
    <w:p>
      <w:pPr>
        <w:widowControl/>
      </w:pPr>
      <w:r>
        <w:t>During the Standstill Period, the Parties shall use existing bilateral and CUSMA/USMCA channels to pursue resolution, normalization, or managed transition of the disputes that gave rise to the Covered Measures. The Protocol does not prescribe the substantive outcome of those negotiations and does not require a Party to accept a concession merely to preserve the standstill. The designated senior officials shall maintain a compact work programme so that urgent tariff questions are separated from longer-term structural issues.</w:t>
      </w:r>
    </w:p>
    <w:p>
      <w:pPr>
        <w:pStyle w:val="Heading2"/>
        <w:keepNext/>
        <w:widowControl/>
        <w:spacing w:before="160" w:after="80"/>
      </w:pPr>
      <w:r>
        <w:t>8.2 Negotiating Tracks</w:t>
      </w:r>
    </w:p>
    <w:p>
      <w:pPr>
        <w:widowControl/>
      </w:pPr>
      <w:r>
        <w:t>The work programme may include tariffs and extraordinary trade measures, automobiles and rules of origin, steel and aluminum, agriculture and dairy, softwood lumber, government procurement, digital and regulatory matters, and economic-security or non-party-input concerns. A track may be combined, divided, deferred, or transferred to an existing specialist forum by mutual consent, and doing so does not amend the standstill obligations. The Parties should prioritize issues capable of producing reciprocal relief during the twenty-one-day window while recording longer-term items for successor negotiations.</w:t>
      </w:r>
    </w:p>
    <w:p>
      <w:pPr>
        <w:pStyle w:val="Heading2"/>
        <w:keepNext/>
        <w:widowControl/>
        <w:spacing w:before="160" w:after="80"/>
      </w:pPr>
      <w:r>
        <w:t>8.3 No Forced Settlement</w:t>
      </w:r>
    </w:p>
    <w:p>
      <w:pPr>
        <w:widowControl/>
      </w:pPr>
      <w:r>
        <w:t>Failure to reach agreement in any negotiating track does not constitute a breach, bad faith, or failure of implementation under this Protocol. A Party may reject a proposed substantive concession while remaining fully compliant with the tariff standstill, and neither Party is required to exchange concessions of identical form where mutually accepted equivalence can be achieved another way. The standstill therefore separates the obligation not to escalate from the sovereign decision whether to accept a final bargain.</w:t>
      </w:r>
    </w:p>
    <w:p>
      <w:pPr>
        <w:pStyle w:val="Heading2"/>
        <w:keepNext/>
        <w:widowControl/>
        <w:spacing w:before="160" w:after="80"/>
      </w:pPr>
      <w:r>
        <w:t>8.4 Successor Instruments</w:t>
      </w:r>
    </w:p>
    <w:p>
      <w:pPr>
        <w:widowControl/>
      </w:pPr>
      <w:r>
        <w:t>A completed sectoral settlement, tariff normalization arrangement, joint statement, side letter, CUSMA/USMCA decision, or other lawful successor instrument may supersede the corresponding portion of Annex I by written agreement. The Parties should state expressly whether the successor arrangement is temporary or permanent and whether any unresolved Covered Measure remains subject to this Protocol. Replacement of one module does not terminate the remaining standstill unless the Parties expressly provide otherwise.</w:t>
      </w:r>
    </w:p>
    <w:p>
      <w:pPr>
        <w:pStyle w:val="Heading1"/>
        <w:keepNext/>
        <w:widowControl/>
        <w:spacing w:before="240" w:after="120"/>
      </w:pPr>
      <w:r>
        <w:t>ARTICLE 9 — HUMANITARIAN, ESSENTIAL-FUNCTION, AND TRANSIT SAFEGUARDS</w:t>
      </w:r>
    </w:p>
    <w:p>
      <w:pPr>
        <w:pStyle w:val="Heading2"/>
        <w:keepNext/>
        <w:widowControl/>
        <w:spacing w:before="160" w:after="80"/>
      </w:pPr>
      <w:r>
        <w:t>9.1 Humanitarian Protection</w:t>
      </w:r>
    </w:p>
    <w:p>
      <w:pPr>
        <w:widowControl/>
      </w:pPr>
      <w:r>
        <w:t>A step-back authorized under Article 7 should not target medicines, essential medical supplies, emergency-response goods, or other humanitarian products where doing so would create a material risk to health or safety and a reasonably available alternative response exists. This protection does not create a general exemption from ordinary customs law or from pre-existing lawful tariffs that are outside the Protocol. The designated officials may identify additional protected tariff lines by written notice where necessary to preserve the humanitarian firewall.</w:t>
      </w:r>
    </w:p>
    <w:p>
      <w:pPr>
        <w:pStyle w:val="Heading2"/>
        <w:keepNext/>
        <w:widowControl/>
        <w:spacing w:before="160" w:after="80"/>
      </w:pPr>
      <w:r>
        <w:t>9.2 Essential Government Functions</w:t>
      </w:r>
    </w:p>
    <w:p>
      <w:pPr>
        <w:widowControl/>
      </w:pPr>
      <w:r>
        <w:t>Nothing in this Protocol authorizes interference with essential border operations, customs inspection, public safety, emergency management, law enforcement, or the lawful movement of emergency personnel and equipment. Operational verification should be designed so that it does not impede the physical processing of legitimate trade more than reasonably necessary. A customs or security inspection conducted for a bona fide non-tariff purpose is not a breach merely because it delays a shipment.</w:t>
      </w:r>
    </w:p>
    <w:p>
      <w:pPr>
        <w:pStyle w:val="Heading2"/>
        <w:keepNext/>
        <w:widowControl/>
        <w:spacing w:before="160" w:after="80"/>
      </w:pPr>
      <w:r>
        <w:t>9.3 Lawful Movement of Persons</w:t>
      </w:r>
    </w:p>
    <w:p>
      <w:pPr>
        <w:widowControl/>
      </w:pPr>
      <w:r>
        <w:t>Nothing in this Protocol independently restricts or expands the right of a citizen, worker, business visitor, carrier, or other person to enter, remain in, work in, or travel through the territory of the other Party. Immigration, labour-mobility, and border-admissibility questions remain governed by applicable law and other agreements. Neither Party shall use the Cothrom step-back process as authority to impose a travel or immigration restriction unrelated to the tariff standstill.</w:t>
      </w:r>
    </w:p>
    <w:p>
      <w:pPr>
        <w:pStyle w:val="Heading2"/>
        <w:keepNext/>
        <w:widowControl/>
        <w:spacing w:before="160" w:after="80"/>
      </w:pPr>
      <w:r>
        <w:t>9.4 Goods in Transit</w:t>
      </w:r>
    </w:p>
    <w:p>
      <w:pPr>
        <w:widowControl/>
      </w:pPr>
      <w:r>
        <w:t>A good that was in transit before the Effective Time or before a later termination or step-back shall receive the transition treatment specified in Annex II so that a shipment is not unexpectedly re-rated solely because it crossed a border minutes after an administrative change. The Parties shall use objective evidence such as bills of lading, carrier records, warehouse withdrawal records, or equivalent commercial documentation to establish transit status. Any transit grace period shall be administered neutrally and shall not be used to warehouse goods artificially for the purpose of evading a lawfully restored measure.</w:t>
      </w:r>
    </w:p>
    <w:p>
      <w:pPr>
        <w:pStyle w:val="Heading1"/>
        <w:keepNext/>
        <w:widowControl/>
        <w:spacing w:before="240" w:after="120"/>
      </w:pPr>
      <w:r>
        <w:t>ARTICLE 10 — RELATIONSHIP TO CUSMA/USMCA AND OTHER ARRANGEMENTS</w:t>
      </w:r>
    </w:p>
    <w:p>
      <w:pPr>
        <w:pStyle w:val="Heading2"/>
        <w:keepNext/>
        <w:widowControl/>
        <w:spacing w:before="160" w:after="80"/>
      </w:pPr>
      <w:r>
        <w:t>10.1 CUSMA/USMCA</w:t>
      </w:r>
    </w:p>
    <w:p>
      <w:pPr>
        <w:widowControl/>
      </w:pPr>
      <w:r>
        <w:t>CUSMA/USMCA continues in full force and effect and is neither amended nor suspended by this Protocol. Rights and obligations under that Agreement remain available except to the limited extent that a Party voluntarily refrains from applying a Covered Measure during the Standstill Period. Nothing in this Protocol prejudges the outcome of the CUSMA/USMCA review process or any dispute concerning the consistency of a Covered Measure with that Agreement.</w:t>
      </w:r>
    </w:p>
    <w:p>
      <w:pPr>
        <w:pStyle w:val="Heading2"/>
        <w:keepNext/>
        <w:widowControl/>
        <w:spacing w:before="160" w:after="80"/>
      </w:pPr>
      <w:r>
        <w:t>10.2 Other International Obligations</w:t>
      </w:r>
    </w:p>
    <w:p>
      <w:pPr>
        <w:widowControl/>
      </w:pPr>
      <w:r>
        <w:t>Nothing in this Protocol shall be construed as a waiver of rights or obligations under the World Trade Organization agreements or another international agreement binding on either Party. Where implementation can be carried out in more than one lawful manner, each Party should select a method that minimizes unnecessary conflict with its other international obligations. A disagreement about those obligations shall not expand the jurisdiction of the Protocol beyond the temporary abeyance and compliance questions expressly addressed here.</w:t>
      </w:r>
    </w:p>
    <w:p>
      <w:pPr>
        <w:pStyle w:val="Heading2"/>
        <w:keepNext/>
        <w:widowControl/>
        <w:spacing w:before="160" w:after="80"/>
      </w:pPr>
      <w:r>
        <w:t>10.3 Modularity and Severability</w:t>
      </w:r>
    </w:p>
    <w:p>
      <w:pPr>
        <w:widowControl/>
      </w:pPr>
      <w:r>
        <w:t>The Protocol is modular, and the invalidity, inoperability, expiry, or replacement of one Covered Measure does not automatically invalidate the remaining standstill. If a domestic court or competent authority prevents implementation of one provision, the Parties shall consult on a narrow substitute that preserves reciprocity to the greatest extent practicable without requiring unlawful action. The remainder of the Protocol continues unless the affected provision defeats the central reciprocal bargain and a Party elects termination under Article 11.</w:t>
      </w:r>
    </w:p>
    <w:p>
      <w:pPr>
        <w:pStyle w:val="Heading2"/>
        <w:keepNext/>
        <w:widowControl/>
        <w:spacing w:before="160" w:after="80"/>
      </w:pPr>
      <w:r>
        <w:t>10.4 No Spillover</w:t>
      </w:r>
    </w:p>
    <w:p>
      <w:pPr>
        <w:widowControl/>
      </w:pPr>
      <w:r>
        <w:t>A breach, expiry, or termination of this Protocol does not itself terminate, suspend, or reduce cooperation under another bilateral or multilateral arrangement. Any action under another instrument must rest on the authority, procedures, and substantive requirements of that instrument rather than on an implied cross-default created here. The Parties expressly reject automatic spillover from this temporary tariff mechanism into defense, border, energy, environmental, or other unrelated cooperation.</w:t>
      </w:r>
    </w:p>
    <w:p>
      <w:pPr>
        <w:pStyle w:val="Heading1"/>
        <w:keepNext/>
        <w:widowControl/>
        <w:spacing w:before="240" w:after="120"/>
      </w:pPr>
      <w:r>
        <w:t>ARTICLE 11 — DURATION, EXTENSION, EXPIRY, AND TERMINATION</w:t>
      </w:r>
    </w:p>
    <w:p>
      <w:pPr>
        <w:pStyle w:val="Heading2"/>
        <w:keepNext/>
        <w:widowControl/>
        <w:spacing w:before="160" w:after="80"/>
      </w:pPr>
      <w:r>
        <w:t>11.1 Initial Duration</w:t>
      </w:r>
    </w:p>
    <w:p>
      <w:pPr>
        <w:widowControl/>
      </w:pPr>
      <w:r>
        <w:t>The Protocol remains operative for twenty-one days beginning at the Effective Time recorded under Article 3.4. The Parties may continue negotiations after that period regardless of whether the Protocol is extended, replaced, or allowed to expire. The short duration is intended to create immediate negotiating space without converting emergency forbearance into an indefinite legal commitment.</w:t>
      </w:r>
    </w:p>
    <w:p>
      <w:pPr>
        <w:pStyle w:val="Heading2"/>
        <w:keepNext/>
        <w:widowControl/>
        <w:spacing w:before="160" w:after="80"/>
      </w:pPr>
      <w:r>
        <w:t>11.2 Extension</w:t>
      </w:r>
    </w:p>
    <w:p>
      <w:pPr>
        <w:widowControl/>
      </w:pPr>
      <w:r>
        <w:t>The designated senior officials may extend the Standstill Period by a joint written notice issued before expiry. An extension may be for seven, fourteen, twenty-one, or another mutually agreed number of days and may preserve the existing Annex I or modify it under Article 2.5. No new signature ceremony, legislative approval, or renegotiation of unchanged provisions is required by this Protocol for an extension, subject always to each Party’s domestic legal requirements.</w:t>
      </w:r>
    </w:p>
    <w:p>
      <w:pPr>
        <w:pStyle w:val="Heading2"/>
        <w:keepNext/>
        <w:widowControl/>
        <w:spacing w:before="160" w:after="80"/>
      </w:pPr>
      <w:r>
        <w:t>11.3 Replacement</w:t>
      </w:r>
    </w:p>
    <w:p>
      <w:pPr>
        <w:widowControl/>
      </w:pPr>
      <w:r>
        <w:t>The Parties may replace this Protocol in whole or in part with a subsequent agreement, joint decision, executive arrangement, or other lawful instrument. The replacement instrument should identify the exact date and time at which supersession occurs and the treatment of entries, refunds, claims, and pending Cothrom reviews. Unless the replacement text states otherwise, completed corrections and accrued refund obligations under this Protocol survive long enough to be administered.</w:t>
      </w:r>
    </w:p>
    <w:p>
      <w:pPr>
        <w:pStyle w:val="Heading2"/>
        <w:keepNext/>
        <w:widowControl/>
        <w:spacing w:before="160" w:after="80"/>
      </w:pPr>
      <w:r>
        <w:t>11.4 Early Termination</w:t>
      </w:r>
    </w:p>
    <w:p>
      <w:pPr>
        <w:widowControl/>
      </w:pPr>
      <w:r>
        <w:t>Either Party may terminate this Protocol by providing forty-eight hours’ written notice through the designated senior official, and the notice shall state the intended termination time. The Parties shall use the notice period to clarify customs treatment, goods in transit, pending refunds, and whether any narrower standstill can continue, but neither Party is required to justify its sovereign decision to terminate. Where the other Party has formally repudiated the central bargain or is systematically collecting Covered Measures after an uncured verified breach, the affected Party may request an accelerated termination time and the Parties shall consult immediately.</w:t>
      </w:r>
    </w:p>
    <w:p>
      <w:pPr>
        <w:pStyle w:val="Heading2"/>
        <w:keepNext/>
        <w:widowControl/>
        <w:spacing w:before="160" w:after="80"/>
      </w:pPr>
      <w:r>
        <w:t>11.5 Effect of Expiry or Termination</w:t>
      </w:r>
    </w:p>
    <w:p>
      <w:pPr>
        <w:widowControl/>
      </w:pPr>
      <w:r>
        <w:t>Expiry or termination does not itself impose, reimpose, increase, or collect a tariff and shall not be written into customs systems as an autonomous tariff trigger. After expiry or termination, each Party retains the rights and domestic authorities it otherwise possesses, subject to applicable domestic and international law, and any decision to activate a measure shall be taken under the authority governing that measure. The Parties shall issue clear customs instructions so that traders are not required to infer legal consequences from the mere passage of the Protocol’s expiry time.</w:t>
      </w:r>
    </w:p>
    <w:p>
      <w:pPr>
        <w:pStyle w:val="Heading2"/>
        <w:keepNext/>
        <w:widowControl/>
        <w:spacing w:before="160" w:after="80"/>
      </w:pPr>
      <w:r>
        <w:t>11.6 Survival of Administrative Matters</w:t>
      </w:r>
    </w:p>
    <w:p>
      <w:pPr>
        <w:widowControl/>
      </w:pPr>
      <w:r>
        <w:t>Pending refund, correction, confidentiality, record-preservation, and verification-closure obligations survive expiry or termination only to the extent necessary to complete administration of events that occurred while the Protocol was operative. The cross-module firewall in Article 7.9 and the without-prejudice protections in Article 4 also survive so that termination cannot be recharacterized as an admission or advance consent to unrelated retaliation. No substantive negotiating obligation survives unless the Parties separately agree to continue it.</w:t>
      </w:r>
    </w:p>
    <w:p>
      <w:pPr>
        <w:pStyle w:val="Heading1"/>
        <w:keepNext/>
        <w:widowControl/>
        <w:spacing w:before="240" w:after="120"/>
      </w:pPr>
      <w:r>
        <w:t>ARTICLE 12 — FINAL AND ADMINISTRATIVE PROVISIONS</w:t>
      </w:r>
    </w:p>
    <w:p>
      <w:pPr>
        <w:pStyle w:val="Heading2"/>
        <w:keepNext/>
        <w:widowControl/>
        <w:spacing w:before="160" w:after="80"/>
      </w:pPr>
      <w:r>
        <w:t>12.1 Amendments</w:t>
      </w:r>
    </w:p>
    <w:p>
      <w:pPr>
        <w:widowControl/>
      </w:pPr>
      <w:r>
        <w:t>The Parties may amend this Protocol by mutual written consent of their designated senior officials or by another authority each Party identifies as competent. An amendment shall state its effective time and shall specify whether it alters the main text, an annex, or both. Purely technical updates to contacts, system identifiers, or non-substantive implementation information may be made under Article 12.2 without reopening the legal text.</w:t>
      </w:r>
    </w:p>
    <w:p>
      <w:pPr>
        <w:pStyle w:val="Heading2"/>
        <w:keepNext/>
        <w:widowControl/>
        <w:spacing w:before="160" w:after="80"/>
      </w:pPr>
      <w:r>
        <w:t>12.2 Administrative Updates</w:t>
      </w:r>
    </w:p>
    <w:p>
      <w:pPr>
        <w:widowControl/>
      </w:pPr>
      <w:r>
        <w:t>The customs contacts, telephone numbers, secure communication channels, system identifiers, and comparable operational details in Annex II may be updated by written notice from the responsible Party. Such an update does not change the scope of a Covered Measure, create a new substantive obligation, or alter the agreed Cothrom thresholds. Each Party shall circulate an updated consolidated contact sheet promptly after a change so that an emergency inquiry does not fail because of stale information.</w:t>
      </w:r>
    </w:p>
    <w:p>
      <w:pPr>
        <w:pStyle w:val="Heading2"/>
        <w:keepNext/>
        <w:widowControl/>
        <w:spacing w:before="160" w:after="80"/>
      </w:pPr>
      <w:r>
        <w:t>12.3 Annexes</w:t>
      </w:r>
    </w:p>
    <w:p>
      <w:pPr>
        <w:widowControl/>
      </w:pPr>
      <w:r>
        <w:t>Annexes I through V form an integral operational part of the Protocol and shall be read consistently with the Articles. If an annex conflicts with the main text, the main text prevails unless the relevant Article expressly authorizes the annex to specify a different technical rule. A schedule incorporated by reference remains controlled by the official source and version identified in the annex rather than by an informal summary.</w:t>
      </w:r>
    </w:p>
    <w:p>
      <w:pPr>
        <w:pStyle w:val="Heading2"/>
        <w:keepNext/>
        <w:widowControl/>
        <w:spacing w:before="160" w:after="80"/>
      </w:pPr>
      <w:r>
        <w:t>12.4 Language and Working Copies</w:t>
      </w:r>
    </w:p>
    <w:p>
      <w:pPr>
        <w:widowControl/>
      </w:pPr>
      <w:r>
        <w:t>The Parties may execute authentic English and French texts, with both texts equally authoritative if they so agree in the executing record. Operational customs instructions may be issued in the language or languages required by each Party’s domestic practice, provided that the reciprocal obligations are not altered through translation. Any discrepancy discovered between authentic texts shall be addressed promptly through the designated senior officials without interrupting compliant non-collection while the discrepancy is resolved.</w:t>
      </w:r>
    </w:p>
    <w:p>
      <w:pPr>
        <w:pStyle w:val="Heading2"/>
        <w:keepNext/>
        <w:widowControl/>
        <w:spacing w:before="160" w:after="80"/>
      </w:pPr>
      <w:r>
        <w:t>12.5 Signature and Entry Into Operation</w:t>
      </w:r>
    </w:p>
    <w:p>
      <w:pPr>
        <w:widowControl/>
      </w:pPr>
      <w:r>
        <w:t>Signature records political and legal acceptance of the Protocol but does not by itself start reciprocal tariff abeyance. Entry into operation occurs only at the Effective Time established through Article 3 after both Activation Notices have been exchanged and the Activation Record has been completed. The Parties may sign electronically or in counterparts, and all counterparts together constitute the same instrument.</w:t>
      </w:r>
    </w:p>
    <w:p>
      <w:pPr>
        <w:pStyle w:val="Heading1"/>
        <w:keepNext/>
        <w:widowControl/>
        <w:spacing w:before="240" w:after="120"/>
      </w:pPr>
      <w:r>
        <w:t>SIGNATURE BLOCK</w:t>
      </w:r>
    </w:p>
    <w:p>
      <w:pPr>
        <w:widowControl/>
      </w:pPr>
      <w:r>
        <w:t>The undersigned, being duly authorized by their respective governments for the purposes of this emergency arrangement, record their acceptance of the Protocol subject to the simultaneous activation procedure in Article 3. Signature does not certify the sufficiency of the other Party’s domestic authority and does not cause a Covered Measure to enter abeyance before the common Effective Time. Each Party shall retain an authenticated counterpart and shall transmit the final executing text immediately to the implementing authorities identified in Annex II.</w:t>
      </w:r>
    </w:p>
    <w:tbl>
      <w:tblPr>
        <w:tblW w:type="auto" w:w="0"/>
        <w:jc w:val="center"/>
        <w:tblLook w:firstColumn="1" w:firstRow="1" w:lastColumn="0" w:lastRow="0" w:noHBand="0" w:noVBand="1" w:val="04A0"/>
      </w:tblPr>
      <w:tblGrid>
        <w:gridCol w:w="4896"/>
        <w:gridCol w:w="4896"/>
      </w:tblGrid>
      <w:tr>
        <w:trPr>
          <w:cantSplit/>
        </w:trPr>
        <w:tc>
          <w:tcPr>
            <w:tcW w:type="dxa" w:w="4896"/>
            <w:vAlign w:val="top"/>
            <w:shd w:fill="E8EEF5"/>
          </w:tcPr>
          <w:p>
            <w:r/>
            <w:r>
              <w:rPr>
                <w:b/>
                <w:sz w:val="17"/>
              </w:rPr>
              <w:t>FOR CANADA</w:t>
            </w:r>
          </w:p>
        </w:tc>
        <w:tc>
          <w:tcPr>
            <w:tcW w:type="dxa" w:w="4896"/>
            <w:vAlign w:val="top"/>
            <w:shd w:fill="E8EEF5"/>
          </w:tcPr>
          <w:p>
            <w:r/>
            <w:r>
              <w:rPr>
                <w:b/>
                <w:sz w:val="17"/>
              </w:rPr>
              <w:t>FOR THE UNITED STATES OF AMERICA</w:t>
            </w:r>
          </w:p>
        </w:tc>
      </w:tr>
      <w:tr>
        <w:trPr>
          <w:cantSplit/>
        </w:trPr>
        <w:tc>
          <w:tcPr>
            <w:tcW w:type="dxa" w:w="4896"/>
            <w:vAlign w:val="top"/>
          </w:tcPr>
          <w:p>
            <w:r/>
            <w:r>
              <w:rPr>
                <w:b w:val="0"/>
                <w:sz w:val="17"/>
              </w:rPr>
              <w:br/>
              <w:t>Name: ______________________________</w:t>
              <w:br/>
              <w:t>Title: _______________________________</w:t>
              <w:br/>
              <w:t>Signature: ____________________________</w:t>
            </w:r>
          </w:p>
        </w:tc>
        <w:tc>
          <w:tcPr>
            <w:tcW w:type="dxa" w:w="4896"/>
            <w:vAlign w:val="top"/>
          </w:tcPr>
          <w:p>
            <w:r/>
            <w:r>
              <w:rPr>
                <w:b w:val="0"/>
                <w:sz w:val="17"/>
              </w:rPr>
              <w:br/>
              <w:t>Name: ______________________________</w:t>
              <w:br/>
              <w:t>Title: _______________________________</w:t>
              <w:br/>
              <w:t>Signature: ____________________________</w:t>
            </w:r>
          </w:p>
        </w:tc>
      </w:tr>
      <w:tr>
        <w:trPr>
          <w:cantSplit/>
        </w:trPr>
        <w:tc>
          <w:tcPr>
            <w:tcW w:type="dxa" w:w="4896"/>
            <w:vAlign w:val="top"/>
          </w:tcPr>
          <w:p>
            <w:r/>
            <w:r>
              <w:rPr>
                <w:b w:val="0"/>
                <w:sz w:val="17"/>
              </w:rPr>
              <w:t>Date: ________________________________</w:t>
              <w:br/>
              <w:t>Time: ________________________________</w:t>
            </w:r>
          </w:p>
        </w:tc>
        <w:tc>
          <w:tcPr>
            <w:tcW w:type="dxa" w:w="4896"/>
            <w:vAlign w:val="top"/>
          </w:tcPr>
          <w:p>
            <w:r/>
            <w:r>
              <w:rPr>
                <w:b w:val="0"/>
                <w:sz w:val="17"/>
              </w:rPr>
              <w:t>Date: ________________________________</w:t>
              <w:br/>
              <w:t>Time: ________________________________</w:t>
            </w:r>
          </w:p>
        </w:tc>
      </w:tr>
    </w:tbl>
    <w:p>
      <w:pPr>
        <w:widowControl/>
      </w:pPr>
      <w:r>
        <w:br w:type="page"/>
      </w:r>
    </w:p>
    <w:p>
      <w:pPr>
        <w:pStyle w:val="Heading1"/>
        <w:keepNext/>
        <w:widowControl/>
        <w:spacing w:before="240" w:after="120"/>
      </w:pPr>
      <w:r>
        <w:t>ANNEX I — SCHEDULE OF COVERED MEASURES</w:t>
      </w:r>
    </w:p>
    <w:p>
      <w:pPr>
        <w:widowControl/>
      </w:pPr>
      <w:r>
        <w:t>This Annex identifies the measures that may be placed into abeyance under Article 2 and is designed to avoid disputes over political labels such as retaliation, national-security tariff, safeguard, or countermeasure. A measure becomes a Covered Measure only to the extent identified in the applicable Part and confirmed in the Party’s Activation Notice, and a Party may narrow coverage in that notice only if the other Party accepts the resulting Activation Record. Where an official government schedule is incorporated by reference, that official schedule controls product coverage, tariff items, and rates unless the Parties expressly agree otherwise.</w:t>
      </w:r>
    </w:p>
    <w:p>
      <w:pPr>
        <w:pStyle w:val="Heading2"/>
        <w:keepNext/>
        <w:widowControl/>
        <w:spacing w:before="160" w:after="80"/>
      </w:pPr>
      <w:r>
        <w:t>Part A — Canadian Covered Measures</w:t>
      </w:r>
    </w:p>
    <w:p>
      <w:pPr>
        <w:widowControl/>
      </w:pPr>
      <w:r>
        <w:t>Part A incorporates by reference the Department of Finance Canada authoritative list titled “List of products from the United States subject to counter-tariffs effective September 8, 2026,” updated August 26, 2026, together with any legally controlling order or Canada Gazette instrument implementing that schedule. The incorporated schedule covers the new Canadian countermeasures announced for 12:01 a.m. on September 8, 2026, at rates of 15, 25, and 50 per cent, and the Activation Notice shall identify whether the abeyance applies to the entire incorporated schedule or to a mutually agreed subset. If Canada later publishes a corrected tariff-item list before activation, the Activation Record shall identify the version being used so that customs administration is not governed by an obsolete schedule.</w:t>
      </w:r>
    </w:p>
    <w:tbl>
      <w:tblPr>
        <w:tblW w:type="auto" w:w="0"/>
        <w:jc w:val="center"/>
        <w:tblLook w:firstColumn="1" w:firstRow="1" w:lastColumn="0" w:lastRow="0" w:noHBand="0" w:noVBand="1" w:val="04A0"/>
      </w:tblPr>
      <w:tblGrid>
        <w:gridCol w:w="1958"/>
        <w:gridCol w:w="1958"/>
        <w:gridCol w:w="1958"/>
        <w:gridCol w:w="1958"/>
        <w:gridCol w:w="1958"/>
      </w:tblGrid>
      <w:tr>
        <w:trPr>
          <w:cantSplit/>
        </w:trPr>
        <w:tc>
          <w:tcPr>
            <w:tcW w:type="dxa" w:w="1958"/>
            <w:vAlign w:val="top"/>
            <w:shd w:fill="E8EEF5"/>
          </w:tcPr>
          <w:p>
            <w:r/>
            <w:r>
              <w:rPr>
                <w:b/>
                <w:sz w:val="17"/>
              </w:rPr>
              <w:t>Canadian measure</w:t>
            </w:r>
          </w:p>
        </w:tc>
        <w:tc>
          <w:tcPr>
            <w:tcW w:type="dxa" w:w="1958"/>
            <w:vAlign w:val="top"/>
            <w:shd w:fill="E8EEF5"/>
          </w:tcPr>
          <w:p>
            <w:r/>
            <w:r>
              <w:rPr>
                <w:b/>
                <w:sz w:val="17"/>
              </w:rPr>
              <w:t>Official source</w:t>
            </w:r>
          </w:p>
        </w:tc>
        <w:tc>
          <w:tcPr>
            <w:tcW w:type="dxa" w:w="1958"/>
            <w:vAlign w:val="top"/>
            <w:shd w:fill="E8EEF5"/>
          </w:tcPr>
          <w:p>
            <w:r/>
            <w:r>
              <w:rPr>
                <w:b/>
                <w:sz w:val="17"/>
              </w:rPr>
              <w:t>Scope</w:t>
            </w:r>
          </w:p>
        </w:tc>
        <w:tc>
          <w:tcPr>
            <w:tcW w:type="dxa" w:w="1958"/>
            <w:vAlign w:val="top"/>
            <w:shd w:fill="E8EEF5"/>
          </w:tcPr>
          <w:p>
            <w:r/>
            <w:r>
              <w:rPr>
                <w:b/>
                <w:sz w:val="17"/>
              </w:rPr>
              <w:t>Treatment</w:t>
            </w:r>
          </w:p>
        </w:tc>
        <w:tc>
          <w:tcPr>
            <w:tcW w:type="dxa" w:w="1958"/>
            <w:vAlign w:val="top"/>
            <w:shd w:fill="E8EEF5"/>
          </w:tcPr>
          <w:p>
            <w:r/>
            <w:r>
              <w:rPr>
                <w:b/>
                <w:sz w:val="17"/>
              </w:rPr>
              <w:t>Activation evidence</w:t>
            </w:r>
          </w:p>
        </w:tc>
      </w:tr>
      <w:tr>
        <w:trPr>
          <w:cantSplit/>
        </w:trPr>
        <w:tc>
          <w:tcPr>
            <w:tcW w:type="dxa" w:w="1958"/>
            <w:vAlign w:val="top"/>
          </w:tcPr>
          <w:p>
            <w:r/>
            <w:r>
              <w:rPr>
                <w:b w:val="0"/>
                <w:sz w:val="17"/>
              </w:rPr>
              <w:t>Sept. 8, 2026 counter-tariff schedule</w:t>
            </w:r>
          </w:p>
        </w:tc>
        <w:tc>
          <w:tcPr>
            <w:tcW w:type="dxa" w:w="1958"/>
            <w:vAlign w:val="top"/>
          </w:tcPr>
          <w:p>
            <w:r/>
            <w:r>
              <w:rPr>
                <w:b w:val="0"/>
                <w:sz w:val="17"/>
              </w:rPr>
              <w:t>Department of Finance Canada list, updated Aug. 26, 2026</w:t>
            </w:r>
          </w:p>
        </w:tc>
        <w:tc>
          <w:tcPr>
            <w:tcW w:type="dxa" w:w="1958"/>
            <w:vAlign w:val="top"/>
          </w:tcPr>
          <w:p>
            <w:r/>
            <w:r>
              <w:rPr>
                <w:b w:val="0"/>
                <w:sz w:val="17"/>
              </w:rPr>
              <w:t>All tariff items or accepted subset identified in Activation Notice</w:t>
            </w:r>
          </w:p>
        </w:tc>
        <w:tc>
          <w:tcPr>
            <w:tcW w:type="dxa" w:w="1958"/>
            <w:vAlign w:val="top"/>
          </w:tcPr>
          <w:p>
            <w:r/>
            <w:r>
              <w:rPr>
                <w:b w:val="0"/>
                <w:sz w:val="17"/>
              </w:rPr>
              <w:t>Temporary non-collection for Standstill Period</w:t>
            </w:r>
          </w:p>
        </w:tc>
        <w:tc>
          <w:tcPr>
            <w:tcW w:type="dxa" w:w="1958"/>
            <w:vAlign w:val="top"/>
          </w:tcPr>
          <w:p>
            <w:r/>
            <w:r>
              <w:rPr>
                <w:b w:val="0"/>
                <w:sz w:val="17"/>
              </w:rPr>
              <w:t>Canadian Activation Notice + CBSA implementing instruction</w:t>
            </w:r>
          </w:p>
        </w:tc>
      </w:tr>
      <w:tr>
        <w:trPr>
          <w:cantSplit/>
        </w:trPr>
        <w:tc>
          <w:tcPr>
            <w:tcW w:type="dxa" w:w="1958"/>
            <w:vAlign w:val="top"/>
          </w:tcPr>
          <w:p>
            <w:r/>
            <w:r>
              <w:rPr>
                <w:b w:val="0"/>
                <w:sz w:val="17"/>
              </w:rPr>
              <w:t>Existing Canadian countermeasures, if mutually added</w:t>
            </w:r>
          </w:p>
        </w:tc>
        <w:tc>
          <w:tcPr>
            <w:tcW w:type="dxa" w:w="1958"/>
            <w:vAlign w:val="top"/>
          </w:tcPr>
          <w:p>
            <w:r/>
            <w:r>
              <w:rPr>
                <w:b w:val="0"/>
                <w:sz w:val="17"/>
              </w:rPr>
              <w:t>Specific order/schedule identified by Canada</w:t>
            </w:r>
          </w:p>
        </w:tc>
        <w:tc>
          <w:tcPr>
            <w:tcW w:type="dxa" w:w="1958"/>
            <w:vAlign w:val="top"/>
          </w:tcPr>
          <w:p>
            <w:r/>
            <w:r>
              <w:rPr>
                <w:b w:val="0"/>
                <w:sz w:val="17"/>
              </w:rPr>
              <w:t>Only measures expressly accepted into Annex I</w:t>
            </w:r>
          </w:p>
        </w:tc>
        <w:tc>
          <w:tcPr>
            <w:tcW w:type="dxa" w:w="1958"/>
            <w:vAlign w:val="top"/>
          </w:tcPr>
          <w:p>
            <w:r/>
            <w:r>
              <w:rPr>
                <w:b w:val="0"/>
                <w:sz w:val="17"/>
              </w:rPr>
              <w:t>Temporary suspension, remission, or non-collection as domestic law permits</w:t>
            </w:r>
          </w:p>
        </w:tc>
        <w:tc>
          <w:tcPr>
            <w:tcW w:type="dxa" w:w="1958"/>
            <w:vAlign w:val="top"/>
          </w:tcPr>
          <w:p>
            <w:r/>
            <w:r>
              <w:rPr>
                <w:b w:val="0"/>
                <w:sz w:val="17"/>
              </w:rPr>
              <w:t>Amended Activation Record + customs instruction</w:t>
            </w:r>
          </w:p>
        </w:tc>
      </w:tr>
    </w:tbl>
    <w:p>
      <w:pPr>
        <w:pStyle w:val="Heading2"/>
        <w:keepNext/>
        <w:widowControl/>
        <w:spacing w:before="160" w:after="80"/>
      </w:pPr>
      <w:r>
        <w:t>Part B — United States Covered Measures</w:t>
      </w:r>
    </w:p>
    <w:p>
      <w:pPr>
        <w:widowControl/>
      </w:pPr>
      <w:r>
        <w:t>Part B covers only United States measures that the United States expressly identifies in its Activation Notice and that Canada accepts in the Activation Record as the reciprocal relief supporting Canadian abeyance. At minimum, the notice should identify the additional duties on Canadian goods that are being suspended or not collected, including the controlling proclamation, order, tariff schedule, rate, product scope, exclusions, and any Section 232 or other measures included in the reciprocal package. This functional incorporation avoids inventing proclamation numbers or tariff classifications and makes the United States government’s own executing notice the controlling source for what it has actually agreed to pause.</w:t>
      </w:r>
    </w:p>
    <w:tbl>
      <w:tblPr>
        <w:tblW w:type="auto" w:w="0"/>
        <w:jc w:val="center"/>
        <w:tblLook w:firstColumn="1" w:firstRow="1" w:lastColumn="0" w:lastRow="0" w:noHBand="0" w:noVBand="1" w:val="04A0"/>
      </w:tblPr>
      <w:tblGrid>
        <w:gridCol w:w="1958"/>
        <w:gridCol w:w="1958"/>
        <w:gridCol w:w="1958"/>
        <w:gridCol w:w="1958"/>
        <w:gridCol w:w="1958"/>
      </w:tblGrid>
      <w:tr>
        <w:trPr>
          <w:cantSplit/>
        </w:trPr>
        <w:tc>
          <w:tcPr>
            <w:tcW w:type="dxa" w:w="1958"/>
            <w:vAlign w:val="top"/>
            <w:shd w:fill="E8EEF5"/>
          </w:tcPr>
          <w:p>
            <w:r/>
            <w:r>
              <w:rPr>
                <w:b/>
                <w:sz w:val="17"/>
              </w:rPr>
              <w:t>U.S. measure</w:t>
            </w:r>
          </w:p>
        </w:tc>
        <w:tc>
          <w:tcPr>
            <w:tcW w:type="dxa" w:w="1958"/>
            <w:vAlign w:val="top"/>
            <w:shd w:fill="E8EEF5"/>
          </w:tcPr>
          <w:p>
            <w:r/>
            <w:r>
              <w:rPr>
                <w:b/>
                <w:sz w:val="17"/>
              </w:rPr>
              <w:t>Controlling instrument</w:t>
            </w:r>
          </w:p>
        </w:tc>
        <w:tc>
          <w:tcPr>
            <w:tcW w:type="dxa" w:w="1958"/>
            <w:vAlign w:val="top"/>
            <w:shd w:fill="E8EEF5"/>
          </w:tcPr>
          <w:p>
            <w:r/>
            <w:r>
              <w:rPr>
                <w:b/>
                <w:sz w:val="17"/>
              </w:rPr>
              <w:t>Scope</w:t>
            </w:r>
          </w:p>
        </w:tc>
        <w:tc>
          <w:tcPr>
            <w:tcW w:type="dxa" w:w="1958"/>
            <w:vAlign w:val="top"/>
            <w:shd w:fill="E8EEF5"/>
          </w:tcPr>
          <w:p>
            <w:r/>
            <w:r>
              <w:rPr>
                <w:b/>
                <w:sz w:val="17"/>
              </w:rPr>
              <w:t>Treatment</w:t>
            </w:r>
          </w:p>
        </w:tc>
        <w:tc>
          <w:tcPr>
            <w:tcW w:type="dxa" w:w="1958"/>
            <w:vAlign w:val="top"/>
            <w:shd w:fill="E8EEF5"/>
          </w:tcPr>
          <w:p>
            <w:r/>
            <w:r>
              <w:rPr>
                <w:b/>
                <w:sz w:val="17"/>
              </w:rPr>
              <w:t>Activation evidence</w:t>
            </w:r>
          </w:p>
        </w:tc>
      </w:tr>
      <w:tr>
        <w:trPr>
          <w:cantSplit/>
        </w:trPr>
        <w:tc>
          <w:tcPr>
            <w:tcW w:type="dxa" w:w="1958"/>
            <w:vAlign w:val="top"/>
          </w:tcPr>
          <w:p>
            <w:r/>
            <w:r>
              <w:rPr>
                <w:b w:val="0"/>
                <w:sz w:val="17"/>
              </w:rPr>
              <w:t>Additional duties on Canadian goods paired to the Sept. 8 Canadian schedule</w:t>
            </w:r>
          </w:p>
        </w:tc>
        <w:tc>
          <w:tcPr>
            <w:tcW w:type="dxa" w:w="1958"/>
            <w:vAlign w:val="top"/>
          </w:tcPr>
          <w:p>
            <w:r/>
            <w:r>
              <w:rPr>
                <w:b w:val="0"/>
                <w:sz w:val="17"/>
              </w:rPr>
              <w:t>To be identified in U.S. Activation Notice by official instrument</w:t>
            </w:r>
          </w:p>
        </w:tc>
        <w:tc>
          <w:tcPr>
            <w:tcW w:type="dxa" w:w="1958"/>
            <w:vAlign w:val="top"/>
          </w:tcPr>
          <w:p>
            <w:r/>
            <w:r>
              <w:rPr>
                <w:b w:val="0"/>
                <w:sz w:val="17"/>
              </w:rPr>
              <w:t>Goods/rates expressly listed or incorporated by official U.S. reference</w:t>
            </w:r>
          </w:p>
        </w:tc>
        <w:tc>
          <w:tcPr>
            <w:tcW w:type="dxa" w:w="1958"/>
            <w:vAlign w:val="top"/>
          </w:tcPr>
          <w:p>
            <w:r/>
            <w:r>
              <w:rPr>
                <w:b w:val="0"/>
                <w:sz w:val="17"/>
              </w:rPr>
              <w:t>Temporary non-collection for Standstill Period</w:t>
            </w:r>
          </w:p>
        </w:tc>
        <w:tc>
          <w:tcPr>
            <w:tcW w:type="dxa" w:w="1958"/>
            <w:vAlign w:val="top"/>
          </w:tcPr>
          <w:p>
            <w:r/>
            <w:r>
              <w:rPr>
                <w:b w:val="0"/>
                <w:sz w:val="17"/>
              </w:rPr>
              <w:t>U.S. Activation Notice + CBP instruction</w:t>
            </w:r>
          </w:p>
        </w:tc>
      </w:tr>
      <w:tr>
        <w:trPr>
          <w:cantSplit/>
        </w:trPr>
        <w:tc>
          <w:tcPr>
            <w:tcW w:type="dxa" w:w="1958"/>
            <w:vAlign w:val="top"/>
          </w:tcPr>
          <w:p>
            <w:r/>
            <w:r>
              <w:rPr>
                <w:b w:val="0"/>
                <w:sz w:val="17"/>
              </w:rPr>
              <w:t>Section 232 measures, if mutually included</w:t>
            </w:r>
          </w:p>
        </w:tc>
        <w:tc>
          <w:tcPr>
            <w:tcW w:type="dxa" w:w="1958"/>
            <w:vAlign w:val="top"/>
          </w:tcPr>
          <w:p>
            <w:r/>
            <w:r>
              <w:rPr>
                <w:b w:val="0"/>
                <w:sz w:val="17"/>
              </w:rPr>
              <w:t>Relevant proclamation/order identified by United States</w:t>
            </w:r>
          </w:p>
        </w:tc>
        <w:tc>
          <w:tcPr>
            <w:tcW w:type="dxa" w:w="1958"/>
            <w:vAlign w:val="top"/>
          </w:tcPr>
          <w:p>
            <w:r/>
            <w:r>
              <w:rPr>
                <w:b w:val="0"/>
                <w:sz w:val="17"/>
              </w:rPr>
              <w:t>Only products and rates expressly accepted in Activation Record</w:t>
            </w:r>
          </w:p>
        </w:tc>
        <w:tc>
          <w:tcPr>
            <w:tcW w:type="dxa" w:w="1958"/>
            <w:vAlign w:val="top"/>
          </w:tcPr>
          <w:p>
            <w:r/>
            <w:r>
              <w:rPr>
                <w:b w:val="0"/>
                <w:sz w:val="17"/>
              </w:rPr>
              <w:t>Temporary suspension, quota treatment, exclusion, or non-collection as agreed</w:t>
            </w:r>
          </w:p>
        </w:tc>
        <w:tc>
          <w:tcPr>
            <w:tcW w:type="dxa" w:w="1958"/>
            <w:vAlign w:val="top"/>
          </w:tcPr>
          <w:p>
            <w:r/>
            <w:r>
              <w:rPr>
                <w:b w:val="0"/>
                <w:sz w:val="17"/>
              </w:rPr>
              <w:t>Amended Activation Record + CBP instruction</w:t>
            </w:r>
          </w:p>
        </w:tc>
      </w:tr>
    </w:tbl>
    <w:p>
      <w:pPr>
        <w:pStyle w:val="Heading2"/>
        <w:keepNext/>
        <w:widowControl/>
        <w:spacing w:before="160" w:after="80"/>
      </w:pPr>
      <w:r>
        <w:t>Part C — Equivalence and Pairing Record</w:t>
      </w:r>
    </w:p>
    <w:p>
      <w:pPr>
        <w:widowControl/>
      </w:pPr>
      <w:r>
        <w:t>The Parties are not required to declare that the legal character, nominal tariff rate, or product composition of their Covered Measures is identical. For activation purposes, they need only record that the reciprocal package is politically and commercially sufficient to support the temporary standstill, while preserving the right to negotiate a different valuation or final settlement later. The Activation Record shall therefore identify the paired Canadian and United States relief and state whether the pairing is whole-of-schedule, sector-specific, or measure-specific.</w:t>
      </w:r>
    </w:p>
    <w:p>
      <w:pPr>
        <w:pStyle w:val="Heading1"/>
        <w:keepNext/>
        <w:widowControl/>
        <w:spacing w:before="240" w:after="120"/>
      </w:pPr>
      <w:r>
        <w:t>ANNEX II — IMPLEMENTATION AND CUSTOMS COORDINATION</w:t>
      </w:r>
    </w:p>
    <w:p>
      <w:pPr>
        <w:pStyle w:val="Heading2"/>
        <w:keepNext/>
        <w:widowControl/>
        <w:spacing w:before="160" w:after="80"/>
      </w:pPr>
      <w:r>
        <w:t>A. Operational Contacts</w:t>
      </w:r>
    </w:p>
    <w:p>
      <w:pPr>
        <w:widowControl/>
      </w:pPr>
      <w:r>
        <w:t>Canada shall identify a Department of Finance or Global Affairs Canada senior policy contact and a Canada Border Services Agency operational contact, while the United States shall identify a USTR or other senior policy contact and a U.S. Customs and Border Protection operational contact. Each contact shall have a continuously monitored method for urgent communication during the first forty-eight hours after activation and during any Cothrom cure period. The Parties may use secure government channels for protected information and ordinary authenticated email for non-sensitive notices.</w:t>
      </w:r>
    </w:p>
    <w:p>
      <w:pPr>
        <w:pStyle w:val="Heading2"/>
        <w:keepNext/>
        <w:widowControl/>
        <w:spacing w:before="160" w:after="80"/>
      </w:pPr>
      <w:r>
        <w:t>B. Customs Instructions</w:t>
      </w:r>
    </w:p>
    <w:p>
      <w:pPr>
        <w:widowControl/>
      </w:pPr>
      <w:r>
        <w:t>Each customs administration shall issue an instruction that identifies the Covered Measures, the Effective Time, the treatment of entries, any exemption or special-program indicator, and the procedure for correcting an erroneous assessment. The instruction should be sufficiently specific that a front-line officer, broker, importer, and automated entry system can determine whether the additional duty is collectible without consulting the political negotiating record. Where programming cannot be completed before activation, the Party shall identify a lawful interim manual or remission procedure and a deadline for full system implementation.</w:t>
      </w:r>
    </w:p>
    <w:p>
      <w:pPr>
        <w:pStyle w:val="Heading2"/>
        <w:keepNext/>
        <w:widowControl/>
        <w:spacing w:before="160" w:after="80"/>
      </w:pPr>
      <w:r>
        <w:t>C. Entry-Date Rule</w:t>
      </w:r>
    </w:p>
    <w:p>
      <w:pPr>
        <w:widowControl/>
      </w:pPr>
      <w:r>
        <w:t>Unless the Activation Record states otherwise, abeyance applies to goods entered for consumption or withdrawn from warehouse for consumption on or after the Effective Time and before the end of the Standstill Period. The Parties may use their ordinary domestic customs concepts for determining the legally relevant entry event, but shall explain any material difference that could create asymmetric treatment. A shipment should not lose standstill treatment because of a purely administrative processing delay after the legally relevant entry event has occurred.</w:t>
      </w:r>
    </w:p>
    <w:p>
      <w:pPr>
        <w:pStyle w:val="Heading2"/>
        <w:keepNext/>
        <w:widowControl/>
        <w:spacing w:before="160" w:after="80"/>
      </w:pPr>
      <w:r>
        <w:t>D. Transit Protection</w:t>
      </w:r>
    </w:p>
    <w:p>
      <w:pPr>
        <w:widowControl/>
      </w:pPr>
      <w:r>
        <w:t>For the Canadian September 8 schedule, the official Canadian announcement already excludes United States goods in transit on the day the countermeasures come into force, and that treatment shall be preserved if the schedule is activated after a period of abeyance unless Canada lawfully provides more favorable treatment. For any U.S. Covered Measure restored after abeyance, the United States should provide a commercially reasonable transit rule in its customs instruction so that goods demonstrably shipped before the restoration time are not unexpectedly re-rated where domestic law permits. The Parties shall use bills of lading, carrier acceptance records, warehouse records, or equivalent evidence to administer transit treatment and shall guard against artificial stockpiling designed solely to exploit a grace period.</w:t>
      </w:r>
    </w:p>
    <w:p>
      <w:pPr>
        <w:pStyle w:val="Heading2"/>
        <w:keepNext/>
        <w:widowControl/>
        <w:spacing w:before="160" w:after="80"/>
      </w:pPr>
      <w:r>
        <w:t>E. Erroneous Collections and Refunds</w:t>
      </w:r>
    </w:p>
    <w:p>
      <w:pPr>
        <w:widowControl/>
      </w:pPr>
      <w:r>
        <w:t>If a customs authority collects a Covered Measure contrary to the standstill, the responsible Party shall identify the fastest legally available correction mechanism and shall assist the affected importer in using it. The correction may occur through re-liquidation, post-summary correction, protest, refund, remission, adjustment, or another lawful procedure, and the use of one mechanism rather than another does not itself establish breach. A systemic error affecting multiple entries shall be corrected in batch or through another administratively efficient method where available rather than forcing identical individual disputes to proceed separately.</w:t>
      </w:r>
    </w:p>
    <w:p>
      <w:pPr>
        <w:pStyle w:val="Heading2"/>
        <w:keepNext/>
        <w:widowControl/>
        <w:spacing w:before="160" w:after="80"/>
      </w:pPr>
      <w:r>
        <w:t>F. Daily First-48-Hour Check</w:t>
      </w:r>
    </w:p>
    <w:p>
      <w:pPr>
        <w:widowControl/>
      </w:pPr>
      <w:r>
        <w:t>During the first forty-eight hours after activation, the customs contacts shall exchange at least one implementation status update every twelve hours or confirm that no material anomaly has been detected. The update shall identify system status, known erroneous collections, significant broker or importer inquiries, and any interpretation requiring joint attention, while avoiding unnecessary disclosure of protected commercial information. After forty-eight hours, updates become event-driven unless the designated officials agree that continued daily reporting is useful.</w:t>
      </w:r>
    </w:p>
    <w:p>
      <w:pPr>
        <w:pStyle w:val="Heading1"/>
        <w:keepNext/>
        <w:widowControl/>
        <w:spacing w:before="240" w:after="120"/>
      </w:pPr>
      <w:r>
        <w:t>ANNEX III — COTHROM VERIFICATION AND REMEDY MATRIX</w:t>
      </w:r>
    </w:p>
    <w:p>
      <w:pPr>
        <w:widowControl/>
      </w:pPr>
      <w:r>
        <w:t>This Annex translates the Cothrom principles of proportionality, human review, cooling-off, modularity, and earn-back into a short tariff-standstill procedure. The matrix is a routing tool rather than an automated penalty schedule, and the facts of a case control over the shorthand category assigned to it. Where uncertainty exists between categories, the Parties shall use the less disruptive route while verification continues unless ongoing collection is causing material and irreparable commercial harm.</w:t>
      </w:r>
    </w:p>
    <w:tbl>
      <w:tblPr>
        <w:tblW w:type="auto" w:w="0"/>
        <w:jc w:val="center"/>
        <w:tblLook w:firstColumn="1" w:firstRow="1" w:lastColumn="0" w:lastRow="0" w:noHBand="0" w:noVBand="1" w:val="04A0"/>
      </w:tblPr>
      <w:tblGrid>
        <w:gridCol w:w="1958"/>
        <w:gridCol w:w="1958"/>
        <w:gridCol w:w="1958"/>
        <w:gridCol w:w="1958"/>
        <w:gridCol w:w="1958"/>
      </w:tblGrid>
      <w:tr>
        <w:trPr>
          <w:cantSplit/>
        </w:trPr>
        <w:tc>
          <w:tcPr>
            <w:tcW w:type="dxa" w:w="1958"/>
            <w:vAlign w:val="top"/>
            <w:shd w:fill="E8EEF5"/>
          </w:tcPr>
          <w:p>
            <w:r/>
            <w:r>
              <w:rPr>
                <w:b/>
                <w:sz w:val="17"/>
              </w:rPr>
              <w:t>Event</w:t>
            </w:r>
          </w:p>
        </w:tc>
        <w:tc>
          <w:tcPr>
            <w:tcW w:type="dxa" w:w="1958"/>
            <w:vAlign w:val="top"/>
            <w:shd w:fill="E8EEF5"/>
          </w:tcPr>
          <w:p>
            <w:r/>
            <w:r>
              <w:rPr>
                <w:b/>
                <w:sz w:val="17"/>
              </w:rPr>
              <w:t>Verification route</w:t>
            </w:r>
          </w:p>
        </w:tc>
        <w:tc>
          <w:tcPr>
            <w:tcW w:type="dxa" w:w="1958"/>
            <w:vAlign w:val="top"/>
            <w:shd w:fill="E8EEF5"/>
          </w:tcPr>
          <w:p>
            <w:r/>
            <w:r>
              <w:rPr>
                <w:b/>
                <w:sz w:val="17"/>
              </w:rPr>
              <w:t>Default cure</w:t>
            </w:r>
          </w:p>
        </w:tc>
        <w:tc>
          <w:tcPr>
            <w:tcW w:type="dxa" w:w="1958"/>
            <w:vAlign w:val="top"/>
            <w:shd w:fill="E8EEF5"/>
          </w:tcPr>
          <w:p>
            <w:r/>
            <w:r>
              <w:rPr>
                <w:b/>
                <w:sz w:val="17"/>
              </w:rPr>
              <w:t>Permitted response</w:t>
            </w:r>
          </w:p>
        </w:tc>
        <w:tc>
          <w:tcPr>
            <w:tcW w:type="dxa" w:w="1958"/>
            <w:vAlign w:val="top"/>
            <w:shd w:fill="E8EEF5"/>
          </w:tcPr>
          <w:p>
            <w:r/>
            <w:r>
              <w:rPr>
                <w:b/>
                <w:sz w:val="17"/>
              </w:rPr>
              <w:t>Restoration</w:t>
            </w:r>
          </w:p>
        </w:tc>
      </w:tr>
      <w:tr>
        <w:trPr>
          <w:cantSplit/>
        </w:trPr>
        <w:tc>
          <w:tcPr>
            <w:tcW w:type="dxa" w:w="1958"/>
            <w:vAlign w:val="top"/>
          </w:tcPr>
          <w:p>
            <w:r/>
            <w:r>
              <w:rPr>
                <w:b w:val="0"/>
                <w:sz w:val="17"/>
              </w:rPr>
              <w:t>Isolated coding, timing, or clerical error</w:t>
            </w:r>
          </w:p>
        </w:tc>
        <w:tc>
          <w:tcPr>
            <w:tcW w:type="dxa" w:w="1958"/>
            <w:vAlign w:val="top"/>
          </w:tcPr>
          <w:p>
            <w:r/>
            <w:r>
              <w:rPr>
                <w:b w:val="0"/>
                <w:sz w:val="17"/>
              </w:rPr>
              <w:t>Rapid Inquiry; customs confirmation</w:t>
            </w:r>
          </w:p>
        </w:tc>
        <w:tc>
          <w:tcPr>
            <w:tcW w:type="dxa" w:w="1958"/>
            <w:vAlign w:val="top"/>
          </w:tcPr>
          <w:p>
            <w:r/>
            <w:r>
              <w:rPr>
                <w:b w:val="0"/>
                <w:sz w:val="17"/>
              </w:rPr>
              <w:t>Begin immediately; target correction within 24 hours</w:t>
            </w:r>
          </w:p>
        </w:tc>
        <w:tc>
          <w:tcPr>
            <w:tcW w:type="dxa" w:w="1958"/>
            <w:vAlign w:val="top"/>
          </w:tcPr>
          <w:p>
            <w:r/>
            <w:r>
              <w:rPr>
                <w:b w:val="0"/>
                <w:sz w:val="17"/>
              </w:rPr>
              <w:t>No tariff step-back while good-faith correction proceeds</w:t>
            </w:r>
          </w:p>
        </w:tc>
        <w:tc>
          <w:tcPr>
            <w:tcW w:type="dxa" w:w="1958"/>
            <w:vAlign w:val="top"/>
          </w:tcPr>
          <w:p>
            <w:r/>
            <w:r>
              <w:rPr>
                <w:b w:val="0"/>
                <w:sz w:val="17"/>
              </w:rPr>
              <w:t>Automatic on correction; refund process continues</w:t>
            </w:r>
          </w:p>
        </w:tc>
      </w:tr>
      <w:tr>
        <w:trPr>
          <w:cantSplit/>
        </w:trPr>
        <w:tc>
          <w:tcPr>
            <w:tcW w:type="dxa" w:w="1958"/>
            <w:vAlign w:val="top"/>
          </w:tcPr>
          <w:p>
            <w:r/>
            <w:r>
              <w:rPr>
                <w:b w:val="0"/>
                <w:sz w:val="17"/>
              </w:rPr>
              <w:t>Isolated incorrect collection with commercial effect</w:t>
            </w:r>
          </w:p>
        </w:tc>
        <w:tc>
          <w:tcPr>
            <w:tcW w:type="dxa" w:w="1958"/>
            <w:vAlign w:val="top"/>
          </w:tcPr>
          <w:p>
            <w:r/>
            <w:r>
              <w:rPr>
                <w:b w:val="0"/>
                <w:sz w:val="17"/>
              </w:rPr>
              <w:t>Entry record + official system/instruction check</w:t>
            </w:r>
          </w:p>
        </w:tc>
        <w:tc>
          <w:tcPr>
            <w:tcW w:type="dxa" w:w="1958"/>
            <w:vAlign w:val="top"/>
          </w:tcPr>
          <w:p>
            <w:r/>
            <w:r>
              <w:rPr>
                <w:b w:val="0"/>
                <w:sz w:val="17"/>
              </w:rPr>
              <w:t>Correction/refund initiated within 24–48 hours</w:t>
            </w:r>
          </w:p>
        </w:tc>
        <w:tc>
          <w:tcPr>
            <w:tcW w:type="dxa" w:w="1958"/>
            <w:vAlign w:val="top"/>
          </w:tcPr>
          <w:p>
            <w:r/>
            <w:r>
              <w:rPr>
                <w:b w:val="0"/>
                <w:sz w:val="17"/>
              </w:rPr>
              <w:t>No broader response unless knowingly left uncured</w:t>
            </w:r>
          </w:p>
        </w:tc>
        <w:tc>
          <w:tcPr>
            <w:tcW w:type="dxa" w:w="1958"/>
            <w:vAlign w:val="top"/>
          </w:tcPr>
          <w:p>
            <w:r/>
            <w:r>
              <w:rPr>
                <w:b w:val="0"/>
                <w:sz w:val="17"/>
              </w:rPr>
              <w:t>Immediate after verified non-collection</w:t>
            </w:r>
          </w:p>
        </w:tc>
      </w:tr>
      <w:tr>
        <w:trPr>
          <w:cantSplit/>
        </w:trPr>
        <w:tc>
          <w:tcPr>
            <w:tcW w:type="dxa" w:w="1958"/>
            <w:vAlign w:val="top"/>
          </w:tcPr>
          <w:p>
            <w:r/>
            <w:r>
              <w:rPr>
                <w:b w:val="0"/>
                <w:sz w:val="17"/>
              </w:rPr>
              <w:t>Material official instruction or deliberate collection</w:t>
            </w:r>
          </w:p>
        </w:tc>
        <w:tc>
          <w:tcPr>
            <w:tcW w:type="dxa" w:w="1958"/>
            <w:vAlign w:val="top"/>
          </w:tcPr>
          <w:p>
            <w:r/>
            <w:r>
              <w:rPr>
                <w:b w:val="0"/>
                <w:sz w:val="17"/>
              </w:rPr>
              <w:t>Material Compliance Notice; senior technical conference</w:t>
            </w:r>
          </w:p>
        </w:tc>
        <w:tc>
          <w:tcPr>
            <w:tcW w:type="dxa" w:w="1958"/>
            <w:vAlign w:val="top"/>
          </w:tcPr>
          <w:p>
            <w:r/>
            <w:r>
              <w:rPr>
                <w:b w:val="0"/>
                <w:sz w:val="17"/>
              </w:rPr>
              <w:t>Ordinarily 48 hours</w:t>
            </w:r>
          </w:p>
        </w:tc>
        <w:tc>
          <w:tcPr>
            <w:tcW w:type="dxa" w:w="1958"/>
            <w:vAlign w:val="top"/>
          </w:tcPr>
          <w:p>
            <w:r/>
            <w:r>
              <w:rPr>
                <w:b w:val="0"/>
                <w:sz w:val="17"/>
              </w:rPr>
              <w:t>Narrow corresponding step-back after uncured verification</w:t>
            </w:r>
          </w:p>
        </w:tc>
        <w:tc>
          <w:tcPr>
            <w:tcW w:type="dxa" w:w="1958"/>
            <w:vAlign w:val="top"/>
          </w:tcPr>
          <w:p>
            <w:r/>
            <w:r>
              <w:rPr>
                <w:b w:val="0"/>
                <w:sz w:val="17"/>
              </w:rPr>
              <w:t>After 48 hours verified compliant operation</w:t>
            </w:r>
          </w:p>
        </w:tc>
      </w:tr>
      <w:tr>
        <w:trPr>
          <w:cantSplit/>
        </w:trPr>
        <w:tc>
          <w:tcPr>
            <w:tcW w:type="dxa" w:w="1958"/>
            <w:vAlign w:val="top"/>
          </w:tcPr>
          <w:p>
            <w:r/>
            <w:r>
              <w:rPr>
                <w:b w:val="0"/>
                <w:sz w:val="17"/>
              </w:rPr>
              <w:t>Systemic circumvention or repeated deliberate collection</w:t>
            </w:r>
          </w:p>
        </w:tc>
        <w:tc>
          <w:tcPr>
            <w:tcW w:type="dxa" w:w="1958"/>
            <w:vAlign w:val="top"/>
          </w:tcPr>
          <w:p>
            <w:r/>
            <w:r>
              <w:rPr>
                <w:b w:val="0"/>
                <w:sz w:val="17"/>
              </w:rPr>
              <w:t>Enhanced review; senior-official emergency consultation</w:t>
            </w:r>
          </w:p>
        </w:tc>
        <w:tc>
          <w:tcPr>
            <w:tcW w:type="dxa" w:w="1958"/>
            <w:vAlign w:val="top"/>
          </w:tcPr>
          <w:p>
            <w:r/>
            <w:r>
              <w:rPr>
                <w:b w:val="0"/>
                <w:sz w:val="17"/>
              </w:rPr>
              <w:t>Final cure opportunity, normally 24–48 hours</w:t>
            </w:r>
          </w:p>
        </w:tc>
        <w:tc>
          <w:tcPr>
            <w:tcW w:type="dxa" w:w="1958"/>
            <w:vAlign w:val="top"/>
          </w:tcPr>
          <w:p>
            <w:r/>
            <w:r>
              <w:rPr>
                <w:b w:val="0"/>
                <w:sz w:val="17"/>
              </w:rPr>
              <w:t>Broader corresponding restoration or termination if uncured</w:t>
            </w:r>
          </w:p>
        </w:tc>
        <w:tc>
          <w:tcPr>
            <w:tcW w:type="dxa" w:w="1958"/>
            <w:vAlign w:val="top"/>
          </w:tcPr>
          <w:p>
            <w:r/>
            <w:r>
              <w:rPr>
                <w:b w:val="0"/>
                <w:sz w:val="17"/>
              </w:rPr>
              <w:t>After up to 72 hours verified compliant operation or by agreement</w:t>
            </w:r>
          </w:p>
        </w:tc>
      </w:tr>
      <w:tr>
        <w:trPr>
          <w:cantSplit/>
        </w:trPr>
        <w:tc>
          <w:tcPr>
            <w:tcW w:type="dxa" w:w="1958"/>
            <w:vAlign w:val="top"/>
          </w:tcPr>
          <w:p>
            <w:r/>
            <w:r>
              <w:rPr>
                <w:b w:val="0"/>
                <w:sz w:val="17"/>
              </w:rPr>
              <w:t>Formal repudiation of standstill</w:t>
            </w:r>
          </w:p>
        </w:tc>
        <w:tc>
          <w:tcPr>
            <w:tcW w:type="dxa" w:w="1958"/>
            <w:vAlign w:val="top"/>
          </w:tcPr>
          <w:p>
            <w:r/>
            <w:r>
              <w:rPr>
                <w:b w:val="0"/>
                <w:sz w:val="17"/>
              </w:rPr>
              <w:t>Authenticated official statement or unequivocal governmental act</w:t>
            </w:r>
          </w:p>
        </w:tc>
        <w:tc>
          <w:tcPr>
            <w:tcW w:type="dxa" w:w="1958"/>
            <w:vAlign w:val="top"/>
          </w:tcPr>
          <w:p>
            <w:r/>
            <w:r>
              <w:rPr>
                <w:b w:val="0"/>
                <w:sz w:val="17"/>
              </w:rPr>
              <w:t>Emergency consultation where practicable</w:t>
            </w:r>
          </w:p>
        </w:tc>
        <w:tc>
          <w:tcPr>
            <w:tcW w:type="dxa" w:w="1958"/>
            <w:vAlign w:val="top"/>
          </w:tcPr>
          <w:p>
            <w:r/>
            <w:r>
              <w:rPr>
                <w:b w:val="0"/>
                <w:sz w:val="17"/>
              </w:rPr>
              <w:t>Accelerated termination or restoration of affected Covered Measures</w:t>
            </w:r>
          </w:p>
        </w:tc>
        <w:tc>
          <w:tcPr>
            <w:tcW w:type="dxa" w:w="1958"/>
            <w:vAlign w:val="top"/>
          </w:tcPr>
          <w:p>
            <w:r/>
            <w:r>
              <w:rPr>
                <w:b w:val="0"/>
                <w:sz w:val="17"/>
              </w:rPr>
              <w:t>By renewed written agreement</w:t>
            </w:r>
          </w:p>
        </w:tc>
      </w:tr>
    </w:tbl>
    <w:p>
      <w:pPr>
        <w:pStyle w:val="Heading2"/>
        <w:keepNext/>
        <w:widowControl/>
        <w:spacing w:before="160" w:after="80"/>
      </w:pPr>
      <w:r>
        <w:t>A. Proportionality Test</w:t>
      </w:r>
    </w:p>
    <w:p>
      <w:pPr>
        <w:widowControl/>
      </w:pPr>
      <w:r>
        <w:t>Before authorizing a step-back, the designated senior official shall consider the value of trade affected, duration of the breach, number of entries, evidence of intent, correction efforts, availability of refunds, and whether a narrower response can restore reciprocity. The response shall not be designed to punish unrelated industries or to create negotiating leverage beyond restoring the balance of the standstill. Where precise valuation is impracticable within the emergency clock, the official may use a reasonable conservative estimate and shall narrow or withdraw the response when better evidence becomes available.</w:t>
      </w:r>
    </w:p>
    <w:p>
      <w:pPr>
        <w:pStyle w:val="Heading2"/>
        <w:keepNext/>
        <w:widowControl/>
        <w:spacing w:before="160" w:after="80"/>
      </w:pPr>
      <w:r>
        <w:t>B. Earn-Back Certification</w:t>
      </w:r>
    </w:p>
    <w:p>
      <w:pPr>
        <w:widowControl/>
      </w:pPr>
      <w:r>
        <w:t>An earn-back certification shall identify the corrective action taken, the time at which non-compliant collection ceased, any refund or correction process underway, and the period of verified compliant operation. The complaining Party shall not withhold restoration merely to obtain an unrelated concession once the defined compliance conditions have been satisfied. If the Parties disagree about whether earn-back conditions are complete, they shall maintain the narrowest practicable interim response while the outstanding factual question is resolved.</w:t>
      </w:r>
    </w:p>
    <w:p>
      <w:pPr>
        <w:pStyle w:val="Heading1"/>
        <w:keepNext/>
        <w:widowControl/>
        <w:spacing w:before="240" w:after="120"/>
      </w:pPr>
      <w:r>
        <w:t>ANNEX IV — TWENTY-ONE-DAY NEGOTIATING WORK PROGRAMME</w:t>
      </w:r>
    </w:p>
    <w:p>
      <w:pPr>
        <w:widowControl/>
      </w:pPr>
      <w:r>
        <w:t>This work programme organizes negotiations without making their substantive success a condition of the standstill. The Parties should use existing officials and forums wherever practicable, should avoid creating permanent committees for a twenty-one-day emergency window, and should record both areas of convergence and unresolved questions. Each track may produce a final settlement, a term sheet, a verified data package, a referral to a longer process, or a written record that no agreement was reached.</w:t>
      </w:r>
    </w:p>
    <w:tbl>
      <w:tblPr>
        <w:tblW w:type="auto" w:w="0"/>
        <w:jc w:val="center"/>
        <w:tblLook w:firstColumn="1" w:firstRow="1" w:lastColumn="0" w:lastRow="0" w:noHBand="0" w:noVBand="1" w:val="04A0"/>
      </w:tblPr>
      <w:tblGrid>
        <w:gridCol w:w="2448"/>
        <w:gridCol w:w="2448"/>
        <w:gridCol w:w="2448"/>
        <w:gridCol w:w="2448"/>
      </w:tblGrid>
      <w:tr>
        <w:trPr>
          <w:cantSplit/>
        </w:trPr>
        <w:tc>
          <w:tcPr>
            <w:tcW w:type="dxa" w:w="2448"/>
            <w:vAlign w:val="top"/>
            <w:shd w:fill="E8EEF5"/>
          </w:tcPr>
          <w:p>
            <w:r/>
            <w:r>
              <w:rPr>
                <w:b/>
                <w:sz w:val="17"/>
              </w:rPr>
              <w:t>Track</w:t>
            </w:r>
          </w:p>
        </w:tc>
        <w:tc>
          <w:tcPr>
            <w:tcW w:type="dxa" w:w="2448"/>
            <w:vAlign w:val="top"/>
            <w:shd w:fill="E8EEF5"/>
          </w:tcPr>
          <w:p>
            <w:r/>
            <w:r>
              <w:rPr>
                <w:b/>
                <w:sz w:val="17"/>
              </w:rPr>
              <w:t>Initial objective</w:t>
            </w:r>
          </w:p>
        </w:tc>
        <w:tc>
          <w:tcPr>
            <w:tcW w:type="dxa" w:w="2448"/>
            <w:vAlign w:val="top"/>
            <w:shd w:fill="E8EEF5"/>
          </w:tcPr>
          <w:p>
            <w:r/>
            <w:r>
              <w:rPr>
                <w:b/>
                <w:sz w:val="17"/>
              </w:rPr>
              <w:t>Opening meeting</w:t>
            </w:r>
          </w:p>
        </w:tc>
        <w:tc>
          <w:tcPr>
            <w:tcW w:type="dxa" w:w="2448"/>
            <w:vAlign w:val="top"/>
            <w:shd w:fill="E8EEF5"/>
          </w:tcPr>
          <w:p>
            <w:r/>
            <w:r>
              <w:rPr>
                <w:b/>
                <w:sz w:val="17"/>
              </w:rPr>
              <w:t>Day-21 output</w:t>
            </w:r>
          </w:p>
        </w:tc>
      </w:tr>
      <w:tr>
        <w:trPr>
          <w:cantSplit/>
        </w:trPr>
        <w:tc>
          <w:tcPr>
            <w:tcW w:type="dxa" w:w="2448"/>
            <w:vAlign w:val="top"/>
          </w:tcPr>
          <w:p>
            <w:r/>
            <w:r>
              <w:rPr>
                <w:b w:val="0"/>
                <w:sz w:val="17"/>
              </w:rPr>
              <w:t>Tariffs and extraordinary measures</w:t>
            </w:r>
          </w:p>
        </w:tc>
        <w:tc>
          <w:tcPr>
            <w:tcW w:type="dxa" w:w="2448"/>
            <w:vAlign w:val="top"/>
          </w:tcPr>
          <w:p>
            <w:r/>
            <w:r>
              <w:rPr>
                <w:b w:val="0"/>
                <w:sz w:val="17"/>
              </w:rPr>
              <w:t>Identify durable normalization or longer standstill options</w:t>
            </w:r>
          </w:p>
        </w:tc>
        <w:tc>
          <w:tcPr>
            <w:tcW w:type="dxa" w:w="2448"/>
            <w:vAlign w:val="top"/>
          </w:tcPr>
          <w:p>
            <w:r/>
            <w:r>
              <w:rPr>
                <w:b w:val="0"/>
                <w:sz w:val="17"/>
              </w:rPr>
              <w:t>Within 24 hours</w:t>
            </w:r>
          </w:p>
        </w:tc>
        <w:tc>
          <w:tcPr>
            <w:tcW w:type="dxa" w:w="2448"/>
            <w:vAlign w:val="top"/>
          </w:tcPr>
          <w:p>
            <w:r/>
            <w:r>
              <w:rPr>
                <w:b w:val="0"/>
                <w:sz w:val="17"/>
              </w:rPr>
              <w:t>Settlement options and implementation map</w:t>
            </w:r>
          </w:p>
        </w:tc>
      </w:tr>
      <w:tr>
        <w:trPr>
          <w:cantSplit/>
        </w:trPr>
        <w:tc>
          <w:tcPr>
            <w:tcW w:type="dxa" w:w="2448"/>
            <w:vAlign w:val="top"/>
          </w:tcPr>
          <w:p>
            <w:r/>
            <w:r>
              <w:rPr>
                <w:b w:val="0"/>
                <w:sz w:val="17"/>
              </w:rPr>
              <w:t>Autos and rules of origin</w:t>
            </w:r>
          </w:p>
        </w:tc>
        <w:tc>
          <w:tcPr>
            <w:tcW w:type="dxa" w:w="2448"/>
            <w:vAlign w:val="top"/>
          </w:tcPr>
          <w:p>
            <w:r/>
            <w:r>
              <w:rPr>
                <w:b w:val="0"/>
                <w:sz w:val="17"/>
              </w:rPr>
              <w:t>Separate tariff relief from longer-term ROO modernization</w:t>
            </w:r>
          </w:p>
        </w:tc>
        <w:tc>
          <w:tcPr>
            <w:tcW w:type="dxa" w:w="2448"/>
            <w:vAlign w:val="top"/>
          </w:tcPr>
          <w:p>
            <w:r/>
            <w:r>
              <w:rPr>
                <w:b w:val="0"/>
                <w:sz w:val="17"/>
              </w:rPr>
              <w:t>Within 72 hours</w:t>
            </w:r>
          </w:p>
        </w:tc>
        <w:tc>
          <w:tcPr>
            <w:tcW w:type="dxa" w:w="2448"/>
            <w:vAlign w:val="top"/>
          </w:tcPr>
          <w:p>
            <w:r/>
            <w:r>
              <w:rPr>
                <w:b w:val="0"/>
                <w:sz w:val="17"/>
              </w:rPr>
              <w:t>Landing zones, data gaps, or successor mandate</w:t>
            </w:r>
          </w:p>
        </w:tc>
      </w:tr>
      <w:tr>
        <w:trPr>
          <w:cantSplit/>
        </w:trPr>
        <w:tc>
          <w:tcPr>
            <w:tcW w:type="dxa" w:w="2448"/>
            <w:vAlign w:val="top"/>
          </w:tcPr>
          <w:p>
            <w:r/>
            <w:r>
              <w:rPr>
                <w:b w:val="0"/>
                <w:sz w:val="17"/>
              </w:rPr>
              <w:t>Steel and aluminum</w:t>
            </w:r>
          </w:p>
        </w:tc>
        <w:tc>
          <w:tcPr>
            <w:tcW w:type="dxa" w:w="2448"/>
            <w:vAlign w:val="top"/>
          </w:tcPr>
          <w:p>
            <w:r/>
            <w:r>
              <w:rPr>
                <w:b w:val="0"/>
                <w:sz w:val="17"/>
              </w:rPr>
              <w:t>Identify reciprocal relief, monitoring, and anti-circumvention options</w:t>
            </w:r>
          </w:p>
        </w:tc>
        <w:tc>
          <w:tcPr>
            <w:tcW w:type="dxa" w:w="2448"/>
            <w:vAlign w:val="top"/>
          </w:tcPr>
          <w:p>
            <w:r/>
            <w:r>
              <w:rPr>
                <w:b w:val="0"/>
                <w:sz w:val="17"/>
              </w:rPr>
              <w:t>Within 72 hours</w:t>
            </w:r>
          </w:p>
        </w:tc>
        <w:tc>
          <w:tcPr>
            <w:tcW w:type="dxa" w:w="2448"/>
            <w:vAlign w:val="top"/>
          </w:tcPr>
          <w:p>
            <w:r/>
            <w:r>
              <w:rPr>
                <w:b w:val="0"/>
                <w:sz w:val="17"/>
              </w:rPr>
              <w:t>Sectoral normalization options</w:t>
            </w:r>
          </w:p>
        </w:tc>
      </w:tr>
      <w:tr>
        <w:trPr>
          <w:cantSplit/>
        </w:trPr>
        <w:tc>
          <w:tcPr>
            <w:tcW w:type="dxa" w:w="2448"/>
            <w:vAlign w:val="top"/>
          </w:tcPr>
          <w:p>
            <w:r/>
            <w:r>
              <w:rPr>
                <w:b w:val="0"/>
                <w:sz w:val="17"/>
              </w:rPr>
              <w:t>Agriculture and dairy</w:t>
            </w:r>
          </w:p>
        </w:tc>
        <w:tc>
          <w:tcPr>
            <w:tcW w:type="dxa" w:w="2448"/>
            <w:vAlign w:val="top"/>
          </w:tcPr>
          <w:p>
            <w:r/>
            <w:r>
              <w:rPr>
                <w:b w:val="0"/>
                <w:sz w:val="17"/>
              </w:rPr>
              <w:t>Identify administrable market-access and TRQ issues without reopening every agricultural rule</w:t>
            </w:r>
          </w:p>
        </w:tc>
        <w:tc>
          <w:tcPr>
            <w:tcW w:type="dxa" w:w="2448"/>
            <w:vAlign w:val="top"/>
          </w:tcPr>
          <w:p>
            <w:r/>
            <w:r>
              <w:rPr>
                <w:b w:val="0"/>
                <w:sz w:val="17"/>
              </w:rPr>
              <w:t>Within 5 days</w:t>
            </w:r>
          </w:p>
        </w:tc>
        <w:tc>
          <w:tcPr>
            <w:tcW w:type="dxa" w:w="2448"/>
            <w:vAlign w:val="top"/>
          </w:tcPr>
          <w:p>
            <w:r/>
            <w:r>
              <w:rPr>
                <w:b w:val="0"/>
                <w:sz w:val="17"/>
              </w:rPr>
              <w:t>Targeted options and unresolved items</w:t>
            </w:r>
          </w:p>
        </w:tc>
      </w:tr>
      <w:tr>
        <w:trPr>
          <w:cantSplit/>
        </w:trPr>
        <w:tc>
          <w:tcPr>
            <w:tcW w:type="dxa" w:w="2448"/>
            <w:vAlign w:val="top"/>
          </w:tcPr>
          <w:p>
            <w:r/>
            <w:r>
              <w:rPr>
                <w:b w:val="0"/>
                <w:sz w:val="17"/>
              </w:rPr>
              <w:t>Softwood lumber</w:t>
            </w:r>
          </w:p>
        </w:tc>
        <w:tc>
          <w:tcPr>
            <w:tcW w:type="dxa" w:w="2448"/>
            <w:vAlign w:val="top"/>
          </w:tcPr>
          <w:p>
            <w:r/>
            <w:r>
              <w:rPr>
                <w:b w:val="0"/>
                <w:sz w:val="17"/>
              </w:rPr>
              <w:t>Identify interim stabilization and route for the historic bilateral dispute</w:t>
            </w:r>
          </w:p>
        </w:tc>
        <w:tc>
          <w:tcPr>
            <w:tcW w:type="dxa" w:w="2448"/>
            <w:vAlign w:val="top"/>
          </w:tcPr>
          <w:p>
            <w:r/>
            <w:r>
              <w:rPr>
                <w:b w:val="0"/>
                <w:sz w:val="17"/>
              </w:rPr>
              <w:t>Within 5 days</w:t>
            </w:r>
          </w:p>
        </w:tc>
        <w:tc>
          <w:tcPr>
            <w:tcW w:type="dxa" w:w="2448"/>
            <w:vAlign w:val="top"/>
          </w:tcPr>
          <w:p>
            <w:r/>
            <w:r>
              <w:rPr>
                <w:b w:val="0"/>
                <w:sz w:val="17"/>
              </w:rPr>
              <w:t>Negotiating path or sectoral term sheet</w:t>
            </w:r>
          </w:p>
        </w:tc>
      </w:tr>
      <w:tr>
        <w:trPr>
          <w:cantSplit/>
        </w:trPr>
        <w:tc>
          <w:tcPr>
            <w:tcW w:type="dxa" w:w="2448"/>
            <w:vAlign w:val="top"/>
          </w:tcPr>
          <w:p>
            <w:r/>
            <w:r>
              <w:rPr>
                <w:b w:val="0"/>
                <w:sz w:val="17"/>
              </w:rPr>
              <w:t>Procurement</w:t>
            </w:r>
          </w:p>
        </w:tc>
        <w:tc>
          <w:tcPr>
            <w:tcW w:type="dxa" w:w="2448"/>
            <w:vAlign w:val="top"/>
          </w:tcPr>
          <w:p>
            <w:r/>
            <w:r>
              <w:rPr>
                <w:b w:val="0"/>
                <w:sz w:val="17"/>
              </w:rPr>
              <w:t>Map reciprocal federal/sub-federal access issues within actual authority</w:t>
            </w:r>
          </w:p>
        </w:tc>
        <w:tc>
          <w:tcPr>
            <w:tcW w:type="dxa" w:w="2448"/>
            <w:vAlign w:val="top"/>
          </w:tcPr>
          <w:p>
            <w:r/>
            <w:r>
              <w:rPr>
                <w:b w:val="0"/>
                <w:sz w:val="17"/>
              </w:rPr>
              <w:t>Within 7 days</w:t>
            </w:r>
          </w:p>
        </w:tc>
        <w:tc>
          <w:tcPr>
            <w:tcW w:type="dxa" w:w="2448"/>
            <w:vAlign w:val="top"/>
          </w:tcPr>
          <w:p>
            <w:r/>
            <w:r>
              <w:rPr>
                <w:b w:val="0"/>
                <w:sz w:val="17"/>
              </w:rPr>
              <w:t>Implementable access or transparency options</w:t>
            </w:r>
          </w:p>
        </w:tc>
      </w:tr>
      <w:tr>
        <w:trPr>
          <w:cantSplit/>
        </w:trPr>
        <w:tc>
          <w:tcPr>
            <w:tcW w:type="dxa" w:w="2448"/>
            <w:vAlign w:val="top"/>
          </w:tcPr>
          <w:p>
            <w:r/>
            <w:r>
              <w:rPr>
                <w:b w:val="0"/>
                <w:sz w:val="17"/>
              </w:rPr>
              <w:t>Digital and regulatory matters</w:t>
            </w:r>
          </w:p>
        </w:tc>
        <w:tc>
          <w:tcPr>
            <w:tcW w:type="dxa" w:w="2448"/>
            <w:vAlign w:val="top"/>
          </w:tcPr>
          <w:p>
            <w:r/>
            <w:r>
              <w:rPr>
                <w:b w:val="0"/>
                <w:sz w:val="17"/>
              </w:rPr>
              <w:t>Separate concrete discriminatory barriers from broader domestic policy disagreements</w:t>
            </w:r>
          </w:p>
        </w:tc>
        <w:tc>
          <w:tcPr>
            <w:tcW w:type="dxa" w:w="2448"/>
            <w:vAlign w:val="top"/>
          </w:tcPr>
          <w:p>
            <w:r/>
            <w:r>
              <w:rPr>
                <w:b w:val="0"/>
                <w:sz w:val="17"/>
              </w:rPr>
              <w:t>Within 7 days</w:t>
            </w:r>
          </w:p>
        </w:tc>
        <w:tc>
          <w:tcPr>
            <w:tcW w:type="dxa" w:w="2448"/>
            <w:vAlign w:val="top"/>
          </w:tcPr>
          <w:p>
            <w:r/>
            <w:r>
              <w:rPr>
                <w:b w:val="0"/>
                <w:sz w:val="17"/>
              </w:rPr>
              <w:t>Issue matrix and possible accommodations</w:t>
            </w:r>
          </w:p>
        </w:tc>
      </w:tr>
      <w:tr>
        <w:trPr>
          <w:cantSplit/>
        </w:trPr>
        <w:tc>
          <w:tcPr>
            <w:tcW w:type="dxa" w:w="2448"/>
            <w:vAlign w:val="top"/>
          </w:tcPr>
          <w:p>
            <w:r/>
            <w:r>
              <w:rPr>
                <w:b w:val="0"/>
                <w:sz w:val="17"/>
              </w:rPr>
              <w:t>Economic security/non-party inputs</w:t>
            </w:r>
          </w:p>
        </w:tc>
        <w:tc>
          <w:tcPr>
            <w:tcW w:type="dxa" w:w="2448"/>
            <w:vAlign w:val="top"/>
          </w:tcPr>
          <w:p>
            <w:r/>
            <w:r>
              <w:rPr>
                <w:b w:val="0"/>
                <w:sz w:val="17"/>
              </w:rPr>
              <w:t>Define anti-circumvention cooperation without surrendering independent third-country policy</w:t>
            </w:r>
          </w:p>
        </w:tc>
        <w:tc>
          <w:tcPr>
            <w:tcW w:type="dxa" w:w="2448"/>
            <w:vAlign w:val="top"/>
          </w:tcPr>
          <w:p>
            <w:r/>
            <w:r>
              <w:rPr>
                <w:b w:val="0"/>
                <w:sz w:val="17"/>
              </w:rPr>
              <w:t>Within 7 days</w:t>
            </w:r>
          </w:p>
        </w:tc>
        <w:tc>
          <w:tcPr>
            <w:tcW w:type="dxa" w:w="2448"/>
            <w:vAlign w:val="top"/>
          </w:tcPr>
          <w:p>
            <w:r/>
            <w:r>
              <w:rPr>
                <w:b w:val="0"/>
                <w:sz w:val="17"/>
              </w:rPr>
              <w:t>Verification and trusted-supply options</w:t>
            </w:r>
          </w:p>
        </w:tc>
      </w:tr>
    </w:tbl>
    <w:p>
      <w:pPr>
        <w:pStyle w:val="Heading1"/>
        <w:keepNext/>
        <w:widowControl/>
        <w:spacing w:before="240" w:after="120"/>
      </w:pPr>
      <w:r>
        <w:t>ANNEX V — MINISTERIAL DECISION AND ACTIVATION SHEET</w:t>
      </w:r>
    </w:p>
    <w:p>
      <w:pPr>
        <w:widowControl/>
      </w:pPr>
      <w:r>
        <w:t>This Annex is intended to permit a minister, principal, or senior official to understand the operative bargain without reading the entire negotiating record. It does not replace the Articles or Annex I, and any shorthand description below must be read consistently with the controlling text. The sheet should be completed at signature and updated once the Activation Record establishes the common Effective Time.</w:t>
      </w:r>
    </w:p>
    <w:tbl>
      <w:tblPr>
        <w:tblW w:type="auto" w:w="0"/>
        <w:jc w:val="center"/>
        <w:tblLook w:firstColumn="1" w:firstRow="1" w:lastColumn="0" w:lastRow="0" w:noHBand="0" w:noVBand="1" w:val="04A0"/>
      </w:tblPr>
      <w:tblGrid>
        <w:gridCol w:w="4896"/>
        <w:gridCol w:w="4896"/>
      </w:tblGrid>
      <w:tr>
        <w:trPr>
          <w:cantSplit/>
        </w:trPr>
        <w:tc>
          <w:tcPr>
            <w:tcW w:type="dxa" w:w="4896"/>
            <w:vAlign w:val="top"/>
            <w:shd w:fill="E8EEF5"/>
          </w:tcPr>
          <w:p>
            <w:r/>
            <w:r>
              <w:rPr>
                <w:b/>
                <w:sz w:val="17"/>
              </w:rPr>
              <w:t>Decision element</w:t>
            </w:r>
          </w:p>
        </w:tc>
        <w:tc>
          <w:tcPr>
            <w:tcW w:type="dxa" w:w="4896"/>
            <w:vAlign w:val="top"/>
            <w:shd w:fill="E8EEF5"/>
          </w:tcPr>
          <w:p>
            <w:r/>
            <w:r>
              <w:rPr>
                <w:b/>
                <w:sz w:val="17"/>
              </w:rPr>
              <w:t>Operative decision</w:t>
            </w:r>
          </w:p>
        </w:tc>
      </w:tr>
      <w:tr>
        <w:trPr>
          <w:cantSplit/>
        </w:trPr>
        <w:tc>
          <w:tcPr>
            <w:tcW w:type="dxa" w:w="4896"/>
            <w:vAlign w:val="top"/>
          </w:tcPr>
          <w:p>
            <w:r/>
            <w:r>
              <w:rPr>
                <w:b/>
                <w:sz w:val="17"/>
              </w:rPr>
              <w:t>Decision requested</w:t>
            </w:r>
          </w:p>
        </w:tc>
        <w:tc>
          <w:tcPr>
            <w:tcW w:type="dxa" w:w="4896"/>
            <w:vAlign w:val="top"/>
          </w:tcPr>
          <w:p>
            <w:r/>
            <w:r>
              <w:rPr>
                <w:b w:val="0"/>
                <w:sz w:val="17"/>
              </w:rPr>
              <w:t>Approve a reciprocal twenty-one-day abeyance of the Covered Measures identified in Annex I.</w:t>
            </w:r>
          </w:p>
        </w:tc>
      </w:tr>
      <w:tr>
        <w:trPr>
          <w:cantSplit/>
        </w:trPr>
        <w:tc>
          <w:tcPr>
            <w:tcW w:type="dxa" w:w="4896"/>
            <w:vAlign w:val="top"/>
          </w:tcPr>
          <w:p>
            <w:r/>
            <w:r>
              <w:rPr>
                <w:b/>
                <w:sz w:val="17"/>
              </w:rPr>
              <w:t>Canada</w:t>
            </w:r>
          </w:p>
        </w:tc>
        <w:tc>
          <w:tcPr>
            <w:tcW w:type="dxa" w:w="4896"/>
            <w:vAlign w:val="top"/>
          </w:tcPr>
          <w:p>
            <w:r/>
            <w:r>
              <w:rPr>
                <w:b w:val="0"/>
                <w:sz w:val="17"/>
              </w:rPr>
              <w:t>Hold the accepted Canadian Covered Measures in abeyance and issue executable CBSA instructions.</w:t>
            </w:r>
          </w:p>
        </w:tc>
      </w:tr>
      <w:tr>
        <w:trPr>
          <w:cantSplit/>
        </w:trPr>
        <w:tc>
          <w:tcPr>
            <w:tcW w:type="dxa" w:w="4896"/>
            <w:vAlign w:val="top"/>
          </w:tcPr>
          <w:p>
            <w:r/>
            <w:r>
              <w:rPr>
                <w:b/>
                <w:sz w:val="17"/>
              </w:rPr>
              <w:t>United States</w:t>
            </w:r>
          </w:p>
        </w:tc>
        <w:tc>
          <w:tcPr>
            <w:tcW w:type="dxa" w:w="4896"/>
            <w:vAlign w:val="top"/>
          </w:tcPr>
          <w:p>
            <w:r/>
            <w:r>
              <w:rPr>
                <w:b w:val="0"/>
                <w:sz w:val="17"/>
              </w:rPr>
              <w:t>Hold the accepted U.S. Covered Measures in abeyance and issue executable CBP instructions.</w:t>
            </w:r>
          </w:p>
        </w:tc>
      </w:tr>
      <w:tr>
        <w:trPr>
          <w:cantSplit/>
        </w:trPr>
        <w:tc>
          <w:tcPr>
            <w:tcW w:type="dxa" w:w="4896"/>
            <w:vAlign w:val="top"/>
          </w:tcPr>
          <w:p>
            <w:r/>
            <w:r>
              <w:rPr>
                <w:b/>
                <w:sz w:val="17"/>
              </w:rPr>
              <w:t>Activation</w:t>
            </w:r>
          </w:p>
        </w:tc>
        <w:tc>
          <w:tcPr>
            <w:tcW w:type="dxa" w:w="4896"/>
            <w:vAlign w:val="top"/>
          </w:tcPr>
          <w:p>
            <w:r/>
            <w:r>
              <w:rPr>
                <w:b w:val="0"/>
                <w:sz w:val="17"/>
              </w:rPr>
              <w:t>No reciprocal obligation begins until both Activation Notices are exchanged and one common Effective Time is recorded.</w:t>
            </w:r>
          </w:p>
        </w:tc>
      </w:tr>
      <w:tr>
        <w:trPr>
          <w:cantSplit/>
        </w:trPr>
        <w:tc>
          <w:tcPr>
            <w:tcW w:type="dxa" w:w="4896"/>
            <w:vAlign w:val="top"/>
          </w:tcPr>
          <w:p>
            <w:r/>
            <w:r>
              <w:rPr>
                <w:b/>
                <w:sz w:val="17"/>
              </w:rPr>
              <w:t>Rights</w:t>
            </w:r>
          </w:p>
        </w:tc>
        <w:tc>
          <w:tcPr>
            <w:tcW w:type="dxa" w:w="4896"/>
            <w:vAlign w:val="top"/>
          </w:tcPr>
          <w:p>
            <w:r/>
            <w:r>
              <w:rPr>
                <w:b w:val="0"/>
                <w:sz w:val="17"/>
              </w:rPr>
              <w:t>No waiver, no admission, no precedent, and no amendment of CUSMA/USMCA.</w:t>
            </w:r>
          </w:p>
        </w:tc>
      </w:tr>
      <w:tr>
        <w:trPr>
          <w:cantSplit/>
        </w:trPr>
        <w:tc>
          <w:tcPr>
            <w:tcW w:type="dxa" w:w="4896"/>
            <w:vAlign w:val="top"/>
          </w:tcPr>
          <w:p>
            <w:r/>
            <w:r>
              <w:rPr>
                <w:b/>
                <w:sz w:val="17"/>
              </w:rPr>
              <w:t>New escalation</w:t>
            </w:r>
          </w:p>
        </w:tc>
        <w:tc>
          <w:tcPr>
            <w:tcW w:type="dxa" w:w="4896"/>
            <w:vAlign w:val="top"/>
          </w:tcPr>
          <w:p>
            <w:r/>
            <w:r>
              <w:rPr>
                <w:b w:val="0"/>
                <w:sz w:val="17"/>
              </w:rPr>
              <w:t>No substantially equivalent replacement measure designed to recreate an abeyant Covered Measure.</w:t>
            </w:r>
          </w:p>
        </w:tc>
      </w:tr>
      <w:tr>
        <w:trPr>
          <w:cantSplit/>
        </w:trPr>
        <w:tc>
          <w:tcPr>
            <w:tcW w:type="dxa" w:w="4896"/>
            <w:vAlign w:val="top"/>
          </w:tcPr>
          <w:p>
            <w:r/>
            <w:r>
              <w:rPr>
                <w:b/>
                <w:sz w:val="17"/>
              </w:rPr>
              <w:t>Compliance</w:t>
            </w:r>
          </w:p>
        </w:tc>
        <w:tc>
          <w:tcPr>
            <w:tcW w:type="dxa" w:w="4896"/>
            <w:vAlign w:val="top"/>
          </w:tcPr>
          <w:p>
            <w:r/>
            <w:r>
              <w:rPr>
                <w:b w:val="0"/>
                <w:sz w:val="17"/>
              </w:rPr>
              <w:t>Rapid inquiry, verified facts, cure, narrow proportional step-back only for uncured material non-compliance, and prompt earn-back.</w:t>
            </w:r>
          </w:p>
        </w:tc>
      </w:tr>
      <w:tr>
        <w:trPr>
          <w:cantSplit/>
        </w:trPr>
        <w:tc>
          <w:tcPr>
            <w:tcW w:type="dxa" w:w="4896"/>
            <w:vAlign w:val="top"/>
          </w:tcPr>
          <w:p>
            <w:r/>
            <w:r>
              <w:rPr>
                <w:b/>
                <w:sz w:val="17"/>
              </w:rPr>
              <w:t>Humanitarian firewall</w:t>
            </w:r>
          </w:p>
        </w:tc>
        <w:tc>
          <w:tcPr>
            <w:tcW w:type="dxa" w:w="4896"/>
            <w:vAlign w:val="top"/>
          </w:tcPr>
          <w:p>
            <w:r/>
            <w:r>
              <w:rPr>
                <w:b w:val="0"/>
                <w:sz w:val="17"/>
              </w:rPr>
              <w:t>Do not use Cothrom step-back to target essential medicines, medical supplies, or unrelated essential functions where an alternative exists.</w:t>
            </w:r>
          </w:p>
        </w:tc>
      </w:tr>
      <w:tr>
        <w:trPr>
          <w:cantSplit/>
        </w:trPr>
        <w:tc>
          <w:tcPr>
            <w:tcW w:type="dxa" w:w="4896"/>
            <w:vAlign w:val="top"/>
          </w:tcPr>
          <w:p>
            <w:r/>
            <w:r>
              <w:rPr>
                <w:b/>
                <w:sz w:val="17"/>
              </w:rPr>
              <w:t>Negotiations</w:t>
            </w:r>
          </w:p>
        </w:tc>
        <w:tc>
          <w:tcPr>
            <w:tcW w:type="dxa" w:w="4896"/>
            <w:vAlign w:val="top"/>
          </w:tcPr>
          <w:p>
            <w:r/>
            <w:r>
              <w:rPr>
                <w:b w:val="0"/>
                <w:sz w:val="17"/>
              </w:rPr>
              <w:t>Continue on the listed tracks, but failure to reach a deal is not a breach of the standstill.</w:t>
            </w:r>
          </w:p>
        </w:tc>
      </w:tr>
      <w:tr>
        <w:trPr>
          <w:cantSplit/>
        </w:trPr>
        <w:tc>
          <w:tcPr>
            <w:tcW w:type="dxa" w:w="4896"/>
            <w:vAlign w:val="top"/>
          </w:tcPr>
          <w:p>
            <w:r/>
            <w:r>
              <w:rPr>
                <w:b/>
                <w:sz w:val="17"/>
              </w:rPr>
              <w:t>Extension</w:t>
            </w:r>
          </w:p>
        </w:tc>
        <w:tc>
          <w:tcPr>
            <w:tcW w:type="dxa" w:w="4896"/>
            <w:vAlign w:val="top"/>
          </w:tcPr>
          <w:p>
            <w:r/>
            <w:r>
              <w:rPr>
                <w:b w:val="0"/>
                <w:sz w:val="17"/>
              </w:rPr>
              <w:t>Extend by simple joint written notice for an agreed additional period.</w:t>
            </w:r>
          </w:p>
        </w:tc>
      </w:tr>
      <w:tr>
        <w:trPr>
          <w:cantSplit/>
        </w:trPr>
        <w:tc>
          <w:tcPr>
            <w:tcW w:type="dxa" w:w="4896"/>
            <w:vAlign w:val="top"/>
          </w:tcPr>
          <w:p>
            <w:r/>
            <w:r>
              <w:rPr>
                <w:b/>
                <w:sz w:val="17"/>
              </w:rPr>
              <w:t>Exit</w:t>
            </w:r>
          </w:p>
        </w:tc>
        <w:tc>
          <w:tcPr>
            <w:tcW w:type="dxa" w:w="4896"/>
            <w:vAlign w:val="top"/>
          </w:tcPr>
          <w:p>
            <w:r/>
            <w:r>
              <w:rPr>
                <w:b w:val="0"/>
                <w:sz w:val="17"/>
              </w:rPr>
              <w:t>Either Party may terminate on forty-eight hours’ written notice, subject to clear customs transition instructions.</w:t>
            </w:r>
          </w:p>
        </w:tc>
      </w:tr>
      <w:tr>
        <w:trPr>
          <w:cantSplit/>
        </w:trPr>
        <w:tc>
          <w:tcPr>
            <w:tcW w:type="dxa" w:w="4896"/>
            <w:vAlign w:val="top"/>
          </w:tcPr>
          <w:p>
            <w:r/>
            <w:r>
              <w:rPr>
                <w:b/>
                <w:sz w:val="17"/>
              </w:rPr>
              <w:t>Expiry</w:t>
            </w:r>
          </w:p>
        </w:tc>
        <w:tc>
          <w:tcPr>
            <w:tcW w:type="dxa" w:w="4896"/>
            <w:vAlign w:val="top"/>
          </w:tcPr>
          <w:p>
            <w:r/>
            <w:r>
              <w:rPr>
                <w:b w:val="0"/>
                <w:sz w:val="17"/>
              </w:rPr>
              <w:t>Expiry does not itself impose a tariff; each Party thereafter acts only under its otherwise applicable legal authority.</w:t>
            </w:r>
          </w:p>
        </w:tc>
      </w:tr>
    </w:tbl>
    <w:p>
      <w:pPr>
        <w:pStyle w:val="Heading2"/>
        <w:keepNext/>
        <w:widowControl/>
        <w:spacing w:before="160" w:after="80"/>
      </w:pPr>
      <w:r>
        <w:t>Activation Record</w:t>
      </w:r>
    </w:p>
    <w:p>
      <w:pPr>
        <w:widowControl/>
      </w:pPr>
      <w:r>
        <w:t>The Activation Record shall state the agreed Effective Time, identify the Canadian and United States Activation Notices by date and reference, and confirm the precise Annex I measures that are paired for the initial Standstill Period. It shall also identify any agreed transit grace period, any measure intentionally excluded from the initial activation, and the secure operational contacts for the first forty-eight hours. Once authenticated by both designated senior officials, the Activation Record becomes the controlling administrative record for simultaneous activation without changing the substantive obligations of the Protocol.</w:t>
      </w:r>
    </w:p>
    <w:tbl>
      <w:tblPr>
        <w:tblW w:type="auto" w:w="0"/>
        <w:jc w:val="center"/>
        <w:tblLook w:firstColumn="1" w:firstRow="1" w:lastColumn="0" w:lastRow="0" w:noHBand="0" w:noVBand="1" w:val="04A0"/>
      </w:tblPr>
      <w:tblGrid>
        <w:gridCol w:w="4896"/>
        <w:gridCol w:w="4896"/>
      </w:tblGrid>
      <w:tr>
        <w:trPr>
          <w:cantSplit/>
        </w:trPr>
        <w:tc>
          <w:tcPr>
            <w:tcW w:type="dxa" w:w="4896"/>
            <w:vAlign w:val="top"/>
          </w:tcPr>
          <w:p>
            <w:r/>
            <w:r>
              <w:rPr>
                <w:b/>
                <w:sz w:val="17"/>
              </w:rPr>
              <w:t>Common Effective Time</w:t>
            </w:r>
          </w:p>
        </w:tc>
        <w:tc>
          <w:tcPr>
            <w:tcW w:type="dxa" w:w="4896"/>
            <w:vAlign w:val="top"/>
          </w:tcPr>
          <w:p>
            <w:r/>
            <w:r>
              <w:rPr>
                <w:b w:val="0"/>
                <w:sz w:val="17"/>
              </w:rPr>
              <w:t>____________________________________________</w:t>
            </w:r>
          </w:p>
        </w:tc>
      </w:tr>
      <w:tr>
        <w:trPr>
          <w:cantSplit/>
        </w:trPr>
        <w:tc>
          <w:tcPr>
            <w:tcW w:type="dxa" w:w="4896"/>
            <w:vAlign w:val="top"/>
          </w:tcPr>
          <w:p>
            <w:r/>
            <w:r>
              <w:rPr>
                <w:b/>
                <w:sz w:val="17"/>
              </w:rPr>
              <w:t>Canadian Activation Notice</w:t>
            </w:r>
          </w:p>
        </w:tc>
        <w:tc>
          <w:tcPr>
            <w:tcW w:type="dxa" w:w="4896"/>
            <w:vAlign w:val="top"/>
          </w:tcPr>
          <w:p>
            <w:r/>
            <w:r>
              <w:rPr>
                <w:b w:val="0"/>
                <w:sz w:val="17"/>
              </w:rPr>
              <w:t>____________________________________________</w:t>
            </w:r>
          </w:p>
        </w:tc>
      </w:tr>
      <w:tr>
        <w:trPr>
          <w:cantSplit/>
        </w:trPr>
        <w:tc>
          <w:tcPr>
            <w:tcW w:type="dxa" w:w="4896"/>
            <w:vAlign w:val="top"/>
          </w:tcPr>
          <w:p>
            <w:r/>
            <w:r>
              <w:rPr>
                <w:b/>
                <w:sz w:val="17"/>
              </w:rPr>
              <w:t>U.S. Activation Notice</w:t>
            </w:r>
          </w:p>
        </w:tc>
        <w:tc>
          <w:tcPr>
            <w:tcW w:type="dxa" w:w="4896"/>
            <w:vAlign w:val="top"/>
          </w:tcPr>
          <w:p>
            <w:r/>
            <w:r>
              <w:rPr>
                <w:b w:val="0"/>
                <w:sz w:val="17"/>
              </w:rPr>
              <w:t>____________________________________________</w:t>
            </w:r>
          </w:p>
        </w:tc>
      </w:tr>
      <w:tr>
        <w:trPr>
          <w:cantSplit/>
        </w:trPr>
        <w:tc>
          <w:tcPr>
            <w:tcW w:type="dxa" w:w="4896"/>
            <w:vAlign w:val="top"/>
          </w:tcPr>
          <w:p>
            <w:r/>
            <w:r>
              <w:rPr>
                <w:b/>
                <w:sz w:val="17"/>
              </w:rPr>
              <w:t>Canadian Senior Official</w:t>
            </w:r>
          </w:p>
        </w:tc>
        <w:tc>
          <w:tcPr>
            <w:tcW w:type="dxa" w:w="4896"/>
            <w:vAlign w:val="top"/>
          </w:tcPr>
          <w:p>
            <w:r/>
            <w:r>
              <w:rPr>
                <w:b w:val="0"/>
                <w:sz w:val="17"/>
              </w:rPr>
              <w:t>____________________________________________</w:t>
            </w:r>
          </w:p>
        </w:tc>
      </w:tr>
      <w:tr>
        <w:trPr>
          <w:cantSplit/>
        </w:trPr>
        <w:tc>
          <w:tcPr>
            <w:tcW w:type="dxa" w:w="4896"/>
            <w:vAlign w:val="top"/>
          </w:tcPr>
          <w:p>
            <w:r/>
            <w:r>
              <w:rPr>
                <w:b/>
                <w:sz w:val="17"/>
              </w:rPr>
              <w:t>U.S. Senior Official</w:t>
            </w:r>
          </w:p>
        </w:tc>
        <w:tc>
          <w:tcPr>
            <w:tcW w:type="dxa" w:w="4896"/>
            <w:vAlign w:val="top"/>
          </w:tcPr>
          <w:p>
            <w:r/>
            <w:r>
              <w:rPr>
                <w:b w:val="0"/>
                <w:sz w:val="17"/>
              </w:rPr>
              <w:t>____________________________________________</w:t>
            </w:r>
          </w:p>
        </w:tc>
      </w:tr>
      <w:tr>
        <w:trPr>
          <w:cantSplit/>
        </w:trPr>
        <w:tc>
          <w:tcPr>
            <w:tcW w:type="dxa" w:w="4896"/>
            <w:vAlign w:val="top"/>
          </w:tcPr>
          <w:p>
            <w:r/>
            <w:r>
              <w:rPr>
                <w:b/>
                <w:sz w:val="17"/>
              </w:rPr>
              <w:t>Authentication Date/Time</w:t>
            </w:r>
          </w:p>
        </w:tc>
        <w:tc>
          <w:tcPr>
            <w:tcW w:type="dxa" w:w="4896"/>
            <w:vAlign w:val="top"/>
          </w:tcPr>
          <w:p>
            <w:r/>
            <w:r>
              <w:rPr>
                <w:b w:val="0"/>
                <w:sz w:val="17"/>
              </w:rPr>
              <w:t>____________________________________________</w:t>
            </w:r>
          </w:p>
        </w:tc>
      </w:tr>
    </w:tbl>
    <w:p>
      <w:pPr>
        <w:pStyle w:val="Heading1"/>
        <w:keepNext/>
        <w:widowControl/>
        <w:spacing w:before="240" w:after="120"/>
      </w:pPr>
      <w:r>
        <w:t>SOURCE AND LEGAL-VERIFICATION REGISTER</w:t>
      </w:r>
    </w:p>
    <w:p>
      <w:pPr>
        <w:widowControl/>
      </w:pPr>
      <w:r>
        <w:t>This register identifies the materials used to shape the draft and separates incorporated official information from negotiating architecture derived from the user-provided project materials. The operative Canadian September 8 schedule should be verified against the Department of Finance Canada authoritative list and any corresponding Canada Gazette or CBSA notice immediately before execution, while the U.S. Covered Measures should be verified against the United States government’s own current proclamations, tariff schedules, and CBP instructions. The Cothrom concepts used here are adapted from the supplied Cothrom Verification Method and NAESTMA v9.7A, but their clocks and remedies have been deliberately shortened to fit a twenty-one-day tariff standstill.</w:t>
      </w:r>
    </w:p>
    <w:tbl>
      <w:tblPr>
        <w:tblW w:type="auto" w:w="0"/>
        <w:jc w:val="center"/>
        <w:tblLook w:firstColumn="1" w:firstRow="1" w:lastColumn="0" w:lastRow="0" w:noHBand="0" w:noVBand="1" w:val="04A0"/>
      </w:tblPr>
      <w:tblGrid>
        <w:gridCol w:w="3264"/>
        <w:gridCol w:w="3264"/>
        <w:gridCol w:w="3264"/>
      </w:tblGrid>
      <w:tr>
        <w:trPr>
          <w:cantSplit/>
        </w:trPr>
        <w:tc>
          <w:tcPr>
            <w:tcW w:type="dxa" w:w="3264"/>
            <w:vAlign w:val="top"/>
            <w:shd w:fill="E8EEF5"/>
          </w:tcPr>
          <w:p>
            <w:r/>
            <w:r>
              <w:rPr>
                <w:b/>
                <w:sz w:val="17"/>
              </w:rPr>
              <w:t>Source</w:t>
            </w:r>
          </w:p>
        </w:tc>
        <w:tc>
          <w:tcPr>
            <w:tcW w:type="dxa" w:w="3264"/>
            <w:vAlign w:val="top"/>
            <w:shd w:fill="E8EEF5"/>
          </w:tcPr>
          <w:p>
            <w:r/>
            <w:r>
              <w:rPr>
                <w:b/>
                <w:sz w:val="17"/>
              </w:rPr>
              <w:t>Use in this draft</w:t>
            </w:r>
          </w:p>
        </w:tc>
        <w:tc>
          <w:tcPr>
            <w:tcW w:type="dxa" w:w="3264"/>
            <w:vAlign w:val="top"/>
            <w:shd w:fill="E8EEF5"/>
          </w:tcPr>
          <w:p>
            <w:r/>
            <w:r>
              <w:rPr>
                <w:b/>
                <w:sz w:val="17"/>
              </w:rPr>
              <w:t>Verification status</w:t>
            </w:r>
          </w:p>
        </w:tc>
      </w:tr>
      <w:tr>
        <w:trPr>
          <w:cantSplit/>
        </w:trPr>
        <w:tc>
          <w:tcPr>
            <w:tcW w:type="dxa" w:w="3264"/>
            <w:vAlign w:val="top"/>
          </w:tcPr>
          <w:p>
            <w:r/>
            <w:r>
              <w:rPr>
                <w:b w:val="0"/>
                <w:sz w:val="17"/>
              </w:rPr>
              <w:t>Department of Finance Canada, Sept. 8, 2026 counter-tariff list, updated Aug. 26, 2026</w:t>
            </w:r>
          </w:p>
        </w:tc>
        <w:tc>
          <w:tcPr>
            <w:tcW w:type="dxa" w:w="3264"/>
            <w:vAlign w:val="top"/>
          </w:tcPr>
          <w:p>
            <w:r/>
            <w:r>
              <w:rPr>
                <w:b w:val="0"/>
                <w:sz w:val="17"/>
              </w:rPr>
              <w:t>Canadian schedule, rates, value, and transit baseline</w:t>
            </w:r>
          </w:p>
        </w:tc>
        <w:tc>
          <w:tcPr>
            <w:tcW w:type="dxa" w:w="3264"/>
            <w:vAlign w:val="top"/>
          </w:tcPr>
          <w:p>
            <w:r/>
            <w:r>
              <w:rPr>
                <w:b w:val="0"/>
                <w:sz w:val="17"/>
              </w:rPr>
              <w:t>Official Canadian source; re-check immediately before execution</w:t>
            </w:r>
          </w:p>
        </w:tc>
      </w:tr>
      <w:tr>
        <w:trPr>
          <w:cantSplit/>
        </w:trPr>
        <w:tc>
          <w:tcPr>
            <w:tcW w:type="dxa" w:w="3264"/>
            <w:vAlign w:val="top"/>
          </w:tcPr>
          <w:p>
            <w:r/>
            <w:r>
              <w:rPr>
                <w:b w:val="0"/>
                <w:sz w:val="17"/>
              </w:rPr>
              <w:t>Canada–U.S. ESTP v1.0</w:t>
            </w:r>
          </w:p>
        </w:tc>
        <w:tc>
          <w:tcPr>
            <w:tcW w:type="dxa" w:w="3264"/>
            <w:vAlign w:val="top"/>
          </w:tcPr>
          <w:p>
            <w:r/>
            <w:r>
              <w:rPr>
                <w:b w:val="0"/>
                <w:sz w:val="17"/>
              </w:rPr>
              <w:t>Customs implementation, abeyance, transit, refund, and domestic-execution concepts</w:t>
            </w:r>
          </w:p>
        </w:tc>
        <w:tc>
          <w:tcPr>
            <w:tcW w:type="dxa" w:w="3264"/>
            <w:vAlign w:val="top"/>
          </w:tcPr>
          <w:p>
            <w:r/>
            <w:r>
              <w:rPr>
                <w:b w:val="0"/>
                <w:sz w:val="17"/>
              </w:rPr>
              <w:t>User-supplied negotiating draft; not treated as government authority</w:t>
            </w:r>
          </w:p>
        </w:tc>
      </w:tr>
      <w:tr>
        <w:trPr>
          <w:cantSplit/>
        </w:trPr>
        <w:tc>
          <w:tcPr>
            <w:tcW w:type="dxa" w:w="3264"/>
            <w:vAlign w:val="top"/>
          </w:tcPr>
          <w:p>
            <w:r/>
            <w:r>
              <w:rPr>
                <w:b w:val="0"/>
                <w:sz w:val="17"/>
              </w:rPr>
              <w:t>North American ESTP v2.0</w:t>
            </w:r>
          </w:p>
        </w:tc>
        <w:tc>
          <w:tcPr>
            <w:tcW w:type="dxa" w:w="3264"/>
            <w:vAlign w:val="top"/>
          </w:tcPr>
          <w:p>
            <w:r/>
            <w:r>
              <w:rPr>
                <w:b w:val="0"/>
                <w:sz w:val="17"/>
              </w:rPr>
              <w:t>Modularity, standstill, no-new-measures, implementation architecture</w:t>
            </w:r>
          </w:p>
        </w:tc>
        <w:tc>
          <w:tcPr>
            <w:tcW w:type="dxa" w:w="3264"/>
            <w:vAlign w:val="top"/>
          </w:tcPr>
          <w:p>
            <w:r/>
            <w:r>
              <w:rPr>
                <w:b w:val="0"/>
                <w:sz w:val="17"/>
              </w:rPr>
              <w:t>User-supplied negotiating draft; not treated as government authority</w:t>
            </w:r>
          </w:p>
        </w:tc>
      </w:tr>
      <w:tr>
        <w:trPr>
          <w:cantSplit/>
        </w:trPr>
        <w:tc>
          <w:tcPr>
            <w:tcW w:type="dxa" w:w="3264"/>
            <w:vAlign w:val="top"/>
          </w:tcPr>
          <w:p>
            <w:r/>
            <w:r>
              <w:rPr>
                <w:b w:val="0"/>
                <w:sz w:val="17"/>
              </w:rPr>
              <w:t>The Cothrom Verification Method</w:t>
            </w:r>
          </w:p>
        </w:tc>
        <w:tc>
          <w:tcPr>
            <w:tcW w:type="dxa" w:w="3264"/>
            <w:vAlign w:val="top"/>
          </w:tcPr>
          <w:p>
            <w:r/>
            <w:r>
              <w:rPr>
                <w:b w:val="0"/>
                <w:sz w:val="17"/>
              </w:rPr>
              <w:t>Human review, proportional step-back, earn-back, humanitarian and cross-module firewalls</w:t>
            </w:r>
          </w:p>
        </w:tc>
        <w:tc>
          <w:tcPr>
            <w:tcW w:type="dxa" w:w="3264"/>
            <w:vAlign w:val="top"/>
          </w:tcPr>
          <w:p>
            <w:r/>
            <w:r>
              <w:rPr>
                <w:b w:val="0"/>
                <w:sz w:val="17"/>
              </w:rPr>
              <w:t>User-supplied methodology; adapted substantially for trade context</w:t>
            </w:r>
          </w:p>
        </w:tc>
      </w:tr>
      <w:tr>
        <w:trPr>
          <w:cantSplit/>
        </w:trPr>
        <w:tc>
          <w:tcPr>
            <w:tcW w:type="dxa" w:w="3264"/>
            <w:vAlign w:val="top"/>
          </w:tcPr>
          <w:p>
            <w:r/>
            <w:r>
              <w:rPr>
                <w:b w:val="0"/>
                <w:sz w:val="17"/>
              </w:rPr>
              <w:t>NAESTMA v9.7A</w:t>
            </w:r>
          </w:p>
        </w:tc>
        <w:tc>
          <w:tcPr>
            <w:tcW w:type="dxa" w:w="3264"/>
            <w:vAlign w:val="top"/>
          </w:tcPr>
          <w:p>
            <w:r/>
            <w:r>
              <w:rPr>
                <w:b w:val="0"/>
                <w:sz w:val="17"/>
              </w:rPr>
              <w:t>Cothrom operating principles, cure-before-retaliation, modular remedies, no cross-sector punishment</w:t>
            </w:r>
          </w:p>
        </w:tc>
        <w:tc>
          <w:tcPr>
            <w:tcW w:type="dxa" w:w="3264"/>
            <w:vAlign w:val="top"/>
          </w:tcPr>
          <w:p>
            <w:r/>
            <w:r>
              <w:rPr>
                <w:b w:val="0"/>
                <w:sz w:val="17"/>
              </w:rPr>
              <w:t>User-supplied modernization draft; not treated as enacted law</w:t>
            </w:r>
          </w:p>
        </w:tc>
      </w:tr>
    </w:tbl>
    <w:sectPr w:rsidR="00FC693F" w:rsidRPr="0006063C" w:rsidSect="00034616">
      <w:footerReference w:type="default" r:id="rId9"/>
      <w:headerReference w:type="default" r:id="rId10"/>
      <w:headerReference w:type="first" r:id="rId11"/>
      <w:footerReference w:type="first" r:id="rId12"/>
      <w:pgSz w:w="12240" w:h="15840"/>
      <w:pgMar w:top="1080" w:right="1224" w:bottom="1008" w:left="1224" w:header="720" w:footer="720" w:gutter="0"/>
      <w:cols w:space="720"/>
      <w:titlePg/>
      <w:docGrid w:linePitch="360"/>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CANADA–UNITED STATES COUNTER-TARIFF STANDSTILL · RECIPROCAL ABEYANCE PROTOCOL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sz w:val="16"/>
      </w:rPr>
      <w:t>CANADA–UNITED STATES COUNTER-TARIFF STANDSTILL · RECIPROCAL ABEYANCE PROTOCOL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