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Times New Roman" w:cs="Times New Roman" w:eastAsia="SimSun" w:hAnsi="Times New Roman"/>
          <w:b/>
          <w:bCs/>
          <w:color w:val="1F2A33"/>
          <w:sz w:val="52"/>
          <w:szCs w:val="52"/>
        </w:rPr>
        <w:t xml:space="preserve">THE EMERGENCY STABILIZATION BRIDGE</w:t>
      </w:r>
    </w:p>
    <w:p>
      <w:pPr>
        <w:spacing w:after="120"/>
        <w:jc w:val="center"/>
      </w:pPr>
      <w:r>
        <w:rPr>
          <w:rFonts w:ascii="Times New Roman" w:cs="Times New Roman" w:eastAsia="SimSun" w:hAnsi="Times New Roman"/>
          <w:color w:val="2F4A5C"/>
          <w:sz w:val="30"/>
          <w:szCs w:val="30"/>
        </w:rPr>
        <w:t xml:space="preserve">Canada  ·  United States of America</w:t>
      </w:r>
    </w:p>
    <w:p>
      <w:pPr>
        <w:spacing w:after="120"/>
        <w:jc w:val="center"/>
      </w:pPr>
      <w:r>
        <w:rPr>
          <w:rFonts w:ascii="Times New Roman" w:cs="Times New Roman" w:eastAsia="SimSun" w:hAnsi="Times New Roman"/>
          <w:color w:val="5B7B8C"/>
          <w:sz w:val="26"/>
          <w:szCs w:val="26"/>
        </w:rPr>
        <w:t xml:space="preserve">A 30-Day Tariff Standstill and Negotiating Window</w:t>
      </w:r>
    </w:p>
    <w:p>
      <w:pPr>
        <w:spacing w:after="120"/>
        <w:jc w:val="center"/>
      </w:pPr>
      <w:r>
        <w:rPr>
          <w:rFonts w:ascii="Times New Roman" w:cs="Times New Roman" w:eastAsia="SimSun" w:hAnsi="Times New Roman"/>
          <w:color w:val="8AA1AF"/>
          <w:sz w:val="22"/>
          <w:szCs w:val="22"/>
        </w:rPr>
        <w:t xml:space="preserve">Independent Conceptual Draft  ·  Version 1.0  ·  September 2026</w:t>
      </w:r>
    </w:p>
    <w:p>
      <w:pPr>
        <w:spacing w:after="1600"/>
        <w:jc w:val="center"/>
      </w:pPr>
      <w:r>
        <w:rPr>
          <w:rFonts w:ascii="Times New Roman" w:cs="Times New Roman" w:eastAsia="SimSun" w:hAnsi="Times New Roman"/>
          <w:i/>
          <w:iCs/>
          <w:color w:val="8AA1AF"/>
          <w:sz w:val="20"/>
          <w:szCs w:val="20"/>
        </w:rPr>
        <w:t xml:space="preserve">Unsigned  ·  Without Prejudice  ·  Not an Official Position of Any Government</w:t>
      </w:r>
    </w:p>
    <w:p>
      <w:pPr>
        <w:spacing w:after="140" w:line="288"/>
        <w:jc w:val="center"/>
      </w:pPr>
      <w:r>
        <w:rPr>
          <w:rFonts w:ascii="Times New Roman" w:cs="Times New Roman" w:eastAsia="SimSun" w:hAnsi="Times New Roman"/>
          <w:color w:val="5B7B8C"/>
          <w:sz w:val="20"/>
          <w:szCs w:val="20"/>
        </w:rPr>
        <w:t xml:space="preserve">Prepared against the September 8, 2026 counter-tariff effective date and the CUSMA Joint Review. Research basis: public reporting through September 7, 2026.</w:t>
      </w:r>
    </w:p>
    <w:p>
      <w:r>
        <w:br w:type="page"/>
      </w:r>
    </w:p>
    <w:p>
      <w:pPr>
        <w:pStyle w:val="Heading1"/>
        <w:spacing w:after="140" w:before="280"/>
      </w:pPr>
      <w:r>
        <w:rPr>
          <w:rFonts w:ascii="Times New Roman" w:cs="Times New Roman" w:eastAsia="SimSun" w:hAnsi="Times New Roman"/>
          <w:b/>
          <w:bCs/>
          <w:color w:val="1F2A33"/>
          <w:sz w:val="30"/>
          <w:szCs w:val="30"/>
        </w:rPr>
        <w:t xml:space="preserve">Table of Contents</w:t>
      </w:r>
    </w:p>
    <w:sdt xmlns:w="http://schemas.openxmlformats.org/wordprocessingml/2006/main">
      <w:sdtPr>
        <w:alias w:val="Table of Contents"/>
      </w:sdtPr>
      <w:sdtContent>
        <w:p>
          <w:r>
            <w:fldChar w:fldCharType="begin" w:dirty="true"/>
            <w:instrText xml:space="preserve"> TOC \o "1-3" \h \z \u </w:instrText>
            <w:fldChar w:fldCharType="separate"/>
          </w:r>
        </w:p>
        <w:p>
          <w:pPr>
            <w:pStyle w:val="TOC1"/>
            <w:tabs>
              <w:tab w:val="right" w:leader="dot" w:pos="9000"/>
            </w:tabs>
            <w:ind w:left="0"/>
          </w:pPr>
          <w:r>
            <w:t>Document Control</w:t>
          </w:r>
          <w:r>
            <w:tab/>
          </w:r>
          <w:r>
            <w:t>2</w:t>
          </w:r>
        </w:p>
        <w:p>
          <w:pPr>
            <w:pStyle w:val="TOC1"/>
            <w:tabs>
              <w:tab w:val="right" w:leader="dot" w:pos="9000"/>
            </w:tabs>
            <w:ind w:left="0"/>
          </w:pPr>
          <w:r>
            <w:t>Executive Negotiating Snapshot</w:t>
          </w:r>
          <w:r>
            <w:tab/>
          </w:r>
          <w:r>
            <w:t>3</w:t>
          </w:r>
        </w:p>
        <w:p>
          <w:pPr>
            <w:pStyle w:val="TOC1"/>
            <w:tabs>
              <w:tab w:val="right" w:leader="dot" w:pos="9000"/>
            </w:tabs>
            <w:ind w:left="0"/>
          </w:pPr>
          <w:r>
            <w:t>Balanced Political Scoreboard</w:t>
          </w:r>
          <w:r>
            <w:tab/>
          </w:r>
          <w:r>
            <w:t>4</w:t>
          </w:r>
        </w:p>
        <w:p>
          <w:pPr>
            <w:pStyle w:val="TOC1"/>
            <w:tabs>
              <w:tab w:val="right" w:leader="dot" w:pos="9000"/>
            </w:tabs>
            <w:ind w:left="0"/>
          </w:pPr>
          <w:r>
            <w:t>Part I. Situation Assessment and Operating Logic</w:t>
          </w:r>
          <w:r>
            <w:tab/>
          </w:r>
          <w:r>
            <w:t>5</w:t>
          </w:r>
        </w:p>
        <w:p>
          <w:pPr>
            <w:pStyle w:val="TOC2"/>
            <w:tabs>
              <w:tab w:val="right" w:leader="dot" w:pos="9000"/>
            </w:tabs>
            <w:ind w:left="360"/>
          </w:pPr>
          <w:r>
            <w:t>Article 1. Immediate Situation</w:t>
          </w:r>
          <w:r>
            <w:tab/>
          </w:r>
          <w:r>
            <w:t>5</w:t>
          </w:r>
        </w:p>
        <w:p>
          <w:pPr>
            <w:pStyle w:val="TOC2"/>
            <w:tabs>
              <w:tab w:val="right" w:leader="dot" w:pos="9000"/>
            </w:tabs>
            <w:ind w:left="360"/>
          </w:pPr>
          <w:r>
            <w:t>Article 2. Design Principles</w:t>
          </w:r>
          <w:r>
            <w:tab/>
          </w:r>
          <w:r>
            <w:t>5</w:t>
          </w:r>
        </w:p>
        <w:p>
          <w:pPr>
            <w:pStyle w:val="TOC2"/>
            <w:tabs>
              <w:tab w:val="right" w:leader="dot" w:pos="9000"/>
            </w:tabs>
            <w:ind w:left="360"/>
          </w:pPr>
          <w:r>
            <w:t>Article 3. Layered Timeline — 30 Days</w:t>
          </w:r>
          <w:r>
            <w:tab/>
          </w:r>
          <w:r>
            <w:t>6</w:t>
          </w:r>
        </w:p>
        <w:p>
          <w:pPr>
            <w:pStyle w:val="TOC1"/>
            <w:tabs>
              <w:tab w:val="right" w:leader="dot" w:pos="9000"/>
            </w:tabs>
            <w:ind w:left="0"/>
          </w:pPr>
          <w:r>
            <w:t>Part II. Entry into Force and Tariff Standstill</w:t>
          </w:r>
          <w:r>
            <w:tab/>
          </w:r>
          <w:r>
            <w:t>7</w:t>
          </w:r>
        </w:p>
        <w:p>
          <w:pPr>
            <w:pStyle w:val="TOC2"/>
            <w:tabs>
              <w:tab w:val="right" w:leader="dot" w:pos="9000"/>
            </w:tabs>
            <w:ind w:left="360"/>
          </w:pPr>
          <w:r>
            <w:t>Article 4. U.S. Tariff Standstill</w:t>
          </w:r>
          <w:r>
            <w:tab/>
          </w:r>
          <w:r>
            <w:t>7</w:t>
          </w:r>
        </w:p>
        <w:p>
          <w:pPr>
            <w:pStyle w:val="TOC2"/>
            <w:tabs>
              <w:tab w:val="right" w:leader="dot" w:pos="9000"/>
            </w:tabs>
            <w:ind w:left="360"/>
          </w:pPr>
          <w:r>
            <w:t>Article 5. Canadian Countermeasure Standstill</w:t>
          </w:r>
          <w:r>
            <w:tab/>
          </w:r>
          <w:r>
            <w:t>8</w:t>
          </w:r>
        </w:p>
        <w:p>
          <w:pPr>
            <w:pStyle w:val="TOC2"/>
            <w:tabs>
              <w:tab w:val="right" w:leader="dot" w:pos="9000"/>
            </w:tabs>
            <w:ind w:left="360"/>
          </w:pPr>
          <w:r>
            <w:t>Article 6. Reciprocal Customs Confirmation</w:t>
          </w:r>
          <w:r>
            <w:tab/>
          </w:r>
          <w:r>
            <w:t>9</w:t>
          </w:r>
        </w:p>
        <w:p>
          <w:pPr>
            <w:pStyle w:val="TOC1"/>
            <w:tabs>
              <w:tab w:val="right" w:leader="dot" w:pos="9000"/>
            </w:tabs>
            <w:ind w:left="0"/>
          </w:pPr>
          <w:r>
            <w:t>Part III. Immediate Canadian Market-Access Package</w:t>
          </w:r>
          <w:r>
            <w:tab/>
          </w:r>
          <w:r>
            <w:t>10</w:t>
          </w:r>
        </w:p>
        <w:p>
          <w:pPr>
            <w:pStyle w:val="TOC2"/>
            <w:tabs>
              <w:tab w:val="right" w:leader="dot" w:pos="9000"/>
            </w:tabs>
            <w:ind w:left="360"/>
          </w:pPr>
          <w:r>
            <w:t>Article 7. Alcohol Market Normalization</w:t>
          </w:r>
          <w:r>
            <w:tab/>
          </w:r>
          <w:r>
            <w:t>10</w:t>
          </w:r>
        </w:p>
        <w:p>
          <w:pPr>
            <w:pStyle w:val="TOC2"/>
            <w:tabs>
              <w:tab w:val="right" w:leader="dot" w:pos="9000"/>
            </w:tabs>
            <w:ind w:left="360"/>
          </w:pPr>
          <w:r>
            <w:t>Article 8. Alberta Dairy Access Window</w:t>
          </w:r>
          <w:r>
            <w:tab/>
          </w:r>
          <w:r>
            <w:t>11</w:t>
          </w:r>
        </w:p>
        <w:p>
          <w:pPr>
            <w:pStyle w:val="TOC2"/>
            <w:tabs>
              <w:tab w:val="right" w:leader="dot" w:pos="9000"/>
            </w:tabs>
            <w:ind w:left="360"/>
          </w:pPr>
          <w:r>
            <w:t>Article 9. Auto Countermeasure Exchange</w:t>
          </w:r>
          <w:r>
            <w:tab/>
          </w:r>
          <w:r>
            <w:t>12</w:t>
          </w:r>
        </w:p>
        <w:p>
          <w:pPr>
            <w:pStyle w:val="TOC1"/>
            <w:tabs>
              <w:tab w:val="right" w:leader="dot" w:pos="9000"/>
            </w:tabs>
            <w:ind w:left="0"/>
          </w:pPr>
          <w:r>
            <w:t>Part IV. Strategic Supply and Procurement</w:t>
          </w:r>
          <w:r>
            <w:tab/>
          </w:r>
          <w:r>
            <w:t>13</w:t>
          </w:r>
        </w:p>
        <w:p>
          <w:pPr>
            <w:pStyle w:val="TOC2"/>
            <w:tabs>
              <w:tab w:val="right" w:leader="dot" w:pos="9000"/>
            </w:tabs>
            <w:ind w:left="360"/>
          </w:pPr>
          <w:r>
            <w:t>Article 10. Potash Priority Supply Option</w:t>
          </w:r>
          <w:r>
            <w:tab/>
          </w:r>
          <w:r>
            <w:t>13</w:t>
          </w:r>
        </w:p>
        <w:p>
          <w:pPr>
            <w:pStyle w:val="TOC2"/>
            <w:tabs>
              <w:tab w:val="right" w:leader="dot" w:pos="9000"/>
            </w:tabs>
            <w:ind w:left="360"/>
          </w:pPr>
          <w:r>
            <w:t>Article 11. Aluminum Availability Corridor</w:t>
          </w:r>
          <w:r>
            <w:tab/>
          </w:r>
          <w:r>
            <w:t>14</w:t>
          </w:r>
        </w:p>
        <w:p>
          <w:pPr>
            <w:pStyle w:val="TOC2"/>
            <w:tabs>
              <w:tab w:val="right" w:leader="dot" w:pos="9000"/>
            </w:tabs>
            <w:ind w:left="360"/>
          </w:pPr>
          <w:r>
            <w:t>Article 12. Wildfire Equipment Procurement Window</w:t>
          </w:r>
          <w:r>
            <w:tab/>
          </w:r>
          <w:r>
            <w:t>15</w:t>
          </w:r>
        </w:p>
        <w:p>
          <w:pPr>
            <w:pStyle w:val="TOC1"/>
            <w:tabs>
              <w:tab w:val="right" w:leader="dot" w:pos="9000"/>
            </w:tabs>
            <w:ind w:left="0"/>
          </w:pPr>
          <w:r>
            <w:t>Part V. Origin Integrity and Verification</w:t>
          </w:r>
          <w:r>
            <w:tab/>
          </w:r>
          <w:r>
            <w:t>16</w:t>
          </w:r>
        </w:p>
        <w:p>
          <w:pPr>
            <w:pStyle w:val="TOC2"/>
            <w:tabs>
              <w:tab w:val="right" w:leader="dot" w:pos="9000"/>
            </w:tabs>
            <w:ind w:left="360"/>
          </w:pPr>
          <w:r>
            <w:t>Article 13. Trusted Origin Registry</w:t>
          </w:r>
          <w:r>
            <w:tab/>
          </w:r>
          <w:r>
            <w:t>16</w:t>
          </w:r>
        </w:p>
        <w:p>
          <w:pPr>
            <w:pStyle w:val="TOC2"/>
            <w:tabs>
              <w:tab w:val="right" w:leader="dot" w:pos="9000"/>
            </w:tabs>
            <w:ind w:left="360"/>
          </w:pPr>
          <w:r>
            <w:t>Article 14. Non-Party Free-Riding Test</w:t>
          </w:r>
          <w:r>
            <w:tab/>
          </w:r>
          <w:r>
            <w:t>17</w:t>
          </w:r>
        </w:p>
        <w:p>
          <w:pPr>
            <w:pStyle w:val="TOC2"/>
            <w:tabs>
              <w:tab w:val="right" w:leader="dot" w:pos="9000"/>
            </w:tabs>
            <w:ind w:left="360"/>
          </w:pPr>
          <w:r>
            <w:t>Article 15. Joint Verification Secretariat</w:t>
          </w:r>
          <w:r>
            <w:tab/>
          </w:r>
          <w:r>
            <w:t>17</w:t>
          </w:r>
        </w:p>
        <w:p>
          <w:pPr>
            <w:pStyle w:val="TOC1"/>
            <w:tabs>
              <w:tab w:val="right" w:leader="dot" w:pos="9000"/>
            </w:tabs>
            <w:ind w:left="0"/>
          </w:pPr>
          <w:r>
            <w:t>Part VI. Cothrom Verification Architecture (30-Day Adaptation)</w:t>
          </w:r>
          <w:r>
            <w:tab/>
          </w:r>
          <w:r>
            <w:t>18</w:t>
          </w:r>
        </w:p>
        <w:p>
          <w:pPr>
            <w:pStyle w:val="TOC2"/>
            <w:tabs>
              <w:tab w:val="right" w:leader="dot" w:pos="9000"/>
            </w:tabs>
            <w:ind w:left="360"/>
          </w:pPr>
          <w:r>
            <w:t>Article 16. Evidence and Status</w:t>
          </w:r>
          <w:r>
            <w:tab/>
          </w:r>
          <w:r>
            <w:t>18</w:t>
          </w:r>
        </w:p>
        <w:p>
          <w:pPr>
            <w:pStyle w:val="TOC2"/>
            <w:tabs>
              <w:tab w:val="right" w:leader="dot" w:pos="9000"/>
            </w:tabs>
            <w:ind w:left="360"/>
          </w:pPr>
          <w:r>
            <w:t>Article 17. Tiered Consequences</w:t>
          </w:r>
          <w:r>
            <w:tab/>
          </w:r>
          <w:r>
            <w:t>19</w:t>
          </w:r>
        </w:p>
        <w:p>
          <w:pPr>
            <w:pStyle w:val="TOC2"/>
            <w:tabs>
              <w:tab w:val="right" w:leader="dot" w:pos="9000"/>
            </w:tabs>
            <w:ind w:left="360"/>
          </w:pPr>
          <w:r>
            <w:t>Article 18. Cross-Module Firewall</w:t>
          </w:r>
          <w:r>
            <w:tab/>
          </w:r>
          <w:r>
            <w:t>20</w:t>
          </w:r>
        </w:p>
        <w:p>
          <w:pPr>
            <w:pStyle w:val="TOC1"/>
            <w:tabs>
              <w:tab w:val="right" w:leader="dot" w:pos="9000"/>
            </w:tabs>
            <w:ind w:left="0"/>
          </w:pPr>
          <w:r>
            <w:t>Part VII. Negotiating and Review Schedule — 30 Days</w:t>
          </w:r>
          <w:r>
            <w:tab/>
          </w:r>
          <w:r>
            <w:t>21</w:t>
          </w:r>
        </w:p>
        <w:p>
          <w:pPr>
            <w:pStyle w:val="TOC2"/>
            <w:tabs>
              <w:tab w:val="right" w:leader="dot" w:pos="9000"/>
            </w:tabs>
            <w:ind w:left="360"/>
          </w:pPr>
          <w:r>
            <w:t>Article 19. Day 15 Progress Review</w:t>
          </w:r>
          <w:r>
            <w:tab/>
          </w:r>
          <w:r>
            <w:t>21</w:t>
          </w:r>
        </w:p>
        <w:p>
          <w:pPr>
            <w:pStyle w:val="TOC2"/>
            <w:tabs>
              <w:tab w:val="right" w:leader="dot" w:pos="9000"/>
            </w:tabs>
            <w:ind w:left="360"/>
          </w:pPr>
          <w:r>
            <w:t>Article 20. Day 25 Negotiating Package</w:t>
          </w:r>
          <w:r>
            <w:tab/>
          </w:r>
          <w:r>
            <w:t>21</w:t>
          </w:r>
        </w:p>
        <w:p>
          <w:pPr>
            <w:pStyle w:val="TOC2"/>
            <w:tabs>
              <w:tab w:val="right" w:leader="dot" w:pos="9000"/>
            </w:tabs>
            <w:ind w:left="360"/>
          </w:pPr>
          <w:r>
            <w:t>Article 21. Day 30 Decision Point</w:t>
          </w:r>
          <w:r>
            <w:tab/>
          </w:r>
          <w:r>
            <w:t>22</w:t>
          </w:r>
        </w:p>
        <w:p>
          <w:pPr>
            <w:pStyle w:val="TOC2"/>
            <w:tabs>
              <w:tab w:val="right" w:leader="dot" w:pos="9000"/>
            </w:tabs>
            <w:ind w:left="360"/>
          </w:pPr>
          <w:r>
            <w:t>Article 22. Orderly Wind-Down</w:t>
          </w:r>
          <w:r>
            <w:tab/>
          </w:r>
          <w:r>
            <w:t>22</w:t>
          </w:r>
        </w:p>
        <w:p>
          <w:pPr>
            <w:pStyle w:val="TOC1"/>
            <w:tabs>
              <w:tab w:val="right" w:leader="dot" w:pos="9000"/>
            </w:tabs>
            <w:ind w:left="0"/>
          </w:pPr>
          <w:r>
            <w:t>Annex A. Reciprocal Action Matrix — 30-Day Framework</w:t>
          </w:r>
          <w:r>
            <w:tab/>
          </w:r>
          <w:r>
            <w:t>23</w:t>
          </w:r>
        </w:p>
        <w:p>
          <w:pPr>
            <w:pStyle w:val="TOC1"/>
            <w:tabs>
              <w:tab w:val="right" w:leader="dot" w:pos="9000"/>
            </w:tabs>
            <w:ind w:left="0"/>
          </w:pPr>
          <w:r>
            <w:t>Annex B. Implementation Calendar</w:t>
          </w:r>
          <w:r>
            <w:tab/>
          </w:r>
          <w:r>
            <w:t>24</w:t>
          </w:r>
        </w:p>
        <w:p>
          <w:pPr>
            <w:pStyle w:val="TOC1"/>
            <w:tabs>
              <w:tab w:val="right" w:leader="dot" w:pos="9000"/>
            </w:tabs>
            <w:ind w:left="0"/>
          </w:pPr>
          <w:r>
            <w:t>Annex C. Alberta Dairy Access Window — Operating Schedule</w:t>
          </w:r>
          <w:r>
            <w:tab/>
          </w:r>
          <w:r>
            <w:t>25</w:t>
          </w:r>
        </w:p>
        <w:p>
          <w:pPr>
            <w:pStyle w:val="TOC1"/>
            <w:tabs>
              <w:tab w:val="right" w:leader="dot" w:pos="9000"/>
            </w:tabs>
            <w:ind w:left="0"/>
          </w:pPr>
          <w:r>
            <w:t>Annex D. Strategic Inputs Schedule (Potash and Aluminum)</w:t>
          </w:r>
          <w:r>
            <w:tab/>
          </w:r>
          <w:r>
            <w:t>25</w:t>
          </w:r>
        </w:p>
        <w:p>
          <w:pPr>
            <w:pStyle w:val="TOC1"/>
            <w:tabs>
              <w:tab w:val="right" w:leader="dot" w:pos="9000"/>
            </w:tabs>
            <w:ind w:left="0"/>
          </w:pPr>
          <w:r>
            <w:t>Annex E. Wildfire Procurement Schedule</w:t>
          </w:r>
          <w:r>
            <w:tab/>
          </w:r>
          <w:r>
            <w:t>26</w:t>
          </w:r>
        </w:p>
        <w:p>
          <w:pPr>
            <w:pStyle w:val="TOC1"/>
            <w:tabs>
              <w:tab w:val="right" w:leader="dot" w:pos="9000"/>
            </w:tabs>
            <w:ind w:left="0"/>
          </w:pPr>
          <w:r>
            <w:t>Annex F. Cothrom Claim Template</w:t>
          </w:r>
          <w:r>
            <w:tab/>
          </w:r>
          <w:r>
            <w:t>26</w:t>
          </w:r>
        </w:p>
        <w:p>
          <w:pPr>
            <w:pStyle w:val="TOC1"/>
            <w:tabs>
              <w:tab w:val="right" w:leader="dot" w:pos="9000"/>
            </w:tabs>
            <w:ind w:left="0"/>
          </w:pPr>
          <w:r>
            <w:t>Annex G. Module Status Dashboard (Publication Format)</w:t>
          </w:r>
          <w:r>
            <w:tab/>
          </w:r>
          <w:r>
            <w:t>27</w:t>
          </w:r>
        </w:p>
        <w:p>
          <w:pPr>
            <w:pStyle w:val="TOC1"/>
            <w:tabs>
              <w:tab w:val="right" w:leader="dot" w:pos="9000"/>
            </w:tabs>
            <w:ind w:left="0"/>
          </w:pPr>
          <w:r>
            <w:t>Annex H. Failure Scenarios and Responses</w:t>
          </w:r>
          <w:r>
            <w:tab/>
          </w:r>
          <w:r>
            <w:t>27</w:t>
          </w:r>
        </w:p>
        <w:p>
          <w:pPr>
            <w:pStyle w:val="TOC1"/>
            <w:tabs>
              <w:tab w:val="right" w:leader="dot" w:pos="9000"/>
            </w:tabs>
            <w:ind w:left="0"/>
          </w:pPr>
          <w:r>
            <w:t>Annex I. Canadian Cost-Control Guardrails</w:t>
          </w:r>
          <w:r>
            <w:tab/>
          </w:r>
          <w:r>
            <w:t>28</w:t>
          </w:r>
        </w:p>
        <w:p>
          <w:pPr>
            <w:pStyle w:val="TOC1"/>
            <w:tabs>
              <w:tab w:val="right" w:leader="dot" w:pos="9000"/>
            </w:tabs>
            <w:ind w:left="0"/>
          </w:pPr>
          <w:r>
            <w:t>Annex J. U.S. Political Value Ledger</w:t>
          </w:r>
          <w:r>
            <w:tab/>
          </w:r>
          <w:r>
            <w:t>28</w:t>
          </w:r>
        </w:p>
        <w:p>
          <w:pPr>
            <w:pStyle w:val="TOC1"/>
            <w:tabs>
              <w:tab w:val="right" w:leader="dot" w:pos="9000"/>
            </w:tabs>
            <w:ind w:left="0"/>
          </w:pPr>
          <w:r>
            <w:t>Annex K. Canadian Political Value Ledger</w:t>
          </w:r>
          <w:r>
            <w:tab/>
          </w:r>
          <w:r>
            <w:t>29</w:t>
          </w:r>
        </w:p>
        <w:p>
          <w:pPr>
            <w:pStyle w:val="TOC1"/>
            <w:tabs>
              <w:tab w:val="right" w:leader="dot" w:pos="9000"/>
            </w:tabs>
            <w:ind w:left="0"/>
          </w:pPr>
          <w:r>
            <w:t>Annex L. Negotiator Fallback Ladder</w:t>
          </w:r>
          <w:r>
            <w:tab/>
          </w:r>
          <w:r>
            <w:t>29</w:t>
          </w:r>
        </w:p>
        <w:p>
          <w:pPr>
            <w:pStyle w:val="TOC1"/>
            <w:tabs>
              <w:tab w:val="right" w:leader="dot" w:pos="9000"/>
            </w:tabs>
            <w:ind w:left="0"/>
          </w:pPr>
          <w:r>
            <w:t>Annex M. Red Lines Preserved</w:t>
          </w:r>
          <w:r>
            <w:tab/>
          </w:r>
          <w:r>
            <w:t>30</w:t>
          </w:r>
        </w:p>
        <w:p>
          <w:pPr>
            <w:pStyle w:val="TOC1"/>
            <w:tabs>
              <w:tab w:val="right" w:leader="dot" w:pos="9000"/>
            </w:tabs>
            <w:ind w:left="0"/>
          </w:pPr>
          <w:r>
            <w:t>Annex N. Research Basis and Source Notes</w:t>
          </w:r>
          <w:r>
            <w:tab/>
          </w:r>
          <w:r>
            <w:t>30</w:t>
          </w:r>
        </w:p>
        <w:p>
          <w:pPr>
            <w:pStyle w:val="TOC1"/>
            <w:tabs>
              <w:tab w:val="right" w:leader="dot" w:pos="9000"/>
            </w:tabs>
            <w:ind w:left="0"/>
          </w:pPr>
          <w:r>
            <w:t>Annex O. Signature and Political Confirmation</w:t>
          </w:r>
          <w:r>
            <w:tab/>
          </w:r>
          <w:r>
            <w:t>31</w:t>
          </w:r>
        </w:p>
        <w:p>
          <w:pPr>
            <w:pStyle w:val="TOC1"/>
            <w:tabs>
              <w:tab w:val="right" w:leader="dot" w:pos="9000"/>
            </w:tabs>
            <w:ind w:left="0"/>
          </w:pPr>
          <w:r>
            <w:t>Closing Statement</w:t>
          </w:r>
          <w:r>
            <w:tab/>
          </w:r>
          <w:r>
            <w:t>31</w:t>
          </w:r>
        </w:p>
        <w:p>
          <w:r>
            <w:fldChar w:fldCharType="end"/>
          </w:r>
        </w:p>
      </w:sdtContent>
    </w:sdt>
    <w:p>
      <w:pPr>
        <w:pStyle w:val="Heading1"/>
        <w:spacing w:after="140" w:before="280"/>
      </w:pPr>
      <w:r>
        <w:rPr>
          <w:rFonts w:ascii="Times New Roman" w:cs="Times New Roman" w:eastAsia="SimSun" w:hAnsi="Times New Roman"/>
          <w:b/>
          <w:bCs/>
          <w:color w:val="1F2A33"/>
          <w:sz w:val="30"/>
          <w:szCs w:val="30"/>
        </w:rPr>
        <w:t xml:space="preserve">Document Control</w:t>
      </w:r>
    </w:p>
    <w:p>
      <w:pPr>
        <w:pStyle w:val="Heading2"/>
        <w:spacing w:after="110" w:before="220"/>
      </w:pPr>
      <w:r>
        <w:rPr>
          <w:rFonts w:ascii="Times New Roman" w:cs="Times New Roman" w:eastAsia="SimSun" w:hAnsi="Times New Roman"/>
          <w:b/>
          <w:bCs/>
          <w:color w:val="2F4A5C"/>
          <w:sz w:val="26"/>
          <w:szCs w:val="26"/>
        </w:rPr>
        <w:t xml:space="preserve">Document Status, Purpose, and Caution</w:t>
      </w:r>
    </w:p>
    <w:p>
      <w:pPr>
        <w:spacing w:after="140" w:line="288"/>
        <w:jc w:val="both"/>
      </w:pPr>
      <w:r>
        <w:rPr>
          <w:rFonts w:ascii="Times New Roman" w:cs="Times New Roman" w:eastAsia="SimSun" w:hAnsi="Times New Roman"/>
          <w:sz w:val="23"/>
          <w:szCs w:val="23"/>
        </w:rPr>
        <w:t xml:space="preserve">This text presents an independent conceptual contribution for policy discussion. It does not represent an official position of Canada, the United States, any province, any state, CUSMA institutions, or any public authority. It is a drafting exercise intended to demonstrate what a fully operational emergency stabilization instrument could look like if both governments decided to step back from the September 8, 2026 counter-tariff cliff.</w:t>
      </w:r>
    </w:p>
    <w:p>
      <w:pPr>
        <w:spacing w:after="140" w:line="288"/>
        <w:jc w:val="both"/>
      </w:pPr>
      <w:r>
        <w:rPr>
          <w:rFonts w:ascii="Times New Roman" w:cs="Times New Roman" w:eastAsia="SimSun" w:hAnsi="Times New Roman"/>
          <w:sz w:val="23"/>
          <w:szCs w:val="23"/>
        </w:rPr>
        <w:t xml:space="preserve">The Bridge operates as an emergency administrative measure. Each government implements only those actions that its competent authorities independently identify as available under existing law. Measures that depend on legislation, appropriations, provincial action, state action, or regulatory approval remain within those decision channels, and nothing in this text compels any legislature, liquor authority, procurement body, or regulator to act.</w:t>
      </w:r>
    </w:p>
    <w:p>
      <w:pPr>
        <w:spacing w:after="140" w:line="288"/>
        <w:jc w:val="both"/>
      </w:pPr>
      <w:r>
        <w:rPr>
          <w:rFonts w:ascii="Times New Roman" w:cs="Times New Roman" w:eastAsia="SimSun" w:hAnsi="Times New Roman"/>
          <w:sz w:val="23"/>
          <w:szCs w:val="23"/>
        </w:rPr>
        <w:t xml:space="preserve">The Bridge preserves the legal positions of both Parties under the Canada–United States–Mexico Agreement (CUSMA), World Trade Organization instruments, domestic law, and existing trade-remedy proceedings. Interim commercial actions taken under the Bridge create no permanent precedent and are without prejudice to any pending or future dispute.</w:t>
      </w:r>
    </w:p>
    <w:p>
      <w:pPr>
        <w:spacing w:after="140" w:line="288"/>
        <w:jc w:val="both"/>
      </w:pPr>
      <w:r>
        <w:rPr>
          <w:rFonts w:ascii="Times New Roman" w:cs="Times New Roman" w:eastAsia="SimSun" w:hAnsi="Times New Roman"/>
          <w:sz w:val="23"/>
          <w:szCs w:val="23"/>
        </w:rPr>
        <w:t xml:space="preserve">The architecture follows the drafting convention developed in earlier conceptual work on this file: the political face of the instrument — preambles, objectives, scoreboards, and working-group mandates — is written in plain present-tense language so that principals and the public can read it quickly, while the operative provisions that customs authorities, treasuries, and dispute panels would actually apply are written in traditional treaty syntax ("shall", "shall not", "may").</w:t>
      </w:r>
    </w:p>
    <w:p>
      <w:pPr>
        <w:spacing w:after="140" w:line="288"/>
      </w:pPr>
      <w:r>
        <w:rPr>
          <w:rFonts w:ascii="Times New Roman" w:cs="Times New Roman" w:eastAsia="SimSun" w:hAnsi="Times New Roman"/>
          <w:i/>
          <w:iCs/>
          <w:color w:val="5B7B8C"/>
          <w:sz w:val="20"/>
          <w:szCs w:val="20"/>
        </w:rPr>
        <w:t xml:space="preserve">Research cut-off for the situation assessment: September 7, 2026, Eastern Time.</w:t>
      </w:r>
    </w:p>
    <w:p>
      <w:r>
        <w:br w:type="page"/>
      </w:r>
    </w:p>
    <w:p>
      <w:pPr>
        <w:pStyle w:val="Heading1"/>
        <w:spacing w:after="140" w:before="280"/>
      </w:pPr>
      <w:r>
        <w:rPr>
          <w:rFonts w:ascii="Times New Roman" w:cs="Times New Roman" w:eastAsia="SimSun" w:hAnsi="Times New Roman"/>
          <w:b/>
          <w:bCs/>
          <w:color w:val="1F2A33"/>
          <w:sz w:val="30"/>
          <w:szCs w:val="30"/>
        </w:rPr>
        <w:t xml:space="preserve">Executive Negotiating Snapshot</w:t>
      </w:r>
    </w:p>
    <w:p>
      <w:pPr>
        <w:spacing w:after="140" w:line="288"/>
        <w:jc w:val="both"/>
      </w:pPr>
      <w:r>
        <w:rPr>
          <w:rFonts w:ascii="Times New Roman" w:cs="Times New Roman" w:eastAsia="SimSun" w:hAnsi="Times New Roman"/>
          <w:sz w:val="23"/>
          <w:szCs w:val="23"/>
        </w:rPr>
        <w:t xml:space="preserve">As of September 7, 2026, the bilateral trade relationship stands at an acute impasse. The United States has applied 50 per cent duties under Section 338 of the Tariff Act of 1930 to approximately US$20–28 billion of Canadian goods since August 22, 2026. Canada has published a dollar-for-dollar counter-tariff schedule of 15, 25, and 50 per cent covering approximately C$27.6 billion of U.S. imports across more than 600 tariff classifications, effective 12:01 a.m. on September 8, 2026. Negotiations have been suspended since August 21. Public statements on both sides confirm that the dispute turned on a small number of sectoral issues — automotive origin documentation, provincial alcohol listing, dairy administration, and metals — rather than on the architecture of the relationship as a whole.</w:t>
      </w:r>
    </w:p>
    <w:p>
      <w:pPr>
        <w:spacing w:after="140" w:line="288"/>
        <w:jc w:val="both"/>
      </w:pPr>
      <w:r>
        <w:rPr>
          <w:rFonts w:ascii="Times New Roman" w:cs="Times New Roman" w:eastAsia="SimSun" w:hAnsi="Times New Roman"/>
          <w:sz w:val="23"/>
          <w:szCs w:val="23"/>
        </w:rPr>
        <w:t xml:space="preserve">The Emergency Stabilization Bridge answers that configuration with a deliberate, time-boxed exchange. Canada front-loads visible, reversible market-access and supply measures that produce immediate U.S. political value at modest long-run Canadian cost. The United States front-loads the item Ottawa values most: suspension of the Section 338 duty cliff and a verified pathway down from the 50 per cent metals burden and the 25 per cent automotive headline rate. Neither side touches its core institutions: supply management survives, CUSMA preference processing continues, and no permanent content floors, purchase quotas, or third-country vetoes are created.</w:t>
      </w:r>
    </w:p>
    <w:p>
      <w:pPr>
        <w:spacing w:after="140" w:line="288"/>
        <w:jc w:val="both"/>
      </w:pPr>
      <w:r>
        <w:rPr>
          <w:rFonts w:ascii="Times New Roman" w:cs="Times New Roman" w:eastAsia="SimSun" w:hAnsi="Times New Roman"/>
          <w:sz w:val="23"/>
          <w:szCs w:val="23"/>
        </w:rPr>
        <w:t xml:space="preserve">The Bridge runs for 30 days from entry into force. The first 72 hours form a quiet stabilization window in which customs instructions are issued and a shared registry opens. Days 1–15 deliver visible tariff relief and market access. Days 16–30 scale verified cooperation and produce a negotiating package for the CUSMA Joint Review track. At Day 30 the Parties choose among extension, a Phase One agreement, or an orderly wind-down that restores baseline legal positions with no Party worse off than before.</w:t>
      </w:r>
    </w:p>
    <w:p>
      <w:pPr>
        <w:spacing w:after="140" w:line="288"/>
        <w:jc w:val="both"/>
      </w:pPr>
      <w:r>
        <w:rPr>
          <w:rFonts w:ascii="Times New Roman" w:cs="Times New Roman" w:eastAsia="SimSun" w:hAnsi="Times New Roman"/>
          <w:sz w:val="23"/>
          <w:szCs w:val="23"/>
        </w:rPr>
        <w:t xml:space="preserve">Every module is verified separately under the Cothrom method — a graduated, reversible, proportionate compliance architecture that replaces snapback with tiered step-backs and guaranteed earn-back pathways. A failure in one module does not collapse the Bridge; it pauses the smallest relevant benefit, triggers a defined correction window, and restores full benefits after verified remediation.</w:t>
      </w:r>
    </w:p>
    <w:p>
      <w:r>
        <w:br w:type="page"/>
      </w:r>
    </w:p>
    <w:p>
      <w:pPr>
        <w:pStyle w:val="Heading1"/>
        <w:spacing w:after="140" w:before="280"/>
      </w:pPr>
      <w:r>
        <w:rPr>
          <w:rFonts w:ascii="Times New Roman" w:cs="Times New Roman" w:eastAsia="SimSun" w:hAnsi="Times New Roman"/>
          <w:b/>
          <w:bCs/>
          <w:color w:val="1F2A33"/>
          <w:sz w:val="30"/>
          <w:szCs w:val="30"/>
        </w:rPr>
        <w:t xml:space="preserve">Balanced Political Scoreboard</w:t>
      </w:r>
    </w:p>
    <w:p>
      <w:pPr>
        <w:pStyle w:val="Heading2"/>
        <w:spacing w:after="110" w:before="220"/>
      </w:pPr>
      <w:r>
        <w:rPr>
          <w:rFonts w:ascii="Times New Roman" w:cs="Times New Roman" w:eastAsia="SimSun" w:hAnsi="Times New Roman"/>
          <w:b/>
          <w:bCs/>
          <w:color w:val="2F4A5C"/>
          <w:sz w:val="26"/>
          <w:szCs w:val="26"/>
        </w:rPr>
        <w:t xml:space="preserve">What Each Side Gets</w:t>
      </w:r>
    </w:p>
    <w:p>
      <w:pPr>
        <w:spacing w:after="140" w:line="288"/>
        <w:jc w:val="both"/>
      </w:pPr>
      <w:r>
        <w:rPr>
          <w:rFonts w:ascii="Times New Roman" w:cs="Times New Roman" w:eastAsia="SimSun" w:hAnsi="Times New Roman"/>
          <w:sz w:val="23"/>
          <w:szCs w:val="23"/>
        </w:rPr>
        <w:t xml:space="preserve">The structure separates political optics from economic cost. Alcohol restoration and dairy administration reform generate visible market-opening headlines in the United States. Tariff suspension, metals relief, and auto-rate movement generate visible de-escalation headlines in Canada. Both are real, measurable, and reversible.</w:t>
      </w:r>
    </w:p>
    <w:p>
      <w:pPr>
        <w:spacing w:after="140" w:line="288"/>
      </w:pPr>
      <w:r>
        <w:rPr>
          <w:rFonts w:ascii="Times New Roman" w:cs="Times New Roman" w:eastAsia="SimSun" w:hAnsi="Times New Roman"/>
          <w:b/>
          <w:bCs/>
          <w:sz w:val="23"/>
          <w:szCs w:val="23"/>
        </w:rPr>
        <w:t xml:space="preserve">United States narrative: </w:t>
      </w:r>
      <w:r>
        <w:rPr>
          <w:rFonts w:ascii="Times New Roman" w:cs="Times New Roman" w:eastAsia="SimSun" w:hAnsi="Times New Roman"/>
          <w:sz w:val="23"/>
          <w:szCs w:val="23"/>
        </w:rPr>
        <w:t xml:space="preserve">American wine, beer, cider, and spirits return to neutral consideration in provincial liquor systems; American dairy receives a new, time-limited Alberta access window; Canadian auto surtaxes pause; U.S. wildfire-equipment producers receive an accelerated Canadian procurement opportunity; and Saskatchewan potash and Quebec-origin aluminum receive trusted-input treatment that protects U.S. farmers and manufacturers from supply shocks.</w:t>
      </w:r>
    </w:p>
    <w:p>
      <w:pPr>
        <w:spacing w:after="140" w:line="288"/>
      </w:pPr>
      <w:r>
        <w:rPr>
          <w:rFonts w:ascii="Times New Roman" w:cs="Times New Roman" w:eastAsia="SimSun" w:hAnsi="Times New Roman"/>
          <w:b/>
          <w:bCs/>
          <w:sz w:val="23"/>
          <w:szCs w:val="23"/>
        </w:rPr>
        <w:t xml:space="preserve">Canadian narrative: </w:t>
      </w:r>
      <w:r>
        <w:rPr>
          <w:rFonts w:ascii="Times New Roman" w:cs="Times New Roman" w:eastAsia="SimSun" w:hAnsi="Times New Roman"/>
          <w:sz w:val="23"/>
          <w:szCs w:val="23"/>
        </w:rPr>
        <w:t xml:space="preserve">the September 8 counter-tariff cliff is avoided; Section 338 collection stops; CUSMA-origin trade keeps preference treatment; the Section 232 auto headline rate steps down; verified Canadian aluminum enters a lower interim band; supply management, cultural policy, pharmaceutical pricing, and procurement sovereignty remain intact; and every concession sunsets automatically in 30 days unless both sides agree in writing to continue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Bridge Module</w:t>
            </w:r>
          </w:p>
        </w:tc>
        <w:tc>
          <w:tcPr>
            <w:tcW w:type="dxa" w:w="312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U.S. Receives</w:t>
            </w:r>
          </w:p>
        </w:tc>
        <w:tc>
          <w:tcPr>
            <w:tcW w:type="dxa" w:w="312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Canada Receives</w:t>
            </w:r>
          </w:p>
        </w:tc>
      </w:tr>
      <w:tr>
        <w:trPr>
          <w:tblHeader w:val="false"/>
        </w:trPr>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Tariff cliff</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Canadian counter-tariffs held in abeyance</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Section 338 duty collection suspended</w:t>
            </w:r>
          </w:p>
        </w:tc>
      </w:tr>
      <w:tr>
        <w:trPr>
          <w:tblHeader w:val="false"/>
        </w:trPr>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Alcohol</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Neutral provincial listing within 7 days</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Confirmed agriculture negotiating track</w:t>
            </w:r>
          </w:p>
        </w:tc>
      </w:tr>
      <w:tr>
        <w:trPr>
          <w:tblHeader w:val="false"/>
        </w:trPr>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Dairy</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30-day Alberta access window</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Supply-management framework untouched</w:t>
            </w:r>
          </w:p>
        </w:tc>
      </w:tr>
      <w:tr>
        <w:trPr>
          <w:tblHeader w:val="false"/>
        </w:trPr>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Autos</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Canadian surtax suspension</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Interim Section 232 rate reduction</w:t>
            </w:r>
          </w:p>
        </w:tc>
      </w:tr>
      <w:tr>
        <w:trPr>
          <w:tblHeader w:val="false"/>
        </w:trPr>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Potash</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Priority supply option at market prices</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Trusted strategic-input treatment</w:t>
            </w:r>
          </w:p>
        </w:tc>
      </w:tr>
      <w:tr>
        <w:trPr>
          <w:tblHeader w:val="false"/>
        </w:trPr>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Aluminum</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Verified availability corridor</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Lower interim metals band</w:t>
            </w:r>
          </w:p>
        </w:tc>
      </w:tr>
      <w:tr>
        <w:trPr>
          <w:tblHeader w:val="false"/>
        </w:trPr>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Wildfire equipment</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Accelerated procurement window</w:t>
            </w:r>
          </w:p>
        </w:tc>
        <w:tc>
          <w:tcPr>
            <w:tcW w:type="dxa" w:w="312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Faster access to response capacity</w:t>
            </w:r>
          </w:p>
        </w:tc>
      </w:tr>
    </w:tbl>
    <w:p>
      <w:r>
        <w:br w:type="page"/>
      </w:r>
    </w:p>
    <w:p>
      <w:pPr>
        <w:pStyle w:val="Heading1"/>
        <w:spacing w:after="140" w:before="280"/>
      </w:pPr>
      <w:r>
        <w:rPr>
          <w:rFonts w:ascii="Times New Roman" w:cs="Times New Roman" w:eastAsia="SimSun" w:hAnsi="Times New Roman"/>
          <w:b/>
          <w:bCs/>
          <w:color w:val="1F2A33"/>
          <w:sz w:val="30"/>
          <w:szCs w:val="30"/>
        </w:rPr>
        <w:t xml:space="preserve">Part I. Situation Assessment and Operating Logic</w:t>
      </w:r>
    </w:p>
    <w:p>
      <w:pPr>
        <w:pStyle w:val="Heading2"/>
        <w:spacing w:after="110" w:before="220"/>
      </w:pPr>
      <w:r>
        <w:rPr>
          <w:rFonts w:ascii="Times New Roman" w:cs="Times New Roman" w:eastAsia="SimSun" w:hAnsi="Times New Roman"/>
          <w:b/>
          <w:bCs/>
          <w:color w:val="2F4A5C"/>
          <w:sz w:val="26"/>
          <w:szCs w:val="26"/>
        </w:rPr>
        <w:t xml:space="preserve">Article 1. Immediate Situation</w:t>
      </w:r>
    </w:p>
    <w:p>
      <w:pPr>
        <w:spacing w:after="140" w:line="288"/>
        <w:jc w:val="both"/>
      </w:pPr>
      <w:r>
        <w:rPr>
          <w:rFonts w:ascii="Times New Roman" w:cs="Times New Roman" w:eastAsia="SimSun" w:hAnsi="Times New Roman"/>
          <w:b/>
          <w:bCs/>
          <w:sz w:val="23"/>
          <w:szCs w:val="23"/>
        </w:rPr>
        <w:t xml:space="preserve">1.1 </w:t>
      </w:r>
      <w:r>
        <w:rPr>
          <w:rFonts w:ascii="Times New Roman" w:cs="Times New Roman" w:eastAsia="SimSun" w:hAnsi="Times New Roman"/>
          <w:sz w:val="23"/>
          <w:szCs w:val="23"/>
        </w:rPr>
        <w:t xml:space="preserve">As of September 7, 2026, the bilateral trade relationship stands at an acute impasse. The United States has imposed 50 per cent duties under Section 338 of the Tariff Act of 1930 on approximately US$20–28 billion of Canadian goods, effective August 22, 2026, following three Presidential Proclamations issued July 20, 2026 and a failed three-day negotiating pause. Canada has scheduled dollar-for-dollar retaliatory counter-tariffs of 15, 25, and 50 per cent on approximately C$27.6 billion of U.S. imports — more than 600 tariff classifications concentrated in steel, aluminum, dairy, appliances, agricultural equipment, pulp and paper, plastics, and electronics — effective 12:01 a.m. Eastern Time on September 8, 2026. High-level negotiations have been suspended since August 21, 2026.</w:t>
      </w:r>
    </w:p>
    <w:p>
      <w:pPr>
        <w:spacing w:after="140" w:line="288"/>
        <w:jc w:val="both"/>
      </w:pPr>
      <w:r>
        <w:rPr>
          <w:rFonts w:ascii="Times New Roman" w:cs="Times New Roman" w:eastAsia="SimSun" w:hAnsi="Times New Roman"/>
          <w:b/>
          <w:bCs/>
          <w:sz w:val="23"/>
          <w:szCs w:val="23"/>
        </w:rPr>
        <w:t xml:space="preserve">1.2 </w:t>
      </w:r>
      <w:r>
        <w:rPr>
          <w:rFonts w:ascii="Times New Roman" w:cs="Times New Roman" w:eastAsia="SimSun" w:hAnsi="Times New Roman"/>
          <w:sz w:val="23"/>
          <w:szCs w:val="23"/>
        </w:rPr>
        <w:t xml:space="preserve">The measures do not stack. Canadian counter-tariff rates on steel and aluminum rise from existing 25 per cent levels to 50 per cent to match U.S. rates; other pre-existing countermeasures, including those on U.S. automobiles, continue to apply. Goods already in transit to Canada at the effective moment are excluded from the September 8 schedule. These features matter for Bridge design: the standstill provisions in Part II must integrate with, rather than duplicate, the existing countermeasure architecture.</w:t>
      </w:r>
    </w:p>
    <w:p>
      <w:pPr>
        <w:spacing w:after="140" w:line="288"/>
        <w:jc w:val="both"/>
      </w:pPr>
      <w:r>
        <w:rPr>
          <w:rFonts w:ascii="Times New Roman" w:cs="Times New Roman" w:eastAsia="SimSun" w:hAnsi="Times New Roman"/>
          <w:b/>
          <w:bCs/>
          <w:sz w:val="23"/>
          <w:szCs w:val="23"/>
        </w:rPr>
        <w:t xml:space="preserve">1.3 </w:t>
      </w:r>
      <w:r>
        <w:rPr>
          <w:rFonts w:ascii="Times New Roman" w:cs="Times New Roman" w:eastAsia="SimSun" w:hAnsi="Times New Roman"/>
          <w:sz w:val="23"/>
          <w:szCs w:val="23"/>
        </w:rPr>
        <w:t xml:space="preserve">The dispute combines an immediate tariff deadline with deeper disagreements carried into the CUSMA Joint Review that opened July 1, 2026. Public reporting identifies automotive origin documentation — including the treatment of core-part roll-up in the regional-value-content calculation — provincial alcohol listing practices, dairy tariff-rate-quota administration, and metals tariffs as the operative friction points. None of these issues requires resolution of the full CUSMA review before de-escalation can begin.</w:t>
      </w:r>
    </w:p>
    <w:p>
      <w:pPr>
        <w:spacing w:after="140" w:line="288"/>
        <w:jc w:val="both"/>
      </w:pPr>
      <w:r>
        <w:rPr>
          <w:rFonts w:ascii="Times New Roman" w:cs="Times New Roman" w:eastAsia="SimSun" w:hAnsi="Times New Roman"/>
          <w:b/>
          <w:bCs/>
          <w:sz w:val="23"/>
          <w:szCs w:val="23"/>
        </w:rPr>
        <w:t xml:space="preserve">1.4 </w:t>
      </w:r>
      <w:r>
        <w:rPr>
          <w:rFonts w:ascii="Times New Roman" w:cs="Times New Roman" w:eastAsia="SimSun" w:hAnsi="Times New Roman"/>
          <w:sz w:val="23"/>
          <w:szCs w:val="23"/>
        </w:rPr>
        <w:t xml:space="preserve">The Emergency Stabilization Bridge therefore pursues four limited objectives for a 30-day term: (a) freeze escalation by suspending new tariff actions; (b) create negotiating space for good-faith discussions; (c) preserve commercial continuity in integrated supply chains; and (d) generate verified evidence to feed the CUSMA review and any permanent resolution.</w:t>
      </w:r>
    </w:p>
    <w:p>
      <w:pPr>
        <w:pStyle w:val="Heading2"/>
        <w:spacing w:after="110" w:before="220"/>
      </w:pPr>
      <w:r>
        <w:rPr>
          <w:rFonts w:ascii="Times New Roman" w:cs="Times New Roman" w:eastAsia="SimSun" w:hAnsi="Times New Roman"/>
          <w:b/>
          <w:bCs/>
          <w:color w:val="2F4A5C"/>
          <w:sz w:val="26"/>
          <w:szCs w:val="26"/>
        </w:rPr>
        <w:t xml:space="preserve">Article 2. Design Principles</w:t>
      </w:r>
    </w:p>
    <w:p>
      <w:pPr>
        <w:spacing w:after="140" w:line="288"/>
        <w:jc w:val="both"/>
      </w:pPr>
      <w:r>
        <w:rPr>
          <w:rFonts w:ascii="Times New Roman" w:cs="Times New Roman" w:eastAsia="SimSun" w:hAnsi="Times New Roman"/>
          <w:b/>
          <w:bCs/>
          <w:sz w:val="23"/>
          <w:szCs w:val="23"/>
        </w:rPr>
        <w:t xml:space="preserve">2.1 </w:t>
      </w:r>
      <w:r>
        <w:rPr>
          <w:rFonts w:ascii="Times New Roman" w:cs="Times New Roman" w:eastAsia="SimSun" w:hAnsi="Times New Roman"/>
          <w:sz w:val="23"/>
          <w:szCs w:val="23"/>
        </w:rPr>
        <w:t xml:space="preserve">The Bridge uses six principles, adapted for emergency application: reciprocity, reversibility, modularity, commercial pricing, sovereignty preservation, and transparent verification.</w:t>
      </w:r>
    </w:p>
    <w:p>
      <w:pPr>
        <w:spacing w:after="140" w:line="288"/>
        <w:jc w:val="both"/>
      </w:pPr>
      <w:r>
        <w:rPr>
          <w:rFonts w:ascii="Times New Roman" w:cs="Times New Roman" w:eastAsia="SimSun" w:hAnsi="Times New Roman"/>
          <w:b/>
          <w:bCs/>
          <w:sz w:val="23"/>
          <w:szCs w:val="23"/>
        </w:rPr>
        <w:t xml:space="preserve">2.2 Reciprocity. </w:t>
      </w:r>
      <w:r>
        <w:rPr>
          <w:rFonts w:ascii="Times New Roman" w:cs="Times New Roman" w:eastAsia="SimSun" w:hAnsi="Times New Roman"/>
          <w:sz w:val="23"/>
          <w:szCs w:val="23"/>
        </w:rPr>
        <w:t xml:space="preserve">Reciprocity means comparable political and economic value, not identical action. The Parties need not mirror each other measure for measure; they must each be able to present the exchange to their own publics as balanced. Annex A records the pairing of every Canadian action with a U.S. action of comparable weight, and Annexes K and L record the political value ledger each side can claim.</w:t>
      </w:r>
    </w:p>
    <w:p>
      <w:pPr>
        <w:spacing w:after="140" w:line="288"/>
        <w:jc w:val="both"/>
      </w:pPr>
      <w:r>
        <w:rPr>
          <w:rFonts w:ascii="Times New Roman" w:cs="Times New Roman" w:eastAsia="SimSun" w:hAnsi="Times New Roman"/>
          <w:b/>
          <w:bCs/>
          <w:sz w:val="23"/>
          <w:szCs w:val="23"/>
        </w:rPr>
        <w:t xml:space="preserve">2.3 Reversibility. </w:t>
      </w:r>
      <w:r>
        <w:rPr>
          <w:rFonts w:ascii="Times New Roman" w:cs="Times New Roman" w:eastAsia="SimSun" w:hAnsi="Times New Roman"/>
          <w:sz w:val="23"/>
          <w:szCs w:val="23"/>
        </w:rPr>
        <w:t xml:space="preserve">Every obligation under the Bridge carries a 30-day sunset unless the Parties jointly confirm continuation in writing. Reversibility protects each side from permanent loss during the term, lowers the political cost of signature, and ensures that the Day 30 default — absent affirmative agreement — is restoration of the baseline legal position, not drift into a new status quo.</w:t>
      </w:r>
    </w:p>
    <w:p>
      <w:pPr>
        <w:spacing w:after="140" w:line="288"/>
        <w:jc w:val="both"/>
      </w:pPr>
      <w:r>
        <w:rPr>
          <w:rFonts w:ascii="Times New Roman" w:cs="Times New Roman" w:eastAsia="SimSun" w:hAnsi="Times New Roman"/>
          <w:b/>
          <w:bCs/>
          <w:sz w:val="23"/>
          <w:szCs w:val="23"/>
        </w:rPr>
        <w:t xml:space="preserve">2.4 Modularity. </w:t>
      </w:r>
      <w:r>
        <w:rPr>
          <w:rFonts w:ascii="Times New Roman" w:cs="Times New Roman" w:eastAsia="SimSun" w:hAnsi="Times New Roman"/>
          <w:sz w:val="23"/>
          <w:szCs w:val="23"/>
        </w:rPr>
        <w:t xml:space="preserve">The Bridge is divided into self-contained modules (tariff standstill, alcohol, dairy, autos, potash, aluminum, wildfire procurement, origin integrity). A dispute or failure in one module does not collapse the entire Bridge. Cross-module effects activate only under the firewall rule in Article 18.</w:t>
      </w:r>
    </w:p>
    <w:p>
      <w:pPr>
        <w:spacing w:after="140" w:line="288"/>
        <w:jc w:val="both"/>
      </w:pPr>
      <w:r>
        <w:rPr>
          <w:rFonts w:ascii="Times New Roman" w:cs="Times New Roman" w:eastAsia="SimSun" w:hAnsi="Times New Roman"/>
          <w:b/>
          <w:bCs/>
          <w:sz w:val="23"/>
          <w:szCs w:val="23"/>
        </w:rPr>
        <w:t xml:space="preserve">2.5 Commercial pricing. </w:t>
      </w:r>
      <w:r>
        <w:rPr>
          <w:rFonts w:ascii="Times New Roman" w:cs="Times New Roman" w:eastAsia="SimSun" w:hAnsi="Times New Roman"/>
          <w:sz w:val="23"/>
          <w:szCs w:val="23"/>
        </w:rPr>
        <w:t xml:space="preserve">Strategic cooperation under Part IV occurs at prices set by ordinary commercial formulas. The Bridge creates no below-market commodity transfers, no forced sales, and no guaranteed-purchase obligations. Priority options grant a first opportunity to contract, not a compelled transaction.</w:t>
      </w:r>
    </w:p>
    <w:p>
      <w:pPr>
        <w:spacing w:after="140" w:line="288"/>
        <w:jc w:val="both"/>
      </w:pPr>
      <w:r>
        <w:rPr>
          <w:rFonts w:ascii="Times New Roman" w:cs="Times New Roman" w:eastAsia="SimSun" w:hAnsi="Times New Roman"/>
          <w:b/>
          <w:bCs/>
          <w:sz w:val="23"/>
          <w:szCs w:val="23"/>
        </w:rPr>
        <w:t xml:space="preserve">2.6 Sovereignty preservation. </w:t>
      </w:r>
      <w:r>
        <w:rPr>
          <w:rFonts w:ascii="Times New Roman" w:cs="Times New Roman" w:eastAsia="SimSun" w:hAnsi="Times New Roman"/>
          <w:sz w:val="23"/>
          <w:szCs w:val="23"/>
        </w:rPr>
        <w:t xml:space="preserve">Final authority remains with the competent institutions of each Party: provincial liquor authorities, supply-management bodies, federal customs and treasury authorities, energy regulators, and procurement agencies. The Bridge directs and coordinates; it does not displace statutory decision-makers.</w:t>
      </w:r>
    </w:p>
    <w:p>
      <w:pPr>
        <w:spacing w:after="140" w:line="288"/>
        <w:jc w:val="both"/>
      </w:pPr>
      <w:r>
        <w:rPr>
          <w:rFonts w:ascii="Times New Roman" w:cs="Times New Roman" w:eastAsia="SimSun" w:hAnsi="Times New Roman"/>
          <w:b/>
          <w:bCs/>
          <w:sz w:val="23"/>
          <w:szCs w:val="23"/>
        </w:rPr>
        <w:t xml:space="preserve">2.7 Transparent verification. </w:t>
      </w:r>
      <w:r>
        <w:rPr>
          <w:rFonts w:ascii="Times New Roman" w:cs="Times New Roman" w:eastAsia="SimSun" w:hAnsi="Times New Roman"/>
          <w:sz w:val="23"/>
          <w:szCs w:val="23"/>
        </w:rPr>
        <w:t xml:space="preserve">Performance is measured against shared data in a Shared Registry maintained by the Joint Verification Secretariat. Both Parties see the same evidence at the same time, and non-confidential dashboards are published so that legislatures, producers, and the public can confirm that commitments are being kept.</w:t>
      </w:r>
    </w:p>
    <w:p>
      <w:pPr>
        <w:pStyle w:val="Heading2"/>
        <w:spacing w:after="110" w:before="220"/>
      </w:pPr>
      <w:r>
        <w:rPr>
          <w:rFonts w:ascii="Times New Roman" w:cs="Times New Roman" w:eastAsia="SimSun" w:hAnsi="Times New Roman"/>
          <w:b/>
          <w:bCs/>
          <w:color w:val="2F4A5C"/>
          <w:sz w:val="26"/>
          <w:szCs w:val="26"/>
        </w:rPr>
        <w:t xml:space="preserve">Article 3. Layered Timeline — 30 Days</w:t>
      </w:r>
    </w:p>
    <w:p>
      <w:pPr>
        <w:spacing w:after="140" w:line="288"/>
        <w:jc w:val="both"/>
      </w:pPr>
      <w:r>
        <w:rPr>
          <w:rFonts w:ascii="Times New Roman" w:cs="Times New Roman" w:eastAsia="SimSun" w:hAnsi="Times New Roman"/>
          <w:b/>
          <w:bCs/>
          <w:sz w:val="23"/>
          <w:szCs w:val="23"/>
        </w:rPr>
        <w:t xml:space="preserve">3.1 </w:t>
      </w:r>
      <w:r>
        <w:rPr>
          <w:rFonts w:ascii="Times New Roman" w:cs="Times New Roman" w:eastAsia="SimSun" w:hAnsi="Times New Roman"/>
          <w:sz w:val="23"/>
          <w:szCs w:val="23"/>
        </w:rPr>
        <w:t xml:space="preserve">The Bridge operates on three layers, each with defined deliverables and verification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Layer</w:t>
            </w:r>
          </w:p>
        </w:tc>
        <w:tc>
          <w:tcPr>
            <w:tcW w:type="dxa" w:w="19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Window</w:t>
            </w:r>
          </w:p>
        </w:tc>
        <w:tc>
          <w:tcPr>
            <w:tcW w:type="dxa" w:w="616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Primary Purpose and Deliverables</w:t>
            </w:r>
          </w:p>
        </w:tc>
      </w:tr>
      <w:tr>
        <w:trPr>
          <w:tblHeader w:val="false"/>
        </w:trPr>
        <w:tc>
          <w:tcPr>
            <w:tcW w:type="dxa" w:w="1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Zero</w:t>
            </w:r>
          </w:p>
        </w:tc>
        <w:tc>
          <w:tcPr>
            <w:tcW w:type="dxa" w:w="19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Hour 0–72</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Stop escalation. Signature and entry into force; U.S. proclamation and Federal Register notice suspending Section 338 collection; Canadian instrument placing the September 8 schedule in abeyance; customs instructions issued by CBP and CBSA; Shared Registry and Joint Verification Secretariat activated; refund channel opened for transitional entries.</w:t>
            </w:r>
          </w:p>
        </w:tc>
      </w:tr>
      <w:tr>
        <w:trPr>
          <w:tblHeader w:val="false"/>
        </w:trPr>
        <w:tc>
          <w:tcPr>
            <w:tcW w:type="dxa" w:w="1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One</w:t>
            </w:r>
          </w:p>
        </w:tc>
        <w:tc>
          <w:tcPr>
            <w:tcW w:type="dxa" w:w="19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1–15</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Visible relief and access. Alcohol neutral listing in participating provinces (Day 7 target); Alberta dairy access window opens; auto surtax/rate exchange executes at a single effective hour; potash priority option and aluminum corridor begin registering shipments; Trusted Origin Registry accepts its first exporter applications. Day 15 ministerial progress review.</w:t>
            </w:r>
          </w:p>
        </w:tc>
      </w:tr>
      <w:tr>
        <w:trPr>
          <w:tblHeader w:val="false"/>
        </w:trPr>
        <w:tc>
          <w:tcPr>
            <w:tcW w:type="dxa" w:w="1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Two</w:t>
            </w:r>
          </w:p>
        </w:tc>
        <w:tc>
          <w:tcPr>
            <w:tcW w:type="dxa" w:w="19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16–30</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Scale and convert. Verified modules scale up; Orange and Red modules execute correction plans; negotiators assemble the Day 25 negotiating package; Day 30 decision on extension, Phase One agreement, or orderly wind-down.</w:t>
            </w:r>
          </w:p>
        </w:tc>
      </w:tr>
    </w:tbl>
    <w:p>
      <w:pPr>
        <w:spacing w:after="140" w:line="288"/>
        <w:jc w:val="both"/>
      </w:pPr>
      <w:r>
        <w:rPr>
          <w:rFonts w:ascii="Times New Roman" w:cs="Times New Roman" w:eastAsia="SimSun" w:hAnsi="Times New Roman"/>
          <w:b/>
          <w:bCs/>
          <w:sz w:val="23"/>
          <w:szCs w:val="23"/>
        </w:rPr>
        <w:t xml:space="preserve">3.2 </w:t>
      </w:r>
      <w:r>
        <w:rPr>
          <w:rFonts w:ascii="Times New Roman" w:cs="Times New Roman" w:eastAsia="SimSun" w:hAnsi="Times New Roman"/>
          <w:sz w:val="23"/>
          <w:szCs w:val="23"/>
        </w:rPr>
        <w:t xml:space="preserve">The Layer Zero window is deliberately quiet. Public communication during Hours 0–72 is limited to confirmation of signature and of customs instructions, so that implementation teams can work without market-moving speculation. Joint public dashboards begin publication at Day 4.</w:t>
      </w:r>
    </w:p>
    <w:p>
      <w:r>
        <w:br w:type="page"/>
      </w:r>
    </w:p>
    <w:p>
      <w:pPr>
        <w:pStyle w:val="Heading1"/>
        <w:spacing w:after="140" w:before="280"/>
      </w:pPr>
      <w:r>
        <w:rPr>
          <w:rFonts w:ascii="Times New Roman" w:cs="Times New Roman" w:eastAsia="SimSun" w:hAnsi="Times New Roman"/>
          <w:b/>
          <w:bCs/>
          <w:color w:val="1F2A33"/>
          <w:sz w:val="30"/>
          <w:szCs w:val="30"/>
        </w:rPr>
        <w:t xml:space="preserve">Part II. Entry into Force and Tariff Standstill</w:t>
      </w:r>
    </w:p>
    <w:p>
      <w:pPr>
        <w:pStyle w:val="Heading2"/>
        <w:spacing w:after="110" w:before="220"/>
      </w:pPr>
      <w:r>
        <w:rPr>
          <w:rFonts w:ascii="Times New Roman" w:cs="Times New Roman" w:eastAsia="SimSun" w:hAnsi="Times New Roman"/>
          <w:b/>
          <w:bCs/>
          <w:color w:val="2F4A5C"/>
          <w:sz w:val="26"/>
          <w:szCs w:val="26"/>
        </w:rPr>
        <w:t xml:space="preserve">Article 4. U.S. Tariff Standstill</w:t>
      </w:r>
    </w:p>
    <w:p>
      <w:pPr>
        <w:spacing w:after="140" w:line="288"/>
        <w:jc w:val="both"/>
      </w:pPr>
      <w:r>
        <w:rPr>
          <w:rFonts w:ascii="Times New Roman" w:cs="Times New Roman" w:eastAsia="SimSun" w:hAnsi="Times New Roman"/>
          <w:b/>
          <w:bCs/>
          <w:sz w:val="23"/>
          <w:szCs w:val="23"/>
        </w:rPr>
        <w:t xml:space="preserve">4.1 </w:t>
      </w:r>
      <w:r>
        <w:rPr>
          <w:rFonts w:ascii="Times New Roman" w:cs="Times New Roman" w:eastAsia="SimSun" w:hAnsi="Times New Roman"/>
          <w:sz w:val="23"/>
          <w:szCs w:val="23"/>
        </w:rPr>
        <w:t xml:space="preserve">At entry into force, the United States shall suspend collection of all duties imposed under Section 338 of the Tariff Act of 1930 on goods of Canada for the 30-day Bridge term. The suspension shall cover every Canadian good subject to the Section 338 proclamations of July 20, 2026, without product-level carve-outs, except as a later written schedule may expressly provide.</w:t>
      </w:r>
    </w:p>
    <w:p>
      <w:pPr>
        <w:spacing w:after="140" w:line="288"/>
        <w:jc w:val="both"/>
      </w:pPr>
      <w:r>
        <w:rPr>
          <w:rFonts w:ascii="Times New Roman" w:cs="Times New Roman" w:eastAsia="SimSun" w:hAnsi="Times New Roman"/>
          <w:b/>
          <w:bCs/>
          <w:sz w:val="23"/>
          <w:szCs w:val="23"/>
        </w:rPr>
        <w:t xml:space="preserve">4.2 </w:t>
      </w:r>
      <w:r>
        <w:rPr>
          <w:rFonts w:ascii="Times New Roman" w:cs="Times New Roman" w:eastAsia="SimSun" w:hAnsi="Times New Roman"/>
          <w:sz w:val="23"/>
          <w:szCs w:val="23"/>
        </w:rPr>
        <w:t xml:space="preserve">The suspension shall be executed through the fastest available administrative channel: (a) a Presidential Proclamation superseding or suspending the operative provisions of the July proclamations; and (b) a USTR notice published in the Federal Register documenting the suspension. U.S. Customs and Border Protection (CBP) shall record the suspension in the Automated Commercial Environment, update the applicable Harmonized Tariff Schedule chapter notes, and publish Cargo Systems Messaging Service instructions to the trade within 24 hours of the Proclamation.</w:t>
      </w:r>
    </w:p>
    <w:p>
      <w:pPr>
        <w:spacing w:after="140" w:line="288"/>
        <w:jc w:val="both"/>
      </w:pPr>
      <w:r>
        <w:rPr>
          <w:rFonts w:ascii="Times New Roman" w:cs="Times New Roman" w:eastAsia="SimSun" w:hAnsi="Times New Roman"/>
          <w:b/>
          <w:bCs/>
          <w:sz w:val="23"/>
          <w:szCs w:val="23"/>
        </w:rPr>
        <w:t xml:space="preserve">4.3 </w:t>
      </w:r>
      <w:r>
        <w:rPr>
          <w:rFonts w:ascii="Times New Roman" w:cs="Times New Roman" w:eastAsia="SimSun" w:hAnsi="Times New Roman"/>
          <w:sz w:val="23"/>
          <w:szCs w:val="23"/>
        </w:rPr>
        <w:t xml:space="preserve">During the Bridge term, the United States shall not impose new Canada-specific tariff escalation in sectors covered by this Bridge. Measures arising from ordinary-course antidumping or countervailing-duty investigations remain outside this freeze unless both Parties place a specific proceeding inside a later written schedule. For the avoidance of doubt, this paragraph does not constrain measures of general application that treat Canada identically with all other trading partners.</w:t>
      </w:r>
    </w:p>
    <w:p>
      <w:pPr>
        <w:spacing w:after="140" w:line="288"/>
        <w:jc w:val="both"/>
      </w:pPr>
      <w:r>
        <w:rPr>
          <w:rFonts w:ascii="Times New Roman" w:cs="Times New Roman" w:eastAsia="SimSun" w:hAnsi="Times New Roman"/>
          <w:b/>
          <w:bCs/>
          <w:sz w:val="23"/>
          <w:szCs w:val="23"/>
        </w:rPr>
        <w:t xml:space="preserve">4.4 </w:t>
      </w:r>
      <w:r>
        <w:rPr>
          <w:rFonts w:ascii="Times New Roman" w:cs="Times New Roman" w:eastAsia="SimSun" w:hAnsi="Times New Roman"/>
          <w:sz w:val="23"/>
          <w:szCs w:val="23"/>
        </w:rPr>
        <w:t xml:space="preserve">Section 232 measures on steel, aluminum, and automobiles are addressed in Articles 9 and 11 and are not suspended by this Article; they are modified only to the extent those Articles provide.</w:t>
      </w:r>
    </w:p>
    <w:p>
      <w:pPr>
        <w:pStyle w:val="Heading2"/>
        <w:spacing w:after="110" w:before="220"/>
      </w:pPr>
      <w:r>
        <w:rPr>
          <w:rFonts w:ascii="Times New Roman" w:cs="Times New Roman" w:eastAsia="SimSun" w:hAnsi="Times New Roman"/>
          <w:b/>
          <w:bCs/>
          <w:color w:val="2F4A5C"/>
          <w:sz w:val="26"/>
          <w:szCs w:val="26"/>
        </w:rPr>
        <w:t xml:space="preserve">Article 5. Canadian Countermeasure Standstill</w:t>
      </w:r>
    </w:p>
    <w:p>
      <w:pPr>
        <w:spacing w:after="140" w:line="288"/>
        <w:jc w:val="both"/>
      </w:pPr>
      <w:r>
        <w:rPr>
          <w:rFonts w:ascii="Times New Roman" w:cs="Times New Roman" w:eastAsia="SimSun" w:hAnsi="Times New Roman"/>
          <w:b/>
          <w:bCs/>
          <w:sz w:val="23"/>
          <w:szCs w:val="23"/>
        </w:rPr>
        <w:t xml:space="preserve">5.1 </w:t>
      </w:r>
      <w:r>
        <w:rPr>
          <w:rFonts w:ascii="Times New Roman" w:cs="Times New Roman" w:eastAsia="SimSun" w:hAnsi="Times New Roman"/>
          <w:sz w:val="23"/>
          <w:szCs w:val="23"/>
        </w:rPr>
        <w:t xml:space="preserve">Canada shall place the counter-tariff schedule announced August 25, 2026 and effective September 8, 2026 into abeyance for the 30-day Bridge term. The standstill covers all products on the announced schedule, including steel, aluminum, dairy, appliances, agricultural equipment, pulp, paper, and electronics, at all three rates (15, 25, and 50 per cent).</w:t>
      </w:r>
    </w:p>
    <w:p>
      <w:pPr>
        <w:spacing w:after="140" w:line="288"/>
        <w:jc w:val="both"/>
      </w:pPr>
      <w:r>
        <w:rPr>
          <w:rFonts w:ascii="Times New Roman" w:cs="Times New Roman" w:eastAsia="SimSun" w:hAnsi="Times New Roman"/>
          <w:b/>
          <w:bCs/>
          <w:sz w:val="23"/>
          <w:szCs w:val="23"/>
        </w:rPr>
        <w:t xml:space="preserve">5.2 </w:t>
      </w:r>
      <w:r>
        <w:rPr>
          <w:rFonts w:ascii="Times New Roman" w:cs="Times New Roman" w:eastAsia="SimSun" w:hAnsi="Times New Roman"/>
          <w:sz w:val="23"/>
          <w:szCs w:val="23"/>
        </w:rPr>
        <w:t xml:space="preserve">The abeyance shall be executed through the instrument Canada's competent authorities identify as appropriate — ordinarily an Order in Council amending or suspending the operative customs tariff items, supported by a Canada Border Services Agency (CBSA) customs notice. The abeyance preserves the underlying authority of the executing instruments: the schedule is suspended, not repealed, and may be reactivated without new legislative authority if the Bridge ends without a Phase One agreement.</w:t>
      </w:r>
    </w:p>
    <w:p>
      <w:pPr>
        <w:spacing w:after="140" w:line="288"/>
        <w:jc w:val="both"/>
      </w:pPr>
      <w:r>
        <w:rPr>
          <w:rFonts w:ascii="Times New Roman" w:cs="Times New Roman" w:eastAsia="SimSun" w:hAnsi="Times New Roman"/>
          <w:b/>
          <w:bCs/>
          <w:sz w:val="23"/>
          <w:szCs w:val="23"/>
        </w:rPr>
        <w:t xml:space="preserve">5.3 </w:t>
      </w:r>
      <w:r>
        <w:rPr>
          <w:rFonts w:ascii="Times New Roman" w:cs="Times New Roman" w:eastAsia="SimSun" w:hAnsi="Times New Roman"/>
          <w:sz w:val="23"/>
          <w:szCs w:val="23"/>
        </w:rPr>
        <w:t xml:space="preserve">The architecture treats the Canadian abeyance as reciprocal value exchanged for the U.S. suspension under Article 4. The two actions carry the same effective hour wherever administratively possible; where system cutover requires staggered timing, neither Party shall collect the suspended duties during any gap, and Articles 6.4–6.5 govern refunds for transitional entries.</w:t>
      </w:r>
    </w:p>
    <w:p>
      <w:pPr>
        <w:spacing w:after="140" w:line="288"/>
        <w:jc w:val="both"/>
      </w:pPr>
      <w:r>
        <w:rPr>
          <w:rFonts w:ascii="Times New Roman" w:cs="Times New Roman" w:eastAsia="SimSun" w:hAnsi="Times New Roman"/>
          <w:b/>
          <w:bCs/>
          <w:sz w:val="23"/>
          <w:szCs w:val="23"/>
        </w:rPr>
        <w:t xml:space="preserve">5.4 </w:t>
      </w:r>
      <w:r>
        <w:rPr>
          <w:rFonts w:ascii="Times New Roman" w:cs="Times New Roman" w:eastAsia="SimSun" w:hAnsi="Times New Roman"/>
          <w:sz w:val="23"/>
          <w:szCs w:val="23"/>
        </w:rPr>
        <w:t xml:space="preserve">Pre-existing Canadian countermeasures outside the September 8 schedule — including the surtax on U.S. automobiles — are addressed in Article 9 and continue unless and until that Article's paired exchange executes.</w:t>
      </w:r>
    </w:p>
    <w:p>
      <w:pPr>
        <w:pStyle w:val="Heading2"/>
        <w:spacing w:after="110" w:before="220"/>
      </w:pPr>
      <w:r>
        <w:rPr>
          <w:rFonts w:ascii="Times New Roman" w:cs="Times New Roman" w:eastAsia="SimSun" w:hAnsi="Times New Roman"/>
          <w:b/>
          <w:bCs/>
          <w:color w:val="2F4A5C"/>
          <w:sz w:val="26"/>
          <w:szCs w:val="26"/>
        </w:rPr>
        <w:t xml:space="preserve">Article 6. Reciprocal Customs Confirmation</w:t>
      </w:r>
    </w:p>
    <w:p>
      <w:pPr>
        <w:spacing w:after="140" w:line="288"/>
        <w:jc w:val="both"/>
      </w:pPr>
      <w:r>
        <w:rPr>
          <w:rFonts w:ascii="Times New Roman" w:cs="Times New Roman" w:eastAsia="SimSun" w:hAnsi="Times New Roman"/>
          <w:b/>
          <w:bCs/>
          <w:sz w:val="23"/>
          <w:szCs w:val="23"/>
        </w:rPr>
        <w:t xml:space="preserve">6.1 </w:t>
      </w:r>
      <w:r>
        <w:rPr>
          <w:rFonts w:ascii="Times New Roman" w:cs="Times New Roman" w:eastAsia="SimSun" w:hAnsi="Times New Roman"/>
          <w:sz w:val="23"/>
          <w:szCs w:val="23"/>
        </w:rPr>
        <w:t xml:space="preserve">Within 72 hours of entry into force, each Party's customs authority shall issue public written instructions confirming: (a) suspension of new Section 338 duty collection on goods of Canada; (b) suspension of Canadian retaliatory tariff collection on goods of the United States; (c) uninterrupted continuation of CUSMA preference processing for qualifying originating goods; and (d) refund procedures for entries posted after signature but before customs systems reflect the suspensions.</w:t>
      </w:r>
    </w:p>
    <w:p>
      <w:pPr>
        <w:spacing w:after="140" w:line="288"/>
        <w:jc w:val="both"/>
      </w:pPr>
      <w:r>
        <w:rPr>
          <w:rFonts w:ascii="Times New Roman" w:cs="Times New Roman" w:eastAsia="SimSun" w:hAnsi="Times New Roman"/>
          <w:b/>
          <w:bCs/>
          <w:sz w:val="23"/>
          <w:szCs w:val="23"/>
        </w:rPr>
        <w:t xml:space="preserve">6.2 </w:t>
      </w:r>
      <w:r>
        <w:rPr>
          <w:rFonts w:ascii="Times New Roman" w:cs="Times New Roman" w:eastAsia="SimSun" w:hAnsi="Times New Roman"/>
          <w:sz w:val="23"/>
          <w:szCs w:val="23"/>
        </w:rPr>
        <w:t xml:space="preserve">CBP and CBSA shall exchange technical contacts within 12 hours of signature and hold a joint systems call within 24 hours to align cutover timing, message sets, and refund workflows. Each authority shall publish a single point of contact for broker and importer queries during the Bridge term.</w:t>
      </w:r>
    </w:p>
    <w:p>
      <w:pPr>
        <w:spacing w:after="140" w:line="288"/>
        <w:jc w:val="both"/>
      </w:pPr>
      <w:r>
        <w:rPr>
          <w:rFonts w:ascii="Times New Roman" w:cs="Times New Roman" w:eastAsia="SimSun" w:hAnsi="Times New Roman"/>
          <w:b/>
          <w:bCs/>
          <w:sz w:val="23"/>
          <w:szCs w:val="23"/>
        </w:rPr>
        <w:t xml:space="preserve">6.3 In-transit rule. </w:t>
      </w:r>
      <w:r>
        <w:rPr>
          <w:rFonts w:ascii="Times New Roman" w:cs="Times New Roman" w:eastAsia="SimSun" w:hAnsi="Times New Roman"/>
          <w:sz w:val="23"/>
          <w:szCs w:val="23"/>
        </w:rPr>
        <w:t xml:space="preserve">Goods in transit toward Canada at 12:01 a.m. on September 8, 2026 remain governed by the in-transit exclusion in Canada's published schedule. Goods entering after entry into force of the Bridge receive Bridge treatment. No good shall pay a duty that both Parties have suspended, regardless of which system's cutover occurs first.</w:t>
      </w:r>
    </w:p>
    <w:p>
      <w:pPr>
        <w:spacing w:after="140" w:line="288"/>
        <w:jc w:val="both"/>
      </w:pPr>
      <w:r>
        <w:rPr>
          <w:rFonts w:ascii="Times New Roman" w:cs="Times New Roman" w:eastAsia="SimSun" w:hAnsi="Times New Roman"/>
          <w:b/>
          <w:bCs/>
          <w:sz w:val="23"/>
          <w:szCs w:val="23"/>
        </w:rPr>
        <w:t xml:space="preserve">6.4 Transitional refunds. </w:t>
      </w:r>
      <w:r>
        <w:rPr>
          <w:rFonts w:ascii="Times New Roman" w:cs="Times New Roman" w:eastAsia="SimSun" w:hAnsi="Times New Roman"/>
          <w:sz w:val="23"/>
          <w:szCs w:val="23"/>
        </w:rPr>
        <w:t xml:space="preserve">Duties collected on entries made between signature and the completion of customs-system cutover shall be refunded on request through each authority's ordinary correction and drawback channels, prioritized as Bridge refunds. CBSA shall accept refund requests by adjustment request form; CBP shall accept them by post-summary correction or protest, as applicable. Each authority shall process Bridge refunds on an expedited track with a 20-business-day service standard.</w:t>
      </w:r>
    </w:p>
    <w:p>
      <w:pPr>
        <w:spacing w:after="140" w:line="288"/>
        <w:jc w:val="both"/>
      </w:pPr>
      <w:r>
        <w:rPr>
          <w:rFonts w:ascii="Times New Roman" w:cs="Times New Roman" w:eastAsia="SimSun" w:hAnsi="Times New Roman"/>
          <w:b/>
          <w:bCs/>
          <w:sz w:val="23"/>
          <w:szCs w:val="23"/>
        </w:rPr>
        <w:t xml:space="preserve">6.5 Registry record. </w:t>
      </w:r>
      <w:r>
        <w:rPr>
          <w:rFonts w:ascii="Times New Roman" w:cs="Times New Roman" w:eastAsia="SimSun" w:hAnsi="Times New Roman"/>
          <w:sz w:val="23"/>
          <w:szCs w:val="23"/>
        </w:rPr>
        <w:t xml:space="preserve">Each customs instruction, refund standard, and contact designation shall be logged in the Shared Registry within 24 hours of issuance, with the responsible authority, effective time, and public URL recorded. These entries constitute the baseline evidence for Green status in the tariff-standstill module.</w:t>
      </w:r>
    </w:p>
    <w:p>
      <w:r>
        <w:br w:type="page"/>
      </w:r>
    </w:p>
    <w:p>
      <w:pPr>
        <w:pStyle w:val="Heading1"/>
        <w:spacing w:after="140" w:before="280"/>
      </w:pPr>
      <w:r>
        <w:rPr>
          <w:rFonts w:ascii="Times New Roman" w:cs="Times New Roman" w:eastAsia="SimSun" w:hAnsi="Times New Roman"/>
          <w:b/>
          <w:bCs/>
          <w:color w:val="1F2A33"/>
          <w:sz w:val="30"/>
          <w:szCs w:val="30"/>
        </w:rPr>
        <w:t xml:space="preserve">Part III. Immediate Canadian Market-Access Package</w:t>
      </w:r>
    </w:p>
    <w:p>
      <w:pPr>
        <w:pStyle w:val="Heading2"/>
        <w:spacing w:after="110" w:before="220"/>
      </w:pPr>
      <w:r>
        <w:rPr>
          <w:rFonts w:ascii="Times New Roman" w:cs="Times New Roman" w:eastAsia="SimSun" w:hAnsi="Times New Roman"/>
          <w:b/>
          <w:bCs/>
          <w:color w:val="2F4A5C"/>
          <w:sz w:val="26"/>
          <w:szCs w:val="26"/>
        </w:rPr>
        <w:t xml:space="preserve">Article 7. Alcohol Market Normalization</w:t>
      </w:r>
    </w:p>
    <w:p>
      <w:pPr>
        <w:spacing w:after="140" w:line="288"/>
        <w:jc w:val="both"/>
      </w:pPr>
      <w:r>
        <w:rPr>
          <w:rFonts w:ascii="Times New Roman" w:cs="Times New Roman" w:eastAsia="SimSun" w:hAnsi="Times New Roman"/>
          <w:b/>
          <w:bCs/>
          <w:sz w:val="23"/>
          <w:szCs w:val="23"/>
        </w:rPr>
        <w:t xml:space="preserve">7.1 </w:t>
      </w:r>
      <w:r>
        <w:rPr>
          <w:rFonts w:ascii="Times New Roman" w:cs="Times New Roman" w:eastAsia="SimSun" w:hAnsi="Times New Roman"/>
          <w:sz w:val="23"/>
          <w:szCs w:val="23"/>
        </w:rPr>
        <w:t xml:space="preserve">Canada shall restore neutral listing, tender, wholesale, and retail processes for U.S. wine, beer, cider, and spirits in participating provincial liquor systems within 7 days of entry into force. "Neutral" means that U.S. products are eligible for listing, ordering, and shelf placement on the same administrative terms as products of other origins, and that no directive, guidance, or informal instruction excludes or de-prioritizes them by origin.</w:t>
      </w:r>
    </w:p>
    <w:p>
      <w:pPr>
        <w:spacing w:after="140" w:line="288"/>
        <w:jc w:val="both"/>
      </w:pPr>
      <w:r>
        <w:rPr>
          <w:rFonts w:ascii="Times New Roman" w:cs="Times New Roman" w:eastAsia="SimSun" w:hAnsi="Times New Roman"/>
          <w:b/>
          <w:bCs/>
          <w:sz w:val="23"/>
          <w:szCs w:val="23"/>
        </w:rPr>
        <w:t xml:space="preserve">7.2 </w:t>
      </w:r>
      <w:r>
        <w:rPr>
          <w:rFonts w:ascii="Times New Roman" w:cs="Times New Roman" w:eastAsia="SimSun" w:hAnsi="Times New Roman"/>
          <w:sz w:val="23"/>
          <w:szCs w:val="23"/>
        </w:rPr>
        <w:t xml:space="preserve">Provincial authorities retain exclusive control over age limits, health and labelling rules, retail models, markups, distribution, and product standards. Nothing in this Article sets markup policy, compels any listing decision on commercial merit, or alters the legal structure of any provincial liquor system. The Bridge removes origin discrimination; it does not regulate the systems themselves.</w:t>
      </w:r>
    </w:p>
    <w:p>
      <w:pPr>
        <w:spacing w:after="140" w:line="288"/>
        <w:jc w:val="both"/>
      </w:pPr>
      <w:r>
        <w:rPr>
          <w:rFonts w:ascii="Times New Roman" w:cs="Times New Roman" w:eastAsia="SimSun" w:hAnsi="Times New Roman"/>
          <w:b/>
          <w:bCs/>
          <w:sz w:val="23"/>
          <w:szCs w:val="23"/>
        </w:rPr>
        <w:t xml:space="preserve">7.3 Coverage measurement. </w:t>
      </w:r>
      <w:r>
        <w:rPr>
          <w:rFonts w:ascii="Times New Roman" w:cs="Times New Roman" w:eastAsia="SimSun" w:hAnsi="Times New Roman"/>
          <w:sz w:val="23"/>
          <w:szCs w:val="23"/>
        </w:rPr>
        <w:t xml:space="preserve">Coverage is measured by the share of Canadian beverage-alcohol retail value, using the most recent full fiscal year of published provincial liquor-authority sales data. Coverage reaches Green status when provinces representing at least 75 per cent of national retail value restore neutral access. Coverage between 50 and 75 per cent enters Amber status and preserves proportionate U.S. relief under Article 16. Coverage below 50 per cent enters Orange status and triggers consultation under Article 17.</w:t>
      </w:r>
    </w:p>
    <w:p>
      <w:pPr>
        <w:spacing w:after="140" w:line="288"/>
        <w:jc w:val="both"/>
      </w:pPr>
      <w:r>
        <w:rPr>
          <w:rFonts w:ascii="Times New Roman" w:cs="Times New Roman" w:eastAsia="SimSun" w:hAnsi="Times New Roman"/>
          <w:b/>
          <w:bCs/>
          <w:sz w:val="23"/>
          <w:szCs w:val="23"/>
        </w:rPr>
        <w:t xml:space="preserve">7.4 Evidence. </w:t>
      </w:r>
      <w:r>
        <w:rPr>
          <w:rFonts w:ascii="Times New Roman" w:cs="Times New Roman" w:eastAsia="SimSun" w:hAnsi="Times New Roman"/>
          <w:sz w:val="23"/>
          <w:szCs w:val="23"/>
        </w:rPr>
        <w:t xml:space="preserve">Each participating provincial authority shall file a one-page restoration attestation with the Joint Verification Secretariat, identifying the directive rescinded or amended, the effective date, and the administrative channel (board minute, order, or published guidance). The Secretariat shall publish the attestation register, with commercially sensitive product data redacted.</w:t>
      </w:r>
    </w:p>
    <w:p>
      <w:pPr>
        <w:pStyle w:val="Heading2"/>
        <w:spacing w:after="110" w:before="220"/>
      </w:pPr>
      <w:r>
        <w:rPr>
          <w:rFonts w:ascii="Times New Roman" w:cs="Times New Roman" w:eastAsia="SimSun" w:hAnsi="Times New Roman"/>
          <w:b/>
          <w:bCs/>
          <w:color w:val="2F4A5C"/>
          <w:sz w:val="26"/>
          <w:szCs w:val="26"/>
        </w:rPr>
        <w:t xml:space="preserve">Article 8. Alberta Dairy Access Window</w:t>
      </w:r>
    </w:p>
    <w:p>
      <w:pPr>
        <w:spacing w:after="140" w:line="288"/>
        <w:jc w:val="both"/>
      </w:pPr>
      <w:r>
        <w:rPr>
          <w:rFonts w:ascii="Times New Roman" w:cs="Times New Roman" w:eastAsia="SimSun" w:hAnsi="Times New Roman"/>
          <w:b/>
          <w:bCs/>
          <w:sz w:val="23"/>
          <w:szCs w:val="23"/>
        </w:rPr>
        <w:t xml:space="preserve">8.1 </w:t>
      </w:r>
      <w:r>
        <w:rPr>
          <w:rFonts w:ascii="Times New Roman" w:cs="Times New Roman" w:eastAsia="SimSun" w:hAnsi="Times New Roman"/>
          <w:sz w:val="23"/>
          <w:szCs w:val="23"/>
        </w:rPr>
        <w:t xml:space="preserve">Canada shall open an immediate 30-day Dairy Access Window for qualifying U.S. dairy shipments, operating through three channels: (a) reallocation of unused CUSMA dairy tariff-rate quota (TRQ) volumes; (b) a supplementary permit window for defined products; and (c) expanded retailer and food-service eligibility within the CUSMA allocation process.</w:t>
      </w:r>
    </w:p>
    <w:p>
      <w:pPr>
        <w:spacing w:after="140" w:line="288"/>
        <w:jc w:val="both"/>
      </w:pPr>
      <w:r>
        <w:rPr>
          <w:rFonts w:ascii="Times New Roman" w:cs="Times New Roman" w:eastAsia="SimSun" w:hAnsi="Times New Roman"/>
          <w:b/>
          <w:bCs/>
          <w:sz w:val="23"/>
          <w:szCs w:val="23"/>
        </w:rPr>
        <w:t xml:space="preserve">8.2 Channel A — TRQ reallocation. </w:t>
      </w:r>
      <w:r>
        <w:rPr>
          <w:rFonts w:ascii="Times New Roman" w:cs="Times New Roman" w:eastAsia="SimSun" w:hAnsi="Times New Roman"/>
          <w:sz w:val="23"/>
          <w:szCs w:val="23"/>
        </w:rPr>
        <w:t xml:space="preserve">Global Affairs Canada shall run an expedited under-utilization review of CUSMA dairy TRQs during Week 1. Quota held by allocation holders that has gone unused for the current quota year, measured against the utilization threshold applied in Canada's ordinary TRQ administration, shall be returned to the pool and reallocated within 10 business days, with priority to applicants demonstrating contracted U.S. supply.</w:t>
      </w:r>
    </w:p>
    <w:p>
      <w:pPr>
        <w:spacing w:after="140" w:line="288"/>
        <w:jc w:val="both"/>
      </w:pPr>
      <w:r>
        <w:rPr>
          <w:rFonts w:ascii="Times New Roman" w:cs="Times New Roman" w:eastAsia="SimSun" w:hAnsi="Times New Roman"/>
          <w:b/>
          <w:bCs/>
          <w:sz w:val="23"/>
          <w:szCs w:val="23"/>
        </w:rPr>
        <w:t xml:space="preserve">8.3 Channel B — supplementary permits. </w:t>
      </w:r>
      <w:r>
        <w:rPr>
          <w:rFonts w:ascii="Times New Roman" w:cs="Times New Roman" w:eastAsia="SimSun" w:hAnsi="Times New Roman"/>
          <w:sz w:val="23"/>
          <w:szCs w:val="23"/>
        </w:rPr>
        <w:t xml:space="preserve">The Minister may authorize supplementary import permits for defined product lines — including milk protein concentrates, whey products, cheeses, and fluid milk for processing — up to a planning envelope recorded in Annex C. Supplementary permits are time-limited to the Bridge term and do not create quota-year entitlements.</w:t>
      </w:r>
    </w:p>
    <w:p>
      <w:pPr>
        <w:spacing w:after="140" w:line="288"/>
        <w:jc w:val="both"/>
      </w:pPr>
      <w:r>
        <w:rPr>
          <w:rFonts w:ascii="Times New Roman" w:cs="Times New Roman" w:eastAsia="SimSun" w:hAnsi="Times New Roman"/>
          <w:b/>
          <w:bCs/>
          <w:sz w:val="23"/>
          <w:szCs w:val="23"/>
        </w:rPr>
        <w:t xml:space="preserve">8.4 Channel C — eligibility expansion. </w:t>
      </w:r>
      <w:r>
        <w:rPr>
          <w:rFonts w:ascii="Times New Roman" w:cs="Times New Roman" w:eastAsia="SimSun" w:hAnsi="Times New Roman"/>
          <w:sz w:val="23"/>
          <w:szCs w:val="23"/>
        </w:rPr>
        <w:t xml:space="preserve">For the Bridge term, eligibility in the CUSMA dairy allocation process shall extend to retailers and food-service distributors able to demonstrate end-use sales capacity, without altering the total TRQ volumes.</w:t>
      </w:r>
    </w:p>
    <w:p>
      <w:pPr>
        <w:spacing w:after="140" w:line="288"/>
        <w:jc w:val="both"/>
      </w:pPr>
      <w:r>
        <w:rPr>
          <w:rFonts w:ascii="Times New Roman" w:cs="Times New Roman" w:eastAsia="SimSun" w:hAnsi="Times New Roman"/>
          <w:b/>
          <w:bCs/>
          <w:sz w:val="23"/>
          <w:szCs w:val="23"/>
        </w:rPr>
        <w:t xml:space="preserve">8.5 Safeguards. </w:t>
      </w:r>
      <w:r>
        <w:rPr>
          <w:rFonts w:ascii="Times New Roman" w:cs="Times New Roman" w:eastAsia="SimSun" w:hAnsi="Times New Roman"/>
          <w:sz w:val="23"/>
          <w:szCs w:val="23"/>
        </w:rPr>
        <w:t xml:space="preserve">The window preserves over-quota tariff schedules and the national supply-management framework in full. It creates a visible, measurable U.S. sales lane with a 30-day sunset. All permits issued under this Article expire with the Bridge unless a Phase One agreement continues them; shipments under valid permits entered before expiry retain the treatment applicable at entry.</w:t>
      </w:r>
    </w:p>
    <w:p>
      <w:pPr>
        <w:pStyle w:val="Heading2"/>
        <w:spacing w:after="110" w:before="220"/>
      </w:pPr>
      <w:r>
        <w:rPr>
          <w:rFonts w:ascii="Times New Roman" w:cs="Times New Roman" w:eastAsia="SimSun" w:hAnsi="Times New Roman"/>
          <w:b/>
          <w:bCs/>
          <w:color w:val="2F4A5C"/>
          <w:sz w:val="26"/>
          <w:szCs w:val="26"/>
        </w:rPr>
        <w:t xml:space="preserve">Article 9. Auto Countermeasure Exchange</w:t>
      </w:r>
    </w:p>
    <w:p>
      <w:pPr>
        <w:spacing w:after="140" w:line="288"/>
        <w:jc w:val="both"/>
      </w:pPr>
      <w:r>
        <w:rPr>
          <w:rFonts w:ascii="Times New Roman" w:cs="Times New Roman" w:eastAsia="SimSun" w:hAnsi="Times New Roman"/>
          <w:b/>
          <w:bCs/>
          <w:sz w:val="23"/>
          <w:szCs w:val="23"/>
        </w:rPr>
        <w:t xml:space="preserve">9.1 </w:t>
      </w:r>
      <w:r>
        <w:rPr>
          <w:rFonts w:ascii="Times New Roman" w:cs="Times New Roman" w:eastAsia="SimSun" w:hAnsi="Times New Roman"/>
          <w:sz w:val="23"/>
          <w:szCs w:val="23"/>
        </w:rPr>
        <w:t xml:space="preserve">Canada shall suspend its retaliatory surtax on U.S. automobiles for the 30-day Bridge term. Simultaneously, the United States shall lower the Section 232 automotive headline rate applicable to Canadian goods from 25 per cent to an interim rate recorded in Annex A. Both actions shall enter the Shared Registry with the same effective hour.</w:t>
      </w:r>
    </w:p>
    <w:p>
      <w:pPr>
        <w:spacing w:after="140" w:line="288"/>
        <w:jc w:val="both"/>
      </w:pPr>
      <w:r>
        <w:rPr>
          <w:rFonts w:ascii="Times New Roman" w:cs="Times New Roman" w:eastAsia="SimSun" w:hAnsi="Times New Roman"/>
          <w:b/>
          <w:bCs/>
          <w:sz w:val="23"/>
          <w:szCs w:val="23"/>
        </w:rPr>
        <w:t xml:space="preserve">9.2 </w:t>
      </w:r>
      <w:r>
        <w:rPr>
          <w:rFonts w:ascii="Times New Roman" w:cs="Times New Roman" w:eastAsia="SimSun" w:hAnsi="Times New Roman"/>
          <w:sz w:val="23"/>
          <w:szCs w:val="23"/>
        </w:rPr>
        <w:t xml:space="preserve">The paired design blocks the sequence in which one side performs first and waits indefinitely for reciprocal action. The effective hour is set by joint instruction to CBP and CBSA; neither instrument takes public effect until the Secretariat confirms both are logged.</w:t>
      </w:r>
    </w:p>
    <w:p>
      <w:pPr>
        <w:spacing w:after="140" w:line="288"/>
        <w:jc w:val="both"/>
      </w:pPr>
      <w:r>
        <w:rPr>
          <w:rFonts w:ascii="Times New Roman" w:cs="Times New Roman" w:eastAsia="SimSun" w:hAnsi="Times New Roman"/>
          <w:b/>
          <w:bCs/>
          <w:sz w:val="23"/>
          <w:szCs w:val="23"/>
        </w:rPr>
        <w:t xml:space="preserve">9.3 </w:t>
      </w:r>
      <w:r>
        <w:rPr>
          <w:rFonts w:ascii="Times New Roman" w:cs="Times New Roman" w:eastAsia="SimSun" w:hAnsi="Times New Roman"/>
          <w:sz w:val="23"/>
          <w:szCs w:val="23"/>
        </w:rPr>
        <w:t xml:space="preserve">The interim rate under paragraph 9.1 applies to vehicles and parts qualifying as CUSMA-originating, with the U.S.-content deduction mechanism preserved as under existing practice. Nothing in this Article reopens, modifies, or prejudices the CUSMA panel ruling on core-part roll-up in the regional-value-content calculation; the Parties' positions on that ruling are expressly reserved and are the subject of the Auto Rules Review Lane under the negotiating schedule in Part VII.</w:t>
      </w:r>
    </w:p>
    <w:p>
      <w:pPr>
        <w:spacing w:after="140" w:line="288"/>
        <w:jc w:val="both"/>
      </w:pPr>
      <w:r>
        <w:rPr>
          <w:rFonts w:ascii="Times New Roman" w:cs="Times New Roman" w:eastAsia="SimSun" w:hAnsi="Times New Roman"/>
          <w:b/>
          <w:bCs/>
          <w:sz w:val="23"/>
          <w:szCs w:val="23"/>
        </w:rPr>
        <w:t xml:space="preserve">9.4 </w:t>
      </w:r>
      <w:r>
        <w:rPr>
          <w:rFonts w:ascii="Times New Roman" w:cs="Times New Roman" w:eastAsia="SimSun" w:hAnsi="Times New Roman"/>
          <w:sz w:val="23"/>
          <w:szCs w:val="23"/>
        </w:rPr>
        <w:t xml:space="preserve">If the interim rate is not implemented at the agreed hour, the Canadian suspension does not execute, and vice versa. Partial implementation is measured under Article 16 as a single auto module.</w:t>
      </w:r>
    </w:p>
    <w:p>
      <w:r>
        <w:br w:type="page"/>
      </w:r>
    </w:p>
    <w:p>
      <w:pPr>
        <w:pStyle w:val="Heading1"/>
        <w:spacing w:after="140" w:before="280"/>
      </w:pPr>
      <w:r>
        <w:rPr>
          <w:rFonts w:ascii="Times New Roman" w:cs="Times New Roman" w:eastAsia="SimSun" w:hAnsi="Times New Roman"/>
          <w:b/>
          <w:bCs/>
          <w:color w:val="1F2A33"/>
          <w:sz w:val="30"/>
          <w:szCs w:val="30"/>
        </w:rPr>
        <w:t xml:space="preserve">Part IV. Strategic Supply and Procurement</w:t>
      </w:r>
    </w:p>
    <w:p>
      <w:pPr>
        <w:pStyle w:val="Heading2"/>
        <w:spacing w:after="110" w:before="220"/>
      </w:pPr>
      <w:r>
        <w:rPr>
          <w:rFonts w:ascii="Times New Roman" w:cs="Times New Roman" w:eastAsia="SimSun" w:hAnsi="Times New Roman"/>
          <w:b/>
          <w:bCs/>
          <w:color w:val="2F4A5C"/>
          <w:sz w:val="26"/>
          <w:szCs w:val="26"/>
        </w:rPr>
        <w:t xml:space="preserve">Article 10. Potash Priority Supply Option</w:t>
      </w:r>
    </w:p>
    <w:p>
      <w:pPr>
        <w:spacing w:after="140" w:line="288"/>
        <w:jc w:val="both"/>
      </w:pPr>
      <w:r>
        <w:rPr>
          <w:rFonts w:ascii="Times New Roman" w:cs="Times New Roman" w:eastAsia="SimSun" w:hAnsi="Times New Roman"/>
          <w:b/>
          <w:bCs/>
          <w:sz w:val="23"/>
          <w:szCs w:val="23"/>
        </w:rPr>
        <w:t xml:space="preserve">10.1 </w:t>
      </w:r>
      <w:r>
        <w:rPr>
          <w:rFonts w:ascii="Times New Roman" w:cs="Times New Roman" w:eastAsia="SimSun" w:hAnsi="Times New Roman"/>
          <w:sz w:val="23"/>
          <w:szCs w:val="23"/>
        </w:rPr>
        <w:t xml:space="preserve">Canada shall establish a 30-day U.S. Agricultural Potash Priority Supply Option. Participating Canadian producers shall offer U.S. buyers a first opportunity to contract a defined incremental volume — the Corridor Volume recorded in Annex D — before that volume enters other spot export channels. Saskatchewan supplies approximately 86.9 per cent of U.S. potash imports; the Option formalizes and makes visible a supply relationship on which U.S. agriculture already depends.</w:t>
      </w:r>
    </w:p>
    <w:p>
      <w:pPr>
        <w:spacing w:after="140" w:line="288"/>
        <w:jc w:val="both"/>
      </w:pPr>
      <w:r>
        <w:rPr>
          <w:rFonts w:ascii="Times New Roman" w:cs="Times New Roman" w:eastAsia="SimSun" w:hAnsi="Times New Roman"/>
          <w:b/>
          <w:bCs/>
          <w:sz w:val="23"/>
          <w:szCs w:val="23"/>
        </w:rPr>
        <w:t xml:space="preserve">10.2 </w:t>
      </w:r>
      <w:r>
        <w:rPr>
          <w:rFonts w:ascii="Times New Roman" w:cs="Times New Roman" w:eastAsia="SimSun" w:hAnsi="Times New Roman"/>
          <w:sz w:val="23"/>
          <w:szCs w:val="23"/>
        </w:rPr>
        <w:t xml:space="preserve">Price shall follow commercial market formulas. Reference pricing shall use published benchmark indices (for example, standard contract and spot references for the U.S. Corn Belt delivery points) plus ordinary logistics adjustments. No Party shall direct, cap, or discount prices. Participation by producers is voluntary; the Option creates a right of first opportunity for buyers, not an obligation to sell.</w:t>
      </w:r>
    </w:p>
    <w:p>
      <w:pPr>
        <w:spacing w:after="140" w:line="288"/>
        <w:jc w:val="both"/>
      </w:pPr>
      <w:r>
        <w:rPr>
          <w:rFonts w:ascii="Times New Roman" w:cs="Times New Roman" w:eastAsia="SimSun" w:hAnsi="Times New Roman"/>
          <w:b/>
          <w:bCs/>
          <w:sz w:val="23"/>
          <w:szCs w:val="23"/>
        </w:rPr>
        <w:t xml:space="preserve">10.3 </w:t>
      </w:r>
      <w:r>
        <w:rPr>
          <w:rFonts w:ascii="Times New Roman" w:cs="Times New Roman" w:eastAsia="SimSun" w:hAnsi="Times New Roman"/>
          <w:sz w:val="23"/>
          <w:szCs w:val="23"/>
        </w:rPr>
        <w:t xml:space="preserve">Each registered transaction shall record volume, grade, delivery window, reference price formula, and buyer identity in the Shared Registry. The Joint Verification Secretariat shall publish weekly aggregate corridor volumes (tonnes committed, tonnes shipped) without commercially sensitive pricing detail.</w:t>
      </w:r>
    </w:p>
    <w:p>
      <w:pPr>
        <w:spacing w:after="140" w:line="288"/>
        <w:jc w:val="both"/>
      </w:pPr>
      <w:r>
        <w:rPr>
          <w:rFonts w:ascii="Times New Roman" w:cs="Times New Roman" w:eastAsia="SimSun" w:hAnsi="Times New Roman"/>
          <w:b/>
          <w:bCs/>
          <w:sz w:val="23"/>
          <w:szCs w:val="23"/>
        </w:rPr>
        <w:t xml:space="preserve">10.4 Reciprocal treatment. </w:t>
      </w:r>
      <w:r>
        <w:rPr>
          <w:rFonts w:ascii="Times New Roman" w:cs="Times New Roman" w:eastAsia="SimSun" w:hAnsi="Times New Roman"/>
          <w:sz w:val="23"/>
          <w:szCs w:val="23"/>
        </w:rPr>
        <w:t xml:space="preserve">The United States shall treat registered corridor volumes as trusted North American food-security inputs and shall exclude those volumes from any new Canada-specific emergency tariff escalation during the 30-day term. This treatment attaches to the shipment record while its registration remains verified.</w:t>
      </w:r>
    </w:p>
    <w:p>
      <w:pPr>
        <w:pStyle w:val="Heading2"/>
        <w:spacing w:after="110" w:before="220"/>
      </w:pPr>
      <w:r>
        <w:rPr>
          <w:rFonts w:ascii="Times New Roman" w:cs="Times New Roman" w:eastAsia="SimSun" w:hAnsi="Times New Roman"/>
          <w:b/>
          <w:bCs/>
          <w:color w:val="2F4A5C"/>
          <w:sz w:val="26"/>
          <w:szCs w:val="26"/>
        </w:rPr>
        <w:t xml:space="preserve">Article 11. Aluminum Availability Corridor</w:t>
      </w:r>
    </w:p>
    <w:p>
      <w:pPr>
        <w:spacing w:after="140" w:line="288"/>
        <w:jc w:val="both"/>
      </w:pPr>
      <w:r>
        <w:rPr>
          <w:rFonts w:ascii="Times New Roman" w:cs="Times New Roman" w:eastAsia="SimSun" w:hAnsi="Times New Roman"/>
          <w:b/>
          <w:bCs/>
          <w:sz w:val="23"/>
          <w:szCs w:val="23"/>
        </w:rPr>
        <w:t xml:space="preserve">11.1 </w:t>
      </w:r>
      <w:r>
        <w:rPr>
          <w:rFonts w:ascii="Times New Roman" w:cs="Times New Roman" w:eastAsia="SimSun" w:hAnsi="Times New Roman"/>
          <w:sz w:val="23"/>
          <w:szCs w:val="23"/>
        </w:rPr>
        <w:t xml:space="preserve">Canada shall establish a 30-day Aluminum Availability Corridor for verified Canadian primary aluminum. Participating producers shall identify available U.S.-bound tonnage under ordinary commercial contracts and register each shipment before departure.</w:t>
      </w:r>
    </w:p>
    <w:p>
      <w:pPr>
        <w:spacing w:after="140" w:line="288"/>
        <w:jc w:val="both"/>
      </w:pPr>
      <w:r>
        <w:rPr>
          <w:rFonts w:ascii="Times New Roman" w:cs="Times New Roman" w:eastAsia="SimSun" w:hAnsi="Times New Roman"/>
          <w:b/>
          <w:bCs/>
          <w:sz w:val="23"/>
          <w:szCs w:val="23"/>
        </w:rPr>
        <w:t xml:space="preserve">11.2 Origin documentation. </w:t>
      </w:r>
      <w:r>
        <w:rPr>
          <w:rFonts w:ascii="Times New Roman" w:cs="Times New Roman" w:eastAsia="SimSun" w:hAnsi="Times New Roman"/>
          <w:sz w:val="23"/>
          <w:szCs w:val="23"/>
        </w:rPr>
        <w:t xml:space="preserve">Each registered shipment shall carry smelt-and-cast origin data identifying the smelter of production and the country of smelt and cast, together with chain-of-custody records covering transfer from smelter to port of export. Registration data standards follow the certification elements already used for Section 232 aluminum monitoring, so that no new reporting infrastructure is required of producers.</w:t>
      </w:r>
    </w:p>
    <w:p>
      <w:pPr>
        <w:spacing w:after="140" w:line="288"/>
        <w:jc w:val="both"/>
      </w:pPr>
      <w:r>
        <w:rPr>
          <w:rFonts w:ascii="Times New Roman" w:cs="Times New Roman" w:eastAsia="SimSun" w:hAnsi="Times New Roman"/>
          <w:b/>
          <w:bCs/>
          <w:sz w:val="23"/>
          <w:szCs w:val="23"/>
        </w:rPr>
        <w:t xml:space="preserve">11.3 Reciprocal treatment. </w:t>
      </w:r>
      <w:r>
        <w:rPr>
          <w:rFonts w:ascii="Times New Roman" w:cs="Times New Roman" w:eastAsia="SimSun" w:hAnsi="Times New Roman"/>
          <w:sz w:val="23"/>
          <w:szCs w:val="23"/>
        </w:rPr>
        <w:t xml:space="preserve">The United States shall place Corridor shipments inside a lower interim metals band recorded in Annex A and shall preserve that treatment while the shipment record remains verified. Shipments whose registration is withdrawn, challenged successfully under Article 16, or found non-conforming revert to the otherwise-applicable rate plus any applicable penalty duties.</w:t>
      </w:r>
    </w:p>
    <w:p>
      <w:pPr>
        <w:spacing w:after="140" w:line="288"/>
        <w:jc w:val="both"/>
      </w:pPr>
      <w:r>
        <w:rPr>
          <w:rFonts w:ascii="Times New Roman" w:cs="Times New Roman" w:eastAsia="SimSun" w:hAnsi="Times New Roman"/>
          <w:b/>
          <w:bCs/>
          <w:sz w:val="23"/>
          <w:szCs w:val="23"/>
        </w:rPr>
        <w:t xml:space="preserve">11.4 </w:t>
      </w:r>
      <w:r>
        <w:rPr>
          <w:rFonts w:ascii="Times New Roman" w:cs="Times New Roman" w:eastAsia="SimSun" w:hAnsi="Times New Roman"/>
          <w:sz w:val="23"/>
          <w:szCs w:val="23"/>
        </w:rPr>
        <w:t xml:space="preserve">The Corridor does not require diversion of metal from existing customers, does not set volumes as obligations, and does not prejudice the Parties' positions on the legality or future of Section 232 measures. It is an availability and verification mechanism, not a quota.</w:t>
      </w:r>
    </w:p>
    <w:p>
      <w:pPr>
        <w:pStyle w:val="Heading2"/>
        <w:spacing w:after="110" w:before="220"/>
      </w:pPr>
      <w:r>
        <w:rPr>
          <w:rFonts w:ascii="Times New Roman" w:cs="Times New Roman" w:eastAsia="SimSun" w:hAnsi="Times New Roman"/>
          <w:b/>
          <w:bCs/>
          <w:color w:val="2F4A5C"/>
          <w:sz w:val="26"/>
          <w:szCs w:val="26"/>
        </w:rPr>
        <w:t xml:space="preserve">Article 12. Wildfire Equipment Procurement Window</w:t>
      </w:r>
    </w:p>
    <w:p>
      <w:pPr>
        <w:spacing w:after="140" w:line="288"/>
        <w:jc w:val="both"/>
      </w:pPr>
      <w:r>
        <w:rPr>
          <w:rFonts w:ascii="Times New Roman" w:cs="Times New Roman" w:eastAsia="SimSun" w:hAnsi="Times New Roman"/>
          <w:b/>
          <w:bCs/>
          <w:sz w:val="23"/>
          <w:szCs w:val="23"/>
        </w:rPr>
        <w:t xml:space="preserve">12.1 </w:t>
      </w:r>
      <w:r>
        <w:rPr>
          <w:rFonts w:ascii="Times New Roman" w:cs="Times New Roman" w:eastAsia="SimSun" w:hAnsi="Times New Roman"/>
          <w:sz w:val="23"/>
          <w:szCs w:val="23"/>
        </w:rPr>
        <w:t xml:space="preserve">Canada shall open an accelerated 30-day procurement window for qualifying U.S.-made wildfire response vehicles and equipment. Eligible categories include wildland engines, water tenders, command vehicles, pumps, hose systems, mobile communications, firefighter protective equipment, and remote-sensing equipment.</w:t>
      </w:r>
    </w:p>
    <w:p>
      <w:pPr>
        <w:spacing w:after="140" w:line="288"/>
        <w:jc w:val="both"/>
      </w:pPr>
      <w:r>
        <w:rPr>
          <w:rFonts w:ascii="Times New Roman" w:cs="Times New Roman" w:eastAsia="SimSun" w:hAnsi="Times New Roman"/>
          <w:b/>
          <w:bCs/>
          <w:sz w:val="23"/>
          <w:szCs w:val="23"/>
        </w:rPr>
        <w:t xml:space="preserve">12.2 </w:t>
      </w:r>
      <w:r>
        <w:rPr>
          <w:rFonts w:ascii="Times New Roman" w:cs="Times New Roman" w:eastAsia="SimSun" w:hAnsi="Times New Roman"/>
          <w:sz w:val="23"/>
          <w:szCs w:val="23"/>
        </w:rPr>
        <w:t xml:space="preserve">The planning envelope recorded in Annex E represents available procurement opportunity, not guaranteed awards. U.S. suppliers compete on price, performance, lifecycle cost, and delivery against the same criteria applied to all bidders. Federal and participating provincial procurement authorities retain full evaluative authority and existing trade-agreement obligations apply to covered procurements.</w:t>
      </w:r>
    </w:p>
    <w:p>
      <w:pPr>
        <w:spacing w:after="140" w:line="288"/>
        <w:jc w:val="both"/>
      </w:pPr>
      <w:r>
        <w:rPr>
          <w:rFonts w:ascii="Times New Roman" w:cs="Times New Roman" w:eastAsia="SimSun" w:hAnsi="Times New Roman"/>
          <w:b/>
          <w:bCs/>
          <w:sz w:val="23"/>
          <w:szCs w:val="23"/>
        </w:rPr>
        <w:t xml:space="preserve">12.3 Acceleration measures. </w:t>
      </w:r>
      <w:r>
        <w:rPr>
          <w:rFonts w:ascii="Times New Roman" w:cs="Times New Roman" w:eastAsia="SimSun" w:hAnsi="Times New Roman"/>
          <w:sz w:val="23"/>
          <w:szCs w:val="23"/>
        </w:rPr>
        <w:t xml:space="preserve">Participating authorities shall: (a) publish requirements through a single Bridge notice within 5 days of entry into force; (b) apply shortened bid periods of not less than 10 days where the applicable procurement rules permit; (c) use pre-qualified chassis and equipment standards already recognized in Canadian fleets; and (d) commit to award decisions within the Bridge term for competitions launched under this Article.</w:t>
      </w:r>
    </w:p>
    <w:p>
      <w:pPr>
        <w:spacing w:after="140" w:line="288"/>
        <w:jc w:val="both"/>
      </w:pPr>
      <w:r>
        <w:rPr>
          <w:rFonts w:ascii="Times New Roman" w:cs="Times New Roman" w:eastAsia="SimSun" w:hAnsi="Times New Roman"/>
          <w:b/>
          <w:bCs/>
          <w:sz w:val="23"/>
          <w:szCs w:val="23"/>
        </w:rPr>
        <w:t xml:space="preserve">12.4 </w:t>
      </w:r>
      <w:r>
        <w:rPr>
          <w:rFonts w:ascii="Times New Roman" w:cs="Times New Roman" w:eastAsia="SimSun" w:hAnsi="Times New Roman"/>
          <w:sz w:val="23"/>
          <w:szCs w:val="23"/>
        </w:rPr>
        <w:t xml:space="preserve">Delivery and payment schedules may extend beyond the Bridge term; contracts awarded under the window remain valid after expiry under Article 22. The Secretariat records competitions launched, bids received, and awards made as the module's verification evidence.</w:t>
      </w:r>
    </w:p>
    <w:p>
      <w:r>
        <w:br w:type="page"/>
      </w:r>
    </w:p>
    <w:p>
      <w:pPr>
        <w:pStyle w:val="Heading1"/>
        <w:spacing w:after="140" w:before="280"/>
      </w:pPr>
      <w:r>
        <w:rPr>
          <w:rFonts w:ascii="Times New Roman" w:cs="Times New Roman" w:eastAsia="SimSun" w:hAnsi="Times New Roman"/>
          <w:b/>
          <w:bCs/>
          <w:color w:val="1F2A33"/>
          <w:sz w:val="30"/>
          <w:szCs w:val="30"/>
        </w:rPr>
        <w:t xml:space="preserve">Part V. Origin Integrity and Verification</w:t>
      </w:r>
    </w:p>
    <w:p>
      <w:pPr>
        <w:pStyle w:val="Heading2"/>
        <w:spacing w:after="110" w:before="220"/>
      </w:pPr>
      <w:r>
        <w:rPr>
          <w:rFonts w:ascii="Times New Roman" w:cs="Times New Roman" w:eastAsia="SimSun" w:hAnsi="Times New Roman"/>
          <w:b/>
          <w:bCs/>
          <w:color w:val="2F4A5C"/>
          <w:sz w:val="26"/>
          <w:szCs w:val="26"/>
        </w:rPr>
        <w:t xml:space="preserve">Article 13. Trusted Origin Registry</w:t>
      </w:r>
    </w:p>
    <w:p>
      <w:pPr>
        <w:spacing w:after="140" w:line="288"/>
        <w:jc w:val="both"/>
      </w:pPr>
      <w:r>
        <w:rPr>
          <w:rFonts w:ascii="Times New Roman" w:cs="Times New Roman" w:eastAsia="SimSun" w:hAnsi="Times New Roman"/>
          <w:b/>
          <w:bCs/>
          <w:sz w:val="23"/>
          <w:szCs w:val="23"/>
        </w:rPr>
        <w:t xml:space="preserve">13.1 </w:t>
      </w:r>
      <w:r>
        <w:rPr>
          <w:rFonts w:ascii="Times New Roman" w:cs="Times New Roman" w:eastAsia="SimSun" w:hAnsi="Times New Roman"/>
          <w:sz w:val="23"/>
          <w:szCs w:val="23"/>
        </w:rPr>
        <w:t xml:space="preserve">The Parties shall activate a Trusted Origin Registry for voluntary pre-verification of exporters in designated strategic sectors. The Registry starts with aluminum and potash and may be extended to additional sectors by joint written decision of the Joint Verification Secretariat.</w:t>
      </w:r>
    </w:p>
    <w:p>
      <w:pPr>
        <w:spacing w:after="140" w:line="288"/>
        <w:jc w:val="both"/>
      </w:pPr>
      <w:r>
        <w:rPr>
          <w:rFonts w:ascii="Times New Roman" w:cs="Times New Roman" w:eastAsia="SimSun" w:hAnsi="Times New Roman"/>
          <w:b/>
          <w:bCs/>
          <w:sz w:val="23"/>
          <w:szCs w:val="23"/>
        </w:rPr>
        <w:t xml:space="preserve">13.2 Admission. </w:t>
      </w:r>
      <w:r>
        <w:rPr>
          <w:rFonts w:ascii="Times New Roman" w:cs="Times New Roman" w:eastAsia="SimSun" w:hAnsi="Times New Roman"/>
          <w:sz w:val="23"/>
          <w:szCs w:val="23"/>
        </w:rPr>
        <w:t xml:space="preserve">An exporter applies to its home customs authority with: (a) corporate and ownership identification; (b) production-facility location and capacity data; (c) twelve months of shipment history; and (d) for metals, smelt-and-cast and chain-of-custody records meeting Article 11.2. The home authority reviews and, on satisfaction, lists the exporter in the Shared Registry. The other Party may object within 5 business days with reasons; unresolved objections go to the Secretariat's neutral review lane under Article 16.5.</w:t>
      </w:r>
    </w:p>
    <w:p>
      <w:pPr>
        <w:spacing w:after="140" w:line="288"/>
        <w:jc w:val="both"/>
      </w:pPr>
      <w:r>
        <w:rPr>
          <w:rFonts w:ascii="Times New Roman" w:cs="Times New Roman" w:eastAsia="SimSun" w:hAnsi="Times New Roman"/>
          <w:b/>
          <w:bCs/>
          <w:sz w:val="23"/>
          <w:szCs w:val="23"/>
        </w:rPr>
        <w:t xml:space="preserve">13.3 Benefits and obligations. </w:t>
      </w:r>
      <w:r>
        <w:rPr>
          <w:rFonts w:ascii="Times New Roman" w:cs="Times New Roman" w:eastAsia="SimSun" w:hAnsi="Times New Roman"/>
          <w:sz w:val="23"/>
          <w:szCs w:val="23"/>
        </w:rPr>
        <w:t xml:space="preserve">Verified participants receive faster origin review, lower documentary friction, and access to the corridor treatments of Articles 10 and 11. Participants accept enhanced record-keeping, on-demand production of source records within 5 business days, and periodic spot verification. Customs authorities retain full inspection authority and continue to target risk based on anomalies; Registry status is never a safe harbour.</w:t>
      </w:r>
    </w:p>
    <w:p>
      <w:pPr>
        <w:spacing w:after="140" w:line="288"/>
        <w:jc w:val="both"/>
      </w:pPr>
      <w:r>
        <w:rPr>
          <w:rFonts w:ascii="Times New Roman" w:cs="Times New Roman" w:eastAsia="SimSun" w:hAnsi="Times New Roman"/>
          <w:b/>
          <w:bCs/>
          <w:sz w:val="23"/>
          <w:szCs w:val="23"/>
        </w:rPr>
        <w:t xml:space="preserve">13.4 Removal. </w:t>
      </w:r>
      <w:r>
        <w:rPr>
          <w:rFonts w:ascii="Times New Roman" w:cs="Times New Roman" w:eastAsia="SimSun" w:hAnsi="Times New Roman"/>
          <w:sz w:val="23"/>
          <w:szCs w:val="23"/>
        </w:rPr>
        <w:t xml:space="preserve">A participant is removed for falsified records, refusal to produce source documents, or two consecutive failed spot verifications. Removal is recorded with reasons in the Shared Registry and is reviewable once through the neutral review lane.</w:t>
      </w:r>
    </w:p>
    <w:p>
      <w:pPr>
        <w:pStyle w:val="Heading2"/>
        <w:spacing w:after="110" w:before="220"/>
      </w:pPr>
      <w:r>
        <w:rPr>
          <w:rFonts w:ascii="Times New Roman" w:cs="Times New Roman" w:eastAsia="SimSun" w:hAnsi="Times New Roman"/>
          <w:b/>
          <w:bCs/>
          <w:color w:val="2F4A5C"/>
          <w:sz w:val="26"/>
          <w:szCs w:val="26"/>
        </w:rPr>
        <w:t xml:space="preserve">Article 14. Non-Party Free-Riding Test</w:t>
      </w:r>
    </w:p>
    <w:p>
      <w:pPr>
        <w:spacing w:after="140" w:line="288"/>
        <w:jc w:val="both"/>
      </w:pPr>
      <w:r>
        <w:rPr>
          <w:rFonts w:ascii="Times New Roman" w:cs="Times New Roman" w:eastAsia="SimSun" w:hAnsi="Times New Roman"/>
          <w:b/>
          <w:bCs/>
          <w:sz w:val="23"/>
          <w:szCs w:val="23"/>
        </w:rPr>
        <w:t xml:space="preserve">14.1 </w:t>
      </w:r>
      <w:r>
        <w:rPr>
          <w:rFonts w:ascii="Times New Roman" w:cs="Times New Roman" w:eastAsia="SimSun" w:hAnsi="Times New Roman"/>
          <w:sz w:val="23"/>
          <w:szCs w:val="23"/>
        </w:rPr>
        <w:t xml:space="preserve">Where either Party suspects that a third country's goods are obtaining Bridge benefits without genuine Canadian or U.S. production, the Parties shall apply a three-part test: (a) physical transformation — whether substantial production or transformation occurred in the claimed origin; (b) economic substance — whether the claiming entity performs real production, employs real factors, and bears real commercial risk; and (c) traceable input origin — whether the principal inputs can be traced to declared sources.</w:t>
      </w:r>
    </w:p>
    <w:p>
      <w:pPr>
        <w:spacing w:after="140" w:line="288"/>
        <w:jc w:val="both"/>
      </w:pPr>
      <w:r>
        <w:rPr>
          <w:rFonts w:ascii="Times New Roman" w:cs="Times New Roman" w:eastAsia="SimSun" w:hAnsi="Times New Roman"/>
          <w:b/>
          <w:bCs/>
          <w:sz w:val="23"/>
          <w:szCs w:val="23"/>
        </w:rPr>
        <w:t xml:space="preserve">14.2 </w:t>
      </w:r>
      <w:r>
        <w:rPr>
          <w:rFonts w:ascii="Times New Roman" w:cs="Times New Roman" w:eastAsia="SimSun" w:hAnsi="Times New Roman"/>
          <w:sz w:val="23"/>
          <w:szCs w:val="23"/>
        </w:rPr>
        <w:t xml:space="preserve">Foreign ownership alone does not fail the test. Ordinary global sourcing of minor inputs does not fail the test. The test targets circumvention — transhipment, minimal processing, false origin declarations — rather than normal international production.</w:t>
      </w:r>
    </w:p>
    <w:p>
      <w:pPr>
        <w:spacing w:after="140" w:line="288"/>
        <w:jc w:val="both"/>
      </w:pPr>
      <w:r>
        <w:rPr>
          <w:rFonts w:ascii="Times New Roman" w:cs="Times New Roman" w:eastAsia="SimSun" w:hAnsi="Times New Roman"/>
          <w:b/>
          <w:bCs/>
          <w:sz w:val="23"/>
          <w:szCs w:val="23"/>
        </w:rPr>
        <w:t xml:space="preserve">14.3 Procedure. </w:t>
      </w:r>
      <w:r>
        <w:rPr>
          <w:rFonts w:ascii="Times New Roman" w:cs="Times New Roman" w:eastAsia="SimSun" w:hAnsi="Times New Roman"/>
          <w:sz w:val="23"/>
          <w:szCs w:val="23"/>
        </w:rPr>
        <w:t xml:space="preserve">A Party raising a free-riding concern shall file the specific shipment records and analytical basis in the Shared Registry. The exporting Party shall respond within 10 business days with origin evidence. Disagreements go to the neutral review lane. Pending resolution, the specific shipments under review — and only those shipments — receive the otherwise-applicable (non-corridor) treatment.</w:t>
      </w:r>
    </w:p>
    <w:p>
      <w:pPr>
        <w:pStyle w:val="Heading2"/>
        <w:spacing w:after="110" w:before="220"/>
      </w:pPr>
      <w:r>
        <w:rPr>
          <w:rFonts w:ascii="Times New Roman" w:cs="Times New Roman" w:eastAsia="SimSun" w:hAnsi="Times New Roman"/>
          <w:b/>
          <w:bCs/>
          <w:color w:val="2F4A5C"/>
          <w:sz w:val="26"/>
          <w:szCs w:val="26"/>
        </w:rPr>
        <w:t xml:space="preserve">Article 15. Joint Verification Secretariat</w:t>
      </w:r>
    </w:p>
    <w:p>
      <w:pPr>
        <w:spacing w:after="140" w:line="288"/>
        <w:jc w:val="both"/>
      </w:pPr>
      <w:r>
        <w:rPr>
          <w:rFonts w:ascii="Times New Roman" w:cs="Times New Roman" w:eastAsia="SimSun" w:hAnsi="Times New Roman"/>
          <w:b/>
          <w:bCs/>
          <w:sz w:val="23"/>
          <w:szCs w:val="23"/>
        </w:rPr>
        <w:t xml:space="preserve">15.1 </w:t>
      </w:r>
      <w:r>
        <w:rPr>
          <w:rFonts w:ascii="Times New Roman" w:cs="Times New Roman" w:eastAsia="SimSun" w:hAnsi="Times New Roman"/>
          <w:sz w:val="23"/>
          <w:szCs w:val="23"/>
        </w:rPr>
        <w:t xml:space="preserve">The Parties shall establish a Joint Verification Secretariat with equal Canadian and U.S. representation — four members per side, drawn from customs, trade, and technical agencies, supported by a small standing analytic staff.</w:t>
      </w:r>
    </w:p>
    <w:p>
      <w:pPr>
        <w:spacing w:after="140" w:line="288"/>
        <w:jc w:val="both"/>
      </w:pPr>
      <w:r>
        <w:rPr>
          <w:rFonts w:ascii="Times New Roman" w:cs="Times New Roman" w:eastAsia="SimSun" w:hAnsi="Times New Roman"/>
          <w:b/>
          <w:bCs/>
          <w:sz w:val="23"/>
          <w:szCs w:val="23"/>
        </w:rPr>
        <w:t xml:space="preserve">15.2 Functions. </w:t>
      </w:r>
      <w:r>
        <w:rPr>
          <w:rFonts w:ascii="Times New Roman" w:cs="Times New Roman" w:eastAsia="SimSun" w:hAnsi="Times New Roman"/>
          <w:sz w:val="23"/>
          <w:szCs w:val="23"/>
        </w:rPr>
        <w:t xml:space="preserve">The Secretariat shall: (a) maintain the Shared Registry; (b) log milestones and receive evidence under Article 16; (c) record and process challenges; (d) assign module statuses; (e) convene the neutral review lane; (f) publish non-confidential performance dashboards from Day 4 onward; and (g) prepare the Day 15 scorecard and Day 25 package inputs for ministers.</w:t>
      </w:r>
    </w:p>
    <w:p>
      <w:pPr>
        <w:spacing w:after="140" w:line="288"/>
        <w:jc w:val="both"/>
      </w:pPr>
      <w:r>
        <w:rPr>
          <w:rFonts w:ascii="Times New Roman" w:cs="Times New Roman" w:eastAsia="SimSun" w:hAnsi="Times New Roman"/>
          <w:b/>
          <w:bCs/>
          <w:sz w:val="23"/>
          <w:szCs w:val="23"/>
        </w:rPr>
        <w:t xml:space="preserve">15.3 Data standards. </w:t>
      </w:r>
      <w:r>
        <w:rPr>
          <w:rFonts w:ascii="Times New Roman" w:cs="Times New Roman" w:eastAsia="SimSun" w:hAnsi="Times New Roman"/>
          <w:sz w:val="23"/>
          <w:szCs w:val="23"/>
        </w:rPr>
        <w:t xml:space="preserve">All Registry data is simultaneous (both Parties receive identical data with identical latency), unalterable (append-only logging with cryptographic chain-of-custody), and transparent (accessible to both Parties in full). Commercially sensitive entries are visible to both governments and redacted only in the public dashboard. No Party's participation in data exchange constitutes endorsement of the other Party's legal positions.</w:t>
      </w:r>
    </w:p>
    <w:p>
      <w:pPr>
        <w:spacing w:after="140" w:line="288"/>
        <w:jc w:val="both"/>
      </w:pPr>
      <w:r>
        <w:rPr>
          <w:rFonts w:ascii="Times New Roman" w:cs="Times New Roman" w:eastAsia="SimSun" w:hAnsi="Times New Roman"/>
          <w:b/>
          <w:bCs/>
          <w:sz w:val="23"/>
          <w:szCs w:val="23"/>
        </w:rPr>
        <w:t xml:space="preserve">15.4 Location and operations. </w:t>
      </w:r>
      <w:r>
        <w:rPr>
          <w:rFonts w:ascii="Times New Roman" w:cs="Times New Roman" w:eastAsia="SimSun" w:hAnsi="Times New Roman"/>
          <w:sz w:val="23"/>
          <w:szCs w:val="23"/>
        </w:rPr>
        <w:t xml:space="preserve">The Secretariat operates virtually with a primary node at Global Affairs Canada and a mirror node at the Office of the U.S. Trade Representative. It convenes within 24 hours of entry into force and maintains a daily operating rhythm, with a 24-hour response standard for logged items.</w:t>
      </w:r>
    </w:p>
    <w:p>
      <w:r>
        <w:br w:type="page"/>
      </w:r>
    </w:p>
    <w:p>
      <w:pPr>
        <w:pStyle w:val="Heading1"/>
        <w:spacing w:after="140" w:before="280"/>
      </w:pPr>
      <w:r>
        <w:rPr>
          <w:rFonts w:ascii="Times New Roman" w:cs="Times New Roman" w:eastAsia="SimSun" w:hAnsi="Times New Roman"/>
          <w:b/>
          <w:bCs/>
          <w:color w:val="1F2A33"/>
          <w:sz w:val="30"/>
          <w:szCs w:val="30"/>
        </w:rPr>
        <w:t xml:space="preserve">Part VI. Cothrom Verification Architecture (30-Day Adaptation)</w:t>
      </w:r>
    </w:p>
    <w:p>
      <w:pPr>
        <w:spacing w:after="140" w:line="288"/>
        <w:jc w:val="both"/>
      </w:pPr>
      <w:r>
        <w:rPr>
          <w:rFonts w:ascii="Times New Roman" w:cs="Times New Roman" w:eastAsia="SimSun" w:hAnsi="Times New Roman"/>
          <w:b/>
          <w:bCs/>
          <w:sz w:val="23"/>
          <w:szCs w:val="23"/>
        </w:rPr>
        <w:t xml:space="preserve">Note on method. </w:t>
      </w:r>
      <w:r>
        <w:rPr>
          <w:rFonts w:ascii="Times New Roman" w:cs="Times New Roman" w:eastAsia="SimSun" w:hAnsi="Times New Roman"/>
          <w:sz w:val="23"/>
          <w:szCs w:val="23"/>
        </w:rPr>
        <w:t xml:space="preserve">"Cothrom" (Irish: equal, balanced, level, fair) treats verification as a reciprocal architecture in which both Parties invest, both Parties verify, and both Parties recover. It replaces snapback with graduated, reversible, proportionate consequences: discretionary benefits pause first, core obligations survive longest, minor infractions produce minor consequences, sustained compliance restores full benefits, and no single violation creates permanent exclusion. The framework does not collapse upon breach; it breathes.</w:t>
      </w:r>
    </w:p>
    <w:p>
      <w:pPr>
        <w:pStyle w:val="Heading2"/>
        <w:spacing w:after="110" w:before="220"/>
      </w:pPr>
      <w:r>
        <w:rPr>
          <w:rFonts w:ascii="Times New Roman" w:cs="Times New Roman" w:eastAsia="SimSun" w:hAnsi="Times New Roman"/>
          <w:b/>
          <w:bCs/>
          <w:color w:val="2F4A5C"/>
          <w:sz w:val="26"/>
          <w:szCs w:val="26"/>
        </w:rPr>
        <w:t xml:space="preserve">Article 16. Evidence and Status</w:t>
      </w:r>
    </w:p>
    <w:p>
      <w:pPr>
        <w:spacing w:after="140" w:line="288"/>
        <w:jc w:val="both"/>
      </w:pPr>
      <w:r>
        <w:rPr>
          <w:rFonts w:ascii="Times New Roman" w:cs="Times New Roman" w:eastAsia="SimSun" w:hAnsi="Times New Roman"/>
          <w:b/>
          <w:bCs/>
          <w:sz w:val="23"/>
          <w:szCs w:val="23"/>
        </w:rPr>
        <w:t xml:space="preserve">16.1 Claims. </w:t>
      </w:r>
      <w:r>
        <w:rPr>
          <w:rFonts w:ascii="Times New Roman" w:cs="Times New Roman" w:eastAsia="SimSun" w:hAnsi="Times New Roman"/>
          <w:sz w:val="23"/>
          <w:szCs w:val="23"/>
        </w:rPr>
        <w:t xml:space="preserve">Every performance claim filed in the Shared Registry shall identify: (a) the obligation, by Article and paragraph; (b) the time period covered; (c) the data source; (d) the responsible authority; and (e) the objective evidence — customs instructions, attestation registers, shipment records, permit logs, procurement records — supporting the claim. Claims use the standard template at Annex F.</w:t>
      </w:r>
    </w:p>
    <w:p>
      <w:pPr>
        <w:spacing w:after="140" w:line="288"/>
        <w:jc w:val="both"/>
      </w:pPr>
      <w:r>
        <w:rPr>
          <w:rFonts w:ascii="Times New Roman" w:cs="Times New Roman" w:eastAsia="SimSun" w:hAnsi="Times New Roman"/>
          <w:b/>
          <w:bCs/>
          <w:sz w:val="23"/>
          <w:szCs w:val="23"/>
        </w:rPr>
        <w:t xml:space="preserve">16.2 Status assignment. </w:t>
      </w:r>
      <w:r>
        <w:rPr>
          <w:rFonts w:ascii="Times New Roman" w:cs="Times New Roman" w:eastAsia="SimSun" w:hAnsi="Times New Roman"/>
          <w:sz w:val="23"/>
          <w:szCs w:val="23"/>
        </w:rPr>
        <w:t xml:space="preserve">The Secretariat shall assign each module one of four statuses, based on verified performance against the module's defined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60"/>
      </w:tblGrid>
      <w:tr>
        <w:trPr>
          <w:tblHeader/>
        </w:trPr>
        <w:tc>
          <w:tcPr>
            <w:tcW w:type="dxa" w:w="13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Status</w:t>
            </w:r>
          </w:p>
        </w:tc>
        <w:tc>
          <w:tcPr>
            <w:tcW w:type="dxa" w:w="36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Meaning</w:t>
            </w:r>
          </w:p>
        </w:tc>
        <w:tc>
          <w:tcPr>
            <w:tcW w:type="dxa" w:w="446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Response</w:t>
            </w:r>
          </w:p>
        </w:tc>
      </w:tr>
      <w:tr>
        <w:trPr>
          <w:tblHeader w:val="false"/>
        </w:trPr>
        <w:tc>
          <w:tcPr>
            <w:tcW w:type="dxa" w:w="1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Green</w:t>
            </w:r>
          </w:p>
        </w:tc>
        <w:tc>
          <w:tcPr>
            <w:tcW w:type="dxa" w:w="3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90 per cent or more verified performance</w:t>
            </w:r>
          </w:p>
        </w:tc>
        <w:tc>
          <w:tcPr>
            <w:tcW w:type="dxa" w:w="44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Full benefit; module continues without condition</w:t>
            </w:r>
          </w:p>
        </w:tc>
      </w:tr>
      <w:tr>
        <w:trPr>
          <w:tblHeader w:val="false"/>
        </w:trPr>
        <w:tc>
          <w:tcPr>
            <w:tcW w:type="dxa" w:w="1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Amber</w:t>
            </w:r>
          </w:p>
        </w:tc>
        <w:tc>
          <w:tcPr>
            <w:tcW w:type="dxa" w:w="3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70–89 per cent, or a minor gap with credible correction under way</w:t>
            </w:r>
          </w:p>
        </w:tc>
        <w:tc>
          <w:tcPr>
            <w:tcW w:type="dxa" w:w="44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Benefit preserved; targeted correction plan within 5 days</w:t>
            </w:r>
          </w:p>
        </w:tc>
      </w:tr>
      <w:tr>
        <w:trPr>
          <w:tblHeader w:val="false"/>
        </w:trPr>
        <w:tc>
          <w:tcPr>
            <w:tcW w:type="dxa" w:w="1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Orange</w:t>
            </w:r>
          </w:p>
        </w:tc>
        <w:tc>
          <w:tcPr>
            <w:tcW w:type="dxa" w:w="3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50–69 per cent, or a material gap</w:t>
            </w:r>
          </w:p>
        </w:tc>
        <w:tc>
          <w:tcPr>
            <w:tcW w:type="dxa" w:w="44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Proportionate step-back under Article 17 after 48-hour consultation</w:t>
            </w:r>
          </w:p>
        </w:tc>
      </w:tr>
      <w:tr>
        <w:trPr>
          <w:tblHeader w:val="false"/>
        </w:trPr>
        <w:tc>
          <w:tcPr>
            <w:tcW w:type="dxa" w:w="1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Red</w:t>
            </w:r>
          </w:p>
        </w:tc>
        <w:tc>
          <w:tcPr>
            <w:tcW w:type="dxa" w:w="3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Below 50 per cent, or deliberate failure</w:t>
            </w:r>
          </w:p>
        </w:tc>
        <w:tc>
          <w:tcPr>
            <w:tcW w:type="dxa" w:w="44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Higher step-back plus a written earn-back plan</w:t>
            </w:r>
          </w:p>
        </w:tc>
      </w:tr>
    </w:tbl>
    <w:p>
      <w:pPr>
        <w:spacing w:after="140" w:line="288"/>
        <w:jc w:val="both"/>
      </w:pPr>
      <w:r>
        <w:rPr>
          <w:rFonts w:ascii="Times New Roman" w:cs="Times New Roman" w:eastAsia="SimSun" w:hAnsi="Times New Roman"/>
          <w:b/>
          <w:bCs/>
          <w:sz w:val="23"/>
          <w:szCs w:val="23"/>
        </w:rPr>
        <w:t xml:space="preserve">16.3 Challenge window. </w:t>
      </w:r>
      <w:r>
        <w:rPr>
          <w:rFonts w:ascii="Times New Roman" w:cs="Times New Roman" w:eastAsia="SimSun" w:hAnsi="Times New Roman"/>
          <w:sz w:val="23"/>
          <w:szCs w:val="23"/>
        </w:rPr>
        <w:t xml:space="preserve">Either Party may challenge any confirmed claim within 48 hours of its Registry confirmation, by formal notice identifying the exact evidence in dispute. Challenges submit anonymously to the Secretariat's review lane; the process is data-driven, not accusatory, and the challenging Party's identity is not disclosed while a claim stands. A Party asserting a challenge shall specify counter-evidence; unsupported challenges are dismissed as frivolous.</w:t>
      </w:r>
    </w:p>
    <w:p>
      <w:pPr>
        <w:spacing w:after="140" w:line="288"/>
        <w:jc w:val="both"/>
      </w:pPr>
      <w:r>
        <w:rPr>
          <w:rFonts w:ascii="Times New Roman" w:cs="Times New Roman" w:eastAsia="SimSun" w:hAnsi="Times New Roman"/>
          <w:b/>
          <w:bCs/>
          <w:sz w:val="23"/>
          <w:szCs w:val="23"/>
        </w:rPr>
        <w:t xml:space="preserve">16.4 Frivolous challenge control. </w:t>
      </w:r>
      <w:r>
        <w:rPr>
          <w:rFonts w:ascii="Times New Roman" w:cs="Times New Roman" w:eastAsia="SimSun" w:hAnsi="Times New Roman"/>
          <w:sz w:val="23"/>
          <w:szCs w:val="23"/>
        </w:rPr>
        <w:t xml:space="preserve">A Party that files three failed challenges within the Bridge term incurs a 72-hour challenge moratorium, recorded on the public dashboard. Persistent frivolous challenge is itself logged as conduct relevant to Tier classification under Article 17.</w:t>
      </w:r>
    </w:p>
    <w:p>
      <w:pPr>
        <w:spacing w:after="140" w:line="288"/>
        <w:jc w:val="both"/>
      </w:pPr>
      <w:r>
        <w:rPr>
          <w:rFonts w:ascii="Times New Roman" w:cs="Times New Roman" w:eastAsia="SimSun" w:hAnsi="Times New Roman"/>
          <w:b/>
          <w:bCs/>
          <w:sz w:val="23"/>
          <w:szCs w:val="23"/>
        </w:rPr>
        <w:t xml:space="preserve">16.5 Neutral review lane. </w:t>
      </w:r>
      <w:r>
        <w:rPr>
          <w:rFonts w:ascii="Times New Roman" w:cs="Times New Roman" w:eastAsia="SimSun" w:hAnsi="Times New Roman"/>
          <w:sz w:val="23"/>
          <w:szCs w:val="23"/>
        </w:rPr>
        <w:t xml:space="preserve">For contested technical questions — origin findings, coverage percentages, status assignments — the Secretariat maintains a standing panel of three neutral trade-verification experts, pre-accredited by both Parties at entry into force, none a national of either Party. The panel decides on Registry evidence alone within 72 hours of referral. Its determination is binding for Bridge purposes and without prejudice to any CUSMA or WTO proceeding.</w:t>
      </w:r>
    </w:p>
    <w:p>
      <w:pPr>
        <w:spacing w:after="140" w:line="288"/>
        <w:jc w:val="both"/>
      </w:pPr>
      <w:r>
        <w:rPr>
          <w:rFonts w:ascii="Times New Roman" w:cs="Times New Roman" w:eastAsia="SimSun" w:hAnsi="Times New Roman"/>
          <w:b/>
          <w:bCs/>
          <w:sz w:val="23"/>
          <w:szCs w:val="23"/>
        </w:rPr>
        <w:t xml:space="preserve">16.6 Partial credit. </w:t>
      </w:r>
      <w:r>
        <w:rPr>
          <w:rFonts w:ascii="Times New Roman" w:cs="Times New Roman" w:eastAsia="SimSun" w:hAnsi="Times New Roman"/>
          <w:sz w:val="23"/>
          <w:szCs w:val="23"/>
        </w:rPr>
        <w:t xml:space="preserve">Where a claim contains both accurate and inaccurate elements, the review lane awards partial credit: 90–100 per cent accuracy receives full credit; 70–89 per cent receives three-quarter credit; 50–69 per cent receives half credit; below 50 per cent receives none. Partial credit rewards precision and penalizes exaggeration proportionally, rather than forcing all-or-nothing outcomes.</w:t>
      </w:r>
    </w:p>
    <w:p>
      <w:pPr>
        <w:pStyle w:val="Heading2"/>
        <w:spacing w:after="110" w:before="220"/>
      </w:pPr>
      <w:r>
        <w:rPr>
          <w:rFonts w:ascii="Times New Roman" w:cs="Times New Roman" w:eastAsia="SimSun" w:hAnsi="Times New Roman"/>
          <w:b/>
          <w:bCs/>
          <w:color w:val="2F4A5C"/>
          <w:sz w:val="26"/>
          <w:szCs w:val="26"/>
        </w:rPr>
        <w:t xml:space="preserve">Article 17. Tiered Consequences</w:t>
      </w:r>
    </w:p>
    <w:p>
      <w:pPr>
        <w:spacing w:after="140" w:line="288"/>
        <w:jc w:val="both"/>
      </w:pPr>
      <w:r>
        <w:rPr>
          <w:rFonts w:ascii="Times New Roman" w:cs="Times New Roman" w:eastAsia="SimSun" w:hAnsi="Times New Roman"/>
          <w:b/>
          <w:bCs/>
          <w:sz w:val="23"/>
          <w:szCs w:val="23"/>
        </w:rPr>
        <w:t xml:space="preserve">17.1 Tier 1 — Technical Variance. </w:t>
      </w:r>
      <w:r>
        <w:rPr>
          <w:rFonts w:ascii="Times New Roman" w:cs="Times New Roman" w:eastAsia="SimSun" w:hAnsi="Times New Roman"/>
          <w:sz w:val="23"/>
          <w:szCs w:val="23"/>
        </w:rPr>
        <w:t xml:space="preserve">Customs coding errors, short reporting delays, isolated data gaps, and comparable technical variances produce no benefit reduction. The responsible authority corrects within a window of up to 5 days, and the correction is logged.</w:t>
      </w:r>
    </w:p>
    <w:p>
      <w:pPr>
        <w:spacing w:after="140" w:line="288"/>
        <w:jc w:val="both"/>
      </w:pPr>
      <w:r>
        <w:rPr>
          <w:rFonts w:ascii="Times New Roman" w:cs="Times New Roman" w:eastAsia="SimSun" w:hAnsi="Times New Roman"/>
          <w:b/>
          <w:bCs/>
          <w:sz w:val="23"/>
          <w:szCs w:val="23"/>
        </w:rPr>
        <w:t xml:space="preserve">17.2 Tier 2 — Material Disruption. </w:t>
      </w:r>
      <w:r>
        <w:rPr>
          <w:rFonts w:ascii="Times New Roman" w:cs="Times New Roman" w:eastAsia="SimSun" w:hAnsi="Times New Roman"/>
          <w:sz w:val="23"/>
          <w:szCs w:val="23"/>
        </w:rPr>
        <w:t xml:space="preserve">Failure to implement a verified tariff rate, material denial of agreed market access, or persistent data-quality failure triggers: (a) 48-hour consultation between the responsible authorities; (b) failing correction, a pause of 10–25 per cent of the affected discretionary benefit inside the affected module only, calibrated to the gap; and (c) full restoration following 5 consecutive clean days after verified remediation.</w:t>
      </w:r>
    </w:p>
    <w:p>
      <w:pPr>
        <w:spacing w:after="140" w:line="288"/>
        <w:jc w:val="both"/>
      </w:pPr>
      <w:r>
        <w:rPr>
          <w:rFonts w:ascii="Times New Roman" w:cs="Times New Roman" w:eastAsia="SimSun" w:hAnsi="Times New Roman"/>
          <w:b/>
          <w:bCs/>
          <w:sz w:val="23"/>
          <w:szCs w:val="23"/>
        </w:rPr>
        <w:t xml:space="preserve">17.3 Tier 3 — Deliberate Circumvention. </w:t>
      </w:r>
      <w:r>
        <w:rPr>
          <w:rFonts w:ascii="Times New Roman" w:cs="Times New Roman" w:eastAsia="SimSun" w:hAnsi="Times New Roman"/>
          <w:sz w:val="23"/>
          <w:szCs w:val="23"/>
        </w:rPr>
        <w:t xml:space="preserve">Falsified performance data, coordinated customs evasion, destruction of verification records, or deliberate free-riding triggers immediate escalation. Remediation completed inside 72 hours limits the module step-back to 25 per cent. Absent remediation, the step-back rises to 50 per cent and the matter is referred to ministers. Full restoration follows 14 consecutive clean days plus confirmation by the neutral review panel.</w:t>
      </w:r>
    </w:p>
    <w:p>
      <w:pPr>
        <w:spacing w:after="140" w:line="288"/>
        <w:jc w:val="both"/>
      </w:pPr>
      <w:r>
        <w:rPr>
          <w:rFonts w:ascii="Times New Roman" w:cs="Times New Roman" w:eastAsia="SimSun" w:hAnsi="Times New Roman"/>
          <w:b/>
          <w:bCs/>
          <w:sz w:val="23"/>
          <w:szCs w:val="23"/>
        </w:rPr>
        <w:t xml:space="preserve">17.4 Proportionality. </w:t>
      </w:r>
      <w:r>
        <w:rPr>
          <w:rFonts w:ascii="Times New Roman" w:cs="Times New Roman" w:eastAsia="SimSun" w:hAnsi="Times New Roman"/>
          <w:sz w:val="23"/>
          <w:szCs w:val="23"/>
        </w:rPr>
        <w:t xml:space="preserve">Every step-back is proportionate, reversible, and module-bound. Step-backs never touch: (a) the core tariff standstill under Articles 4 and 5, which may be exited only through the wind-down procedure of Article 22; (b) completed private contracts and shipments; or (c) humanitarian, health, and safety measures. The Party applying a step-back shall publish its basis and calibration in the Registry.</w:t>
      </w:r>
    </w:p>
    <w:p>
      <w:pPr>
        <w:pStyle w:val="Heading2"/>
        <w:spacing w:after="110" w:before="220"/>
      </w:pPr>
      <w:r>
        <w:rPr>
          <w:rFonts w:ascii="Times New Roman" w:cs="Times New Roman" w:eastAsia="SimSun" w:hAnsi="Times New Roman"/>
          <w:b/>
          <w:bCs/>
          <w:color w:val="2F4A5C"/>
          <w:sz w:val="26"/>
          <w:szCs w:val="26"/>
        </w:rPr>
        <w:t xml:space="preserve">Article 18. Cross-Module Firewall</w:t>
      </w:r>
    </w:p>
    <w:p>
      <w:pPr>
        <w:spacing w:after="140" w:line="288"/>
        <w:jc w:val="both"/>
      </w:pPr>
      <w:r>
        <w:rPr>
          <w:rFonts w:ascii="Times New Roman" w:cs="Times New Roman" w:eastAsia="SimSun" w:hAnsi="Times New Roman"/>
          <w:b/>
          <w:bCs/>
          <w:sz w:val="23"/>
          <w:szCs w:val="23"/>
        </w:rPr>
        <w:t xml:space="preserve">18.1 </w:t>
      </w:r>
      <w:r>
        <w:rPr>
          <w:rFonts w:ascii="Times New Roman" w:cs="Times New Roman" w:eastAsia="SimSun" w:hAnsi="Times New Roman"/>
          <w:sz w:val="23"/>
          <w:szCs w:val="23"/>
        </w:rPr>
        <w:t xml:space="preserve">A failure in one module shall not affect any other module. Cross-module effect activates only after the neutral review panel finds, on Registry evidence, that the same conduct directly and materially defeats a second module — for example, falsified origin records that simultaneously undermine the aluminum corridor and the Trusted Origin Registry.</w:t>
      </w:r>
    </w:p>
    <w:p>
      <w:pPr>
        <w:spacing w:after="140" w:line="288"/>
        <w:jc w:val="both"/>
      </w:pPr>
      <w:r>
        <w:rPr>
          <w:rFonts w:ascii="Times New Roman" w:cs="Times New Roman" w:eastAsia="SimSun" w:hAnsi="Times New Roman"/>
          <w:b/>
          <w:bCs/>
          <w:sz w:val="23"/>
          <w:szCs w:val="23"/>
        </w:rPr>
        <w:t xml:space="preserve">18.2 </w:t>
      </w:r>
      <w:r>
        <w:rPr>
          <w:rFonts w:ascii="Times New Roman" w:cs="Times New Roman" w:eastAsia="SimSun" w:hAnsi="Times New Roman"/>
          <w:sz w:val="23"/>
          <w:szCs w:val="23"/>
        </w:rPr>
        <w:t xml:space="preserve">Even where the firewall is pierced, the consequence in the second module is limited to the step-back that module's own status would independently justify. There is no general snapback. The Bridge as a whole terminates only through the Day 30 decision under Article 21 or a joint written decision of both Parties.</w:t>
      </w:r>
    </w:p>
    <w:p>
      <w:r>
        <w:br w:type="page"/>
      </w:r>
    </w:p>
    <w:p>
      <w:pPr>
        <w:pStyle w:val="Heading1"/>
        <w:spacing w:after="140" w:before="280"/>
      </w:pPr>
      <w:r>
        <w:rPr>
          <w:rFonts w:ascii="Times New Roman" w:cs="Times New Roman" w:eastAsia="SimSun" w:hAnsi="Times New Roman"/>
          <w:b/>
          <w:bCs/>
          <w:color w:val="1F2A33"/>
          <w:sz w:val="30"/>
          <w:szCs w:val="30"/>
        </w:rPr>
        <w:t xml:space="preserve">Part VII. Negotiating and Review Schedule — 30 Days</w:t>
      </w:r>
    </w:p>
    <w:p>
      <w:pPr>
        <w:pStyle w:val="Heading2"/>
        <w:spacing w:after="110" w:before="220"/>
      </w:pPr>
      <w:r>
        <w:rPr>
          <w:rFonts w:ascii="Times New Roman" w:cs="Times New Roman" w:eastAsia="SimSun" w:hAnsi="Times New Roman"/>
          <w:b/>
          <w:bCs/>
          <w:color w:val="2F4A5C"/>
          <w:sz w:val="26"/>
          <w:szCs w:val="26"/>
        </w:rPr>
        <w:t xml:space="preserve">Article 19. Day 15 Progress Review</w:t>
      </w:r>
    </w:p>
    <w:p>
      <w:pPr>
        <w:spacing w:after="140" w:line="288"/>
        <w:jc w:val="both"/>
      </w:pPr>
      <w:r>
        <w:rPr>
          <w:rFonts w:ascii="Times New Roman" w:cs="Times New Roman" w:eastAsia="SimSun" w:hAnsi="Times New Roman"/>
          <w:b/>
          <w:bCs/>
          <w:sz w:val="23"/>
          <w:szCs w:val="23"/>
        </w:rPr>
        <w:t xml:space="preserve">19.1 </w:t>
      </w:r>
      <w:r>
        <w:rPr>
          <w:rFonts w:ascii="Times New Roman" w:cs="Times New Roman" w:eastAsia="SimSun" w:hAnsi="Times New Roman"/>
          <w:sz w:val="23"/>
          <w:szCs w:val="23"/>
        </w:rPr>
        <w:t xml:space="preserve">At Day 15, ministers shall receive an interim scorecard prepared by the Joint Verification Secretariat covering: tariff standstill implementation; alcohol access restoration by provincial coverage share; dairy window utilization against the Annex C envelope; potash and aluminum corridor shipments (registered, shipped, verified); implementation of the auto rate exchange; Trusted Origin Registry admissions and objections; and origin-integrity results, including any free-riding files opened and resolved.</w:t>
      </w:r>
    </w:p>
    <w:p>
      <w:pPr>
        <w:spacing w:after="140" w:line="288"/>
        <w:jc w:val="both"/>
      </w:pPr>
      <w:r>
        <w:rPr>
          <w:rFonts w:ascii="Times New Roman" w:cs="Times New Roman" w:eastAsia="SimSun" w:hAnsi="Times New Roman"/>
          <w:b/>
          <w:bCs/>
          <w:sz w:val="23"/>
          <w:szCs w:val="23"/>
        </w:rPr>
        <w:t xml:space="preserve">19.2 </w:t>
      </w:r>
      <w:r>
        <w:rPr>
          <w:rFonts w:ascii="Times New Roman" w:cs="Times New Roman" w:eastAsia="SimSun" w:hAnsi="Times New Roman"/>
          <w:sz w:val="23"/>
          <w:szCs w:val="23"/>
        </w:rPr>
        <w:t xml:space="preserve">Green and Amber modules continue without interruption. Orange and Red modules receive written correction plans with named responsible authorities and dated milestones. The scorecard, with commercially sensitive material redacted, is published within 48 hours of delivery to ministers.</w:t>
      </w:r>
    </w:p>
    <w:p>
      <w:pPr>
        <w:pStyle w:val="Heading2"/>
        <w:spacing w:after="110" w:before="220"/>
      </w:pPr>
      <w:r>
        <w:rPr>
          <w:rFonts w:ascii="Times New Roman" w:cs="Times New Roman" w:eastAsia="SimSun" w:hAnsi="Times New Roman"/>
          <w:b/>
          <w:bCs/>
          <w:color w:val="2F4A5C"/>
          <w:sz w:val="26"/>
          <w:szCs w:val="26"/>
        </w:rPr>
        <w:t xml:space="preserve">Article 20. Day 25 Negotiating Package</w:t>
      </w:r>
    </w:p>
    <w:p>
      <w:pPr>
        <w:spacing w:after="140" w:line="288"/>
        <w:jc w:val="both"/>
      </w:pPr>
      <w:r>
        <w:rPr>
          <w:rFonts w:ascii="Times New Roman" w:cs="Times New Roman" w:eastAsia="SimSun" w:hAnsi="Times New Roman"/>
          <w:b/>
          <w:bCs/>
          <w:sz w:val="23"/>
          <w:szCs w:val="23"/>
        </w:rPr>
        <w:t xml:space="preserve">20.1 </w:t>
      </w:r>
      <w:r>
        <w:rPr>
          <w:rFonts w:ascii="Times New Roman" w:cs="Times New Roman" w:eastAsia="SimSun" w:hAnsi="Times New Roman"/>
          <w:sz w:val="23"/>
          <w:szCs w:val="23"/>
        </w:rPr>
        <w:t xml:space="preserve">By Day 25, negotiators shall produce a negotiating package identifying: (a) provisions that can carry forward into permanent CUSMA text through the Joint Review; (b) provisions that require side letters or sectoral arrangements; and (c) provisions that expire with the Bridge.</w:t>
      </w:r>
    </w:p>
    <w:p>
      <w:pPr>
        <w:spacing w:after="140" w:line="288"/>
        <w:jc w:val="both"/>
      </w:pPr>
      <w:r>
        <w:rPr>
          <w:rFonts w:ascii="Times New Roman" w:cs="Times New Roman" w:eastAsia="SimSun" w:hAnsi="Times New Roman"/>
          <w:b/>
          <w:bCs/>
          <w:sz w:val="23"/>
          <w:szCs w:val="23"/>
        </w:rPr>
        <w:t xml:space="preserve">20.2 Working lanes. </w:t>
      </w:r>
      <w:r>
        <w:rPr>
          <w:rFonts w:ascii="Times New Roman" w:cs="Times New Roman" w:eastAsia="SimSun" w:hAnsi="Times New Roman"/>
          <w:sz w:val="23"/>
          <w:szCs w:val="23"/>
        </w:rPr>
        <w:t xml:space="preserve">The package shall be assembled through four technical lanes launched at Day 3: (i) automotive origin documentation and audit standards, respecting the reserved positions in Article 9.3; (ii) customs and trade facilitation, drawing on the Shared Registry experience; (iii) agricultural market access administration, covering TRQ administration and alcohol listing practice; and (iv) strategic inputs, covering metals treatment and critical-input security. Each lane files a two-page options memorandum by Day 20.</w:t>
      </w:r>
    </w:p>
    <w:p>
      <w:pPr>
        <w:spacing w:after="140" w:line="288"/>
        <w:jc w:val="both"/>
      </w:pPr>
      <w:r>
        <w:rPr>
          <w:rFonts w:ascii="Times New Roman" w:cs="Times New Roman" w:eastAsia="SimSun" w:hAnsi="Times New Roman"/>
          <w:b/>
          <w:bCs/>
          <w:sz w:val="23"/>
          <w:szCs w:val="23"/>
        </w:rPr>
        <w:t xml:space="preserve">20.3 </w:t>
      </w:r>
      <w:r>
        <w:rPr>
          <w:rFonts w:ascii="Times New Roman" w:cs="Times New Roman" w:eastAsia="SimSun" w:hAnsi="Times New Roman"/>
          <w:sz w:val="23"/>
          <w:szCs w:val="23"/>
        </w:rPr>
        <w:t xml:space="preserve">Mexico shall be kept informed of Bridge operation given the trilateral character of CUSMA, and the Day 25 package shall identify any element whose permanent continuation would require trilateral treatment. The Bridge itself is bilateral and does not amend CUSMA.</w:t>
      </w:r>
    </w:p>
    <w:p>
      <w:pPr>
        <w:pStyle w:val="Heading2"/>
        <w:spacing w:after="110" w:before="220"/>
      </w:pPr>
      <w:r>
        <w:rPr>
          <w:rFonts w:ascii="Times New Roman" w:cs="Times New Roman" w:eastAsia="SimSun" w:hAnsi="Times New Roman"/>
          <w:b/>
          <w:bCs/>
          <w:color w:val="2F4A5C"/>
          <w:sz w:val="26"/>
          <w:szCs w:val="26"/>
        </w:rPr>
        <w:t xml:space="preserve">Article 21. Day 30 Decision Point</w:t>
      </w:r>
    </w:p>
    <w:p>
      <w:pPr>
        <w:spacing w:after="140" w:line="288"/>
        <w:jc w:val="both"/>
      </w:pPr>
      <w:r>
        <w:rPr>
          <w:rFonts w:ascii="Times New Roman" w:cs="Times New Roman" w:eastAsia="SimSun" w:hAnsi="Times New Roman"/>
          <w:b/>
          <w:bCs/>
          <w:sz w:val="23"/>
          <w:szCs w:val="23"/>
        </w:rPr>
        <w:t xml:space="preserve">21.1 </w:t>
      </w:r>
      <w:r>
        <w:rPr>
          <w:rFonts w:ascii="Times New Roman" w:cs="Times New Roman" w:eastAsia="SimSun" w:hAnsi="Times New Roman"/>
          <w:sz w:val="23"/>
          <w:szCs w:val="23"/>
        </w:rPr>
        <w:t xml:space="preserve">At Day 30, the Parties shall choose one of three paths: (a) Extension — a further 30-day renewal upon joint written confirmation, with any module-specific adjustments recorded in the Registry; (b) Phase One Agreement — implementation of verified provisions as a permanent or interim arrangement, with Bridge modules converted or superseded as the Phase One text provides; or (c) Orderly Wind-Down under Article 22.</w:t>
      </w:r>
    </w:p>
    <w:p>
      <w:pPr>
        <w:spacing w:after="140" w:line="288"/>
        <w:jc w:val="both"/>
      </w:pPr>
      <w:r>
        <w:rPr>
          <w:rFonts w:ascii="Times New Roman" w:cs="Times New Roman" w:eastAsia="SimSun" w:hAnsi="Times New Roman"/>
          <w:b/>
          <w:bCs/>
          <w:sz w:val="23"/>
          <w:szCs w:val="23"/>
        </w:rPr>
        <w:t xml:space="preserve">21.2 </w:t>
      </w:r>
      <w:r>
        <w:rPr>
          <w:rFonts w:ascii="Times New Roman" w:cs="Times New Roman" w:eastAsia="SimSun" w:hAnsi="Times New Roman"/>
          <w:sz w:val="23"/>
          <w:szCs w:val="23"/>
        </w:rPr>
        <w:t xml:space="preserve">The decision is recorded in a joint instrument. Silence is a decision: absent a joint instrument by the final effective hour, Orderly Wind-Down commences automatically.</w:t>
      </w:r>
    </w:p>
    <w:p>
      <w:pPr>
        <w:pStyle w:val="Heading2"/>
        <w:spacing w:after="110" w:before="220"/>
      </w:pPr>
      <w:r>
        <w:rPr>
          <w:rFonts w:ascii="Times New Roman" w:cs="Times New Roman" w:eastAsia="SimSun" w:hAnsi="Times New Roman"/>
          <w:b/>
          <w:bCs/>
          <w:color w:val="2F4A5C"/>
          <w:sz w:val="26"/>
          <w:szCs w:val="26"/>
        </w:rPr>
        <w:t xml:space="preserve">Article 22. Orderly Wind-Down</w:t>
      </w:r>
    </w:p>
    <w:p>
      <w:pPr>
        <w:spacing w:after="140" w:line="288"/>
        <w:jc w:val="both"/>
      </w:pPr>
      <w:r>
        <w:rPr>
          <w:rFonts w:ascii="Times New Roman" w:cs="Times New Roman" w:eastAsia="SimSun" w:hAnsi="Times New Roman"/>
          <w:b/>
          <w:bCs/>
          <w:sz w:val="23"/>
          <w:szCs w:val="23"/>
        </w:rPr>
        <w:t xml:space="preserve">22.1 </w:t>
      </w:r>
      <w:r>
        <w:rPr>
          <w:rFonts w:ascii="Times New Roman" w:cs="Times New Roman" w:eastAsia="SimSun" w:hAnsi="Times New Roman"/>
          <w:sz w:val="23"/>
          <w:szCs w:val="23"/>
        </w:rPr>
        <w:t xml:space="preserve">On wind-down: goods entered before the final effective time retain the customs treatment applicable at entry; completed procurements remain valid; signed contracts continue under their own terms; permits lawfully issued under Article 8 are honoured for shipments contracted before expiry; and the suspended instruments on both sides revive in accordance with their own terms.</w:t>
      </w:r>
    </w:p>
    <w:p>
      <w:pPr>
        <w:spacing w:after="140" w:line="288"/>
        <w:jc w:val="both"/>
      </w:pPr>
      <w:r>
        <w:rPr>
          <w:rFonts w:ascii="Times New Roman" w:cs="Times New Roman" w:eastAsia="SimSun" w:hAnsi="Times New Roman"/>
          <w:b/>
          <w:bCs/>
          <w:sz w:val="23"/>
          <w:szCs w:val="23"/>
        </w:rPr>
        <w:t xml:space="preserve">22.2 </w:t>
      </w:r>
      <w:r>
        <w:rPr>
          <w:rFonts w:ascii="Times New Roman" w:cs="Times New Roman" w:eastAsia="SimSun" w:hAnsi="Times New Roman"/>
          <w:sz w:val="23"/>
          <w:szCs w:val="23"/>
        </w:rPr>
        <w:t xml:space="preserve">No Party shall use expiry alone as proof of breach or bad faith in any domestic, CUSMA, or WTO proceeding. The Shared Registry archive — 5-year retention, append-only — remains available to both Parties as the factual record of the Bridge term.</w:t>
      </w:r>
    </w:p>
    <w:p>
      <w:pPr>
        <w:spacing w:after="140" w:line="288"/>
        <w:jc w:val="both"/>
      </w:pPr>
      <w:r>
        <w:rPr>
          <w:rFonts w:ascii="Times New Roman" w:cs="Times New Roman" w:eastAsia="SimSun" w:hAnsi="Times New Roman"/>
          <w:b/>
          <w:bCs/>
          <w:sz w:val="23"/>
          <w:szCs w:val="23"/>
        </w:rPr>
        <w:t xml:space="preserve">22.3 </w:t>
      </w:r>
      <w:r>
        <w:rPr>
          <w:rFonts w:ascii="Times New Roman" w:cs="Times New Roman" w:eastAsia="SimSun" w:hAnsi="Times New Roman"/>
          <w:sz w:val="23"/>
          <w:szCs w:val="23"/>
        </w:rPr>
        <w:t xml:space="preserve">Within 10 days of wind-down, the Secretariat shall publish a final report: module-by-module performance, verified trade volumes moved under Bridge treatment, step-backs applied and restored, and lessons for the CUSMA review. The Bridge is designed so that even failure produces useful evidence.</w:t>
      </w:r>
    </w:p>
    <w:p>
      <w:r>
        <w:br w:type="page"/>
      </w:r>
    </w:p>
    <w:p>
      <w:pPr>
        <w:pStyle w:val="Heading1"/>
        <w:spacing w:after="140" w:before="280"/>
      </w:pPr>
      <w:r>
        <w:rPr>
          <w:rFonts w:ascii="Times New Roman" w:cs="Times New Roman" w:eastAsia="SimSun" w:hAnsi="Times New Roman"/>
          <w:b/>
          <w:bCs/>
          <w:color w:val="1F2A33"/>
          <w:sz w:val="30"/>
          <w:szCs w:val="30"/>
        </w:rPr>
        <w:t xml:space="preserve">Annex A. Reciprocal Action Matrix — 30-Day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30"/>
        <w:gridCol w:w="2730"/>
        <w:gridCol w:w="2300"/>
      </w:tblGrid>
      <w:tr>
        <w:trPr>
          <w:tblHeader/>
        </w:trPr>
        <w:tc>
          <w:tcPr>
            <w:tcW w:type="dxa" w:w="16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Module</w:t>
            </w:r>
          </w:p>
        </w:tc>
        <w:tc>
          <w:tcPr>
            <w:tcW w:type="dxa" w:w="273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Canada Action</w:t>
            </w:r>
          </w:p>
        </w:tc>
        <w:tc>
          <w:tcPr>
            <w:tcW w:type="dxa" w:w="273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United States Action</w:t>
            </w:r>
          </w:p>
        </w:tc>
        <w:tc>
          <w:tcPr>
            <w:tcW w:type="dxa" w:w="23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Review Point</w:t>
            </w:r>
          </w:p>
        </w:tc>
      </w:tr>
      <w:tr>
        <w:trPr>
          <w:tblHeader w:val="false"/>
        </w:trPr>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Tariff cliff</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Place September 8 counter-tariff schedule (15/25/50 per cent on ~C$27.6B) into abeyance</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Suspend Section 338 duty collection on Canadian goods</w:t>
            </w:r>
          </w:p>
        </w:tc>
        <w:tc>
          <w:tcPr>
            <w:tcW w:type="dxa" w:w="2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Hour 72</w:t>
            </w:r>
          </w:p>
        </w:tc>
      </w:tr>
      <w:tr>
        <w:trPr>
          <w:tblHeader w:val="false"/>
        </w:trPr>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Alcohol</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Restore neutral provincial listing within 7 days</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Confirm agriculture negotiating track and lane launch</w:t>
            </w:r>
          </w:p>
        </w:tc>
        <w:tc>
          <w:tcPr>
            <w:tcW w:type="dxa" w:w="2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7</w:t>
            </w:r>
          </w:p>
        </w:tc>
      </w:tr>
      <w:tr>
        <w:trPr>
          <w:tblHeader w:val="false"/>
        </w:trPr>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Dairy</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Open Alberta Dairy Access Window (three channels)</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Preserve tariff standstill; lane (iii) engagement</w:t>
            </w:r>
          </w:p>
        </w:tc>
        <w:tc>
          <w:tcPr>
            <w:tcW w:type="dxa" w:w="2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15</w:t>
            </w:r>
          </w:p>
        </w:tc>
      </w:tr>
      <w:tr>
        <w:trPr>
          <w:tblHeader w:val="false"/>
        </w:trPr>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Autos</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Suspend auto surtaxes for 30 days</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Reduce Section 232 auto headline rate to interim band of 10–15 per cent (final figure recorded at signature)</w:t>
            </w:r>
          </w:p>
        </w:tc>
        <w:tc>
          <w:tcPr>
            <w:tcW w:type="dxa" w:w="2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15</w:t>
            </w:r>
          </w:p>
        </w:tc>
      </w:tr>
      <w:tr>
        <w:trPr>
          <w:tblHeader w:val="false"/>
        </w:trPr>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Potash</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Priority commercial supply option for defined incremental volume</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Trusted strategic-input treatment; exclusion from new escalation</w:t>
            </w:r>
          </w:p>
        </w:tc>
        <w:tc>
          <w:tcPr>
            <w:tcW w:type="dxa" w:w="2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15</w:t>
            </w:r>
          </w:p>
        </w:tc>
      </w:tr>
      <w:tr>
        <w:trPr>
          <w:tblHeader w:val="false"/>
        </w:trPr>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Aluminum</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Availability corridor with smelt-and-cast registration</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Lower interim metals band of 10–15 per cent for verified corridor shipments (final figure recorded at signature)</w:t>
            </w:r>
          </w:p>
        </w:tc>
        <w:tc>
          <w:tcPr>
            <w:tcW w:type="dxa" w:w="2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15</w:t>
            </w:r>
          </w:p>
        </w:tc>
      </w:tr>
      <w:tr>
        <w:trPr>
          <w:tblHeader w:val="false"/>
        </w:trPr>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Origin</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Trusted Origin Registry admissions; anti-free-riding cooperation</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Enhanced verification; reciprocal registry treatment</w:t>
            </w:r>
          </w:p>
        </w:tc>
        <w:tc>
          <w:tcPr>
            <w:tcW w:type="dxa" w:w="2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15</w:t>
            </w:r>
          </w:p>
        </w:tc>
      </w:tr>
      <w:tr>
        <w:trPr>
          <w:tblHeader w:val="false"/>
        </w:trPr>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Wildfire equipment</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Accelerated 30-day procurement window</w:t>
            </w:r>
          </w:p>
        </w:tc>
        <w:tc>
          <w:tcPr>
            <w:tcW w:type="dxa" w:w="273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Supplier mobilization and bid participation</w:t>
            </w:r>
          </w:p>
        </w:tc>
        <w:tc>
          <w:tcPr>
            <w:tcW w:type="dxa" w:w="23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30</w:t>
            </w:r>
          </w:p>
        </w:tc>
      </w:tr>
    </w:tbl>
    <w:p>
      <w:pPr>
        <w:spacing w:after="140" w:line="288"/>
      </w:pPr>
      <w:r>
        <w:rPr>
          <w:rFonts w:ascii="Times New Roman" w:cs="Times New Roman" w:eastAsia="SimSun" w:hAnsi="Times New Roman"/>
          <w:i/>
          <w:iCs/>
          <w:color w:val="5B7B8C"/>
          <w:sz w:val="20"/>
          <w:szCs w:val="20"/>
        </w:rPr>
        <w:t xml:space="preserve">Interim rate bands are negotiating placeholders. The signed instrument records single agreed figures in the shaded cells; bands exist so that this text can circulate before final haggling without misstating agreement.</w:t>
      </w:r>
    </w:p>
    <w:p>
      <w:pPr>
        <w:pStyle w:val="Heading1"/>
        <w:spacing w:after="140" w:before="280"/>
      </w:pPr>
      <w:r>
        <w:rPr>
          <w:rFonts w:ascii="Times New Roman" w:cs="Times New Roman" w:eastAsia="SimSun" w:hAnsi="Times New Roman"/>
          <w:b/>
          <w:bCs/>
          <w:color w:val="1F2A33"/>
          <w:sz w:val="30"/>
          <w:szCs w:val="30"/>
        </w:rPr>
        <w:t xml:space="preserve">Annex B. Implementation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Time</w:t>
            </w:r>
          </w:p>
        </w:tc>
        <w:tc>
          <w:tcPr>
            <w:tcW w:type="dxa" w:w="726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Action</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Hour 0</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Signature; entry into force; joint confirmation statement.</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Hour 0–12</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CBP/CBSA technical contacts exchanged; U.S. Proclamation and Federal Register notice finalized; Canadian Order in Council instrument finalized.</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Hour 12–24</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Joint customs systems call; cutover timing aligned; Secretariat convenes; Shared Registry activated.</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Hour 24–48</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Customs instructions published by both authorities; refund channels open; Registry logs baseline evidence.</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Hour 48–72</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Neutral review panel accreditation completed; working lanes (i)–(iv) staffed; Layer Zero closes.</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3</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Four technical working lanes launch; auto exchange effective hour set.</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4</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First public dashboard publication.</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5</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Wildfire procurement Bridge notice published.</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7</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Alcohol neutral-access target date; coverage measured; auto surtax/rate exchange executes.</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10</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Dairy TRQ reallocation completed; supplementary permits open; first corridor shipments registered.</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15</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Ministerial progress review; module statuses published; correction plans for Orange/Red modules.</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20</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Lane options memoranda filed.</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25</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Negotiating package delivered to principals.</w:t>
            </w:r>
          </w:p>
        </w:tc>
      </w:tr>
      <w:tr>
        <w:trPr>
          <w:tblHeader w:val="false"/>
        </w:trPr>
        <w:tc>
          <w:tcPr>
            <w:tcW w:type="dxa" w:w="21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30</w:t>
            </w:r>
          </w:p>
        </w:tc>
        <w:tc>
          <w:tcPr>
            <w:tcW w:type="dxa" w:w="72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Decision point: extension, Phase One, or orderly wind-down.</w:t>
            </w:r>
          </w:p>
        </w:tc>
      </w:tr>
    </w:tbl>
    <w:p>
      <w:pPr>
        <w:pStyle w:val="Heading1"/>
        <w:spacing w:after="140" w:before="280"/>
      </w:pPr>
      <w:r>
        <w:rPr>
          <w:rFonts w:ascii="Times New Roman" w:cs="Times New Roman" w:eastAsia="SimSun" w:hAnsi="Times New Roman"/>
          <w:b/>
          <w:bCs/>
          <w:color w:val="1F2A33"/>
          <w:sz w:val="30"/>
          <w:szCs w:val="30"/>
        </w:rPr>
        <w:t xml:space="preserve">Annex C. Alberta Dairy Access Window — Operating Schedule</w:t>
      </w:r>
    </w:p>
    <w:p>
      <w:pPr>
        <w:pStyle w:val="ListParagraph"/>
        <w:numPr>
          <w:ilvl w:val="0"/>
          <w:numId w:val="2"/>
        </w:numPr>
        <w:spacing w:after="80" w:line="276"/>
      </w:pPr>
      <w:r>
        <w:rPr>
          <w:rFonts w:ascii="Times New Roman" w:cs="Times New Roman" w:eastAsia="SimSun" w:hAnsi="Times New Roman"/>
          <w:sz w:val="23"/>
          <w:szCs w:val="23"/>
        </w:rPr>
        <w:t xml:space="preserve">Channel A reallocation: expedited under-utilization review opens Day 3; returned quota reallocated within 10 business days; priority to applicants with contracted U.S. supply.</w:t>
      </w:r>
    </w:p>
    <w:p>
      <w:pPr>
        <w:pStyle w:val="ListParagraph"/>
        <w:numPr>
          <w:ilvl w:val="0"/>
          <w:numId w:val="2"/>
        </w:numPr>
        <w:spacing w:after="80" w:line="276"/>
      </w:pPr>
      <w:r>
        <w:rPr>
          <w:rFonts w:ascii="Times New Roman" w:cs="Times New Roman" w:eastAsia="SimSun" w:hAnsi="Times New Roman"/>
          <w:sz w:val="23"/>
          <w:szCs w:val="23"/>
        </w:rPr>
        <w:t xml:space="preserve">Channel B supplementary permits: defined product lines — milk protein concentrates, whey products, casein, cheeses, fluid milk for processing; permits valid for the Bridge term only; planning envelope set administratively and recorded at signature.</w:t>
      </w:r>
    </w:p>
    <w:p>
      <w:pPr>
        <w:pStyle w:val="ListParagraph"/>
        <w:numPr>
          <w:ilvl w:val="0"/>
          <w:numId w:val="2"/>
        </w:numPr>
        <w:spacing w:after="80" w:line="276"/>
      </w:pPr>
      <w:r>
        <w:rPr>
          <w:rFonts w:ascii="Times New Roman" w:cs="Times New Roman" w:eastAsia="SimSun" w:hAnsi="Times New Roman"/>
          <w:sz w:val="23"/>
          <w:szCs w:val="23"/>
        </w:rPr>
        <w:t xml:space="preserve">Channel C eligibility: retailers and food-service distributors with demonstrated end-use capacity eligible within the existing CUSMA allocation process; total TRQ volumes unchanged.</w:t>
      </w:r>
    </w:p>
    <w:p>
      <w:pPr>
        <w:pStyle w:val="ListParagraph"/>
        <w:numPr>
          <w:ilvl w:val="0"/>
          <w:numId w:val="2"/>
        </w:numPr>
        <w:spacing w:after="80" w:line="276"/>
      </w:pPr>
      <w:r>
        <w:rPr>
          <w:rFonts w:ascii="Times New Roman" w:cs="Times New Roman" w:eastAsia="SimSun" w:hAnsi="Times New Roman"/>
          <w:sz w:val="23"/>
          <w:szCs w:val="23"/>
        </w:rPr>
        <w:t xml:space="preserve">Safeguards: over-quota tariff rates unchanged; supply-management framework untouched; no conversion of window shipments into quota-year entitlements.</w:t>
      </w:r>
    </w:p>
    <w:p>
      <w:pPr>
        <w:pStyle w:val="ListParagraph"/>
        <w:numPr>
          <w:ilvl w:val="0"/>
          <w:numId w:val="2"/>
        </w:numPr>
        <w:spacing w:after="80" w:line="276"/>
      </w:pPr>
      <w:r>
        <w:rPr>
          <w:rFonts w:ascii="Times New Roman" w:cs="Times New Roman" w:eastAsia="SimSun" w:hAnsi="Times New Roman"/>
          <w:sz w:val="23"/>
          <w:szCs w:val="23"/>
        </w:rPr>
        <w:t xml:space="preserve">Evidence: permit logs, reallocation records, and entry data filed weekly with the Secretariat; utilization percentage published on the dashboard.</w:t>
      </w:r>
    </w:p>
    <w:p>
      <w:pPr>
        <w:pStyle w:val="Heading1"/>
        <w:spacing w:after="140" w:before="280"/>
      </w:pPr>
      <w:r>
        <w:rPr>
          <w:rFonts w:ascii="Times New Roman" w:cs="Times New Roman" w:eastAsia="SimSun" w:hAnsi="Times New Roman"/>
          <w:b/>
          <w:bCs/>
          <w:color w:val="1F2A33"/>
          <w:sz w:val="30"/>
          <w:szCs w:val="30"/>
        </w:rPr>
        <w:t xml:space="preserve">Annex D. Strategic Inputs Schedule (Potash and Aluminum)</w:t>
      </w:r>
    </w:p>
    <w:p>
      <w:pPr>
        <w:pStyle w:val="ListParagraph"/>
        <w:numPr>
          <w:ilvl w:val="0"/>
          <w:numId w:val="2"/>
        </w:numPr>
        <w:spacing w:after="80" w:line="276"/>
      </w:pPr>
      <w:r>
        <w:rPr>
          <w:rFonts w:ascii="Times New Roman" w:cs="Times New Roman" w:eastAsia="SimSun" w:hAnsi="Times New Roman"/>
          <w:sz w:val="23"/>
          <w:szCs w:val="23"/>
        </w:rPr>
        <w:t xml:space="preserve">Potash Corridor Volume: the incremental tonnage available for priority U.S. contracting, registered by participating producers at Day 3; volumes are commercial offers, not commitments.</w:t>
      </w:r>
    </w:p>
    <w:p>
      <w:pPr>
        <w:pStyle w:val="ListParagraph"/>
        <w:numPr>
          <w:ilvl w:val="0"/>
          <w:numId w:val="2"/>
        </w:numPr>
        <w:spacing w:after="80" w:line="276"/>
      </w:pPr>
      <w:r>
        <w:rPr>
          <w:rFonts w:ascii="Times New Roman" w:cs="Times New Roman" w:eastAsia="SimSun" w:hAnsi="Times New Roman"/>
          <w:sz w:val="23"/>
          <w:szCs w:val="23"/>
        </w:rPr>
        <w:t xml:space="preserve">Potash pricing: published benchmark index plus ordinary logistics adjustments to U.S. Corn Belt delivery points; no directed, capped, or discounted pricing.</w:t>
      </w:r>
    </w:p>
    <w:p>
      <w:pPr>
        <w:pStyle w:val="ListParagraph"/>
        <w:numPr>
          <w:ilvl w:val="0"/>
          <w:numId w:val="2"/>
        </w:numPr>
        <w:spacing w:after="80" w:line="276"/>
      </w:pPr>
      <w:r>
        <w:rPr>
          <w:rFonts w:ascii="Times New Roman" w:cs="Times New Roman" w:eastAsia="SimSun" w:hAnsi="Times New Roman"/>
          <w:sz w:val="23"/>
          <w:szCs w:val="23"/>
        </w:rPr>
        <w:t xml:space="preserve">Aluminum registration: per-shipment smelt-and-cast data (smelter identity, country of smelt and cast), chain-of-custody from smelter to port, contract reference, tonnage.</w:t>
      </w:r>
    </w:p>
    <w:p>
      <w:pPr>
        <w:pStyle w:val="ListParagraph"/>
        <w:numPr>
          <w:ilvl w:val="0"/>
          <w:numId w:val="2"/>
        </w:numPr>
        <w:spacing w:after="80" w:line="276"/>
      </w:pPr>
      <w:r>
        <w:rPr>
          <w:rFonts w:ascii="Times New Roman" w:cs="Times New Roman" w:eastAsia="SimSun" w:hAnsi="Times New Roman"/>
          <w:sz w:val="23"/>
          <w:szCs w:val="23"/>
        </w:rPr>
        <w:t xml:space="preserve">Aluminum band: lower interim metals band applies only while the shipment record remains verified; failed records revert to the otherwise-applicable rate.</w:t>
      </w:r>
    </w:p>
    <w:p>
      <w:pPr>
        <w:pStyle w:val="ListParagraph"/>
        <w:numPr>
          <w:ilvl w:val="0"/>
          <w:numId w:val="2"/>
        </w:numPr>
        <w:spacing w:after="80" w:line="276"/>
      </w:pPr>
      <w:r>
        <w:rPr>
          <w:rFonts w:ascii="Times New Roman" w:cs="Times New Roman" w:eastAsia="SimSun" w:hAnsi="Times New Roman"/>
          <w:sz w:val="23"/>
          <w:szCs w:val="23"/>
        </w:rPr>
        <w:t xml:space="preserve">Dashboard metrics: tonnes offered, tonnes contracted, tonnes shipped, tonnes verified; weekly publication.</w:t>
      </w:r>
    </w:p>
    <w:p>
      <w:pPr>
        <w:pStyle w:val="Heading1"/>
        <w:spacing w:after="140" w:before="280"/>
      </w:pPr>
      <w:r>
        <w:rPr>
          <w:rFonts w:ascii="Times New Roman" w:cs="Times New Roman" w:eastAsia="SimSun" w:hAnsi="Times New Roman"/>
          <w:b/>
          <w:bCs/>
          <w:color w:val="1F2A33"/>
          <w:sz w:val="30"/>
          <w:szCs w:val="30"/>
        </w:rPr>
        <w:t xml:space="preserve">Annex E. Wildfire Procurement Schedule</w:t>
      </w:r>
    </w:p>
    <w:p>
      <w:pPr>
        <w:pStyle w:val="ListParagraph"/>
        <w:numPr>
          <w:ilvl w:val="0"/>
          <w:numId w:val="2"/>
        </w:numPr>
        <w:spacing w:after="80" w:line="276"/>
      </w:pPr>
      <w:r>
        <w:rPr>
          <w:rFonts w:ascii="Times New Roman" w:cs="Times New Roman" w:eastAsia="SimSun" w:hAnsi="Times New Roman"/>
          <w:sz w:val="23"/>
          <w:szCs w:val="23"/>
        </w:rPr>
        <w:t xml:space="preserve">Eligible categories: wildland engines; water tenders; command vehicles; pumps and hose systems; mobile communications; firefighter protective equipment; remote-sensing equipment.</w:t>
      </w:r>
    </w:p>
    <w:p>
      <w:pPr>
        <w:pStyle w:val="ListParagraph"/>
        <w:numPr>
          <w:ilvl w:val="0"/>
          <w:numId w:val="2"/>
        </w:numPr>
        <w:spacing w:after="80" w:line="276"/>
      </w:pPr>
      <w:r>
        <w:rPr>
          <w:rFonts w:ascii="Times New Roman" w:cs="Times New Roman" w:eastAsia="SimSun" w:hAnsi="Times New Roman"/>
          <w:sz w:val="23"/>
          <w:szCs w:val="23"/>
        </w:rPr>
        <w:t xml:space="preserve">Process: single Bridge notice at Day 5; bid periods of not less than 10 days where rules permit; recognized chassis/equipment standards; award decisions targeted within the Bridge term.</w:t>
      </w:r>
    </w:p>
    <w:p>
      <w:pPr>
        <w:pStyle w:val="ListParagraph"/>
        <w:numPr>
          <w:ilvl w:val="0"/>
          <w:numId w:val="2"/>
        </w:numPr>
        <w:spacing w:after="80" w:line="276"/>
      </w:pPr>
      <w:r>
        <w:rPr>
          <w:rFonts w:ascii="Times New Roman" w:cs="Times New Roman" w:eastAsia="SimSun" w:hAnsi="Times New Roman"/>
          <w:sz w:val="23"/>
          <w:szCs w:val="23"/>
        </w:rPr>
        <w:t xml:space="preserve">Nature of envelope: planning opportunity, not guaranteed award; all bidders evaluated on price, performance, lifecycle cost, and delivery.</w:t>
      </w:r>
    </w:p>
    <w:p>
      <w:pPr>
        <w:pStyle w:val="ListParagraph"/>
        <w:numPr>
          <w:ilvl w:val="0"/>
          <w:numId w:val="2"/>
        </w:numPr>
        <w:spacing w:after="80" w:line="276"/>
      </w:pPr>
      <w:r>
        <w:rPr>
          <w:rFonts w:ascii="Times New Roman" w:cs="Times New Roman" w:eastAsia="SimSun" w:hAnsi="Times New Roman"/>
          <w:sz w:val="23"/>
          <w:szCs w:val="23"/>
        </w:rPr>
        <w:t xml:space="preserve">Evidence: competitions launched, bids received, awards made, delivery schedules; logged in the Registry.</w:t>
      </w:r>
    </w:p>
    <w:p>
      <w:pPr>
        <w:pStyle w:val="Heading1"/>
        <w:spacing w:after="140" w:before="280"/>
      </w:pPr>
      <w:r>
        <w:rPr>
          <w:rFonts w:ascii="Times New Roman" w:cs="Times New Roman" w:eastAsia="SimSun" w:hAnsi="Times New Roman"/>
          <w:b/>
          <w:bCs/>
          <w:color w:val="1F2A33"/>
          <w:sz w:val="30"/>
          <w:szCs w:val="30"/>
        </w:rPr>
        <w:t xml:space="preserve">Annex F. Cothrom Claim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Field</w:t>
            </w:r>
          </w:p>
        </w:tc>
        <w:tc>
          <w:tcPr>
            <w:tcW w:type="dxa" w:w="636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Content Required</w:t>
            </w:r>
          </w:p>
        </w:tc>
      </w:tr>
      <w:tr>
        <w:trPr>
          <w:tblHeader w:val="false"/>
        </w:trPr>
        <w:tc>
          <w:tcPr>
            <w:tcW w:type="dxa" w:w="30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Claim ID</w:t>
            </w:r>
          </w:p>
        </w:tc>
        <w:tc>
          <w:tcPr>
            <w:tcW w:type="dxa" w:w="63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Registry-assigned identifier</w:t>
            </w:r>
          </w:p>
        </w:tc>
      </w:tr>
      <w:tr>
        <w:trPr>
          <w:tblHeader w:val="false"/>
        </w:trPr>
        <w:tc>
          <w:tcPr>
            <w:tcW w:type="dxa" w:w="30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Obligation</w:t>
            </w:r>
          </w:p>
        </w:tc>
        <w:tc>
          <w:tcPr>
            <w:tcW w:type="dxa" w:w="63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Article and paragraph relied on</w:t>
            </w:r>
          </w:p>
        </w:tc>
      </w:tr>
      <w:tr>
        <w:trPr>
          <w:tblHeader w:val="false"/>
        </w:trPr>
        <w:tc>
          <w:tcPr>
            <w:tcW w:type="dxa" w:w="30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Claiming authority</w:t>
            </w:r>
          </w:p>
        </w:tc>
        <w:tc>
          <w:tcPr>
            <w:tcW w:type="dxa" w:w="63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Responsible department, agency, or provincial authority</w:t>
            </w:r>
          </w:p>
        </w:tc>
      </w:tr>
      <w:tr>
        <w:trPr>
          <w:tblHeader w:val="false"/>
        </w:trPr>
        <w:tc>
          <w:tcPr>
            <w:tcW w:type="dxa" w:w="30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Period</w:t>
            </w:r>
          </w:p>
        </w:tc>
        <w:tc>
          <w:tcPr>
            <w:tcW w:type="dxa" w:w="63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Time window covered by the claim</w:t>
            </w:r>
          </w:p>
        </w:tc>
      </w:tr>
      <w:tr>
        <w:trPr>
          <w:tblHeader w:val="false"/>
        </w:trPr>
        <w:tc>
          <w:tcPr>
            <w:tcW w:type="dxa" w:w="30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Evidence</w:t>
            </w:r>
          </w:p>
        </w:tc>
        <w:tc>
          <w:tcPr>
            <w:tcW w:type="dxa" w:w="63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Objective records: instructions, attestations, shipment logs, permits, awards</w:t>
            </w:r>
          </w:p>
        </w:tc>
      </w:tr>
      <w:tr>
        <w:trPr>
          <w:tblHeader w:val="false"/>
        </w:trPr>
        <w:tc>
          <w:tcPr>
            <w:tcW w:type="dxa" w:w="30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Data source</w:t>
            </w:r>
          </w:p>
        </w:tc>
        <w:tc>
          <w:tcPr>
            <w:tcW w:type="dxa" w:w="63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System of record (customs system, permit register, procurement system)</w:t>
            </w:r>
          </w:p>
        </w:tc>
      </w:tr>
      <w:tr>
        <w:trPr>
          <w:tblHeader w:val="false"/>
        </w:trPr>
        <w:tc>
          <w:tcPr>
            <w:tcW w:type="dxa" w:w="30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Requested status</w:t>
            </w:r>
          </w:p>
        </w:tc>
        <w:tc>
          <w:tcPr>
            <w:tcW w:type="dxa" w:w="63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Green / Amber self-assessment with percentage</w:t>
            </w:r>
          </w:p>
        </w:tc>
      </w:tr>
      <w:tr>
        <w:trPr>
          <w:tblHeader w:val="false"/>
        </w:trPr>
        <w:tc>
          <w:tcPr>
            <w:tcW w:type="dxa" w:w="30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Challenge history</w:t>
            </w:r>
          </w:p>
        </w:tc>
        <w:tc>
          <w:tcPr>
            <w:tcW w:type="dxa" w:w="63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Any prior challenges to related claims</w:t>
            </w:r>
          </w:p>
        </w:tc>
      </w:tr>
    </w:tbl>
    <w:p>
      <w:pPr>
        <w:pStyle w:val="Heading1"/>
        <w:spacing w:after="140" w:before="280"/>
      </w:pPr>
      <w:r>
        <w:rPr>
          <w:rFonts w:ascii="Times New Roman" w:cs="Times New Roman" w:eastAsia="SimSun" w:hAnsi="Times New Roman"/>
          <w:b/>
          <w:bCs/>
          <w:color w:val="1F2A33"/>
          <w:sz w:val="30"/>
          <w:szCs w:val="30"/>
        </w:rPr>
        <w:t xml:space="preserve">Annex G. Module Status Dashboard (Publication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600"/>
        <w:gridCol w:w="2450"/>
        <w:gridCol w:w="2860"/>
      </w:tblGrid>
      <w:tr>
        <w:trPr>
          <w:tblHeader/>
        </w:trPr>
        <w:tc>
          <w:tcPr>
            <w:tcW w:type="dxa" w:w="245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Module</w:t>
            </w:r>
          </w:p>
        </w:tc>
        <w:tc>
          <w:tcPr>
            <w:tcW w:type="dxa" w:w="16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Status</w:t>
            </w:r>
          </w:p>
        </w:tc>
        <w:tc>
          <w:tcPr>
            <w:tcW w:type="dxa" w:w="245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Verified Performance</w:t>
            </w:r>
          </w:p>
        </w:tc>
        <w:tc>
          <w:tcPr>
            <w:tcW w:type="dxa" w:w="286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Notes</w:t>
            </w:r>
          </w:p>
        </w:tc>
      </w:tr>
      <w:tr>
        <w:trPr>
          <w:tblHeader w:val="false"/>
        </w:trPr>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Tariff standstill</w:t>
            </w:r>
          </w:p>
        </w:tc>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8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Populated by Secretariat from Day 4</w:t>
            </w:r>
          </w:p>
        </w:tc>
      </w:tr>
      <w:tr>
        <w:trPr>
          <w:tblHeader w:val="false"/>
        </w:trPr>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Alcohol</w:t>
            </w:r>
          </w:p>
        </w:tc>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8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Coverage share of national retail value</w:t>
            </w:r>
          </w:p>
        </w:tc>
      </w:tr>
      <w:tr>
        <w:trPr>
          <w:tblHeader w:val="false"/>
        </w:trPr>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Dairy</w:t>
            </w:r>
          </w:p>
        </w:tc>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8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Utilization vs. envelope</w:t>
            </w:r>
          </w:p>
        </w:tc>
      </w:tr>
      <w:tr>
        <w:trPr>
          <w:tblHeader w:val="false"/>
        </w:trPr>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Autos</w:t>
            </w:r>
          </w:p>
        </w:tc>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8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Rate implementation confirmation</w:t>
            </w:r>
          </w:p>
        </w:tc>
      </w:tr>
      <w:tr>
        <w:trPr>
          <w:tblHeader w:val="false"/>
        </w:trPr>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Potash</w:t>
            </w:r>
          </w:p>
        </w:tc>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8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Tonnes offered / contracted / shipped</w:t>
            </w:r>
          </w:p>
        </w:tc>
      </w:tr>
      <w:tr>
        <w:trPr>
          <w:tblHeader w:val="false"/>
        </w:trPr>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Aluminum</w:t>
            </w:r>
          </w:p>
        </w:tc>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8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Tonnes registered / verified</w:t>
            </w:r>
          </w:p>
        </w:tc>
      </w:tr>
      <w:tr>
        <w:trPr>
          <w:tblHeader w:val="false"/>
        </w:trPr>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Origin registry</w:t>
            </w:r>
          </w:p>
        </w:tc>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8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Admissions, objections, removals</w:t>
            </w:r>
          </w:p>
        </w:tc>
      </w:tr>
      <w:tr>
        <w:trPr>
          <w:tblHeader w:val="false"/>
        </w:trPr>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Wildfire procurement</w:t>
            </w:r>
          </w:p>
        </w:tc>
        <w:tc>
          <w:tcPr>
            <w:tcW w:type="dxa" w:w="16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45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w:t>
            </w:r>
          </w:p>
        </w:tc>
        <w:tc>
          <w:tcPr>
            <w:tcW w:type="dxa" w:w="28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Competitions and awards</w:t>
            </w:r>
          </w:p>
        </w:tc>
      </w:tr>
    </w:tbl>
    <w:p>
      <w:pPr>
        <w:pStyle w:val="Heading1"/>
        <w:spacing w:after="140" w:before="280"/>
      </w:pPr>
      <w:r>
        <w:rPr>
          <w:rFonts w:ascii="Times New Roman" w:cs="Times New Roman" w:eastAsia="SimSun" w:hAnsi="Times New Roman"/>
          <w:b/>
          <w:bCs/>
          <w:color w:val="1F2A33"/>
          <w:sz w:val="30"/>
          <w:szCs w:val="30"/>
        </w:rPr>
        <w:t xml:space="preserve">Annex H. Failure Scenarios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Scenario</w:t>
            </w:r>
          </w:p>
        </w:tc>
        <w:tc>
          <w:tcPr>
            <w:tcW w:type="dxa" w:w="616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Bridge Response</w:t>
            </w:r>
          </w:p>
        </w:tc>
      </w:tr>
      <w:tr>
        <w:trPr>
          <w:tblHeader w:val="false"/>
        </w:trPr>
        <w:tc>
          <w:tcPr>
            <w:tcW w:type="dxa" w:w="32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Customs system cutover delayed beyond 72 hours</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Tier 1 variance; interim no-collection instruction; refund channel covers gap; no benefit reduction.</w:t>
            </w:r>
          </w:p>
        </w:tc>
      </w:tr>
      <w:tr>
        <w:trPr>
          <w:tblHeader w:val="false"/>
        </w:trPr>
        <w:tc>
          <w:tcPr>
            <w:tcW w:type="dxa" w:w="32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One large province declines alcohol participation</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Coverage measured by retail value share; if below 75 per cent, module enters Amber/Orange; proportionate adjustment inside the alcohol module only; firewall protects all other modules.</w:t>
            </w:r>
          </w:p>
        </w:tc>
      </w:tr>
      <w:tr>
        <w:trPr>
          <w:tblHeader w:val="false"/>
        </w:trPr>
        <w:tc>
          <w:tcPr>
            <w:tcW w:type="dxa" w:w="32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Corridor shipment fails origin review</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Shipment-level reversion to otherwise-applicable rate; exporter spot verification; Registry admission suspended pending review; no corridor-wide consequence absent a panel finding of systematic conduct.</w:t>
            </w:r>
          </w:p>
        </w:tc>
      </w:tr>
      <w:tr>
        <w:trPr>
          <w:tblHeader w:val="false"/>
        </w:trPr>
        <w:tc>
          <w:tcPr>
            <w:tcW w:type="dxa" w:w="32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Falsified origin records discovered</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Tier 3: 72-hour remediation window; 25 per cent module step-back capped if remediated; 14 clean days plus panel confirmation for restoration.</w:t>
            </w:r>
          </w:p>
        </w:tc>
      </w:tr>
      <w:tr>
        <w:trPr>
          <w:tblHeader w:val="false"/>
        </w:trPr>
        <w:tc>
          <w:tcPr>
            <w:tcW w:type="dxa" w:w="32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Political statement contradicts Bridge commitments</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Statements are not breaches; only Registry-verifiable conduct moves a module status. Ministers may convene consultation at any time.</w:t>
            </w:r>
          </w:p>
        </w:tc>
      </w:tr>
      <w:tr>
        <w:trPr>
          <w:tblHeader w:val="false"/>
        </w:trPr>
        <w:tc>
          <w:tcPr>
            <w:tcW w:type="dxa" w:w="32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Day 30 passes with no joint instrument</w:t>
            </w:r>
          </w:p>
        </w:tc>
        <w:tc>
          <w:tcPr>
            <w:tcW w:type="dxa" w:w="61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Automatic orderly wind-down under Article 22; no Party worse off than baseline.</w:t>
            </w:r>
          </w:p>
        </w:tc>
      </w:tr>
    </w:tbl>
    <w:p>
      <w:pPr>
        <w:pStyle w:val="Heading1"/>
        <w:spacing w:after="140" w:before="280"/>
      </w:pPr>
      <w:r>
        <w:rPr>
          <w:rFonts w:ascii="Times New Roman" w:cs="Times New Roman" w:eastAsia="SimSun" w:hAnsi="Times New Roman"/>
          <w:b/>
          <w:bCs/>
          <w:color w:val="1F2A33"/>
          <w:sz w:val="30"/>
          <w:szCs w:val="30"/>
        </w:rPr>
        <w:t xml:space="preserve">Annex I. Canadian Cost-Control Guardrails</w:t>
      </w:r>
    </w:p>
    <w:p>
      <w:pPr>
        <w:pStyle w:val="ListParagraph"/>
        <w:numPr>
          <w:ilvl w:val="0"/>
          <w:numId w:val="2"/>
        </w:numPr>
        <w:spacing w:after="80" w:line="276"/>
      </w:pPr>
      <w:r>
        <w:rPr>
          <w:rFonts w:ascii="Times New Roman" w:cs="Times New Roman" w:eastAsia="SimSun" w:hAnsi="Times New Roman"/>
          <w:sz w:val="23"/>
          <w:szCs w:val="23"/>
        </w:rPr>
        <w:t xml:space="preserve">All market-access measures sunset at Day 30 absent joint written continuation.</w:t>
      </w:r>
    </w:p>
    <w:p>
      <w:pPr>
        <w:pStyle w:val="ListParagraph"/>
        <w:numPr>
          <w:ilvl w:val="0"/>
          <w:numId w:val="2"/>
        </w:numPr>
        <w:spacing w:after="80" w:line="276"/>
      </w:pPr>
      <w:r>
        <w:rPr>
          <w:rFonts w:ascii="Times New Roman" w:cs="Times New Roman" w:eastAsia="SimSun" w:hAnsi="Times New Roman"/>
          <w:sz w:val="23"/>
          <w:szCs w:val="23"/>
        </w:rPr>
        <w:t xml:space="preserve">No measure alters total TRQ volumes, markup policy, retail structures, or supply-management institutions.</w:t>
      </w:r>
    </w:p>
    <w:p>
      <w:pPr>
        <w:pStyle w:val="ListParagraph"/>
        <w:numPr>
          <w:ilvl w:val="0"/>
          <w:numId w:val="2"/>
        </w:numPr>
        <w:spacing w:after="80" w:line="276"/>
      </w:pPr>
      <w:r>
        <w:rPr>
          <w:rFonts w:ascii="Times New Roman" w:cs="Times New Roman" w:eastAsia="SimSun" w:hAnsi="Times New Roman"/>
          <w:sz w:val="23"/>
          <w:szCs w:val="23"/>
        </w:rPr>
        <w:t xml:space="preserve">Priority options confer first opportunity, never compelled sale; all strategic trade at commercial prices.</w:t>
      </w:r>
    </w:p>
    <w:p>
      <w:pPr>
        <w:pStyle w:val="ListParagraph"/>
        <w:numPr>
          <w:ilvl w:val="0"/>
          <w:numId w:val="2"/>
        </w:numPr>
        <w:spacing w:after="80" w:line="276"/>
      </w:pPr>
      <w:r>
        <w:rPr>
          <w:rFonts w:ascii="Times New Roman" w:cs="Times New Roman" w:eastAsia="SimSun" w:hAnsi="Times New Roman"/>
          <w:sz w:val="23"/>
          <w:szCs w:val="23"/>
        </w:rPr>
        <w:t xml:space="preserve">Procurement window is competitive; no set-aside or guaranteed award is created.</w:t>
      </w:r>
    </w:p>
    <w:p>
      <w:pPr>
        <w:pStyle w:val="ListParagraph"/>
        <w:numPr>
          <w:ilvl w:val="0"/>
          <w:numId w:val="2"/>
        </w:numPr>
        <w:spacing w:after="80" w:line="276"/>
      </w:pPr>
      <w:r>
        <w:rPr>
          <w:rFonts w:ascii="Times New Roman" w:cs="Times New Roman" w:eastAsia="SimSun" w:hAnsi="Times New Roman"/>
          <w:sz w:val="23"/>
          <w:szCs w:val="23"/>
        </w:rPr>
        <w:t xml:space="preserve">Every Canadian measure is paired in Annex A with a U.S. measure whose verified performance is its condition.</w:t>
      </w:r>
    </w:p>
    <w:p>
      <w:pPr>
        <w:pStyle w:val="Heading1"/>
        <w:spacing w:after="140" w:before="280"/>
      </w:pPr>
      <w:r>
        <w:rPr>
          <w:rFonts w:ascii="Times New Roman" w:cs="Times New Roman" w:eastAsia="SimSun" w:hAnsi="Times New Roman"/>
          <w:b/>
          <w:bCs/>
          <w:color w:val="1F2A33"/>
          <w:sz w:val="30"/>
          <w:szCs w:val="30"/>
        </w:rPr>
        <w:t xml:space="preserve">Annex J. U.S. Political Value Ledger</w:t>
      </w:r>
    </w:p>
    <w:p>
      <w:pPr>
        <w:pStyle w:val="ListParagraph"/>
        <w:numPr>
          <w:ilvl w:val="0"/>
          <w:numId w:val="2"/>
        </w:numPr>
        <w:spacing w:after="80" w:line="276"/>
      </w:pPr>
      <w:r>
        <w:rPr>
          <w:rFonts w:ascii="Times New Roman" w:cs="Times New Roman" w:eastAsia="SimSun" w:hAnsi="Times New Roman"/>
          <w:sz w:val="23"/>
          <w:szCs w:val="23"/>
        </w:rPr>
        <w:t xml:space="preserve">American alcohol restored to neutral provincial consideration within 7 days.</w:t>
      </w:r>
    </w:p>
    <w:p>
      <w:pPr>
        <w:pStyle w:val="ListParagraph"/>
        <w:numPr>
          <w:ilvl w:val="0"/>
          <w:numId w:val="2"/>
        </w:numPr>
        <w:spacing w:after="80" w:line="276"/>
      </w:pPr>
      <w:r>
        <w:rPr>
          <w:rFonts w:ascii="Times New Roman" w:cs="Times New Roman" w:eastAsia="SimSun" w:hAnsi="Times New Roman"/>
          <w:sz w:val="23"/>
          <w:szCs w:val="23"/>
        </w:rPr>
        <w:t xml:space="preserve">New Alberta dairy sales channel with measurable utilization.</w:t>
      </w:r>
    </w:p>
    <w:p>
      <w:pPr>
        <w:pStyle w:val="ListParagraph"/>
        <w:numPr>
          <w:ilvl w:val="0"/>
          <w:numId w:val="2"/>
        </w:numPr>
        <w:spacing w:after="80" w:line="276"/>
      </w:pPr>
      <w:r>
        <w:rPr>
          <w:rFonts w:ascii="Times New Roman" w:cs="Times New Roman" w:eastAsia="SimSun" w:hAnsi="Times New Roman"/>
          <w:sz w:val="23"/>
          <w:szCs w:val="23"/>
        </w:rPr>
        <w:t xml:space="preserve">Canadian auto surtaxes suspended; Canadian counter-tariff cliff removed.</w:t>
      </w:r>
    </w:p>
    <w:p>
      <w:pPr>
        <w:pStyle w:val="ListParagraph"/>
        <w:numPr>
          <w:ilvl w:val="0"/>
          <w:numId w:val="2"/>
        </w:numPr>
        <w:spacing w:after="80" w:line="276"/>
      </w:pPr>
      <w:r>
        <w:rPr>
          <w:rFonts w:ascii="Times New Roman" w:cs="Times New Roman" w:eastAsia="SimSun" w:hAnsi="Times New Roman"/>
          <w:sz w:val="23"/>
          <w:szCs w:val="23"/>
        </w:rPr>
        <w:t xml:space="preserve">Procurement opportunity for U.S. wildfire-equipment manufacturers.</w:t>
      </w:r>
    </w:p>
    <w:p>
      <w:pPr>
        <w:pStyle w:val="ListParagraph"/>
        <w:numPr>
          <w:ilvl w:val="0"/>
          <w:numId w:val="2"/>
        </w:numPr>
        <w:spacing w:after="80" w:line="276"/>
      </w:pPr>
      <w:r>
        <w:rPr>
          <w:rFonts w:ascii="Times New Roman" w:cs="Times New Roman" w:eastAsia="SimSun" w:hAnsi="Times New Roman"/>
          <w:sz w:val="23"/>
          <w:szCs w:val="23"/>
        </w:rPr>
        <w:t xml:space="preserve">Priority access to Saskatchewan potash ahead of the U.S. planting season planning cycle; trusted-input treatment shielding U.S. agriculture from escalation risk.</w:t>
      </w:r>
    </w:p>
    <w:p>
      <w:pPr>
        <w:pStyle w:val="Heading1"/>
        <w:spacing w:after="140" w:before="280"/>
      </w:pPr>
      <w:r>
        <w:rPr>
          <w:rFonts w:ascii="Times New Roman" w:cs="Times New Roman" w:eastAsia="SimSun" w:hAnsi="Times New Roman"/>
          <w:b/>
          <w:bCs/>
          <w:color w:val="1F2A33"/>
          <w:sz w:val="30"/>
          <w:szCs w:val="30"/>
        </w:rPr>
        <w:t xml:space="preserve">Annex K. Canadian Political Value Ledger</w:t>
      </w:r>
    </w:p>
    <w:p>
      <w:pPr>
        <w:pStyle w:val="ListParagraph"/>
        <w:numPr>
          <w:ilvl w:val="0"/>
          <w:numId w:val="2"/>
        </w:numPr>
        <w:spacing w:after="80" w:line="276"/>
      </w:pPr>
      <w:r>
        <w:rPr>
          <w:rFonts w:ascii="Times New Roman" w:cs="Times New Roman" w:eastAsia="SimSun" w:hAnsi="Times New Roman"/>
          <w:sz w:val="23"/>
          <w:szCs w:val="23"/>
        </w:rPr>
        <w:t xml:space="preserve">Section 338 collection suspended before the September 8 counter-tariffs ever take effect.</w:t>
      </w:r>
    </w:p>
    <w:p>
      <w:pPr>
        <w:pStyle w:val="ListParagraph"/>
        <w:numPr>
          <w:ilvl w:val="0"/>
          <w:numId w:val="2"/>
        </w:numPr>
        <w:spacing w:after="80" w:line="276"/>
      </w:pPr>
      <w:r>
        <w:rPr>
          <w:rFonts w:ascii="Times New Roman" w:cs="Times New Roman" w:eastAsia="SimSun" w:hAnsi="Times New Roman"/>
          <w:sz w:val="23"/>
          <w:szCs w:val="23"/>
        </w:rPr>
        <w:t xml:space="preserve">Section 232 auto headline rate steps down to a recorded interim figure.</w:t>
      </w:r>
    </w:p>
    <w:p>
      <w:pPr>
        <w:pStyle w:val="ListParagraph"/>
        <w:numPr>
          <w:ilvl w:val="0"/>
          <w:numId w:val="2"/>
        </w:numPr>
        <w:spacing w:after="80" w:line="276"/>
      </w:pPr>
      <w:r>
        <w:rPr>
          <w:rFonts w:ascii="Times New Roman" w:cs="Times New Roman" w:eastAsia="SimSun" w:hAnsi="Times New Roman"/>
          <w:sz w:val="23"/>
          <w:szCs w:val="23"/>
        </w:rPr>
        <w:t xml:space="preserve">Verified Canadian aluminum enters a lower interim band with origin-integrity recognition.</w:t>
      </w:r>
    </w:p>
    <w:p>
      <w:pPr>
        <w:pStyle w:val="ListParagraph"/>
        <w:numPr>
          <w:ilvl w:val="0"/>
          <w:numId w:val="2"/>
        </w:numPr>
        <w:spacing w:after="80" w:line="276"/>
      </w:pPr>
      <w:r>
        <w:rPr>
          <w:rFonts w:ascii="Times New Roman" w:cs="Times New Roman" w:eastAsia="SimSun" w:hAnsi="Times New Roman"/>
          <w:sz w:val="23"/>
          <w:szCs w:val="23"/>
        </w:rPr>
        <w:t xml:space="preserve">Supply management, cultural policy, pharmaceutical pricing, natural-resource, and procurement sovereignty preserved in full.</w:t>
      </w:r>
    </w:p>
    <w:p>
      <w:pPr>
        <w:pStyle w:val="ListParagraph"/>
        <w:numPr>
          <w:ilvl w:val="0"/>
          <w:numId w:val="2"/>
        </w:numPr>
        <w:spacing w:after="80" w:line="276"/>
      </w:pPr>
      <w:r>
        <w:rPr>
          <w:rFonts w:ascii="Times New Roman" w:cs="Times New Roman" w:eastAsia="SimSun" w:hAnsi="Times New Roman"/>
          <w:sz w:val="23"/>
          <w:szCs w:val="23"/>
        </w:rPr>
        <w:t xml:space="preserve">CUSMA review strengthened by a verified evidence base; wind-down guarantees no net loss.</w:t>
      </w:r>
    </w:p>
    <w:p>
      <w:pPr>
        <w:pStyle w:val="Heading1"/>
        <w:spacing w:after="140" w:before="280"/>
      </w:pPr>
      <w:r>
        <w:rPr>
          <w:rFonts w:ascii="Times New Roman" w:cs="Times New Roman" w:eastAsia="SimSun" w:hAnsi="Times New Roman"/>
          <w:b/>
          <w:bCs/>
          <w:color w:val="1F2A33"/>
          <w:sz w:val="30"/>
          <w:szCs w:val="30"/>
        </w:rPr>
        <w:t xml:space="preserve">Annex L. Negotiator Fallback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If the U.S. will not…</w:t>
            </w:r>
          </w:p>
        </w:tc>
        <w:tc>
          <w:tcPr>
            <w:tcW w:type="dxa" w:w="5960"/>
            <w:shd w:fill="EAF1F5" w:val="clear"/>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Then Canada may offer…</w:t>
            </w:r>
          </w:p>
        </w:tc>
      </w:tr>
      <w:tr>
        <w:trPr>
          <w:tblHeader w:val="false"/>
        </w:trPr>
        <w:tc>
          <w:tcPr>
            <w:tcW w:type="dxa" w:w="34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Suspend all Section 338 lines at once</w:t>
            </w:r>
          </w:p>
        </w:tc>
        <w:tc>
          <w:tcPr>
            <w:tcW w:type="dxa" w:w="59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Staged suspension: cliff products first, remainder by Day 15, with matched Canadian abeyance stages.</w:t>
            </w:r>
          </w:p>
        </w:tc>
      </w:tr>
      <w:tr>
        <w:trPr>
          <w:tblHeader w:val="false"/>
        </w:trPr>
        <w:tc>
          <w:tcPr>
            <w:tcW w:type="dxa" w:w="34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Reduce the auto headline rate</w:t>
            </w:r>
          </w:p>
        </w:tc>
        <w:tc>
          <w:tcPr>
            <w:tcW w:type="dxa" w:w="59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 narrower auto exchange: surtax suspension against a U.S.-content deduction improvement, with rates reserved.</w:t>
            </w:r>
          </w:p>
        </w:tc>
      </w:tr>
      <w:tr>
        <w:trPr>
          <w:tblHeader w:val="false"/>
        </w:trPr>
        <w:tc>
          <w:tcPr>
            <w:tcW w:type="dxa" w:w="34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Create an aluminum band</w:t>
            </w:r>
          </w:p>
        </w:tc>
        <w:tc>
          <w:tcPr>
            <w:tcW w:type="dxa" w:w="59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Shipment-level verification pilots under the existing monitoring certification, with band discussion deferred to Day 25.</w:t>
            </w:r>
          </w:p>
        </w:tc>
      </w:tr>
      <w:tr>
        <w:trPr>
          <w:tblHeader w:val="false"/>
        </w:trPr>
        <w:tc>
          <w:tcPr>
            <w:tcW w:type="dxa" w:w="340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Confirm at Hour 0–72</w:t>
            </w:r>
          </w:p>
        </w:tc>
        <w:tc>
          <w:tcPr>
            <w:tcW w:type="dxa" w:w="5960"/>
            <w:tcMar>
              <w:top w:type="dxa" w:w="90"/>
              <w:left w:type="dxa" w:w="110"/>
              <w:bottom w:type="dxa" w:w="90"/>
              <w:right w:type="dxa" w:w="110"/>
            </w:tcMar>
          </w:tcPr>
          <w:p>
            <w:pPr>
              <w:spacing w:after="40" w:line="252"/>
            </w:pPr>
            <w:r>
              <w:rPr>
                <w:rFonts w:ascii="Times New Roman" w:cs="Times New Roman" w:eastAsia="SimSun" w:hAnsi="Times New Roman"/>
                <w:sz w:val="20"/>
                <w:szCs w:val="20"/>
              </w:rPr>
              <w:t xml:space="preserve">A 72-hour signed standstill extension so customs instruments can complete cutover without collecting suspended duties.</w:t>
            </w:r>
          </w:p>
        </w:tc>
      </w:tr>
    </w:tbl>
    <w:p>
      <w:pPr>
        <w:pStyle w:val="Heading1"/>
        <w:spacing w:after="140" w:before="280"/>
      </w:pPr>
      <w:r>
        <w:rPr>
          <w:rFonts w:ascii="Times New Roman" w:cs="Times New Roman" w:eastAsia="SimSun" w:hAnsi="Times New Roman"/>
          <w:b/>
          <w:bCs/>
          <w:color w:val="1F2A33"/>
          <w:sz w:val="30"/>
          <w:szCs w:val="30"/>
        </w:rPr>
        <w:t xml:space="preserve">Annex M. Red Lines Preserved</w:t>
      </w:r>
    </w:p>
    <w:p>
      <w:pPr>
        <w:spacing w:after="140" w:line="288"/>
        <w:jc w:val="both"/>
      </w:pPr>
      <w:r>
        <w:rPr>
          <w:rFonts w:ascii="Times New Roman" w:cs="Times New Roman" w:eastAsia="SimSun" w:hAnsi="Times New Roman"/>
          <w:sz w:val="23"/>
          <w:szCs w:val="23"/>
        </w:rPr>
        <w:t xml:space="preserve">The Bridge does not:</w:t>
      </w:r>
    </w:p>
    <w:p>
      <w:pPr>
        <w:pStyle w:val="ListParagraph"/>
        <w:numPr>
          <w:ilvl w:val="0"/>
          <w:numId w:val="2"/>
        </w:numPr>
        <w:spacing w:after="80" w:line="276"/>
      </w:pPr>
      <w:r>
        <w:rPr>
          <w:rFonts w:ascii="Times New Roman" w:cs="Times New Roman" w:eastAsia="SimSun" w:hAnsi="Times New Roman"/>
          <w:sz w:val="23"/>
          <w:szCs w:val="23"/>
        </w:rPr>
        <w:t xml:space="preserve">abolish or erode Canadian dairy, poultry, or egg supply management;</w:t>
      </w:r>
    </w:p>
    <w:p>
      <w:pPr>
        <w:pStyle w:val="ListParagraph"/>
        <w:numPr>
          <w:ilvl w:val="0"/>
          <w:numId w:val="2"/>
        </w:numPr>
        <w:spacing w:after="80" w:line="276"/>
      </w:pPr>
      <w:r>
        <w:rPr>
          <w:rFonts w:ascii="Times New Roman" w:cs="Times New Roman" w:eastAsia="SimSun" w:hAnsi="Times New Roman"/>
          <w:sz w:val="23"/>
          <w:szCs w:val="23"/>
        </w:rPr>
        <w:t xml:space="preserve">establish a permanent U.S.-only automotive content floor, or reopen the CUSMA panel ruling on core-part roll-up;</w:t>
      </w:r>
    </w:p>
    <w:p>
      <w:pPr>
        <w:pStyle w:val="ListParagraph"/>
        <w:numPr>
          <w:ilvl w:val="0"/>
          <w:numId w:val="2"/>
        </w:numPr>
        <w:spacing w:after="80" w:line="276"/>
      </w:pPr>
      <w:r>
        <w:rPr>
          <w:rFonts w:ascii="Times New Roman" w:cs="Times New Roman" w:eastAsia="SimSun" w:hAnsi="Times New Roman"/>
          <w:sz w:val="23"/>
          <w:szCs w:val="23"/>
        </w:rPr>
        <w:t xml:space="preserve">grant the United States any veto over Canadian trade relations with third countries;</w:t>
      </w:r>
    </w:p>
    <w:p>
      <w:pPr>
        <w:pStyle w:val="ListParagraph"/>
        <w:numPr>
          <w:ilvl w:val="0"/>
          <w:numId w:val="2"/>
        </w:numPr>
        <w:spacing w:after="80" w:line="276"/>
      </w:pPr>
      <w:r>
        <w:rPr>
          <w:rFonts w:ascii="Times New Roman" w:cs="Times New Roman" w:eastAsia="SimSun" w:hAnsi="Times New Roman"/>
          <w:sz w:val="23"/>
          <w:szCs w:val="23"/>
        </w:rPr>
        <w:t xml:space="preserve">impose below-market commodity pricing, forced potash sales, forced aluminum diversion, or guaranteed electricity exports;</w:t>
      </w:r>
    </w:p>
    <w:p>
      <w:pPr>
        <w:pStyle w:val="ListParagraph"/>
        <w:numPr>
          <w:ilvl w:val="0"/>
          <w:numId w:val="2"/>
        </w:numPr>
        <w:spacing w:after="80" w:line="276"/>
      </w:pPr>
      <w:r>
        <w:rPr>
          <w:rFonts w:ascii="Times New Roman" w:cs="Times New Roman" w:eastAsia="SimSun" w:hAnsi="Times New Roman"/>
          <w:sz w:val="23"/>
          <w:szCs w:val="23"/>
        </w:rPr>
        <w:t xml:space="preserve">accept permanent Section 232 tariffs as normal treatment of verified Canadian originating goods;</w:t>
      </w:r>
    </w:p>
    <w:p>
      <w:pPr>
        <w:pStyle w:val="ListParagraph"/>
        <w:numPr>
          <w:ilvl w:val="0"/>
          <w:numId w:val="2"/>
        </w:numPr>
        <w:spacing w:after="80" w:line="276"/>
      </w:pPr>
      <w:r>
        <w:rPr>
          <w:rFonts w:ascii="Times New Roman" w:cs="Times New Roman" w:eastAsia="SimSun" w:hAnsi="Times New Roman"/>
          <w:sz w:val="23"/>
          <w:szCs w:val="23"/>
        </w:rPr>
        <w:t xml:space="preserve">surrender Canadian cultural, pharmaceutical-pricing, natural-resource, or procurement sovereignty beyond the specific 30-day schedules; or</w:t>
      </w:r>
    </w:p>
    <w:p>
      <w:pPr>
        <w:pStyle w:val="ListParagraph"/>
        <w:numPr>
          <w:ilvl w:val="0"/>
          <w:numId w:val="2"/>
        </w:numPr>
        <w:spacing w:after="80" w:line="276"/>
      </w:pPr>
      <w:r>
        <w:rPr>
          <w:rFonts w:ascii="Times New Roman" w:cs="Times New Roman" w:eastAsia="SimSun" w:hAnsi="Times New Roman"/>
          <w:sz w:val="23"/>
          <w:szCs w:val="23"/>
        </w:rPr>
        <w:t xml:space="preserve">amend CUSMA, prejudice any dispute, or bind Mexico in any respect.</w:t>
      </w:r>
    </w:p>
    <w:p>
      <w:pPr>
        <w:pStyle w:val="Heading1"/>
        <w:spacing w:after="140" w:before="280"/>
      </w:pPr>
      <w:r>
        <w:rPr>
          <w:rFonts w:ascii="Times New Roman" w:cs="Times New Roman" w:eastAsia="SimSun" w:hAnsi="Times New Roman"/>
          <w:b/>
          <w:bCs/>
          <w:color w:val="1F2A33"/>
          <w:sz w:val="30"/>
          <w:szCs w:val="30"/>
        </w:rPr>
        <w:t xml:space="preserve">Annex N. Research Basis and Source Notes</w:t>
      </w:r>
    </w:p>
    <w:p>
      <w:pPr>
        <w:spacing w:after="140" w:line="288"/>
        <w:jc w:val="both"/>
      </w:pPr>
      <w:r>
        <w:rPr>
          <w:rFonts w:ascii="Times New Roman" w:cs="Times New Roman" w:eastAsia="SimSun" w:hAnsi="Times New Roman"/>
          <w:sz w:val="23"/>
          <w:szCs w:val="23"/>
        </w:rPr>
        <w:t xml:space="preserve">The situation assessment rests on public reporting through September 7, 2026, including: the Department of Finance Canada counter-tariff announcements and product lists of August 25, 2026; the U.S. Presidential Proclamations of July 20, 2026 imposing Section 338 duties and their August 18 three-day pause; reporting by Reuters, The Globe and Mail, CBC, Politico, The Wall Street Journal, ABC News, and The Guardian on the August 21–22 negotiation breakdown and the September 8 effective date; law-firm client alerts (Blakes; Dorsey) summarizing scope, rates, non-stacking, and the in-transit rule; Global Affairs Canada materials on the CUSMA Joint Review opened July 1, 2026; and the Bank of Canada January 2026 Monetary Policy Report discussion of the CUSMA review. Conceptual architecture draws on the Great Lakes Gateway Interim Trade Accord (120-day format) and the Cothrom Verification Method v1.0, adapted here to a 30-day emergency term. This annex identifies source categories for transparency; it does not reproduce official texts.</w:t>
      </w:r>
    </w:p>
    <w:p>
      <w:pPr>
        <w:pStyle w:val="Heading1"/>
        <w:spacing w:after="140" w:before="280"/>
      </w:pPr>
      <w:r>
        <w:rPr>
          <w:rFonts w:ascii="Times New Roman" w:cs="Times New Roman" w:eastAsia="SimSun" w:hAnsi="Times New Roman"/>
          <w:b/>
          <w:bCs/>
          <w:color w:val="1F2A33"/>
          <w:sz w:val="30"/>
          <w:szCs w:val="30"/>
        </w:rPr>
        <w:t xml:space="preserve">Annex O. Signature and Political Confirmation</w:t>
      </w:r>
    </w:p>
    <w:p>
      <w:pPr>
        <w:spacing w:after="140" w:line="288"/>
        <w:jc w:val="both"/>
      </w:pPr>
      <w:r>
        <w:rPr>
          <w:rFonts w:ascii="Times New Roman" w:cs="Times New Roman" w:eastAsia="SimSun" w:hAnsi="Times New Roman"/>
          <w:sz w:val="23"/>
          <w:szCs w:val="23"/>
        </w:rPr>
        <w:t xml:space="preserve">The undersigned representatives record political agreement on the Emergency Stabilization Bridge and direct their respective implementation teams to prepare the domestic instruments identified in the Reciprocal Action Matrix. Each domestic instrument takes effect through the authority and process of the issuing jurisdiction. Signature of this text does not itself amend any statute, regulation, tariff item, or treaty.</w:t>
      </w:r>
    </w:p>
    <w:p>
      <w:pPr>
        <w:spacing w:after="140" w:line="288"/>
      </w:pPr>
      <w:r>
        <w:rPr>
          <w:rFonts w:ascii="Times New Roman" w:cs="Times New Roman" w:eastAsia="SimSun" w:hAnsi="Times New Roman"/>
          <w:sz w:val="23"/>
          <w:szCs w:val="23"/>
        </w:rPr>
        <w:t xml:space="preserve">Signed at ____________________ on ____________________, 2026.</w:t>
      </w:r>
    </w:p>
    <w:p>
      <w:pPr>
        <w:spacing w:before="300"/>
      </w:pPr>
      <w:r>
        <w:rPr>
          <w:rFonts w:ascii="Times New Roman" w:cs="Times New Roman" w:eastAsia="SimSun" w:hAnsi="Times New Roman"/>
          <w:b/>
          <w:bCs/>
          <w:sz w:val="23"/>
          <w:szCs w:val="23"/>
        </w:rPr>
        <w:t xml:space="preserve">For Canada:</w:t>
      </w:r>
    </w:p>
    <w:p>
      <w:pPr>
        <w:spacing w:after="140" w:line="288"/>
      </w:pPr>
      <w:r>
        <w:rPr>
          <w:rFonts w:ascii="Times New Roman" w:cs="Times New Roman" w:eastAsia="SimSun" w:hAnsi="Times New Roman"/>
          <w:sz w:val="23"/>
          <w:szCs w:val="23"/>
        </w:rPr>
        <w:t xml:space="preserve">________________________________</w:t>
      </w:r>
    </w:p>
    <w:p>
      <w:pPr>
        <w:spacing w:after="140" w:line="288"/>
      </w:pPr>
      <w:r>
        <w:rPr>
          <w:rFonts w:ascii="Times New Roman" w:cs="Times New Roman" w:eastAsia="SimSun" w:hAnsi="Times New Roman"/>
          <w:color w:val="8AA1AF"/>
          <w:sz w:val="20"/>
          <w:szCs w:val="20"/>
        </w:rPr>
        <w:t xml:space="preserve">Name and title</w:t>
      </w:r>
    </w:p>
    <w:p>
      <w:pPr>
        <w:spacing w:before="300"/>
      </w:pPr>
      <w:r>
        <w:rPr>
          <w:rFonts w:ascii="Times New Roman" w:cs="Times New Roman" w:eastAsia="SimSun" w:hAnsi="Times New Roman"/>
          <w:b/>
          <w:bCs/>
          <w:sz w:val="23"/>
          <w:szCs w:val="23"/>
        </w:rPr>
        <w:t xml:space="preserve">For the United States of America:</w:t>
      </w:r>
    </w:p>
    <w:p>
      <w:pPr>
        <w:spacing w:after="140" w:line="288"/>
      </w:pPr>
      <w:r>
        <w:rPr>
          <w:rFonts w:ascii="Times New Roman" w:cs="Times New Roman" w:eastAsia="SimSun" w:hAnsi="Times New Roman"/>
          <w:sz w:val="23"/>
          <w:szCs w:val="23"/>
        </w:rPr>
        <w:t xml:space="preserve">________________________________</w:t>
      </w:r>
    </w:p>
    <w:p>
      <w:pPr>
        <w:spacing w:after="140" w:line="288"/>
      </w:pPr>
      <w:r>
        <w:rPr>
          <w:rFonts w:ascii="Times New Roman" w:cs="Times New Roman" w:eastAsia="SimSun" w:hAnsi="Times New Roman"/>
          <w:color w:val="8AA1AF"/>
          <w:sz w:val="20"/>
          <w:szCs w:val="20"/>
        </w:rPr>
        <w:t xml:space="preserve">Name and title</w:t>
      </w:r>
    </w:p>
    <w:p>
      <w:pPr>
        <w:pStyle w:val="Heading1"/>
        <w:spacing w:after="140" w:before="280"/>
      </w:pPr>
      <w:r>
        <w:rPr>
          <w:rFonts w:ascii="Times New Roman" w:cs="Times New Roman" w:eastAsia="SimSun" w:hAnsi="Times New Roman"/>
          <w:b/>
          <w:bCs/>
          <w:color w:val="1F2A33"/>
          <w:sz w:val="30"/>
          <w:szCs w:val="30"/>
        </w:rPr>
        <w:t xml:space="preserve">Closing Statement</w:t>
      </w:r>
    </w:p>
    <w:p>
      <w:pPr>
        <w:spacing w:after="140" w:line="288"/>
        <w:jc w:val="both"/>
      </w:pPr>
      <w:r>
        <w:rPr>
          <w:rFonts w:ascii="Times New Roman" w:cs="Times New Roman" w:eastAsia="SimSun" w:hAnsi="Times New Roman"/>
          <w:sz w:val="23"/>
          <w:szCs w:val="23"/>
        </w:rPr>
        <w:t xml:space="preserve">The Emergency Stabilization Bridge rests on a simple proposition: thirty days of tariff calm is better than an open-ended trade war. Both governments receive immediate relief from escalation. Both preserve their long-term positions. The verification system survives imperfect performance, because it was built on the premise that performance will be imperfect. And the Bridge converts a tariff confrontation into reciprocal, measurable North American value — or expires cleanly, with no Party worse off than before.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40" w:line="288"/>
      <w:jc w:val="center"/>
    </w:pPr>
    <w:r>
      <w:rPr>
        <w:rFonts w:ascii="Times New Roman" w:cs="Times New Roman" w:eastAsia="SimSu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cs="Times New Roman" w:eastAsia="SimSun" w:hAnsi="Times New Roman"/>
        <w:color w:val="5B7B8C"/>
        <w:sz w:val="18"/>
        <w:szCs w:val="18"/>
      </w:rPr>
      <w:t xml:space="preserve">The Emergency Stabilization Bridge — Independent Conceptual Draft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2026-09-07T22:41:51.991Z</dcterms:created>
  <dcterms:modified xsi:type="dcterms:W3CDTF">2026-09-07T22:41:51.992Z</dcterms:modified>
</cp:coreProperties>
</file>

<file path=docProps/custom.xml><?xml version="1.0" encoding="utf-8"?>
<Properties xmlns="http://schemas.openxmlformats.org/officeDocument/2006/custom-properties" xmlns:vt="http://schemas.openxmlformats.org/officeDocument/2006/docPropsVTypes"/>
</file>