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p>
    <w:p>
      <w:pPr>
        <w:spacing w:after="300"/>
        <w:jc w:val="center"/>
      </w:pPr>
      <w:r>
        <w:rPr>
          <w:rFonts w:ascii="Calibri" w:cs="Calibri" w:eastAsia="Calibri" w:hAnsi="Calibri"/>
          <w:b/>
          <w:bCs/>
          <w:color w:val="37474F"/>
          <w:spacing w:val="60"/>
          <w:sz w:val="60"/>
          <w:szCs w:val="60"/>
        </w:rPr>
        <w:t xml:space="preserve">THE JOINT STATEMENT</w:t>
      </w:r>
    </w:p>
    <w:p>
      <w:pPr>
        <w:spacing w:after="460"/>
        <w:jc w:val="center"/>
      </w:pPr>
      <w:r>
        <w:rPr>
          <w:rFonts w:ascii="Calibri" w:cs="Calibri" w:eastAsia="Calibri" w:hAnsi="Calibri"/>
          <w:i/>
          <w:iCs/>
          <w:color w:val="546E7A"/>
          <w:sz w:val="27"/>
          <w:szCs w:val="27"/>
        </w:rPr>
        <w:t xml:space="preserve">on North American Trade Stabilization and Sectoral Modernization</w:t>
      </w:r>
    </w:p>
    <w:p>
      <w:pPr>
        <w:pBdr>
          <w:bottom w:val="single" w:color="546E7A" w:sz="6" w:space="1"/>
        </w:pBdr>
        <w:spacing w:after="520"/>
        <w:ind w:left="2400" w:right="2400"/>
      </w:pPr>
    </w:p>
    <w:p>
      <w:pPr>
        <w:spacing w:after="160"/>
        <w:jc w:val="center"/>
      </w:pPr>
      <w:r>
        <w:rPr>
          <w:rFonts w:ascii="Calibri" w:cs="Calibri" w:eastAsia="Calibri" w:hAnsi="Calibri"/>
          <w:color w:val="37474F"/>
          <w:sz w:val="24"/>
          <w:szCs w:val="24"/>
        </w:rPr>
        <w:t xml:space="preserve">Version 1.0  ·  September 7, 2026</w:t>
      </w:r>
    </w:p>
    <w:p>
      <w:pPr>
        <w:spacing w:after="160"/>
        <w:jc w:val="center"/>
      </w:pPr>
      <w:r>
        <w:rPr>
          <w:rFonts w:ascii="Calibri" w:cs="Calibri" w:eastAsia="Calibri" w:hAnsi="Calibri"/>
          <w:color w:val="546E7A"/>
          <w:sz w:val="22"/>
          <w:szCs w:val="22"/>
        </w:rPr>
        <w:t xml:space="preserve">Proposed Joint Instrument for Immediate Consideration</w:t>
      </w:r>
    </w:p>
    <w:p>
      <w:pPr>
        <w:spacing w:after="2000"/>
        <w:jc w:val="center"/>
      </w:pPr>
      <w:r>
        <w:rPr>
          <w:rFonts w:ascii="Calibri" w:cs="Calibri" w:eastAsia="Calibri" w:hAnsi="Calibri"/>
          <w:i/>
          <w:iCs/>
          <w:color w:val="78909C"/>
          <w:sz w:val="20"/>
          <w:szCs w:val="20"/>
        </w:rPr>
        <w:t xml:space="preserve">Drafted in a hybrid discipline: a modern present-tense political face over a traditional treaty-syntax legal spine</w:t>
      </w:r>
    </w:p>
    <w:p>
      <w:pPr>
        <w:spacing w:after="160"/>
        <w:jc w:val="center"/>
      </w:pPr>
      <w:r>
        <w:rPr>
          <w:rFonts w:ascii="Calibri" w:cs="Calibri" w:eastAsia="Calibri" w:hAnsi="Calibri"/>
          <w:b/>
          <w:bCs/>
          <w:color w:val="37474F"/>
          <w:sz w:val="22"/>
          <w:szCs w:val="22"/>
        </w:rPr>
        <w:t xml:space="preserve">Canada  ·  The United States of America</w:t>
      </w:r>
    </w:p>
    <w:p>
      <w:pPr>
        <w:spacing w:after="460"/>
        <w:jc w:val="center"/>
      </w:pPr>
      <w:r>
        <w:rPr>
          <w:rFonts w:ascii="Calibri" w:cs="Calibri" w:eastAsia="Calibri" w:hAnsi="Calibri"/>
          <w:color w:val="546E7A"/>
          <w:sz w:val="20"/>
          <w:szCs w:val="20"/>
        </w:rPr>
        <w:t xml:space="preserve">with a defined accession path for the United Mexican States, by side-letter of identical effect</w:t>
      </w:r>
    </w:p>
    <w:p>
      <w:pPr>
        <w:spacing w:after="2000"/>
        <w:jc w:val="center"/>
      </w:pPr>
      <w:r>
        <w:rPr>
          <w:rFonts w:ascii="Calibri" w:cs="Calibri" w:eastAsia="Calibri" w:hAnsi="Calibri"/>
          <w:color w:val="546E7A"/>
          <w:sz w:val="20"/>
          <w:szCs w:val="20"/>
        </w:rPr>
        <w:t xml:space="preserve">Proposed for simultaneous adoption at Ottawa, Ontario, and Washington, District of Columbia</w:t>
      </w:r>
    </w:p>
    <w:p>
      <w:pPr>
        <w:spacing w:after="160"/>
        <w:jc w:val="center"/>
      </w:pPr>
      <w:r>
        <w:rPr>
          <w:rFonts w:ascii="Calibri" w:cs="Calibri" w:eastAsia="Calibri" w:hAnsi="Calibri"/>
          <w:color w:val="78909C"/>
          <w:sz w:val="20"/>
          <w:szCs w:val="20"/>
        </w:rPr>
        <w:t xml:space="preserve">For Canada: the Minister responsible for Canada–United States Trade</w:t>
      </w:r>
    </w:p>
    <w:p>
      <w:pPr>
        <w:spacing w:after="160"/>
        <w:jc w:val="center"/>
      </w:pPr>
      <w:r>
        <w:rPr>
          <w:rFonts w:ascii="Calibri" w:cs="Calibri" w:eastAsia="Calibri" w:hAnsi="Calibri"/>
          <w:color w:val="78909C"/>
          <w:sz w:val="20"/>
          <w:szCs w:val="20"/>
        </w:rPr>
        <w:t xml:space="preserve">For the United States: the United States Trade Representative</w:t>
      </w:r>
    </w:p>
    <w:p>
      <w:pPr>
        <w:sectPr>
          <w:pgSz w:w="12240" w:h="15840" w:orient="portrait"/>
          <w:pgMar w:top="1440" w:right="1440" w:bottom="1440" w:left="1440" w:header="708" w:footer="708" w:gutter="0"/>
          <w:pgNumType/>
          <w:docGrid w:linePitch="360"/>
        </w:sectPr>
      </w:pPr>
    </w:p>
    <w:p>
      <w:pPr>
        <w:pStyle w:val="Heading1"/>
        <w:pBdr>
          <w:bottom w:val="single" w:color="B0BEC5" w:sz="6" w:space="4"/>
        </w:pBdr>
        <w:spacing w:after="120" w:before="280" w:line="270"/>
        <w:jc w:val="left"/>
      </w:pPr>
      <w:r>
        <w:rPr>
          <w:rFonts w:ascii="Calibri" w:cs="Calibri" w:eastAsia="Calibri" w:hAnsi="Calibri"/>
          <w:b/>
          <w:bCs/>
          <w:color w:val="37474F"/>
          <w:sz w:val="32"/>
          <w:szCs w:val="32"/>
        </w:rPr>
        <w:t xml:space="preserve">Table of Contents</w:t>
      </w:r>
    </w:p>
    <w:p xmlns:w="http://schemas.openxmlformats.org/wordprocessingml/2006/main">
      <w:r>
        <w:fldChar w:fldCharType="begin" w:dirty="true"/>
      </w:r>
      <w:r>
        <w:instrText xml:space="preserve"> TOC \o "1-2" \h \z \u </w:instrText>
      </w:r>
      <w:r>
        <w:fldChar w:fldCharType="separate"/>
      </w:r>
    </w:p>
    <w:p xmlns:w="http://schemas.openxmlformats.org/wordprocessingml/2006/main">
      <w:pPr>
        <w:pStyle w:val="TOC1"/>
        <w:tabs>
          <w:tab w:val="right" w:leader="dot" w:pos="9000"/>
        </w:tabs>
        <w:ind w:left="0"/>
      </w:pPr>
      <w:r>
        <w:t>Document Control</w:t>
      </w:r>
      <w:r>
        <w:tab/>
      </w:r>
      <w:r>
        <w:t>3</w:t>
      </w:r>
    </w:p>
    <w:p xmlns:w="http://schemas.openxmlformats.org/wordprocessingml/2006/main">
      <w:pPr>
        <w:pStyle w:val="TOC1"/>
        <w:tabs>
          <w:tab w:val="right" w:leader="dot" w:pos="9000"/>
        </w:tabs>
        <w:ind w:left="0"/>
      </w:pPr>
      <w:r>
        <w:t>Executive Summary</w:t>
      </w:r>
      <w:r>
        <w:tab/>
      </w:r>
      <w:r>
        <w:t>4</w:t>
      </w:r>
    </w:p>
    <w:p xmlns:w="http://schemas.openxmlformats.org/wordprocessingml/2006/main">
      <w:pPr>
        <w:pStyle w:val="TOC1"/>
        <w:tabs>
          <w:tab w:val="right" w:leader="dot" w:pos="9000"/>
        </w:tabs>
        <w:ind w:left="0"/>
      </w:pPr>
      <w:r>
        <w:t>Preamble: Shared Purpose in a Season of Strain</w:t>
      </w:r>
      <w:r>
        <w:tab/>
      </w:r>
      <w:r>
        <w:t>5</w:t>
      </w:r>
    </w:p>
    <w:p xmlns:w="http://schemas.openxmlformats.org/wordprocessingml/2006/main">
      <w:pPr>
        <w:pStyle w:val="TOC1"/>
        <w:tabs>
          <w:tab w:val="right" w:leader="dot" w:pos="9000"/>
        </w:tabs>
        <w:ind w:left="0"/>
      </w:pPr>
      <w:r>
        <w:t>Section 1: Immediate Measures — Mutual Suspension of the August and September Tariff Packages</w:t>
      </w:r>
      <w:r>
        <w:tab/>
      </w:r>
      <w:r>
        <w:t>5</w:t>
      </w:r>
    </w:p>
    <w:p xmlns:w="http://schemas.openxmlformats.org/wordprocessingml/2006/main">
      <w:pPr>
        <w:pStyle w:val="TOC1"/>
        <w:tabs>
          <w:tab w:val="right" w:leader="dot" w:pos="9000"/>
        </w:tabs>
        <w:ind w:left="0"/>
      </w:pPr>
      <w:r>
        <w:t>Section 2: The Ninety-Day Stabilization and Modernization Roadmap</w:t>
      </w:r>
      <w:r>
        <w:tab/>
      </w:r>
      <w:r>
        <w:t>7</w:t>
      </w:r>
    </w:p>
    <w:p xmlns:w="http://schemas.openxmlformats.org/wordprocessingml/2006/main">
      <w:pPr>
        <w:pStyle w:val="TOC1"/>
        <w:tabs>
          <w:tab w:val="right" w:leader="dot" w:pos="9000"/>
        </w:tabs>
        <w:ind w:left="0"/>
      </w:pPr>
      <w:r>
        <w:t>Section 3: Working Group Mandates</w:t>
      </w:r>
      <w:r>
        <w:tab/>
      </w:r>
      <w:r>
        <w:t>9</w:t>
      </w:r>
    </w:p>
    <w:p xmlns:w="http://schemas.openxmlformats.org/wordprocessingml/2006/main">
      <w:pPr>
        <w:pStyle w:val="TOC2"/>
        <w:tabs>
          <w:tab w:val="right" w:leader="dot" w:pos="9000"/>
        </w:tabs>
        <w:ind w:left="360"/>
      </w:pPr>
      <w:r>
        <w:t>3.1  Automotive Rules of Origin Working Group</w:t>
      </w:r>
      <w:r>
        <w:tab/>
      </w:r>
      <w:r>
        <w:t>9</w:t>
      </w:r>
    </w:p>
    <w:p xmlns:w="http://schemas.openxmlformats.org/wordprocessingml/2006/main">
      <w:pPr>
        <w:pStyle w:val="TOC2"/>
        <w:tabs>
          <w:tab w:val="right" w:leader="dot" w:pos="9000"/>
        </w:tabs>
        <w:ind w:left="360"/>
      </w:pPr>
      <w:r>
        <w:t>3.2  Digital Trade and Data Working Group</w:t>
      </w:r>
      <w:r>
        <w:tab/>
      </w:r>
      <w:r>
        <w:t>9</w:t>
      </w:r>
    </w:p>
    <w:p xmlns:w="http://schemas.openxmlformats.org/wordprocessingml/2006/main">
      <w:pPr>
        <w:pStyle w:val="TOC2"/>
        <w:tabs>
          <w:tab w:val="right" w:leader="dot" w:pos="9000"/>
        </w:tabs>
        <w:ind w:left="360"/>
      </w:pPr>
      <w:r>
        <w:t>3.3  Customs and Trade Facilitation Working Group</w:t>
      </w:r>
      <w:r>
        <w:tab/>
      </w:r>
      <w:r>
        <w:t>9</w:t>
      </w:r>
    </w:p>
    <w:p xmlns:w="http://schemas.openxmlformats.org/wordprocessingml/2006/main">
      <w:pPr>
        <w:pStyle w:val="TOC2"/>
        <w:tabs>
          <w:tab w:val="right" w:leader="dot" w:pos="9000"/>
        </w:tabs>
        <w:ind w:left="360"/>
      </w:pPr>
      <w:r>
        <w:t>3.4  Government Procurement Working Group</w:t>
      </w:r>
      <w:r>
        <w:tab/>
      </w:r>
      <w:r>
        <w:t>10</w:t>
      </w:r>
    </w:p>
    <w:p xmlns:w="http://schemas.openxmlformats.org/wordprocessingml/2006/main">
      <w:pPr>
        <w:pStyle w:val="TOC2"/>
        <w:tabs>
          <w:tab w:val="right" w:leader="dot" w:pos="9000"/>
        </w:tabs>
        <w:ind w:left="360"/>
      </w:pPr>
      <w:r>
        <w:t>3.5  Labor and Environment Working Group</w:t>
      </w:r>
      <w:r>
        <w:tab/>
      </w:r>
      <w:r>
        <w:t>10</w:t>
      </w:r>
    </w:p>
    <w:p xmlns:w="http://schemas.openxmlformats.org/wordprocessingml/2006/main">
      <w:pPr>
        <w:pStyle w:val="TOC1"/>
        <w:tabs>
          <w:tab w:val="right" w:leader="dot" w:pos="9000"/>
        </w:tabs>
        <w:ind w:left="0"/>
      </w:pPr>
      <w:r>
        <w:t>Section 4: Good-Faith Commitments — The Standstill Covenant</w:t>
      </w:r>
      <w:r>
        <w:tab/>
      </w:r>
      <w:r>
        <w:t>10</w:t>
      </w:r>
    </w:p>
    <w:p xmlns:w="http://schemas.openxmlformats.org/wordprocessingml/2006/main">
      <w:pPr>
        <w:pStyle w:val="TOC1"/>
        <w:tabs>
          <w:tab w:val="right" w:leader="dot" w:pos="9000"/>
        </w:tabs>
        <w:ind w:left="0"/>
      </w:pPr>
      <w:r>
        <w:t>Section 5: Consultation, Administration, and Legal Character</w:t>
      </w:r>
      <w:r>
        <w:tab/>
      </w:r>
      <w:r>
        <w:t>11</w:t>
      </w:r>
    </w:p>
    <w:p xmlns:w="http://schemas.openxmlformats.org/wordprocessingml/2006/main">
      <w:pPr>
        <w:pStyle w:val="TOC1"/>
        <w:tabs>
          <w:tab w:val="right" w:leader="dot" w:pos="9000"/>
        </w:tabs>
        <w:ind w:left="0"/>
      </w:pPr>
      <w:r>
        <w:t>Section 6: Next Steps — The Formal Interim Agreement and Trilateral Engagement</w:t>
      </w:r>
      <w:r>
        <w:tab/>
      </w:r>
      <w:r>
        <w:t>12</w:t>
      </w:r>
    </w:p>
    <w:p xmlns:w="http://schemas.openxmlformats.org/wordprocessingml/2006/main">
      <w:pPr>
        <w:pStyle w:val="TOC1"/>
        <w:tabs>
          <w:tab w:val="right" w:leader="dot" w:pos="9000"/>
        </w:tabs>
        <w:ind w:left="0"/>
      </w:pPr>
      <w:r>
        <w:t>Adoption and Signature</w:t>
      </w:r>
      <w:r>
        <w:tab/>
      </w:r>
      <w:r>
        <w:t>13</w:t>
      </w:r>
    </w:p>
    <w:p xmlns:w="http://schemas.openxmlformats.org/wordprocessingml/2006/main">
      <w:pPr>
        <w:pStyle w:val="TOC1"/>
        <w:tabs>
          <w:tab w:val="right" w:leader="dot" w:pos="9000"/>
        </w:tabs>
        <w:ind w:left="0"/>
      </w:pPr>
      <w:r>
        <w:t>Annex A: Schedule of Suspended Measures</w:t>
      </w:r>
      <w:r>
        <w:tab/>
      </w:r>
      <w:r>
        <w:t>13</w:t>
      </w:r>
    </w:p>
    <w:p xmlns:w="http://schemas.openxmlformats.org/wordprocessingml/2006/main">
      <w:pPr>
        <w:pStyle w:val="TOC1"/>
        <w:tabs>
          <w:tab w:val="right" w:leader="dot" w:pos="9000"/>
        </w:tabs>
        <w:ind w:left="0"/>
      </w:pPr>
      <w:r>
        <w:t>Annex B: Working Group Terms of Reference</w:t>
      </w:r>
      <w:r>
        <w:tab/>
      </w:r>
      <w:r>
        <w:t>14</w:t>
      </w:r>
    </w:p>
    <w:p xmlns:w="http://schemas.openxmlformats.org/wordprocessingml/2006/main">
      <w:r>
        <w:fldChar w:fldCharType="end"/>
      </w:r>
    </w:p>
    <w:p>
      <w:r>
        <w:br w:type="page"/>
      </w:r>
    </w:p>
    <w:p>
      <w:pPr>
        <w:pStyle w:val="Heading1"/>
        <w:pBdr>
          <w:bottom w:val="single" w:color="B0BEC5" w:sz="6" w:space="4"/>
        </w:pBdr>
        <w:spacing w:after="120" w:before="280" w:line="270"/>
        <w:jc w:val="left"/>
      </w:pPr>
      <w:r>
        <w:rPr>
          <w:rFonts w:ascii="Calibri" w:cs="Calibri" w:eastAsia="Calibri" w:hAnsi="Calibri"/>
          <w:b/>
          <w:bCs/>
          <w:color w:val="37474F"/>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EF3F6" w:val="clear"/>
            <w:tcMar>
              <w:top w:type="dxa" w:w="70"/>
              <w:left w:type="dxa" w:w="120"/>
              <w:bottom w:type="dxa" w:w="70"/>
              <w:right w:type="dxa" w:w="120"/>
            </w:tcMar>
          </w:tcPr>
          <w:p>
            <w:pPr>
              <w:spacing w:after="20" w:line="240"/>
              <w:jc w:val="left"/>
            </w:pPr>
            <w:r>
              <w:rPr>
                <w:rFonts w:ascii="Calibri" w:cs="Calibri" w:eastAsia="Calibri" w:hAnsi="Calibri"/>
                <w:b/>
                <w:bCs/>
                <w:color w:val="37474F"/>
                <w:sz w:val="20"/>
                <w:szCs w:val="20"/>
              </w:rPr>
              <w:t xml:space="preserve">Field</w:t>
            </w:r>
          </w:p>
        </w:tc>
        <w:tc>
          <w:tcPr>
            <w:tcW w:type="dxa" w:w="6760"/>
            <w:shd w:fill="EEF3F6" w:val="clear"/>
            <w:tcMar>
              <w:top w:type="dxa" w:w="70"/>
              <w:left w:type="dxa" w:w="120"/>
              <w:bottom w:type="dxa" w:w="70"/>
              <w:right w:type="dxa" w:w="120"/>
            </w:tcMar>
          </w:tcPr>
          <w:p>
            <w:pPr>
              <w:spacing w:after="20" w:line="240"/>
              <w:jc w:val="left"/>
            </w:pPr>
            <w:r>
              <w:rPr>
                <w:rFonts w:ascii="Calibri" w:cs="Calibri" w:eastAsia="Calibri" w:hAnsi="Calibri"/>
                <w:b/>
                <w:bCs/>
                <w:color w:val="37474F"/>
                <w:sz w:val="20"/>
                <w:szCs w:val="20"/>
              </w:rPr>
              <w:t xml:space="preserve">Entry</w:t>
            </w:r>
          </w:p>
        </w:tc>
      </w:tr>
      <w:tr>
        <w:tc>
          <w:tcPr>
            <w:tcW w:type="dxa" w:w="2600"/>
            <w:tcMar>
              <w:top w:type="dxa" w:w="70"/>
              <w:left w:type="dxa" w:w="120"/>
              <w:bottom w:type="dxa" w:w="70"/>
              <w:right w:type="dxa" w:w="120"/>
            </w:tcMar>
          </w:tcPr>
          <w:p>
            <w:pPr>
              <w:spacing w:after="20" w:line="240"/>
              <w:jc w:val="left"/>
            </w:pPr>
            <w:r>
              <w:rPr>
                <w:rFonts w:ascii="Calibri" w:cs="Calibri" w:eastAsia="Calibri" w:hAnsi="Calibri"/>
                <w:b/>
                <w:bCs/>
                <w:color w:val="37474F"/>
                <w:sz w:val="20"/>
                <w:szCs w:val="20"/>
              </w:rPr>
              <w:t xml:space="preserve">Instrument</w:t>
            </w:r>
          </w:p>
        </w:tc>
        <w:tc>
          <w:tcPr>
            <w:tcW w:type="dxa" w:w="676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The Joint Statement on North American Trade Stabilization and Sectoral Modernization, Version 1.0 (the Statement)</w:t>
            </w:r>
          </w:p>
        </w:tc>
      </w:tr>
      <w:tr>
        <w:tc>
          <w:tcPr>
            <w:tcW w:type="dxa" w:w="2600"/>
            <w:tcMar>
              <w:top w:type="dxa" w:w="70"/>
              <w:left w:type="dxa" w:w="120"/>
              <w:bottom w:type="dxa" w:w="70"/>
              <w:right w:type="dxa" w:w="120"/>
            </w:tcMar>
          </w:tcPr>
          <w:p>
            <w:pPr>
              <w:spacing w:after="20" w:line="240"/>
              <w:jc w:val="left"/>
            </w:pPr>
            <w:r>
              <w:rPr>
                <w:rFonts w:ascii="Calibri" w:cs="Calibri" w:eastAsia="Calibri" w:hAnsi="Calibri"/>
                <w:b/>
                <w:bCs/>
                <w:color w:val="37474F"/>
                <w:sz w:val="20"/>
                <w:szCs w:val="20"/>
              </w:rPr>
              <w:t xml:space="preserve">Status</w:t>
            </w:r>
          </w:p>
        </w:tc>
        <w:tc>
          <w:tcPr>
            <w:tcW w:type="dxa" w:w="676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Proposed joint statement with binding commitments; draft prepared for consideration and adoption by the Parties. No provision takes effect, and no action is represented as having been taken by either government, unless and until the Parties adopt this Statement</w:t>
            </w:r>
          </w:p>
        </w:tc>
      </w:tr>
      <w:tr>
        <w:tc>
          <w:tcPr>
            <w:tcW w:type="dxa" w:w="2600"/>
            <w:tcMar>
              <w:top w:type="dxa" w:w="70"/>
              <w:left w:type="dxa" w:w="120"/>
              <w:bottom w:type="dxa" w:w="70"/>
              <w:right w:type="dxa" w:w="120"/>
            </w:tcMar>
          </w:tcPr>
          <w:p>
            <w:pPr>
              <w:spacing w:after="20" w:line="240"/>
              <w:jc w:val="left"/>
            </w:pPr>
            <w:r>
              <w:rPr>
                <w:rFonts w:ascii="Calibri" w:cs="Calibri" w:eastAsia="Calibri" w:hAnsi="Calibri"/>
                <w:b/>
                <w:bCs/>
                <w:color w:val="37474F"/>
                <w:sz w:val="20"/>
                <w:szCs w:val="20"/>
              </w:rPr>
              <w:t xml:space="preserve">Date</w:t>
            </w:r>
          </w:p>
        </w:tc>
        <w:tc>
          <w:tcPr>
            <w:tcW w:type="dxa" w:w="676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September 7, 2026</w:t>
            </w:r>
          </w:p>
        </w:tc>
      </w:tr>
      <w:tr>
        <w:tc>
          <w:tcPr>
            <w:tcW w:type="dxa" w:w="2600"/>
            <w:tcMar>
              <w:top w:type="dxa" w:w="70"/>
              <w:left w:type="dxa" w:w="120"/>
              <w:bottom w:type="dxa" w:w="70"/>
              <w:right w:type="dxa" w:w="120"/>
            </w:tcMar>
          </w:tcPr>
          <w:p>
            <w:pPr>
              <w:spacing w:after="20" w:line="240"/>
              <w:jc w:val="left"/>
            </w:pPr>
            <w:r>
              <w:rPr>
                <w:rFonts w:ascii="Calibri" w:cs="Calibri" w:eastAsia="Calibri" w:hAnsi="Calibri"/>
                <w:b/>
                <w:bCs/>
                <w:color w:val="37474F"/>
                <w:sz w:val="20"/>
                <w:szCs w:val="20"/>
              </w:rPr>
              <w:t xml:space="preserve">Anchor instruments</w:t>
            </w:r>
          </w:p>
        </w:tc>
        <w:tc>
          <w:tcPr>
            <w:tcW w:type="dxa" w:w="676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The Canada–United States–Mexico Agreement (CUSMA/USMCA); the three United States Presidential Proclamations of July 20, 2026, issued under Section 338 of the Tariff Act of 1930; the Canadian counter-tariff measures announced August 25, 2026, scheduled to take effect September 8, 2026</w:t>
            </w:r>
          </w:p>
        </w:tc>
      </w:tr>
      <w:tr>
        <w:tc>
          <w:tcPr>
            <w:tcW w:type="dxa" w:w="2600"/>
            <w:tcMar>
              <w:top w:type="dxa" w:w="70"/>
              <w:left w:type="dxa" w:w="120"/>
              <w:bottom w:type="dxa" w:w="70"/>
              <w:right w:type="dxa" w:w="120"/>
            </w:tcMar>
          </w:tcPr>
          <w:p>
            <w:pPr>
              <w:spacing w:after="20" w:line="240"/>
              <w:jc w:val="left"/>
            </w:pPr>
            <w:r>
              <w:rPr>
                <w:rFonts w:ascii="Calibri" w:cs="Calibri" w:eastAsia="Calibri" w:hAnsi="Calibri"/>
                <w:b/>
                <w:bCs/>
                <w:color w:val="37474F"/>
                <w:sz w:val="20"/>
                <w:szCs w:val="20"/>
              </w:rPr>
              <w:t xml:space="preserve">Parties</w:t>
            </w:r>
          </w:p>
        </w:tc>
        <w:tc>
          <w:tcPr>
            <w:tcW w:type="dxa" w:w="676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Canada and the United States of America (each a Party; together, the Parties)</w:t>
            </w:r>
          </w:p>
        </w:tc>
      </w:tr>
      <w:tr>
        <w:tc>
          <w:tcPr>
            <w:tcW w:type="dxa" w:w="2600"/>
            <w:tcMar>
              <w:top w:type="dxa" w:w="70"/>
              <w:left w:type="dxa" w:w="120"/>
              <w:bottom w:type="dxa" w:w="70"/>
              <w:right w:type="dxa" w:w="120"/>
            </w:tcMar>
          </w:tcPr>
          <w:p>
            <w:pPr>
              <w:spacing w:after="20" w:line="240"/>
              <w:jc w:val="left"/>
            </w:pPr>
            <w:r>
              <w:rPr>
                <w:rFonts w:ascii="Calibri" w:cs="Calibri" w:eastAsia="Calibri" w:hAnsi="Calibri"/>
                <w:b/>
                <w:bCs/>
                <w:color w:val="37474F"/>
                <w:sz w:val="20"/>
                <w:szCs w:val="20"/>
              </w:rPr>
              <w:t xml:space="preserve">Accession path</w:t>
            </w:r>
          </w:p>
        </w:tc>
        <w:tc>
          <w:tcPr>
            <w:tcW w:type="dxa" w:w="676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The United Mexican States may accede by side-letter of identical effect, converting this Statement into the trilateral stabilization track</w:t>
            </w:r>
          </w:p>
        </w:tc>
      </w:tr>
      <w:tr>
        <w:tc>
          <w:tcPr>
            <w:tcW w:type="dxa" w:w="2600"/>
            <w:tcMar>
              <w:top w:type="dxa" w:w="70"/>
              <w:left w:type="dxa" w:w="120"/>
              <w:bottom w:type="dxa" w:w="70"/>
              <w:right w:type="dxa" w:w="120"/>
            </w:tcMar>
          </w:tcPr>
          <w:p>
            <w:pPr>
              <w:spacing w:after="20" w:line="240"/>
              <w:jc w:val="left"/>
            </w:pPr>
            <w:r>
              <w:rPr>
                <w:rFonts w:ascii="Calibri" w:cs="Calibri" w:eastAsia="Calibri" w:hAnsi="Calibri"/>
                <w:b/>
                <w:bCs/>
                <w:color w:val="37474F"/>
                <w:sz w:val="20"/>
                <w:szCs w:val="20"/>
              </w:rPr>
              <w:t xml:space="preserve">Negotiating leads</w:t>
            </w:r>
          </w:p>
        </w:tc>
        <w:tc>
          <w:tcPr>
            <w:tcW w:type="dxa" w:w="676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For Canada: the Minister responsible for Canada–United States Trade, supported by the Chief Trade Negotiator. For the United States: the United States Trade Representative</w:t>
            </w:r>
          </w:p>
        </w:tc>
      </w:tr>
      <w:tr>
        <w:tc>
          <w:tcPr>
            <w:tcW w:type="dxa" w:w="2600"/>
            <w:tcMar>
              <w:top w:type="dxa" w:w="70"/>
              <w:left w:type="dxa" w:w="120"/>
              <w:bottom w:type="dxa" w:w="70"/>
              <w:right w:type="dxa" w:w="120"/>
            </w:tcMar>
          </w:tcPr>
          <w:p>
            <w:pPr>
              <w:spacing w:after="20" w:line="240"/>
              <w:jc w:val="left"/>
            </w:pPr>
            <w:r>
              <w:rPr>
                <w:rFonts w:ascii="Calibri" w:cs="Calibri" w:eastAsia="Calibri" w:hAnsi="Calibri"/>
                <w:b/>
                <w:bCs/>
                <w:color w:val="37474F"/>
                <w:sz w:val="20"/>
                <w:szCs w:val="20"/>
              </w:rPr>
              <w:t xml:space="preserve">Legal interface</w:t>
            </w:r>
          </w:p>
        </w:tc>
        <w:tc>
          <w:tcPr>
            <w:tcW w:type="dxa" w:w="676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This Statement supplements, and is interpreted in accordance with, CUSMA, including Chapter 31 (Dispute Settlement); it does not amend CUSMA and does not prejudge the 2026 joint review</w:t>
            </w:r>
          </w:p>
        </w:tc>
      </w:tr>
      <w:tr>
        <w:tc>
          <w:tcPr>
            <w:tcW w:type="dxa" w:w="2600"/>
            <w:tcMar>
              <w:top w:type="dxa" w:w="70"/>
              <w:left w:type="dxa" w:w="120"/>
              <w:bottom w:type="dxa" w:w="70"/>
              <w:right w:type="dxa" w:w="120"/>
            </w:tcMar>
          </w:tcPr>
          <w:p>
            <w:pPr>
              <w:spacing w:after="20" w:line="240"/>
              <w:jc w:val="left"/>
            </w:pPr>
            <w:r>
              <w:rPr>
                <w:rFonts w:ascii="Calibri" w:cs="Calibri" w:eastAsia="Calibri" w:hAnsi="Calibri"/>
                <w:b/>
                <w:bCs/>
                <w:color w:val="37474F"/>
                <w:sz w:val="20"/>
                <w:szCs w:val="20"/>
              </w:rPr>
              <w:t xml:space="preserve">Languages</w:t>
            </w:r>
          </w:p>
        </w:tc>
        <w:tc>
          <w:tcPr>
            <w:tcW w:type="dxa" w:w="676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English and French; the two texts carry equal authority</w:t>
            </w:r>
          </w:p>
        </w:tc>
      </w:tr>
      <w:tr>
        <w:tc>
          <w:tcPr>
            <w:tcW w:type="dxa" w:w="2600"/>
            <w:tcMar>
              <w:top w:type="dxa" w:w="70"/>
              <w:left w:type="dxa" w:w="120"/>
              <w:bottom w:type="dxa" w:w="70"/>
              <w:right w:type="dxa" w:w="120"/>
            </w:tcMar>
          </w:tcPr>
          <w:p>
            <w:pPr>
              <w:spacing w:after="20" w:line="240"/>
              <w:jc w:val="left"/>
            </w:pPr>
            <w:r>
              <w:rPr>
                <w:rFonts w:ascii="Calibri" w:cs="Calibri" w:eastAsia="Calibri" w:hAnsi="Calibri"/>
                <w:b/>
                <w:bCs/>
                <w:color w:val="37474F"/>
                <w:sz w:val="20"/>
                <w:szCs w:val="20"/>
              </w:rPr>
              <w:t xml:space="preserve">Continuity rule</w:t>
            </w:r>
          </w:p>
        </w:tc>
        <w:tc>
          <w:tcPr>
            <w:tcW w:type="dxa" w:w="676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The Standstill Covenant (Section 4): no new or increased tariffs during the stabilization period; continues under the Interim Agreement, or survives thirty days past December 8, 2026, terminable only on ten days' written notice</w:t>
            </w:r>
          </w:p>
        </w:tc>
      </w:tr>
    </w:tbl>
    <w:p>
      <w:pPr>
        <w:spacing w:before="200"/>
        <w:jc w:val="both"/>
      </w:pPr>
      <w:r>
        <w:rPr>
          <w:rFonts w:ascii="Georgia" w:cs="Georgia" w:eastAsia="Georgia" w:hAnsi="Georgia"/>
          <w:b/>
          <w:bCs/>
          <w:i/>
          <w:iCs/>
          <w:color w:val="212121"/>
          <w:sz w:val="21"/>
          <w:szCs w:val="21"/>
        </w:rPr>
        <w:t xml:space="preserve">Drafting discipline note. </w:t>
      </w:r>
      <w:r>
        <w:rPr>
          <w:rFonts w:ascii="Georgia" w:cs="Georgia" w:eastAsia="Georgia" w:hAnsi="Georgia"/>
          <w:i/>
          <w:iCs/>
          <w:color w:val="212121"/>
          <w:sz w:val="21"/>
          <w:szCs w:val="21"/>
        </w:rPr>
        <w:t xml:space="preserve">This Statement is drafted in a hybrid discipline: the preamble, the roadmap, the working group mandates, and the next steps are written in modern, sovereign present tense so that leaders, officials, and the public can read them plainly; the operative provisions — the suspensions, the standstill, the consultation clocks, and the customs instructions — are written in the traditional treaty syntax that customs administrations, dispute panels, and domestic courts are trained to apply. The political face is modern; the legal spine is classical.</w:t>
      </w:r>
    </w:p>
    <w:p>
      <w:r>
        <w:br w:type="page"/>
      </w:r>
    </w:p>
    <w:p>
      <w:pPr>
        <w:pStyle w:val="Heading1"/>
        <w:pBdr>
          <w:bottom w:val="single" w:color="B0BEC5" w:sz="6" w:space="4"/>
        </w:pBdr>
        <w:spacing w:after="120" w:before="280" w:line="270"/>
        <w:jc w:val="left"/>
      </w:pPr>
      <w:r>
        <w:rPr>
          <w:rFonts w:ascii="Calibri" w:cs="Calibri" w:eastAsia="Calibri" w:hAnsi="Calibri"/>
          <w:b/>
          <w:bCs/>
          <w:color w:val="37474F"/>
          <w:sz w:val="32"/>
          <w:szCs w:val="32"/>
        </w:rPr>
        <w:t xml:space="preserve">Executive Summary</w:t>
      </w:r>
    </w:p>
    <w:p>
      <w:pPr>
        <w:spacing w:after="100" w:line="260"/>
        <w:jc w:val="both"/>
      </w:pPr>
      <w:r>
        <w:rPr>
          <w:rFonts w:ascii="Georgia" w:cs="Georgia" w:eastAsia="Georgia" w:hAnsi="Georgia"/>
          <w:color w:val="212121"/>
          <w:sz w:val="21"/>
          <w:szCs w:val="21"/>
        </w:rPr>
        <w:t xml:space="preserve">Canada and the United States meet at the edge of the most serious rupture in their trading relationship in ninety years. On August 22, 2026, additional United States duties of 50 percent entered into force against a broad range of Canadian goods. Canada's answering measures — counter-tariffs of 15, 25, and 50 percent on approximately C$27.6 billion of United States imports — are scheduled to take effect at 12:01 a.m. on September 8, 2026. This Statement stops that clock.</w:t>
      </w:r>
    </w:p>
    <w:p>
      <w:pPr>
        <w:spacing w:after="100" w:line="260"/>
        <w:jc w:val="both"/>
      </w:pPr>
      <w:r>
        <w:rPr>
          <w:rFonts w:ascii="Georgia" w:cs="Georgia" w:eastAsia="Georgia" w:hAnsi="Georgia"/>
          <w:color w:val="212121"/>
          <w:sz w:val="21"/>
          <w:szCs w:val="21"/>
        </w:rPr>
        <w:t xml:space="preserve">The Parties agree to suspend, simultaneously and in full, the August tariff package of the United States and the September counter-tariff package of Canada. The suspension takes effect at 12:01 a.m. Eastern Daylight Time on September 9, 2026. Neither package is rescinded; both are held in suspension, side by side, so that neither Party is asked to disarm first and neither can be left exposed.</w:t>
      </w:r>
    </w:p>
    <w:p>
      <w:pPr>
        <w:spacing w:after="100" w:line="260"/>
        <w:jc w:val="both"/>
      </w:pPr>
      <w:r>
        <w:rPr>
          <w:rFonts w:ascii="Georgia" w:cs="Georgia" w:eastAsia="Georgia" w:hAnsi="Georgia"/>
          <w:color w:val="212121"/>
          <w:sz w:val="21"/>
          <w:szCs w:val="21"/>
        </w:rPr>
        <w:t xml:space="preserve">Around that suspension, the Parties build a ninety-day stabilization and modernization track. Five standing working groups open within ten days: automotive rules of origin, digital trade and data, customs and trade facilitation, government procurement, and labor and environment. Each group carries a written mandate, a named co-chair structure, a first-meeting date, and a deliverable owed to ministers. The automotive group addresses the core-parts roll-up question that remained unresolved at the conclusion of the August talks, on the express understanding that the existing CUSMA panel ruling is respected and is not reopened.</w:t>
      </w:r>
    </w:p>
    <w:p>
      <w:pPr>
        <w:spacing w:after="100" w:line="260"/>
        <w:jc w:val="both"/>
      </w:pPr>
      <w:r>
        <w:rPr>
          <w:rFonts w:ascii="Georgia" w:cs="Georgia" w:eastAsia="Georgia" w:hAnsi="Georgia"/>
          <w:color w:val="212121"/>
          <w:sz w:val="21"/>
          <w:szCs w:val="21"/>
        </w:rPr>
        <w:t xml:space="preserve">For the duration of the stabilization period, the Parties covenant to impose no new or increased tariffs on each other's goods, to give seventy-two hours' written notice and hold consultations before any emergency trade measure, and to treat any breach through CUSMA Chapter 31 consultations before any snap-back. Duties already in place outside the August and September packages — including the Section 232 measures on steel, aluminum, and automobiles — are referred to an accelerated channel inside the roadmap, with outcomes targeted within the ninety days.</w:t>
      </w:r>
    </w:p>
    <w:p>
      <w:pPr>
        <w:spacing w:after="100" w:line="260"/>
        <w:jc w:val="both"/>
      </w:pPr>
      <w:r>
        <w:rPr>
          <w:rFonts w:ascii="Georgia" w:cs="Georgia" w:eastAsia="Georgia" w:hAnsi="Georgia"/>
          <w:color w:val="212121"/>
          <w:sz w:val="21"/>
          <w:szCs w:val="21"/>
        </w:rPr>
        <w:t xml:space="preserve">The Parties commit to convert this Statement into a formal Interim Trade Stabilization Agreement, with full articles, annexed schedules, and dispute-consultation clocks, targeting signature on or before October 22, 2026. The United Mexican States is invited to accede by side-letter, and a trilateral ministerial is targeted for late October 2026, so that the bilateral bridge built here becomes the road toward a modernized North American partnership.</w:t>
      </w:r>
    </w:p>
    <w:p>
      <w:pPr>
        <w:spacing w:after="120" w:before="240"/>
        <w:jc w:val="left"/>
      </w:pPr>
      <w:r>
        <w:rPr>
          <w:rFonts w:ascii="Calibri" w:cs="Calibri" w:eastAsia="Calibri" w:hAnsi="Calibri"/>
          <w:b/>
          <w:bCs/>
          <w:color w:val="37474F"/>
          <w:sz w:val="22"/>
          <w:szCs w:val="22"/>
        </w:rPr>
        <w:t xml:space="preserve">What changes at 12:01 a.m. on September 9,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F3F6" w:val="clear"/>
            <w:tcMar>
              <w:top w:type="dxa" w:w="70"/>
              <w:left w:type="dxa" w:w="120"/>
              <w:bottom w:type="dxa" w:w="70"/>
              <w:right w:type="dxa" w:w="120"/>
            </w:tcMar>
          </w:tcPr>
          <w:p>
            <w:pPr>
              <w:spacing w:after="20" w:line="240"/>
              <w:jc w:val="left"/>
            </w:pPr>
            <w:r>
              <w:rPr>
                <w:rFonts w:ascii="Calibri" w:cs="Calibri" w:eastAsia="Calibri" w:hAnsi="Calibri"/>
                <w:b/>
                <w:bCs/>
                <w:color w:val="37474F"/>
                <w:sz w:val="20"/>
                <w:szCs w:val="20"/>
              </w:rPr>
              <w:t xml:space="preserve">Measure</w:t>
            </w:r>
          </w:p>
        </w:tc>
        <w:tc>
          <w:tcPr>
            <w:tcW w:type="dxa" w:w="3120"/>
            <w:shd w:fill="EEF3F6" w:val="clear"/>
            <w:tcMar>
              <w:top w:type="dxa" w:w="70"/>
              <w:left w:type="dxa" w:w="120"/>
              <w:bottom w:type="dxa" w:w="70"/>
              <w:right w:type="dxa" w:w="120"/>
            </w:tcMar>
          </w:tcPr>
          <w:p>
            <w:pPr>
              <w:spacing w:after="20" w:line="240"/>
              <w:jc w:val="left"/>
            </w:pPr>
            <w:r>
              <w:rPr>
                <w:rFonts w:ascii="Calibri" w:cs="Calibri" w:eastAsia="Calibri" w:hAnsi="Calibri"/>
                <w:b/>
                <w:bCs/>
                <w:color w:val="37474F"/>
                <w:sz w:val="20"/>
                <w:szCs w:val="20"/>
              </w:rPr>
              <w:t xml:space="preserve">Before this Statement</w:t>
            </w:r>
          </w:p>
        </w:tc>
        <w:tc>
          <w:tcPr>
            <w:tcW w:type="dxa" w:w="3120"/>
            <w:shd w:fill="EEF3F6" w:val="clear"/>
            <w:tcMar>
              <w:top w:type="dxa" w:w="70"/>
              <w:left w:type="dxa" w:w="120"/>
              <w:bottom w:type="dxa" w:w="70"/>
              <w:right w:type="dxa" w:w="120"/>
            </w:tcMar>
          </w:tcPr>
          <w:p>
            <w:pPr>
              <w:spacing w:after="20" w:line="240"/>
              <w:jc w:val="left"/>
            </w:pPr>
            <w:r>
              <w:rPr>
                <w:rFonts w:ascii="Calibri" w:cs="Calibri" w:eastAsia="Calibri" w:hAnsi="Calibri"/>
                <w:b/>
                <w:bCs/>
                <w:color w:val="37474F"/>
                <w:sz w:val="20"/>
                <w:szCs w:val="20"/>
              </w:rPr>
              <w:t xml:space="preserve">After this Statement</w:t>
            </w:r>
          </w:p>
        </w:tc>
      </w:tr>
      <w:tr>
        <w:tc>
          <w:tcPr>
            <w:tcW w:type="dxa" w:w="312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U.S. additional duties (Proclamations of July 20, 2026, Section 338)</w:t>
            </w:r>
          </w:p>
        </w:tc>
        <w:tc>
          <w:tcPr>
            <w:tcW w:type="dxa" w:w="312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50 percent, in force since August 22, 2026</w:t>
            </w:r>
          </w:p>
        </w:tc>
        <w:tc>
          <w:tcPr>
            <w:tcW w:type="dxa" w:w="312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Suspended in full; HTS instructions issued within 48 hours</w:t>
            </w:r>
          </w:p>
        </w:tc>
      </w:tr>
      <w:tr>
        <w:tc>
          <w:tcPr>
            <w:tcW w:type="dxa" w:w="312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Canadian counter-tariffs (announced August 25, 2026)</w:t>
            </w:r>
          </w:p>
        </w:tc>
        <w:tc>
          <w:tcPr>
            <w:tcW w:type="dxa" w:w="312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15 / 25 / 50 percent, effective September 8, 2026</w:t>
            </w:r>
          </w:p>
        </w:tc>
        <w:tc>
          <w:tcPr>
            <w:tcW w:type="dxa" w:w="312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Suspended before application; matching suspension, matching clock</w:t>
            </w:r>
          </w:p>
        </w:tc>
      </w:tr>
      <w:tr>
        <w:tc>
          <w:tcPr>
            <w:tcW w:type="dxa" w:w="312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New tariffs of any kind</w:t>
            </w:r>
          </w:p>
        </w:tc>
        <w:tc>
          <w:tcPr>
            <w:tcW w:type="dxa" w:w="312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Unconstrained</w:t>
            </w:r>
          </w:p>
        </w:tc>
        <w:tc>
          <w:tcPr>
            <w:tcW w:type="dxa" w:w="312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Prohibited during the stabilization period (Standstill Covenant)</w:t>
            </w:r>
          </w:p>
        </w:tc>
      </w:tr>
    </w:tbl>
    <w:p>
      <w:pPr>
        <w:pStyle w:val="Heading1"/>
        <w:pBdr>
          <w:bottom w:val="single" w:color="B0BEC5" w:sz="6" w:space="4"/>
        </w:pBdr>
        <w:spacing w:after="120" w:before="280" w:line="270"/>
        <w:jc w:val="left"/>
      </w:pPr>
      <w:r>
        <w:rPr>
          <w:rFonts w:ascii="Calibri" w:cs="Calibri" w:eastAsia="Calibri" w:hAnsi="Calibri"/>
          <w:b/>
          <w:bCs/>
          <w:color w:val="37474F"/>
          <w:sz w:val="32"/>
          <w:szCs w:val="32"/>
        </w:rPr>
        <w:t xml:space="preserve">Preamble: Shared Purpose in a Season of Strain</w:t>
      </w:r>
    </w:p>
    <w:p>
      <w:pPr>
        <w:spacing w:after="100" w:line="260"/>
        <w:jc w:val="both"/>
      </w:pPr>
      <w:r>
        <w:rPr>
          <w:rFonts w:ascii="Georgia" w:cs="Georgia" w:eastAsia="Georgia" w:hAnsi="Georgia"/>
          <w:color w:val="212121"/>
          <w:sz w:val="21"/>
          <w:szCs w:val="21"/>
        </w:rPr>
        <w:t xml:space="preserve">Canada and the United States,</w:t>
      </w:r>
    </w:p>
    <w:p>
      <w:pPr>
        <w:spacing w:after="100" w:line="260"/>
        <w:jc w:val="both"/>
      </w:pPr>
      <w:r>
        <w:rPr>
          <w:rFonts w:ascii="Georgia" w:cs="Georgia" w:eastAsia="Georgia" w:hAnsi="Georgia"/>
          <w:color w:val="212121"/>
          <w:sz w:val="21"/>
          <w:szCs w:val="21"/>
        </w:rPr>
        <w:t xml:space="preserve">Meeting at a moment when tariffs of historic size stand in force or stand hours from force between two peoples who built the most successful economic partnership the world has known;</w:t>
      </w:r>
    </w:p>
    <w:p>
      <w:pPr>
        <w:spacing w:after="100" w:line="260"/>
        <w:jc w:val="both"/>
      </w:pPr>
      <w:r>
        <w:rPr>
          <w:rFonts w:ascii="Georgia" w:cs="Georgia" w:eastAsia="Georgia" w:hAnsi="Georgia"/>
          <w:color w:val="212121"/>
          <w:sz w:val="21"/>
          <w:szCs w:val="21"/>
        </w:rPr>
        <w:t xml:space="preserve">Recognizing that their economies are not merely adjacent but interwoven — that the same steel, the same parts, the same energy, and the same hands cross their shared border many times before a single finished product reaches a single family;</w:t>
      </w:r>
    </w:p>
    <w:p>
      <w:pPr>
        <w:spacing w:after="100" w:line="260"/>
        <w:jc w:val="both"/>
      </w:pPr>
      <w:r>
        <w:rPr>
          <w:rFonts w:ascii="Georgia" w:cs="Georgia" w:eastAsia="Georgia" w:hAnsi="Georgia"/>
          <w:color w:val="212121"/>
          <w:sz w:val="21"/>
          <w:szCs w:val="21"/>
        </w:rPr>
        <w:t xml:space="preserve">Recalling that more than four-fifths of the trade between them has continued to move tariff-free even through this dispute, and resolving to protect that foundation rather than squander it;</w:t>
      </w:r>
    </w:p>
    <w:p>
      <w:pPr>
        <w:spacing w:after="100" w:line="260"/>
        <w:jc w:val="both"/>
      </w:pPr>
      <w:r>
        <w:rPr>
          <w:rFonts w:ascii="Georgia" w:cs="Georgia" w:eastAsia="Georgia" w:hAnsi="Georgia"/>
          <w:color w:val="212121"/>
          <w:sz w:val="21"/>
          <w:szCs w:val="21"/>
        </w:rPr>
        <w:t xml:space="preserve">Affirming that each Party acts as a sovereign state, that neither sovereignty nor the protection of language, culture, and supply-managed sectors is a subject of this instrument, and that what is built here rests on mutual benefit or it rests on nothing;</w:t>
      </w:r>
    </w:p>
    <w:p>
      <w:pPr>
        <w:spacing w:after="100" w:line="260"/>
        <w:jc w:val="both"/>
      </w:pPr>
      <w:r>
        <w:rPr>
          <w:rFonts w:ascii="Georgia" w:cs="Georgia" w:eastAsia="Georgia" w:hAnsi="Georgia"/>
          <w:color w:val="212121"/>
          <w:sz w:val="21"/>
          <w:szCs w:val="21"/>
        </w:rPr>
        <w:t xml:space="preserve">Acknowledging that the August talks adjourned without agreement — that negotiators on both sides worked in good faith to the last hour — and that no structure narrow enough to hold what both sides could actually give was yet on the table;</w:t>
      </w:r>
    </w:p>
    <w:p>
      <w:pPr>
        <w:spacing w:after="100" w:line="260"/>
        <w:jc w:val="both"/>
      </w:pPr>
      <w:r>
        <w:rPr>
          <w:rFonts w:ascii="Georgia" w:cs="Georgia" w:eastAsia="Georgia" w:hAnsi="Georgia"/>
          <w:color w:val="212121"/>
          <w:sz w:val="21"/>
          <w:szCs w:val="21"/>
        </w:rPr>
        <w:t xml:space="preserve">Convinced that a short bridge, honestly built, serves their workers and businesses better than a long war, however righteously waged;</w:t>
      </w:r>
    </w:p>
    <w:p>
      <w:pPr>
        <w:spacing w:after="100" w:line="260"/>
        <w:jc w:val="both"/>
      </w:pPr>
      <w:r>
        <w:rPr>
          <w:rFonts w:ascii="Georgia" w:cs="Georgia" w:eastAsia="Georgia" w:hAnsi="Georgia"/>
          <w:color w:val="212121"/>
          <w:sz w:val="21"/>
          <w:szCs w:val="21"/>
        </w:rPr>
        <w:t xml:space="preserve">Agree as follows:</w:t>
      </w:r>
    </w:p>
    <w:p>
      <w:pPr>
        <w:pStyle w:val="Heading1"/>
        <w:pBdr>
          <w:bottom w:val="single" w:color="B0BEC5" w:sz="6" w:space="4"/>
        </w:pBdr>
        <w:spacing w:after="120" w:before="280" w:line="270"/>
        <w:jc w:val="left"/>
      </w:pPr>
      <w:r>
        <w:rPr>
          <w:rFonts w:ascii="Calibri" w:cs="Calibri" w:eastAsia="Calibri" w:hAnsi="Calibri"/>
          <w:b/>
          <w:bCs/>
          <w:color w:val="37474F"/>
          <w:sz w:val="32"/>
          <w:szCs w:val="32"/>
        </w:rPr>
        <w:t xml:space="preserve">Section 1: Immediate Measures — Mutual Suspension of the August and September Tariff Packages</w:t>
      </w:r>
    </w:p>
    <w:p>
      <w:pPr>
        <w:pStyle w:val="Heading2"/>
        <w:spacing w:after="90" w:before="200" w:line="270"/>
        <w:jc w:val="left"/>
      </w:pPr>
      <w:r>
        <w:rPr>
          <w:rFonts w:ascii="Calibri" w:cs="Calibri" w:eastAsia="Calibri" w:hAnsi="Calibri"/>
          <w:b/>
          <w:bCs/>
          <w:color w:val="37474F"/>
          <w:sz w:val="26"/>
          <w:szCs w:val="26"/>
        </w:rPr>
        <w:t xml:space="preserve">1.A  Suspension of the United States Measures</w:t>
      </w:r>
    </w:p>
    <w:p>
      <w:pPr>
        <w:spacing w:after="100" w:line="260"/>
        <w:ind w:left="360"/>
        <w:jc w:val="both"/>
      </w:pPr>
      <w:r>
        <w:rPr>
          <w:rFonts w:ascii="Georgia" w:cs="Georgia" w:eastAsia="Georgia" w:hAnsi="Georgia"/>
          <w:b/>
          <w:bCs/>
          <w:color w:val="212121"/>
          <w:sz w:val="21"/>
          <w:szCs w:val="21"/>
        </w:rPr>
        <w:t xml:space="preserve">1.1   </w:t>
      </w:r>
      <w:r>
        <w:rPr>
          <w:rFonts w:ascii="Georgia" w:cs="Georgia" w:eastAsia="Georgia" w:hAnsi="Georgia"/>
          <w:color w:val="212121"/>
          <w:sz w:val="21"/>
          <w:szCs w:val="21"/>
        </w:rPr>
        <w:t xml:space="preserve">The United States shall suspend, in full, the application of the additional duties of 50 percent imposed on products of Canada by the three Presidential Proclamations of July 20, 2026, issued under Section 338 of the Tariff Act of 1930, which entered into force on August 22, 2026 (the U.S. Suspended Measures).</w:t>
      </w:r>
    </w:p>
    <w:p>
      <w:pPr>
        <w:spacing w:after="100" w:line="260"/>
        <w:ind w:left="360"/>
        <w:jc w:val="both"/>
      </w:pPr>
      <w:r>
        <w:rPr>
          <w:rFonts w:ascii="Georgia" w:cs="Georgia" w:eastAsia="Georgia" w:hAnsi="Georgia"/>
          <w:color w:val="212121"/>
          <w:sz w:val="21"/>
          <w:szCs w:val="21"/>
        </w:rPr>
        <w:t xml:space="preserve">The suspension shall take effect at 12:01 a.m. Eastern Daylight Time on September 9, 2026 (the Suspension Time).</w:t>
      </w:r>
      <w:r>
        <w:rPr>
          <w:rStyle w:val="FootnoteReference"/>
        </w:rPr>
        <w:footnoteReference w:id="1"/>
      </w:r>
    </w:p>
    <w:p>
      <w:pPr>
        <w:pStyle w:val="Heading2"/>
        <w:spacing w:after="90" w:before="200" w:line="270"/>
        <w:jc w:val="left"/>
      </w:pPr>
      <w:r>
        <w:rPr>
          <w:rFonts w:ascii="Calibri" w:cs="Calibri" w:eastAsia="Calibri" w:hAnsi="Calibri"/>
          <w:b/>
          <w:bCs/>
          <w:color w:val="37474F"/>
          <w:sz w:val="26"/>
          <w:szCs w:val="26"/>
        </w:rPr>
        <w:t xml:space="preserve">1.B  Suspension of the Canadian Measures</w:t>
      </w:r>
    </w:p>
    <w:p>
      <w:pPr>
        <w:spacing w:after="100" w:line="260"/>
        <w:ind w:left="360"/>
        <w:jc w:val="both"/>
      </w:pPr>
      <w:r>
        <w:rPr>
          <w:rFonts w:ascii="Georgia" w:cs="Georgia" w:eastAsia="Georgia" w:hAnsi="Georgia"/>
          <w:b/>
          <w:bCs/>
          <w:color w:val="212121"/>
          <w:sz w:val="21"/>
          <w:szCs w:val="21"/>
        </w:rPr>
        <w:t xml:space="preserve">1.2   </w:t>
      </w:r>
      <w:r>
        <w:rPr>
          <w:rFonts w:ascii="Georgia" w:cs="Georgia" w:eastAsia="Georgia" w:hAnsi="Georgia"/>
          <w:color w:val="212121"/>
          <w:sz w:val="21"/>
          <w:szCs w:val="21"/>
        </w:rPr>
        <w:t xml:space="preserve">Canada shall suspend, in full, the counter-tariffs of 15, 25, and 50 percent on products of the United States announced on August 25, 2026, and scheduled to take effect on September 8, 2026 (the Canadian Suspended Measures). If this Statement is adopted before the Canadian Suspended Measures take effect, Canada shall hold them prior to application, such that they do not enter into force at any time. If they have entered into force before the Suspension Time, Canada shall suspend them effective at the Suspension Time, and any duty collected under them shall be refunded in accordance with paragraph 1.4.</w:t>
      </w:r>
    </w:p>
    <w:p>
      <w:pPr>
        <w:spacing w:after="100" w:line="260"/>
        <w:ind w:left="360"/>
        <w:jc w:val="both"/>
      </w:pPr>
      <w:r>
        <w:rPr>
          <w:rFonts w:ascii="Georgia" w:cs="Georgia" w:eastAsia="Georgia" w:hAnsi="Georgia"/>
          <w:color w:val="212121"/>
          <w:sz w:val="21"/>
          <w:szCs w:val="21"/>
        </w:rPr>
        <w:t xml:space="preserve">The suspension of the Canadian Suspended Measures shall take effect at the Suspension Time and shall match, measure for measure and rate for rate, the suspension effected under paragraph 1.1.</w:t>
      </w:r>
      <w:r>
        <w:rPr>
          <w:rStyle w:val="FootnoteReference"/>
        </w:rPr>
        <w:footnoteReference w:id="2"/>
      </w:r>
    </w:p>
    <w:p>
      <w:pPr>
        <w:pStyle w:val="Heading2"/>
        <w:spacing w:after="90" w:before="200" w:line="270"/>
        <w:jc w:val="left"/>
      </w:pPr>
      <w:r>
        <w:rPr>
          <w:rFonts w:ascii="Calibri" w:cs="Calibri" w:eastAsia="Calibri" w:hAnsi="Calibri"/>
          <w:b/>
          <w:bCs/>
          <w:color w:val="37474F"/>
          <w:sz w:val="26"/>
          <w:szCs w:val="26"/>
        </w:rPr>
        <w:t xml:space="preserve">1.C  Customs Implementation</w:t>
      </w:r>
    </w:p>
    <w:p>
      <w:pPr>
        <w:spacing w:after="100" w:line="260"/>
        <w:ind w:left="360"/>
        <w:jc w:val="both"/>
      </w:pPr>
      <w:r>
        <w:rPr>
          <w:rFonts w:ascii="Georgia" w:cs="Georgia" w:eastAsia="Georgia" w:hAnsi="Georgia"/>
          <w:b/>
          <w:bCs/>
          <w:color w:val="212121"/>
          <w:sz w:val="21"/>
          <w:szCs w:val="21"/>
        </w:rPr>
        <w:t xml:space="preserve">1.3   </w:t>
      </w:r>
      <w:r>
        <w:rPr>
          <w:rFonts w:ascii="Georgia" w:cs="Georgia" w:eastAsia="Georgia" w:hAnsi="Georgia"/>
          <w:color w:val="212121"/>
          <w:sz w:val="21"/>
          <w:szCs w:val="21"/>
        </w:rPr>
        <w:t xml:space="preserve">Each Party shall, within twenty-four (24) hours of the issuance of this Statement, issue implementing instructions to its customs administration — for the United States, U.S. Customs and Border Protection; for Canada, the Canada Border Services Agency — and shall, within forty-eight (48) hours, complete the corresponding updates to its tariff schedule and automated systems so that no suspended duty is collected at the border after the Suspension Time.</w:t>
      </w:r>
    </w:p>
    <w:p>
      <w:pPr>
        <w:spacing w:after="100" w:line="260"/>
        <w:ind w:left="360"/>
        <w:jc w:val="both"/>
      </w:pPr>
      <w:r>
        <w:rPr>
          <w:rFonts w:ascii="Georgia" w:cs="Georgia" w:eastAsia="Georgia" w:hAnsi="Georgia"/>
          <w:b/>
          <w:bCs/>
          <w:color w:val="212121"/>
          <w:sz w:val="21"/>
          <w:szCs w:val="21"/>
        </w:rPr>
        <w:t xml:space="preserve">1.4   </w:t>
      </w:r>
      <w:r>
        <w:rPr>
          <w:rFonts w:ascii="Georgia" w:cs="Georgia" w:eastAsia="Georgia" w:hAnsi="Georgia"/>
          <w:color w:val="212121"/>
          <w:sz w:val="21"/>
          <w:szCs w:val="21"/>
        </w:rPr>
        <w:t xml:space="preserve">Where a suspended duty is collected after the Suspension Time by reason of system delay, the collecting Party shall refund it in full, with interest at the rate applicable to duty refunds under its domestic law, no later than thirty (30) days after collection.</w:t>
      </w:r>
    </w:p>
    <w:p>
      <w:pPr>
        <w:spacing w:after="100" w:line="260"/>
        <w:ind w:left="360"/>
        <w:jc w:val="both"/>
      </w:pPr>
      <w:r>
        <w:rPr>
          <w:rFonts w:ascii="Georgia" w:cs="Georgia" w:eastAsia="Georgia" w:hAnsi="Georgia"/>
          <w:b/>
          <w:bCs/>
          <w:color w:val="212121"/>
          <w:sz w:val="21"/>
          <w:szCs w:val="21"/>
        </w:rPr>
        <w:t xml:space="preserve">1.5   </w:t>
      </w:r>
      <w:r>
        <w:rPr>
          <w:rFonts w:ascii="Georgia" w:cs="Georgia" w:eastAsia="Georgia" w:hAnsi="Georgia"/>
          <w:color w:val="212121"/>
          <w:sz w:val="21"/>
          <w:szCs w:val="21"/>
        </w:rPr>
        <w:t xml:space="preserve">Goods in transit at the Suspension Time shall be accorded the benefit of the suspension. Neither Party shall apply a suspended measure to goods that were in transit to its territory on the date that measure was announced.</w:t>
      </w:r>
    </w:p>
    <w:p>
      <w:pPr>
        <w:pStyle w:val="Heading2"/>
        <w:spacing w:after="90" w:before="200" w:line="270"/>
        <w:jc w:val="left"/>
      </w:pPr>
      <w:r>
        <w:rPr>
          <w:rFonts w:ascii="Calibri" w:cs="Calibri" w:eastAsia="Calibri" w:hAnsi="Calibri"/>
          <w:b/>
          <w:bCs/>
          <w:color w:val="37474F"/>
          <w:sz w:val="26"/>
          <w:szCs w:val="26"/>
        </w:rPr>
        <w:t xml:space="preserve">1.D  Verification of Implementation</w:t>
      </w:r>
    </w:p>
    <w:p>
      <w:pPr>
        <w:spacing w:after="100" w:line="260"/>
        <w:ind w:left="360"/>
        <w:jc w:val="both"/>
      </w:pPr>
      <w:r>
        <w:rPr>
          <w:rFonts w:ascii="Georgia" w:cs="Georgia" w:eastAsia="Georgia" w:hAnsi="Georgia"/>
          <w:b/>
          <w:bCs/>
          <w:color w:val="212121"/>
          <w:sz w:val="21"/>
          <w:szCs w:val="21"/>
        </w:rPr>
        <w:t xml:space="preserve">1.6   </w:t>
      </w:r>
      <w:r>
        <w:rPr>
          <w:rFonts w:ascii="Georgia" w:cs="Georgia" w:eastAsia="Georgia" w:hAnsi="Georgia"/>
          <w:color w:val="212121"/>
          <w:sz w:val="21"/>
          <w:szCs w:val="21"/>
        </w:rPr>
        <w:t xml:space="preserve">Each Party shall, within twenty-four (24) hours of the Suspension Time, deliver to the Joint Coordinating Committee written confirmation that its customs administration has implemented the suspension in its automated systems and at its ports of entry, and that the suspended duties are no longer being collected. Upon receipt of both confirmations, the Committee shall publish a joint implementation notice recording that both suspensions are operational at the border. If either confirmation discloses a lapse, the Parties shall treat it as an implementation matter under this paragraph, and not as a breach of the Standstill Covenant, provided it is cured within seventy-two (72) hours.</w:t>
      </w:r>
    </w:p>
    <w:p>
      <w:pPr>
        <w:pStyle w:val="Heading2"/>
        <w:spacing w:after="90" w:before="200" w:line="270"/>
        <w:jc w:val="left"/>
      </w:pPr>
      <w:r>
        <w:rPr>
          <w:rFonts w:ascii="Calibri" w:cs="Calibri" w:eastAsia="Calibri" w:hAnsi="Calibri"/>
          <w:b/>
          <w:bCs/>
          <w:color w:val="37474F"/>
          <w:sz w:val="26"/>
          <w:szCs w:val="26"/>
        </w:rPr>
        <w:t xml:space="preserve">1.E  Legal Character of the Suspension</w:t>
      </w:r>
    </w:p>
    <w:p>
      <w:pPr>
        <w:spacing w:after="100" w:line="260"/>
        <w:ind w:left="360"/>
        <w:jc w:val="both"/>
      </w:pPr>
      <w:r>
        <w:rPr>
          <w:rFonts w:ascii="Georgia" w:cs="Georgia" w:eastAsia="Georgia" w:hAnsi="Georgia"/>
          <w:b/>
          <w:bCs/>
          <w:color w:val="212121"/>
          <w:sz w:val="21"/>
          <w:szCs w:val="21"/>
        </w:rPr>
        <w:t xml:space="preserve">1.7   </w:t>
      </w:r>
      <w:r>
        <w:rPr>
          <w:rFonts w:ascii="Georgia" w:cs="Georgia" w:eastAsia="Georgia" w:hAnsi="Georgia"/>
          <w:color w:val="212121"/>
          <w:sz w:val="21"/>
          <w:szCs w:val="21"/>
        </w:rPr>
        <w:t xml:space="preserve">The suspensions effected under this Section are suspensions and not rescissions. Each suspended measure shall remain promulgated but dormant, and shall not be reactivated except in accordance with Section 4 (Standstill Covenant) and Section 5 (Consultation). A Party shall not condition the suspension of its measures on the prior suspension of the other Party's measures; the two suspensions take effect simultaneously at the Suspension Time.</w:t>
      </w:r>
    </w:p>
    <w:p>
      <w:pPr>
        <w:spacing w:after="100" w:line="260"/>
        <w:ind w:left="360"/>
        <w:jc w:val="both"/>
      </w:pPr>
      <w:r>
        <w:rPr>
          <w:rFonts w:ascii="Georgia" w:cs="Georgia" w:eastAsia="Georgia" w:hAnsi="Georgia"/>
          <w:b/>
          <w:bCs/>
          <w:color w:val="212121"/>
          <w:sz w:val="21"/>
          <w:szCs w:val="21"/>
        </w:rPr>
        <w:t xml:space="preserve">1.8   </w:t>
      </w:r>
      <w:r>
        <w:rPr>
          <w:rFonts w:ascii="Georgia" w:cs="Georgia" w:eastAsia="Georgia" w:hAnsi="Georgia"/>
          <w:color w:val="212121"/>
          <w:sz w:val="21"/>
          <w:szCs w:val="21"/>
        </w:rPr>
        <w:t xml:space="preserve">Nothing in this Statement shall be construed to affect the rights or obligations of either Party under CUSMA, the WTO Agreement, or their respective domestic laws, except as expressly provided herein.</w:t>
      </w:r>
    </w:p>
    <w:p>
      <w:pPr>
        <w:pStyle w:val="Heading2"/>
        <w:spacing w:after="90" w:before="200" w:line="270"/>
        <w:jc w:val="left"/>
      </w:pPr>
      <w:r>
        <w:rPr>
          <w:rFonts w:ascii="Calibri" w:cs="Calibri" w:eastAsia="Calibri" w:hAnsi="Calibri"/>
          <w:b/>
          <w:bCs/>
          <w:color w:val="37474F"/>
          <w:sz w:val="26"/>
          <w:szCs w:val="26"/>
        </w:rPr>
        <w:t xml:space="preserve">1.F  Measures Outside the Suspension</w:t>
      </w:r>
    </w:p>
    <w:p>
      <w:pPr>
        <w:spacing w:after="100" w:line="260"/>
        <w:ind w:left="360"/>
        <w:jc w:val="both"/>
      </w:pPr>
      <w:r>
        <w:rPr>
          <w:rFonts w:ascii="Georgia" w:cs="Georgia" w:eastAsia="Georgia" w:hAnsi="Georgia"/>
          <w:b/>
          <w:bCs/>
          <w:color w:val="212121"/>
          <w:sz w:val="21"/>
          <w:szCs w:val="21"/>
        </w:rPr>
        <w:t xml:space="preserve">1.9   </w:t>
      </w:r>
      <w:r>
        <w:rPr>
          <w:rFonts w:ascii="Georgia" w:cs="Georgia" w:eastAsia="Georgia" w:hAnsi="Georgia"/>
          <w:color w:val="212121"/>
          <w:sz w:val="21"/>
          <w:szCs w:val="21"/>
        </w:rPr>
        <w:t xml:space="preserve">The duties imposed by the United States under Section 232 of the Trade Expansion Act of 1962 on steel, aluminum, and automobiles and parts, and the corresponding Canadian measures, are not suspended by this Statement. The Parties shall address those measures through the accelerated channel established in Section 2, with the objective of an agreed outcome within the ninety-day stabilization period.</w:t>
      </w:r>
    </w:p>
    <w:p>
      <w:pPr>
        <w:spacing w:after="100" w:line="260"/>
        <w:ind w:left="360"/>
        <w:jc w:val="both"/>
      </w:pPr>
      <w:r>
        <w:rPr>
          <w:rFonts w:ascii="Georgia" w:cs="Georgia" w:eastAsia="Georgia" w:hAnsi="Georgia"/>
          <w:b/>
          <w:bCs/>
          <w:color w:val="212121"/>
          <w:sz w:val="21"/>
          <w:szCs w:val="21"/>
        </w:rPr>
        <w:t xml:space="preserve">1.10   </w:t>
      </w:r>
      <w:r>
        <w:rPr>
          <w:rFonts w:ascii="Georgia" w:cs="Georgia" w:eastAsia="Georgia" w:hAnsi="Georgia"/>
          <w:color w:val="212121"/>
          <w:sz w:val="21"/>
          <w:szCs w:val="21"/>
        </w:rPr>
        <w:t xml:space="preserve">Neither Party shall treat the other Party's compliance with this Section as a waiver of any position taken in any pending or future dispute settlement proceeding, including proceedings concerning the measures suspended hereunder.</w:t>
      </w:r>
    </w:p>
    <w:p>
      <w:pPr>
        <w:pStyle w:val="Heading1"/>
        <w:pBdr>
          <w:bottom w:val="single" w:color="B0BEC5" w:sz="6" w:space="4"/>
        </w:pBdr>
        <w:spacing w:after="120" w:before="280" w:line="270"/>
        <w:jc w:val="left"/>
      </w:pPr>
      <w:r>
        <w:rPr>
          <w:rFonts w:ascii="Calibri" w:cs="Calibri" w:eastAsia="Calibri" w:hAnsi="Calibri"/>
          <w:b/>
          <w:bCs/>
          <w:color w:val="37474F"/>
          <w:sz w:val="32"/>
          <w:szCs w:val="32"/>
        </w:rPr>
        <w:t xml:space="preserve">Section 2: The Ninety-Day Stabilization and Modernization Roadmap</w:t>
      </w:r>
    </w:p>
    <w:p>
      <w:pPr>
        <w:spacing w:after="100" w:line="260"/>
        <w:jc w:val="both"/>
      </w:pPr>
      <w:r>
        <w:rPr>
          <w:rFonts w:ascii="Georgia" w:cs="Georgia" w:eastAsia="Georgia" w:hAnsi="Georgia"/>
          <w:color w:val="212121"/>
          <w:sz w:val="21"/>
          <w:szCs w:val="21"/>
        </w:rPr>
        <w:t xml:space="preserve">The stabilization period runs for ninety (90) days from the Suspension Time — from September 9, 2026, through December 8, 2026. Within it, the Parties move in four phases. Each phase has a date, an owner, and a deliverable. Nothing in the roadmap waits for perfection; each phase produces something ministers can sign.</w:t>
      </w:r>
    </w:p>
    <w:p>
      <w:pPr>
        <w:pStyle w:val="Heading2"/>
        <w:spacing w:after="90" w:before="200" w:line="270"/>
        <w:jc w:val="left"/>
      </w:pPr>
      <w:r>
        <w:rPr>
          <w:rFonts w:ascii="Calibri" w:cs="Calibri" w:eastAsia="Calibri" w:hAnsi="Calibri"/>
          <w:b/>
          <w:bCs/>
          <w:color w:val="37474F"/>
          <w:sz w:val="26"/>
          <w:szCs w:val="26"/>
        </w:rPr>
        <w:t xml:space="preserve">2.A  Phase One — Standstill and Stand-Up (Days 0–10)</w:t>
      </w:r>
    </w:p>
    <w:p>
      <w:pPr>
        <w:pStyle w:val="ListParagraph"/>
        <w:numPr>
          <w:ilvl w:val="0"/>
          <w:numId w:val="2"/>
        </w:numPr>
        <w:spacing w:after="100" w:line="260"/>
        <w:jc w:val="both"/>
      </w:pPr>
      <w:r>
        <w:rPr>
          <w:rFonts w:ascii="Georgia" w:cs="Georgia" w:eastAsia="Georgia" w:hAnsi="Georgia"/>
          <w:color w:val="212121"/>
          <w:sz w:val="21"/>
          <w:szCs w:val="21"/>
        </w:rPr>
        <w:t xml:space="preserve">The suspensions of Section 1 take effect and hold. The border returns to its pre-August duty treatment for the suspended lines.</w:t>
      </w:r>
    </w:p>
    <w:p>
      <w:pPr>
        <w:pStyle w:val="ListParagraph"/>
        <w:numPr>
          <w:ilvl w:val="0"/>
          <w:numId w:val="2"/>
        </w:numPr>
        <w:spacing w:after="100" w:line="260"/>
        <w:jc w:val="both"/>
      </w:pPr>
      <w:r>
        <w:rPr>
          <w:rFonts w:ascii="Georgia" w:cs="Georgia" w:eastAsia="Georgia" w:hAnsi="Georgia"/>
          <w:color w:val="212121"/>
          <w:sz w:val="21"/>
          <w:szCs w:val="21"/>
        </w:rPr>
        <w:t xml:space="preserve">The five working groups of Section 3 convene their first sessions no later than September 17, 2026, each with named co-chairs and agreed terms of reference as set out in Annex B.</w:t>
      </w:r>
    </w:p>
    <w:p>
      <w:pPr>
        <w:pStyle w:val="ListParagraph"/>
        <w:numPr>
          <w:ilvl w:val="0"/>
          <w:numId w:val="2"/>
        </w:numPr>
        <w:spacing w:after="100" w:line="260"/>
        <w:jc w:val="both"/>
      </w:pPr>
      <w:r>
        <w:rPr>
          <w:rFonts w:ascii="Georgia" w:cs="Georgia" w:eastAsia="Georgia" w:hAnsi="Georgia"/>
          <w:color w:val="212121"/>
          <w:sz w:val="21"/>
          <w:szCs w:val="21"/>
        </w:rPr>
        <w:t xml:space="preserve">The Parties exchange complete, current tariff and measure inventories — every duty, remission order, and exclusion in force between them — so that both sides negotiate from one shared ledger.</w:t>
      </w:r>
    </w:p>
    <w:p>
      <w:pPr>
        <w:pStyle w:val="ListParagraph"/>
        <w:numPr>
          <w:ilvl w:val="0"/>
          <w:numId w:val="2"/>
        </w:numPr>
        <w:spacing w:after="100" w:line="260"/>
        <w:jc w:val="both"/>
      </w:pPr>
      <w:r>
        <w:rPr>
          <w:rFonts w:ascii="Georgia" w:cs="Georgia" w:eastAsia="Georgia" w:hAnsi="Georgia"/>
          <w:color w:val="212121"/>
          <w:sz w:val="21"/>
          <w:szCs w:val="21"/>
        </w:rPr>
        <w:t xml:space="preserve">The Joint Coordinating Committee (Section 5) holds its first principals' call and sets the weekly rhythm for the period.</w:t>
      </w:r>
    </w:p>
    <w:p>
      <w:pPr>
        <w:pStyle w:val="Heading2"/>
        <w:spacing w:after="90" w:before="200" w:line="270"/>
        <w:jc w:val="left"/>
      </w:pPr>
      <w:r>
        <w:rPr>
          <w:rFonts w:ascii="Calibri" w:cs="Calibri" w:eastAsia="Calibri" w:hAnsi="Calibri"/>
          <w:b/>
          <w:bCs/>
          <w:color w:val="37474F"/>
          <w:sz w:val="26"/>
          <w:szCs w:val="26"/>
        </w:rPr>
        <w:t xml:space="preserve">2.B  Phase Two — Technical Baselines (Days 10–30)</w:t>
      </w:r>
    </w:p>
    <w:p>
      <w:pPr>
        <w:pStyle w:val="ListParagraph"/>
        <w:numPr>
          <w:ilvl w:val="0"/>
          <w:numId w:val="2"/>
        </w:numPr>
        <w:spacing w:after="100" w:line="260"/>
        <w:jc w:val="both"/>
      </w:pPr>
      <w:r>
        <w:rPr>
          <w:rFonts w:ascii="Georgia" w:cs="Georgia" w:eastAsia="Georgia" w:hAnsi="Georgia"/>
          <w:color w:val="212121"/>
          <w:sz w:val="21"/>
          <w:szCs w:val="21"/>
        </w:rPr>
        <w:t xml:space="preserve">The automotive group tables draft documentation and audit standards for core-parts originating status, respecting the existing CUSMA panel ruling on the roll-up methodology.</w:t>
      </w:r>
    </w:p>
    <w:p>
      <w:pPr>
        <w:pStyle w:val="ListParagraph"/>
        <w:numPr>
          <w:ilvl w:val="0"/>
          <w:numId w:val="2"/>
        </w:numPr>
        <w:spacing w:after="100" w:line="260"/>
        <w:jc w:val="both"/>
      </w:pPr>
      <w:r>
        <w:rPr>
          <w:rFonts w:ascii="Georgia" w:cs="Georgia" w:eastAsia="Georgia" w:hAnsi="Georgia"/>
          <w:color w:val="212121"/>
          <w:sz w:val="21"/>
          <w:szCs w:val="21"/>
        </w:rPr>
        <w:t xml:space="preserve">The customs group scopes a single-window interoperability pilot at two land ports and one air gateway, and reports on trusted-trader reciprocity.</w:t>
      </w:r>
    </w:p>
    <w:p>
      <w:pPr>
        <w:pStyle w:val="ListParagraph"/>
        <w:numPr>
          <w:ilvl w:val="0"/>
          <w:numId w:val="2"/>
        </w:numPr>
        <w:spacing w:after="100" w:line="260"/>
        <w:jc w:val="both"/>
      </w:pPr>
      <w:r>
        <w:rPr>
          <w:rFonts w:ascii="Georgia" w:cs="Georgia" w:eastAsia="Georgia" w:hAnsi="Georgia"/>
          <w:color w:val="212121"/>
          <w:sz w:val="21"/>
          <w:szCs w:val="21"/>
        </w:rPr>
        <w:t xml:space="preserve">The digital group exchanges draft principles on cross-border data flows, cloud reciprocity, and AI governance dialogue.</w:t>
      </w:r>
    </w:p>
    <w:p>
      <w:pPr>
        <w:pStyle w:val="ListParagraph"/>
        <w:numPr>
          <w:ilvl w:val="0"/>
          <w:numId w:val="2"/>
        </w:numPr>
        <w:spacing w:after="100" w:line="260"/>
        <w:jc w:val="both"/>
      </w:pPr>
      <w:r>
        <w:rPr>
          <w:rFonts w:ascii="Georgia" w:cs="Georgia" w:eastAsia="Georgia" w:hAnsi="Georgia"/>
          <w:color w:val="212121"/>
          <w:sz w:val="21"/>
          <w:szCs w:val="21"/>
        </w:rPr>
        <w:t xml:space="preserve">The accelerated channel on Section 232 measures holds its first ministerial-level session, with steel and aluminum tariff-rate arrangements on the table.</w:t>
      </w:r>
    </w:p>
    <w:p>
      <w:pPr>
        <w:pStyle w:val="Heading2"/>
        <w:spacing w:after="90" w:before="200" w:line="270"/>
        <w:jc w:val="left"/>
      </w:pPr>
      <w:r>
        <w:rPr>
          <w:rFonts w:ascii="Calibri" w:cs="Calibri" w:eastAsia="Calibri" w:hAnsi="Calibri"/>
          <w:b/>
          <w:bCs/>
          <w:color w:val="37474F"/>
          <w:sz w:val="26"/>
          <w:szCs w:val="26"/>
        </w:rPr>
        <w:t xml:space="preserve">2.C  Phase Three — Interim Deliverables (Days 30–60)</w:t>
      </w:r>
    </w:p>
    <w:p>
      <w:pPr>
        <w:pStyle w:val="ListParagraph"/>
        <w:numPr>
          <w:ilvl w:val="0"/>
          <w:numId w:val="2"/>
        </w:numPr>
        <w:spacing w:after="100" w:line="260"/>
        <w:jc w:val="both"/>
      </w:pPr>
      <w:r>
        <w:rPr>
          <w:rFonts w:ascii="Georgia" w:cs="Georgia" w:eastAsia="Georgia" w:hAnsi="Georgia"/>
          <w:color w:val="212121"/>
          <w:sz w:val="21"/>
          <w:szCs w:val="21"/>
        </w:rPr>
        <w:t xml:space="preserve">Ministers receive and, if ready, sign an administrative understanding on automotive origin documentation and audit standards.</w:t>
      </w:r>
    </w:p>
    <w:p>
      <w:pPr>
        <w:pStyle w:val="ListParagraph"/>
        <w:numPr>
          <w:ilvl w:val="0"/>
          <w:numId w:val="2"/>
        </w:numPr>
        <w:spacing w:after="100" w:line="260"/>
        <w:jc w:val="both"/>
      </w:pPr>
      <w:r>
        <w:rPr>
          <w:rFonts w:ascii="Georgia" w:cs="Georgia" w:eastAsia="Georgia" w:hAnsi="Georgia"/>
          <w:color w:val="212121"/>
          <w:sz w:val="21"/>
          <w:szCs w:val="21"/>
        </w:rPr>
        <w:t xml:space="preserve">Ministers receive a digital trade principles text and a procurement transparency pilot design.</w:t>
      </w:r>
    </w:p>
    <w:p>
      <w:pPr>
        <w:pStyle w:val="ListParagraph"/>
        <w:numPr>
          <w:ilvl w:val="0"/>
          <w:numId w:val="2"/>
        </w:numPr>
        <w:spacing w:after="100" w:line="260"/>
        <w:jc w:val="both"/>
      </w:pPr>
      <w:r>
        <w:rPr>
          <w:rFonts w:ascii="Georgia" w:cs="Georgia" w:eastAsia="Georgia" w:hAnsi="Georgia"/>
          <w:color w:val="212121"/>
          <w:sz w:val="21"/>
          <w:szCs w:val="21"/>
        </w:rPr>
        <w:t xml:space="preserve">The labor and environment group delivers its joint work plan, including wildfire-season cooperation protocols for 2027.</w:t>
      </w:r>
    </w:p>
    <w:p>
      <w:pPr>
        <w:pStyle w:val="ListParagraph"/>
        <w:numPr>
          <w:ilvl w:val="0"/>
          <w:numId w:val="2"/>
        </w:numPr>
        <w:spacing w:after="100" w:line="260"/>
        <w:jc w:val="both"/>
      </w:pPr>
      <w:r>
        <w:rPr>
          <w:rFonts w:ascii="Georgia" w:cs="Georgia" w:eastAsia="Georgia" w:hAnsi="Georgia"/>
          <w:color w:val="212121"/>
          <w:sz w:val="21"/>
          <w:szCs w:val="21"/>
        </w:rPr>
        <w:t xml:space="preserve">Negotiators begin converting this Statement into the formal Interim Trade Stabilization Agreement, article by article.</w:t>
      </w:r>
    </w:p>
    <w:p>
      <w:pPr>
        <w:pStyle w:val="Heading2"/>
        <w:spacing w:after="90" w:before="200" w:line="270"/>
        <w:jc w:val="left"/>
      </w:pPr>
      <w:r>
        <w:rPr>
          <w:rFonts w:ascii="Calibri" w:cs="Calibri" w:eastAsia="Calibri" w:hAnsi="Calibri"/>
          <w:b/>
          <w:bCs/>
          <w:color w:val="37474F"/>
          <w:sz w:val="26"/>
          <w:szCs w:val="26"/>
        </w:rPr>
        <w:t xml:space="preserve">2.D  Phase Four — Consolidation (Days 60–90)</w:t>
      </w:r>
    </w:p>
    <w:p>
      <w:pPr>
        <w:pStyle w:val="ListParagraph"/>
        <w:numPr>
          <w:ilvl w:val="0"/>
          <w:numId w:val="2"/>
        </w:numPr>
        <w:spacing w:after="100" w:line="260"/>
        <w:jc w:val="both"/>
      </w:pPr>
      <w:r>
        <w:rPr>
          <w:rFonts w:ascii="Georgia" w:cs="Georgia" w:eastAsia="Georgia" w:hAnsi="Georgia"/>
          <w:color w:val="212121"/>
          <w:sz w:val="21"/>
          <w:szCs w:val="21"/>
        </w:rPr>
        <w:t xml:space="preserve">The Parties sign the formal Interim Trade Stabilization Agreement, targeted for on or before October 22, 2026.</w:t>
      </w:r>
    </w:p>
    <w:p>
      <w:pPr>
        <w:pStyle w:val="ListParagraph"/>
        <w:numPr>
          <w:ilvl w:val="0"/>
          <w:numId w:val="2"/>
        </w:numPr>
        <w:spacing w:after="100" w:line="260"/>
        <w:jc w:val="both"/>
      </w:pPr>
      <w:r>
        <w:rPr>
          <w:rFonts w:ascii="Georgia" w:cs="Georgia" w:eastAsia="Georgia" w:hAnsi="Georgia"/>
          <w:color w:val="212121"/>
          <w:sz w:val="21"/>
          <w:szCs w:val="21"/>
        </w:rPr>
        <w:t xml:space="preserve">The accelerated channel delivers its recommendation on Section 232 measures; whatever the outcome, the Standstill Covenant continues to govern all other lines.</w:t>
      </w:r>
    </w:p>
    <w:p>
      <w:pPr>
        <w:pStyle w:val="ListParagraph"/>
        <w:numPr>
          <w:ilvl w:val="0"/>
          <w:numId w:val="2"/>
        </w:numPr>
        <w:spacing w:after="100" w:line="260"/>
        <w:jc w:val="both"/>
      </w:pPr>
      <w:r>
        <w:rPr>
          <w:rFonts w:ascii="Georgia" w:cs="Georgia" w:eastAsia="Georgia" w:hAnsi="Georgia"/>
          <w:color w:val="212121"/>
          <w:sz w:val="21"/>
          <w:szCs w:val="21"/>
        </w:rPr>
        <w:t xml:space="preserve">The Parties hold the trilateral ministerial with Mexico (Section 6) and decide whether the roadmap extends into the modular modernization annexes — digital, customs, automotive, competitiveness, labor, and environment — as the substantive long-term agenda.</w:t>
      </w:r>
    </w:p>
    <w:p>
      <w:pPr>
        <w:pStyle w:val="Heading2"/>
        <w:spacing w:after="90" w:before="200" w:line="270"/>
        <w:jc w:val="left"/>
      </w:pPr>
      <w:r>
        <w:rPr>
          <w:rFonts w:ascii="Calibri" w:cs="Calibri" w:eastAsia="Calibri" w:hAnsi="Calibri"/>
          <w:b/>
          <w:bCs/>
          <w:color w:val="37474F"/>
          <w:sz w:val="26"/>
          <w:szCs w:val="26"/>
        </w:rPr>
        <w:t xml:space="preserve">2.E  Milestone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rPr>
          <w:tblHeader/>
        </w:trPr>
        <w:tc>
          <w:tcPr>
            <w:tcW w:type="dxa" w:w="1500"/>
            <w:shd w:fill="EEF3F6" w:val="clear"/>
            <w:tcMar>
              <w:top w:type="dxa" w:w="70"/>
              <w:left w:type="dxa" w:w="120"/>
              <w:bottom w:type="dxa" w:w="70"/>
              <w:right w:type="dxa" w:w="120"/>
            </w:tcMar>
          </w:tcPr>
          <w:p>
            <w:pPr>
              <w:spacing w:after="20" w:line="240"/>
              <w:jc w:val="left"/>
            </w:pPr>
            <w:r>
              <w:rPr>
                <w:rFonts w:ascii="Calibri" w:cs="Calibri" w:eastAsia="Calibri" w:hAnsi="Calibri"/>
                <w:b/>
                <w:bCs/>
                <w:color w:val="37474F"/>
                <w:sz w:val="20"/>
                <w:szCs w:val="20"/>
              </w:rPr>
              <w:t xml:space="preserve">Date</w:t>
            </w:r>
          </w:p>
        </w:tc>
        <w:tc>
          <w:tcPr>
            <w:tcW w:type="dxa" w:w="1800"/>
            <w:shd w:fill="EEF3F6" w:val="clear"/>
            <w:tcMar>
              <w:top w:type="dxa" w:w="70"/>
              <w:left w:type="dxa" w:w="120"/>
              <w:bottom w:type="dxa" w:w="70"/>
              <w:right w:type="dxa" w:w="120"/>
            </w:tcMar>
          </w:tcPr>
          <w:p>
            <w:pPr>
              <w:spacing w:after="20" w:line="240"/>
              <w:jc w:val="left"/>
            </w:pPr>
            <w:r>
              <w:rPr>
                <w:rFonts w:ascii="Calibri" w:cs="Calibri" w:eastAsia="Calibri" w:hAnsi="Calibri"/>
                <w:b/>
                <w:bCs/>
                <w:color w:val="37474F"/>
                <w:sz w:val="20"/>
                <w:szCs w:val="20"/>
              </w:rPr>
              <w:t xml:space="preserve">Phase</w:t>
            </w:r>
          </w:p>
        </w:tc>
        <w:tc>
          <w:tcPr>
            <w:tcW w:type="dxa" w:w="6060"/>
            <w:shd w:fill="EEF3F6" w:val="clear"/>
            <w:tcMar>
              <w:top w:type="dxa" w:w="70"/>
              <w:left w:type="dxa" w:w="120"/>
              <w:bottom w:type="dxa" w:w="70"/>
              <w:right w:type="dxa" w:w="120"/>
            </w:tcMar>
          </w:tcPr>
          <w:p>
            <w:pPr>
              <w:spacing w:after="20" w:line="240"/>
              <w:jc w:val="left"/>
            </w:pPr>
            <w:r>
              <w:rPr>
                <w:rFonts w:ascii="Calibri" w:cs="Calibri" w:eastAsia="Calibri" w:hAnsi="Calibri"/>
                <w:b/>
                <w:bCs/>
                <w:color w:val="37474F"/>
                <w:sz w:val="20"/>
                <w:szCs w:val="20"/>
              </w:rPr>
              <w:t xml:space="preserve">Milestone</w:t>
            </w:r>
          </w:p>
        </w:tc>
      </w:tr>
      <w:tr>
        <w:tc>
          <w:tcPr>
            <w:tcW w:type="dxa" w:w="150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Sep 9, 2026</w:t>
            </w:r>
          </w:p>
        </w:tc>
        <w:tc>
          <w:tcPr>
            <w:tcW w:type="dxa" w:w="180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One</w:t>
            </w:r>
          </w:p>
        </w:tc>
        <w:tc>
          <w:tcPr>
            <w:tcW w:type="dxa" w:w="606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Suspension Time; both tariff packages dormant</w:t>
            </w:r>
          </w:p>
        </w:tc>
      </w:tr>
      <w:tr>
        <w:tc>
          <w:tcPr>
            <w:tcW w:type="dxa" w:w="150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Sep 17, 2026</w:t>
            </w:r>
          </w:p>
        </w:tc>
        <w:tc>
          <w:tcPr>
            <w:tcW w:type="dxa" w:w="180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One</w:t>
            </w:r>
          </w:p>
        </w:tc>
        <w:tc>
          <w:tcPr>
            <w:tcW w:type="dxa" w:w="606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All five working groups convened; co-chairs named; tariff inventory exchanged</w:t>
            </w:r>
          </w:p>
        </w:tc>
      </w:tr>
      <w:tr>
        <w:tc>
          <w:tcPr>
            <w:tcW w:type="dxa" w:w="150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Sep 19, 2026</w:t>
            </w:r>
          </w:p>
        </w:tc>
        <w:tc>
          <w:tcPr>
            <w:tcW w:type="dxa" w:w="180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Two</w:t>
            </w:r>
          </w:p>
        </w:tc>
        <w:tc>
          <w:tcPr>
            <w:tcW w:type="dxa" w:w="606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Accelerated channel on Section 232 measures holds its first session</w:t>
            </w:r>
          </w:p>
        </w:tc>
      </w:tr>
      <w:tr>
        <w:tc>
          <w:tcPr>
            <w:tcW w:type="dxa" w:w="150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Oct 9, 2026</w:t>
            </w:r>
          </w:p>
        </w:tc>
        <w:tc>
          <w:tcPr>
            <w:tcW w:type="dxa" w:w="180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Two</w:t>
            </w:r>
          </w:p>
        </w:tc>
        <w:tc>
          <w:tcPr>
            <w:tcW w:type="dxa" w:w="606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Auto documentation draft, customs pilot scope, and 232 options paper tabled</w:t>
            </w:r>
          </w:p>
        </w:tc>
      </w:tr>
      <w:tr>
        <w:tc>
          <w:tcPr>
            <w:tcW w:type="dxa" w:w="150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Oct 22, 2026</w:t>
            </w:r>
          </w:p>
        </w:tc>
        <w:tc>
          <w:tcPr>
            <w:tcW w:type="dxa" w:w="180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Four</w:t>
            </w:r>
          </w:p>
        </w:tc>
        <w:tc>
          <w:tcPr>
            <w:tcW w:type="dxa" w:w="606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Target signature: formal Interim Trade Stabilization Agreement</w:t>
            </w:r>
          </w:p>
        </w:tc>
      </w:tr>
      <w:tr>
        <w:tc>
          <w:tcPr>
            <w:tcW w:type="dxa" w:w="150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Oct 30, 2026</w:t>
            </w:r>
          </w:p>
        </w:tc>
        <w:tc>
          <w:tcPr>
            <w:tcW w:type="dxa" w:w="180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Four</w:t>
            </w:r>
          </w:p>
        </w:tc>
        <w:tc>
          <w:tcPr>
            <w:tcW w:type="dxa" w:w="606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Trilateral ministerial with Mexico (target)</w:t>
            </w:r>
          </w:p>
        </w:tc>
      </w:tr>
      <w:tr>
        <w:tc>
          <w:tcPr>
            <w:tcW w:type="dxa" w:w="150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Nov 22, 2026</w:t>
            </w:r>
          </w:p>
        </w:tc>
        <w:tc>
          <w:tcPr>
            <w:tcW w:type="dxa" w:w="180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Four</w:t>
            </w:r>
          </w:p>
        </w:tc>
        <w:tc>
          <w:tcPr>
            <w:tcW w:type="dxa" w:w="606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Accelerated channel delivers final ministerial recommendation on 232 measures</w:t>
            </w:r>
          </w:p>
        </w:tc>
      </w:tr>
      <w:tr>
        <w:tc>
          <w:tcPr>
            <w:tcW w:type="dxa" w:w="150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Dec 8, 2026</w:t>
            </w:r>
          </w:p>
        </w:tc>
        <w:tc>
          <w:tcPr>
            <w:tcW w:type="dxa" w:w="180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Close</w:t>
            </w:r>
          </w:p>
        </w:tc>
        <w:tc>
          <w:tcPr>
            <w:tcW w:type="dxa" w:w="606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Stabilization period ends; Parties renew, extend, or succeed by the Interim Agreement</w:t>
            </w:r>
          </w:p>
        </w:tc>
      </w:tr>
    </w:tbl>
    <w:p>
      <w:pPr>
        <w:pStyle w:val="Heading2"/>
        <w:spacing w:after="90" w:before="200" w:line="270"/>
        <w:jc w:val="left"/>
      </w:pPr>
      <w:r>
        <w:rPr>
          <w:rFonts w:ascii="Calibri" w:cs="Calibri" w:eastAsia="Calibri" w:hAnsi="Calibri"/>
          <w:b/>
          <w:bCs/>
          <w:color w:val="37474F"/>
          <w:sz w:val="26"/>
          <w:szCs w:val="26"/>
        </w:rPr>
        <w:t xml:space="preserve">2.F  The Accelerated Channel on Section 232 Measures</w:t>
      </w:r>
    </w:p>
    <w:p>
      <w:pPr>
        <w:spacing w:after="100" w:line="260"/>
        <w:jc w:val="both"/>
      </w:pPr>
      <w:r>
        <w:rPr>
          <w:rFonts w:ascii="Georgia" w:cs="Georgia" w:eastAsia="Georgia" w:hAnsi="Georgia"/>
          <w:color w:val="212121"/>
          <w:sz w:val="21"/>
          <w:szCs w:val="21"/>
        </w:rPr>
        <w:t xml:space="preserve">The accelerated channel is led, for Canada, by the Minister responsible for Canada–United States Trade or the Minister's designate, and, for the United States, by the United States Trade Representative jointly with the Secretary of Commerce, or their designates. It holds its first session no later than September 19, 2026; delivers a written options paper — covering tariff-rate arrangements, exclusion and quota designs, and audit cooperation for steel, aluminum, and automobiles and parts — no later than October 9, 2026; and submits a final, decision-ready recommendation to ministers no later than November 22, 2026. The channel carries no predetermined outcome: its obligation is to deliver options and a recommendation on schedule, not to manufacture agreement. If no recommendation commands both sides, the channel reports the options and the points of divergence, and the Section 232 measures remain governed by paragraph 1.9.</w:t>
      </w:r>
    </w:p>
    <w:p>
      <w:pPr>
        <w:pStyle w:val="Heading1"/>
        <w:pBdr>
          <w:bottom w:val="single" w:color="B0BEC5" w:sz="6" w:space="4"/>
        </w:pBdr>
        <w:spacing w:after="120" w:before="280" w:line="270"/>
        <w:jc w:val="left"/>
      </w:pPr>
      <w:r>
        <w:rPr>
          <w:rFonts w:ascii="Calibri" w:cs="Calibri" w:eastAsia="Calibri" w:hAnsi="Calibri"/>
          <w:b/>
          <w:bCs/>
          <w:color w:val="37474F"/>
          <w:sz w:val="32"/>
          <w:szCs w:val="32"/>
        </w:rPr>
        <w:t xml:space="preserve">Section 3: Working Group Mandates</w:t>
      </w:r>
    </w:p>
    <w:p>
      <w:pPr>
        <w:spacing w:after="100" w:line="260"/>
        <w:jc w:val="both"/>
      </w:pPr>
      <w:r>
        <w:rPr>
          <w:rFonts w:ascii="Georgia" w:cs="Georgia" w:eastAsia="Georgia" w:hAnsi="Georgia"/>
          <w:color w:val="212121"/>
          <w:sz w:val="21"/>
          <w:szCs w:val="21"/>
        </w:rPr>
        <w:t xml:space="preserve">Five standing working groups carry the substance of the stabilization period. Each is co-chaired at the deputy-minister or deputy-USTR level, meets in continuous session by secure video with monthly in-person sessions alternating between Ottawa and Washington, and owes ministers a written deliverable on the date fixed in Annex B. Each group may create technical sub-groups; none may create new obligations beyond its mandate. A working group that reaches no agreement by its deadline delivers instead a joint statement of the unresolved issues, the competing options, and its recommended next steps — every deadline obliges output, not concession.</w:t>
      </w:r>
    </w:p>
    <w:p>
      <w:pPr>
        <w:pStyle w:val="Heading2"/>
        <w:spacing w:after="90" w:before="200" w:line="270"/>
        <w:jc w:val="left"/>
      </w:pPr>
      <w:r>
        <w:rPr>
          <w:rFonts w:ascii="Calibri" w:cs="Calibri" w:eastAsia="Calibri" w:hAnsi="Calibri"/>
          <w:b/>
          <w:bCs/>
          <w:color w:val="37474F"/>
          <w:sz w:val="26"/>
          <w:szCs w:val="26"/>
        </w:rPr>
        <w:t xml:space="preserve">3.1  Automotive Rules of Origin Working Group</w:t>
      </w:r>
    </w:p>
    <w:p>
      <w:pPr>
        <w:spacing w:after="100" w:line="260"/>
        <w:jc w:val="both"/>
      </w:pPr>
      <w:r>
        <w:rPr>
          <w:rFonts w:ascii="Georgia" w:cs="Georgia" w:eastAsia="Georgia" w:hAnsi="Georgia"/>
          <w:b/>
          <w:bCs/>
          <w:color w:val="212121"/>
          <w:sz w:val="21"/>
          <w:szCs w:val="21"/>
        </w:rPr>
        <w:t xml:space="preserve">Mandate. </w:t>
      </w:r>
      <w:r>
        <w:rPr>
          <w:rFonts w:ascii="Georgia" w:cs="Georgia" w:eastAsia="Georgia" w:hAnsi="Georgia"/>
          <w:color w:val="212121"/>
          <w:sz w:val="21"/>
          <w:szCs w:val="21"/>
        </w:rPr>
        <w:t xml:space="preserve">Resolve the core-parts question that remained unresolved at the conclusion of the August talks: the treatment, for purposes of the passenger-vehicle regional value content calculation, of core parts that meet their own 75 percent content threshold. The group develops documentation, audit, and verification standards that give customs administrations on both sides a single, administrable test.</w:t>
      </w:r>
    </w:p>
    <w:p>
      <w:pPr>
        <w:spacing w:after="100" w:line="260"/>
        <w:jc w:val="both"/>
      </w:pPr>
      <w:r>
        <w:rPr>
          <w:rFonts w:ascii="Georgia" w:cs="Georgia" w:eastAsia="Georgia" w:hAnsi="Georgia"/>
          <w:b/>
          <w:bCs/>
          <w:color w:val="212121"/>
          <w:sz w:val="21"/>
          <w:szCs w:val="21"/>
        </w:rPr>
        <w:t xml:space="preserve">Governing constraint. </w:t>
      </w:r>
      <w:r>
        <w:rPr>
          <w:rFonts w:ascii="Georgia" w:cs="Georgia" w:eastAsia="Georgia" w:hAnsi="Georgia"/>
          <w:color w:val="212121"/>
          <w:sz w:val="21"/>
          <w:szCs w:val="21"/>
        </w:rPr>
        <w:t xml:space="preserve">The group respects, and does not reopen, the existing CUSMA panel ruling on the roll-up methodology.</w:t>
      </w:r>
      <w:r>
        <w:rPr>
          <w:rStyle w:val="FootnoteReference"/>
        </w:rPr>
        <w:footnoteReference w:id="3"/>
      </w:r>
      <w:r>
        <w:rPr>
          <w:rFonts w:ascii="Georgia" w:cs="Georgia" w:eastAsia="Georgia" w:hAnsi="Georgia"/>
          <w:color w:val="212121"/>
          <w:sz w:val="21"/>
          <w:szCs w:val="21"/>
        </w:rPr>
        <w:t xml:space="preserve"> Canada is open to technical clarification of documentation and audit practice; the United States receives the clarity and verifiability it seeks through those standards rather than through reinterpretation of the ruling. Neither Party asks the other to concede what a panel has already decided.</w:t>
      </w:r>
    </w:p>
    <w:p>
      <w:pPr>
        <w:spacing w:after="100" w:line="260"/>
        <w:jc w:val="both"/>
      </w:pPr>
      <w:r>
        <w:rPr>
          <w:rFonts w:ascii="Georgia" w:cs="Georgia" w:eastAsia="Georgia" w:hAnsi="Georgia"/>
          <w:b/>
          <w:bCs/>
          <w:color w:val="212121"/>
          <w:sz w:val="21"/>
          <w:szCs w:val="21"/>
        </w:rPr>
        <w:t xml:space="preserve">Deliverable. </w:t>
      </w:r>
      <w:r>
        <w:rPr>
          <w:rFonts w:ascii="Georgia" w:cs="Georgia" w:eastAsia="Georgia" w:hAnsi="Georgia"/>
          <w:color w:val="212121"/>
          <w:sz w:val="21"/>
          <w:szCs w:val="21"/>
        </w:rPr>
        <w:t xml:space="preserve">An administrative understanding on origin documentation, audit standards, and verification procedure, ready for ministerial signature by October 9, 2026, with an electric-vehicle battery-content documentation module following by November 8, 2026.</w:t>
      </w:r>
    </w:p>
    <w:p>
      <w:pPr>
        <w:pStyle w:val="Heading2"/>
        <w:spacing w:after="90" w:before="200" w:line="270"/>
        <w:jc w:val="left"/>
      </w:pPr>
      <w:r>
        <w:rPr>
          <w:rFonts w:ascii="Calibri" w:cs="Calibri" w:eastAsia="Calibri" w:hAnsi="Calibri"/>
          <w:b/>
          <w:bCs/>
          <w:color w:val="37474F"/>
          <w:sz w:val="26"/>
          <w:szCs w:val="26"/>
        </w:rPr>
        <w:t xml:space="preserve">3.2  Digital Trade and Data Working Group</w:t>
      </w:r>
    </w:p>
    <w:p>
      <w:pPr>
        <w:spacing w:after="100" w:line="260"/>
        <w:jc w:val="both"/>
      </w:pPr>
      <w:r>
        <w:rPr>
          <w:rFonts w:ascii="Georgia" w:cs="Georgia" w:eastAsia="Georgia" w:hAnsi="Georgia"/>
          <w:b/>
          <w:bCs/>
          <w:color w:val="212121"/>
          <w:sz w:val="21"/>
          <w:szCs w:val="21"/>
        </w:rPr>
        <w:t xml:space="preserve">Mandate. </w:t>
      </w:r>
      <w:r>
        <w:rPr>
          <w:rFonts w:ascii="Georgia" w:cs="Georgia" w:eastAsia="Georgia" w:hAnsi="Georgia"/>
          <w:color w:val="212121"/>
          <w:sz w:val="21"/>
          <w:szCs w:val="21"/>
        </w:rPr>
        <w:t xml:space="preserve">Draft a bilateral digital trade principles text covering cross-border data flows, data-localization restraint, cloud-services reciprocity, cybersecurity cooperation, and a standing senior-level dialogue on AI governance and compute infrastructure.</w:t>
      </w:r>
    </w:p>
    <w:p>
      <w:pPr>
        <w:spacing w:after="100" w:line="260"/>
        <w:jc w:val="both"/>
      </w:pPr>
      <w:r>
        <w:rPr>
          <w:rFonts w:ascii="Georgia" w:cs="Georgia" w:eastAsia="Georgia" w:hAnsi="Georgia"/>
          <w:b/>
          <w:bCs/>
          <w:color w:val="212121"/>
          <w:sz w:val="21"/>
          <w:szCs w:val="21"/>
        </w:rPr>
        <w:t xml:space="preserve">Starting position. </w:t>
      </w:r>
      <w:r>
        <w:rPr>
          <w:rFonts w:ascii="Georgia" w:cs="Georgia" w:eastAsia="Georgia" w:hAnsi="Georgia"/>
          <w:color w:val="212121"/>
          <w:sz w:val="21"/>
          <w:szCs w:val="21"/>
        </w:rPr>
        <w:t xml:space="preserve">Canada's digital services tax stands withdrawn and is not reintroduced during the stabilization period; the United States tables no new digital-services measures against Canada during the same period. The group builds on that cleared ground.</w:t>
      </w:r>
    </w:p>
    <w:p>
      <w:pPr>
        <w:spacing w:after="100" w:line="260"/>
        <w:jc w:val="both"/>
      </w:pPr>
      <w:r>
        <w:rPr>
          <w:rFonts w:ascii="Georgia" w:cs="Georgia" w:eastAsia="Georgia" w:hAnsi="Georgia"/>
          <w:b/>
          <w:bCs/>
          <w:color w:val="212121"/>
          <w:sz w:val="21"/>
          <w:szCs w:val="21"/>
        </w:rPr>
        <w:t xml:space="preserve">Deliverable. </w:t>
      </w:r>
      <w:r>
        <w:rPr>
          <w:rFonts w:ascii="Georgia" w:cs="Georgia" w:eastAsia="Georgia" w:hAnsi="Georgia"/>
          <w:color w:val="212121"/>
          <w:sz w:val="21"/>
          <w:szCs w:val="21"/>
        </w:rPr>
        <w:t xml:space="preserve">A principles text for ministerial signature by November 8, 2026, drafted so that Mexico can join it as the first modular modernization annex.</w:t>
      </w:r>
    </w:p>
    <w:p>
      <w:pPr>
        <w:pStyle w:val="Heading2"/>
        <w:spacing w:after="90" w:before="200" w:line="270"/>
        <w:jc w:val="left"/>
      </w:pPr>
      <w:r>
        <w:rPr>
          <w:rFonts w:ascii="Calibri" w:cs="Calibri" w:eastAsia="Calibri" w:hAnsi="Calibri"/>
          <w:b/>
          <w:bCs/>
          <w:color w:val="37474F"/>
          <w:sz w:val="26"/>
          <w:szCs w:val="26"/>
        </w:rPr>
        <w:t xml:space="preserve">3.3  Customs and Trade Facilitation Working Group</w:t>
      </w:r>
    </w:p>
    <w:p>
      <w:pPr>
        <w:spacing w:after="100" w:line="260"/>
        <w:jc w:val="both"/>
      </w:pPr>
      <w:r>
        <w:rPr>
          <w:rFonts w:ascii="Georgia" w:cs="Georgia" w:eastAsia="Georgia" w:hAnsi="Georgia"/>
          <w:b/>
          <w:bCs/>
          <w:color w:val="212121"/>
          <w:sz w:val="21"/>
          <w:szCs w:val="21"/>
        </w:rPr>
        <w:t xml:space="preserve">Mandate. </w:t>
      </w:r>
      <w:r>
        <w:rPr>
          <w:rFonts w:ascii="Georgia" w:cs="Georgia" w:eastAsia="Georgia" w:hAnsi="Georgia"/>
          <w:color w:val="212121"/>
          <w:sz w:val="21"/>
          <w:szCs w:val="21"/>
        </w:rPr>
        <w:t xml:space="preserve">Design a single-window interoperability pilot connecting the two countries' border systems at two land ports and one air gateway; align trusted-trader programs so that certified members of one Party's program receive reciprocal treatment in the other's; and review low-value shipment processing to cut dwell time for small and medium-sized exporters.</w:t>
      </w:r>
    </w:p>
    <w:p>
      <w:pPr>
        <w:spacing w:after="100" w:line="260"/>
        <w:jc w:val="both"/>
      </w:pPr>
      <w:r>
        <w:rPr>
          <w:rFonts w:ascii="Georgia" w:cs="Georgia" w:eastAsia="Georgia" w:hAnsi="Georgia"/>
          <w:b/>
          <w:bCs/>
          <w:color w:val="212121"/>
          <w:sz w:val="21"/>
          <w:szCs w:val="21"/>
        </w:rPr>
        <w:t xml:space="preserve">Deliverable. </w:t>
      </w:r>
      <w:r>
        <w:rPr>
          <w:rFonts w:ascii="Georgia" w:cs="Georgia" w:eastAsia="Georgia" w:hAnsi="Georgia"/>
          <w:color w:val="212121"/>
          <w:sz w:val="21"/>
          <w:szCs w:val="21"/>
        </w:rPr>
        <w:t xml:space="preserve">A scoped pilot design with ports named, data fields mapped, and privacy safeguards agreed, delivered by October 9, 2026; pilot operations begin within the stabilization period where technically feasible.</w:t>
      </w:r>
    </w:p>
    <w:p>
      <w:pPr>
        <w:pStyle w:val="Heading2"/>
        <w:spacing w:after="90" w:before="200" w:line="270"/>
        <w:jc w:val="left"/>
      </w:pPr>
      <w:r>
        <w:rPr>
          <w:rFonts w:ascii="Calibri" w:cs="Calibri" w:eastAsia="Calibri" w:hAnsi="Calibri"/>
          <w:b/>
          <w:bCs/>
          <w:color w:val="37474F"/>
          <w:sz w:val="26"/>
          <w:szCs w:val="26"/>
        </w:rPr>
        <w:t xml:space="preserve">3.4  Government Procurement Working Group</w:t>
      </w:r>
    </w:p>
    <w:p>
      <w:pPr>
        <w:spacing w:after="100" w:line="260"/>
        <w:jc w:val="both"/>
      </w:pPr>
      <w:r>
        <w:rPr>
          <w:rFonts w:ascii="Georgia" w:cs="Georgia" w:eastAsia="Georgia" w:hAnsi="Georgia"/>
          <w:b/>
          <w:bCs/>
          <w:color w:val="212121"/>
          <w:sz w:val="21"/>
          <w:szCs w:val="21"/>
        </w:rPr>
        <w:t xml:space="preserve">Mandate. </w:t>
      </w:r>
      <w:r>
        <w:rPr>
          <w:rFonts w:ascii="Georgia" w:cs="Georgia" w:eastAsia="Georgia" w:hAnsi="Georgia"/>
          <w:color w:val="212121"/>
          <w:sz w:val="21"/>
          <w:szCs w:val="21"/>
        </w:rPr>
        <w:t xml:space="preserve">Improve transparency and predictability in each Party's procurement market as it affects the other's suppliers. The group establishes a standing notification-and-comment practice for Buy America and Buy Canadian measures with cross-border effect, creates a joint contact point for sub-federal and provincial procurement questions, and examines reciprocal access treatment for infrastructure projects of genuinely binational character.</w:t>
      </w:r>
    </w:p>
    <w:p>
      <w:pPr>
        <w:spacing w:after="100" w:line="260"/>
        <w:jc w:val="both"/>
      </w:pPr>
      <w:r>
        <w:rPr>
          <w:rFonts w:ascii="Georgia" w:cs="Georgia" w:eastAsia="Georgia" w:hAnsi="Georgia"/>
          <w:b/>
          <w:bCs/>
          <w:color w:val="212121"/>
          <w:sz w:val="21"/>
          <w:szCs w:val="21"/>
        </w:rPr>
        <w:t xml:space="preserve">Governing constraint. </w:t>
      </w:r>
      <w:r>
        <w:rPr>
          <w:rFonts w:ascii="Georgia" w:cs="Georgia" w:eastAsia="Georgia" w:hAnsi="Georgia"/>
          <w:color w:val="212121"/>
          <w:sz w:val="21"/>
          <w:szCs w:val="21"/>
        </w:rPr>
        <w:t xml:space="preserve">The group works by transparency and reciprocity, not by either Party abandoning its domestic procurement statutes. Where full access cannot be agreed, the group delivers predictability: published pipelines, advance notice, and a named official who answers.</w:t>
      </w:r>
    </w:p>
    <w:p>
      <w:pPr>
        <w:spacing w:after="100" w:line="260"/>
        <w:jc w:val="both"/>
      </w:pPr>
      <w:r>
        <w:rPr>
          <w:rFonts w:ascii="Georgia" w:cs="Georgia" w:eastAsia="Georgia" w:hAnsi="Georgia"/>
          <w:b/>
          <w:bCs/>
          <w:color w:val="212121"/>
          <w:sz w:val="21"/>
          <w:szCs w:val="21"/>
        </w:rPr>
        <w:t xml:space="preserve">Deliverable. </w:t>
      </w:r>
      <w:r>
        <w:rPr>
          <w:rFonts w:ascii="Georgia" w:cs="Georgia" w:eastAsia="Georgia" w:hAnsi="Georgia"/>
          <w:color w:val="212121"/>
          <w:sz w:val="21"/>
          <w:szCs w:val="21"/>
        </w:rPr>
        <w:t xml:space="preserve">A transparency and notification protocol, with the contact points designated, delivered by November 8, 2026.</w:t>
      </w:r>
    </w:p>
    <w:p>
      <w:pPr>
        <w:pStyle w:val="Heading2"/>
        <w:spacing w:after="90" w:before="200" w:line="270"/>
        <w:jc w:val="left"/>
      </w:pPr>
      <w:r>
        <w:rPr>
          <w:rFonts w:ascii="Calibri" w:cs="Calibri" w:eastAsia="Calibri" w:hAnsi="Calibri"/>
          <w:b/>
          <w:bCs/>
          <w:color w:val="37474F"/>
          <w:sz w:val="26"/>
          <w:szCs w:val="26"/>
        </w:rPr>
        <w:t xml:space="preserve">3.5  Labor and Environment Working Group</w:t>
      </w:r>
    </w:p>
    <w:p>
      <w:pPr>
        <w:spacing w:after="100" w:line="260"/>
        <w:jc w:val="both"/>
      </w:pPr>
      <w:r>
        <w:rPr>
          <w:rFonts w:ascii="Georgia" w:cs="Georgia" w:eastAsia="Georgia" w:hAnsi="Georgia"/>
          <w:b/>
          <w:bCs/>
          <w:color w:val="212121"/>
          <w:sz w:val="21"/>
          <w:szCs w:val="21"/>
        </w:rPr>
        <w:t xml:space="preserve">Mandate. </w:t>
      </w:r>
      <w:r>
        <w:rPr>
          <w:rFonts w:ascii="Georgia" w:cs="Georgia" w:eastAsia="Georgia" w:hAnsi="Georgia"/>
          <w:color w:val="212121"/>
          <w:sz w:val="21"/>
          <w:szCs w:val="21"/>
        </w:rPr>
        <w:t xml:space="preserve">Deepen cooperation under the existing CUSMA labor and environment chapters rather than renegotiating them. On labor: faster facility-level complaint processing and joint training for inspectors. On environment: a 2027 wildfire-season cooperation protocol covering smoke forecasting, shared firefighting resources, and cross-border emergency movement of personnel and equipment; a joint work program on critical-minerals sustainability and circular production.</w:t>
      </w:r>
    </w:p>
    <w:p>
      <w:pPr>
        <w:spacing w:after="100" w:line="260"/>
        <w:jc w:val="both"/>
      </w:pPr>
      <w:r>
        <w:rPr>
          <w:rFonts w:ascii="Georgia" w:cs="Georgia" w:eastAsia="Georgia" w:hAnsi="Georgia"/>
          <w:b/>
          <w:bCs/>
          <w:color w:val="212121"/>
          <w:sz w:val="21"/>
          <w:szCs w:val="21"/>
        </w:rPr>
        <w:t xml:space="preserve">Deliverable. </w:t>
      </w:r>
      <w:r>
        <w:rPr>
          <w:rFonts w:ascii="Georgia" w:cs="Georgia" w:eastAsia="Georgia" w:hAnsi="Georgia"/>
          <w:color w:val="212121"/>
          <w:sz w:val="21"/>
          <w:szCs w:val="21"/>
        </w:rPr>
        <w:t xml:space="preserve">A joint work plan, with the wildfire protocol ready for signature ahead of the 2027 season, delivered by November 8, 2026.</w:t>
      </w:r>
    </w:p>
    <w:p>
      <w:pPr>
        <w:pStyle w:val="Heading1"/>
        <w:pBdr>
          <w:bottom w:val="single" w:color="B0BEC5" w:sz="6" w:space="4"/>
        </w:pBdr>
        <w:spacing w:after="120" w:before="280" w:line="270"/>
        <w:jc w:val="left"/>
      </w:pPr>
      <w:r>
        <w:rPr>
          <w:rFonts w:ascii="Calibri" w:cs="Calibri" w:eastAsia="Calibri" w:hAnsi="Calibri"/>
          <w:b/>
          <w:bCs/>
          <w:color w:val="37474F"/>
          <w:sz w:val="32"/>
          <w:szCs w:val="32"/>
        </w:rPr>
        <w:t xml:space="preserve">Section 4: Good-Faith Commitments — The Standstill Covenant</w:t>
      </w:r>
    </w:p>
    <w:p>
      <w:pPr>
        <w:pStyle w:val="Heading2"/>
        <w:spacing w:after="90" w:before="200" w:line="270"/>
        <w:jc w:val="left"/>
      </w:pPr>
      <w:r>
        <w:rPr>
          <w:rFonts w:ascii="Calibri" w:cs="Calibri" w:eastAsia="Calibri" w:hAnsi="Calibri"/>
          <w:b/>
          <w:bCs/>
          <w:color w:val="37474F"/>
          <w:sz w:val="26"/>
          <w:szCs w:val="26"/>
        </w:rPr>
        <w:t xml:space="preserve">4.A  The Covenant</w:t>
      </w:r>
    </w:p>
    <w:p>
      <w:pPr>
        <w:spacing w:after="100" w:line="260"/>
        <w:ind w:left="360"/>
        <w:jc w:val="both"/>
      </w:pPr>
      <w:r>
        <w:rPr>
          <w:rFonts w:ascii="Georgia" w:cs="Georgia" w:eastAsia="Georgia" w:hAnsi="Georgia"/>
          <w:b/>
          <w:bCs/>
          <w:color w:val="212121"/>
          <w:sz w:val="21"/>
          <w:szCs w:val="21"/>
        </w:rPr>
        <w:t xml:space="preserve">4.1   </w:t>
      </w:r>
      <w:r>
        <w:rPr>
          <w:rFonts w:ascii="Georgia" w:cs="Georgia" w:eastAsia="Georgia" w:hAnsi="Georgia"/>
          <w:color w:val="212121"/>
          <w:sz w:val="21"/>
          <w:szCs w:val="21"/>
        </w:rPr>
        <w:t xml:space="preserve">During the stabilization period, neither Party shall impose any new tariff, or increase any existing tariff, on goods originating in the territory of the other Party, nor shall either Party impose any quantitative restriction, import licensing requirement, or equivalent measure targeted at the other Party's exports, except as provided in this Section.</w:t>
      </w:r>
    </w:p>
    <w:p>
      <w:pPr>
        <w:spacing w:after="100" w:line="260"/>
        <w:ind w:left="360"/>
        <w:jc w:val="both"/>
      </w:pPr>
      <w:r>
        <w:rPr>
          <w:rFonts w:ascii="Georgia" w:cs="Georgia" w:eastAsia="Georgia" w:hAnsi="Georgia"/>
          <w:b/>
          <w:bCs/>
          <w:color w:val="212121"/>
          <w:sz w:val="21"/>
          <w:szCs w:val="21"/>
        </w:rPr>
        <w:t xml:space="preserve">4.2   </w:t>
      </w:r>
      <w:r>
        <w:rPr>
          <w:rFonts w:ascii="Georgia" w:cs="Georgia" w:eastAsia="Georgia" w:hAnsi="Georgia"/>
          <w:color w:val="212121"/>
          <w:sz w:val="21"/>
          <w:szCs w:val="21"/>
        </w:rPr>
        <w:t xml:space="preserve">Each Party shall encourage, and within its constitutional authority shall facilitate, the removal of sub-national measures that impair the trade covered by this Statement. For Canada, this includes encouraging the provinces and territories to restore the ordinary listing and sale of United States alcoholic beverages. For the United States, this includes encouraging states to accord Canadian suppliers non-discriminatory treatment in procurement not otherwise covered by agreement.</w:t>
      </w:r>
    </w:p>
    <w:p>
      <w:pPr>
        <w:pStyle w:val="Heading2"/>
        <w:spacing w:after="90" w:before="200" w:line="270"/>
        <w:jc w:val="left"/>
      </w:pPr>
      <w:r>
        <w:rPr>
          <w:rFonts w:ascii="Calibri" w:cs="Calibri" w:eastAsia="Calibri" w:hAnsi="Calibri"/>
          <w:b/>
          <w:bCs/>
          <w:color w:val="37474F"/>
          <w:sz w:val="26"/>
          <w:szCs w:val="26"/>
        </w:rPr>
        <w:t xml:space="preserve">4.B  Emergency Measures and Notice</w:t>
      </w:r>
    </w:p>
    <w:p>
      <w:pPr>
        <w:spacing w:after="100" w:line="260"/>
        <w:ind w:left="360"/>
        <w:jc w:val="both"/>
      </w:pPr>
      <w:r>
        <w:rPr>
          <w:rFonts w:ascii="Georgia" w:cs="Georgia" w:eastAsia="Georgia" w:hAnsi="Georgia"/>
          <w:b/>
          <w:bCs/>
          <w:color w:val="212121"/>
          <w:sz w:val="21"/>
          <w:szCs w:val="21"/>
        </w:rPr>
        <w:t xml:space="preserve">4.3   </w:t>
      </w:r>
      <w:r>
        <w:rPr>
          <w:rFonts w:ascii="Georgia" w:cs="Georgia" w:eastAsia="Georgia" w:hAnsi="Georgia"/>
          <w:color w:val="212121"/>
          <w:sz w:val="21"/>
          <w:szCs w:val="21"/>
        </w:rPr>
        <w:t xml:space="preserve">A Party shall not apply an emergency trade measure against the other Party during the stabilization period unless: (a) the applying Party delivers written notice to the other Party no less than seventy-two (72) hours before application, stating the measure, its legal basis, and the facts relied upon; (b) the Parties hold consultations at the level of the Joint Coordinating Committee within that notice period; and (c) the measure is proportionate to the circumstances described in the notice.</w:t>
      </w:r>
    </w:p>
    <w:p>
      <w:pPr>
        <w:spacing w:after="100" w:line="260"/>
        <w:ind w:left="360"/>
        <w:jc w:val="both"/>
      </w:pPr>
      <w:r>
        <w:rPr>
          <w:rFonts w:ascii="Georgia" w:cs="Georgia" w:eastAsia="Georgia" w:hAnsi="Georgia"/>
          <w:b/>
          <w:bCs/>
          <w:color w:val="212121"/>
          <w:sz w:val="21"/>
          <w:szCs w:val="21"/>
        </w:rPr>
        <w:t xml:space="preserve">4.4   </w:t>
      </w:r>
      <w:r>
        <w:rPr>
          <w:rFonts w:ascii="Georgia" w:cs="Georgia" w:eastAsia="Georgia" w:hAnsi="Georgia"/>
          <w:color w:val="212121"/>
          <w:sz w:val="21"/>
          <w:szCs w:val="21"/>
        </w:rPr>
        <w:t xml:space="preserve">Where a genuine emergency makes the notice period in paragraph 4.3 impossible, a Party may apply a temporary emergency measure, provided that it: (a) delivers written notice immediately upon application, with a full statement of the justification and the facts relied upon; (b) holds consultations at the level of the Joint Coordinating Committee within twenty-four (24) hours of application; (c) limits the measure to thirty (30) days unless it is confirmed following completion of the procedure in paragraph 4.3; and (d) submits the measure to review by the Committee within seven (7) days. A Party shall not invoke this paragraph to evade paragraph 4.3, and a measure applied under this paragraph shall be narrow, temporary, and proportionate.</w:t>
      </w:r>
    </w:p>
    <w:p>
      <w:pPr>
        <w:spacing w:after="100" w:line="260"/>
        <w:ind w:left="360"/>
        <w:jc w:val="both"/>
      </w:pPr>
      <w:r>
        <w:rPr>
          <w:rFonts w:ascii="Georgia" w:cs="Georgia" w:eastAsia="Georgia" w:hAnsi="Georgia"/>
          <w:b/>
          <w:bCs/>
          <w:color w:val="212121"/>
          <w:sz w:val="21"/>
          <w:szCs w:val="21"/>
        </w:rPr>
        <w:t xml:space="preserve">4.5   </w:t>
      </w:r>
      <w:r>
        <w:rPr>
          <w:rFonts w:ascii="Georgia" w:cs="Georgia" w:eastAsia="Georgia" w:hAnsi="Georgia"/>
          <w:color w:val="212121"/>
          <w:sz w:val="21"/>
          <w:szCs w:val="21"/>
        </w:rPr>
        <w:t xml:space="preserve">Where consultations under paragraph 4.3 or 4.4 do not resolve the matter within ten (10) days, the Parties shall refer it to consultations under Article 31.4 of CUSMA, and neither Party shall apply the proposed measure until those consultations have occurred.</w:t>
      </w:r>
    </w:p>
    <w:p>
      <w:pPr>
        <w:spacing w:after="100" w:line="260"/>
        <w:ind w:left="360"/>
        <w:jc w:val="both"/>
      </w:pPr>
      <w:r>
        <w:rPr>
          <w:rFonts w:ascii="Georgia" w:cs="Georgia" w:eastAsia="Georgia" w:hAnsi="Georgia"/>
          <w:color w:val="212121"/>
          <w:sz w:val="21"/>
          <w:szCs w:val="21"/>
        </w:rPr>
        <w:t xml:space="preserve">Nothing in this Section shall affect either Party's rights under CUSMA Chapter 31, including recourse to panel proceedings.</w:t>
      </w:r>
      <w:r>
        <w:rPr>
          <w:rStyle w:val="FootnoteReference"/>
        </w:rPr>
        <w:footnoteReference w:id="4"/>
      </w:r>
    </w:p>
    <w:p>
      <w:pPr>
        <w:pStyle w:val="Heading2"/>
        <w:spacing w:after="90" w:before="200" w:line="270"/>
        <w:jc w:val="left"/>
      </w:pPr>
      <w:r>
        <w:rPr>
          <w:rFonts w:ascii="Calibri" w:cs="Calibri" w:eastAsia="Calibri" w:hAnsi="Calibri"/>
          <w:b/>
          <w:bCs/>
          <w:color w:val="37474F"/>
          <w:sz w:val="26"/>
          <w:szCs w:val="26"/>
        </w:rPr>
        <w:t xml:space="preserve">4.C  Breach and Symmetric Restoration</w:t>
      </w:r>
    </w:p>
    <w:p>
      <w:pPr>
        <w:spacing w:after="100" w:line="260"/>
        <w:ind w:left="360"/>
        <w:jc w:val="both"/>
      </w:pPr>
      <w:r>
        <w:rPr>
          <w:rFonts w:ascii="Georgia" w:cs="Georgia" w:eastAsia="Georgia" w:hAnsi="Georgia"/>
          <w:b/>
          <w:bCs/>
          <w:color w:val="212121"/>
          <w:sz w:val="21"/>
          <w:szCs w:val="21"/>
        </w:rPr>
        <w:t xml:space="preserve">4.6   </w:t>
      </w:r>
      <w:r>
        <w:rPr>
          <w:rFonts w:ascii="Georgia" w:cs="Georgia" w:eastAsia="Georgia" w:hAnsi="Georgia"/>
          <w:color w:val="212121"/>
          <w:sz w:val="21"/>
          <w:szCs w:val="21"/>
        </w:rPr>
        <w:t xml:space="preserve">If a Party applies a measure in breach of this Covenant, the other Party may, after the consultations provided for in paragraphs 4.3 through 4.5, restore some or all of its suspended measures in a scope and at rates equivalent in effect to the breaching measure. Restoration under this paragraph shall be symmetric: dollar for dollar, rate for rate, and no wider than the breach.</w:t>
      </w:r>
    </w:p>
    <w:p>
      <w:pPr>
        <w:spacing w:after="100" w:line="260"/>
        <w:ind w:left="360"/>
        <w:jc w:val="both"/>
      </w:pPr>
      <w:r>
        <w:rPr>
          <w:rFonts w:ascii="Georgia" w:cs="Georgia" w:eastAsia="Georgia" w:hAnsi="Georgia"/>
          <w:b/>
          <w:bCs/>
          <w:color w:val="212121"/>
          <w:sz w:val="21"/>
          <w:szCs w:val="21"/>
        </w:rPr>
        <w:t xml:space="preserve">4.7   </w:t>
      </w:r>
      <w:r>
        <w:rPr>
          <w:rFonts w:ascii="Georgia" w:cs="Georgia" w:eastAsia="Georgia" w:hAnsi="Georgia"/>
          <w:color w:val="212121"/>
          <w:sz w:val="21"/>
          <w:szCs w:val="21"/>
        </w:rPr>
        <w:t xml:space="preserve">A Party that restores measures under paragraph 4.6 shall simultaneously notify the other Party of the specific steps that would end the restoration, and shall withdraw the restored measures within seven (7) days of those steps being taken.</w:t>
      </w:r>
    </w:p>
    <w:p>
      <w:pPr>
        <w:pStyle w:val="Heading2"/>
        <w:spacing w:after="90" w:before="200" w:line="270"/>
        <w:jc w:val="left"/>
      </w:pPr>
      <w:r>
        <w:rPr>
          <w:rFonts w:ascii="Calibri" w:cs="Calibri" w:eastAsia="Calibri" w:hAnsi="Calibri"/>
          <w:b/>
          <w:bCs/>
          <w:color w:val="37474F"/>
          <w:sz w:val="26"/>
          <w:szCs w:val="26"/>
        </w:rPr>
        <w:t xml:space="preserve">4.D  Duration, Survival, and Termination</w:t>
      </w:r>
    </w:p>
    <w:p>
      <w:pPr>
        <w:spacing w:after="100" w:line="260"/>
        <w:ind w:left="360"/>
        <w:jc w:val="both"/>
      </w:pPr>
      <w:r>
        <w:rPr>
          <w:rFonts w:ascii="Georgia" w:cs="Georgia" w:eastAsia="Georgia" w:hAnsi="Georgia"/>
          <w:b/>
          <w:bCs/>
          <w:color w:val="212121"/>
          <w:sz w:val="21"/>
          <w:szCs w:val="21"/>
        </w:rPr>
        <w:t xml:space="preserve">4.8   </w:t>
      </w:r>
      <w:r>
        <w:rPr>
          <w:rFonts w:ascii="Georgia" w:cs="Georgia" w:eastAsia="Georgia" w:hAnsi="Georgia"/>
          <w:color w:val="212121"/>
          <w:sz w:val="21"/>
          <w:szCs w:val="21"/>
        </w:rPr>
        <w:t xml:space="preserve">This Covenant remains in force for the stabilization period. Upon signature of the formal Interim Trade Stabilization Agreement, it continues in force as an operative article of that Agreement. If the Interim Agreement has not been signed by December 8, 2026, the Covenant survives for a further thirty (30) days, through January 7, 2027, during which the Parties shall meet and shall either renew it by exchange of letters or allow it to expire at the end of that survival period. During the survival period, either Party may terminate the Covenant by ten (10) days' written notice, and the notice-and-consultation procedure of paragraph 4.3 applies to any measure a Party contemplates applying upon termination or expiry. For certainty: within the stabilization period and any survival period, the Covenant does not lapse by the mere passage of time; outside them, it binds only as renewed or as carried into the Interim Agreement.</w:t>
      </w:r>
    </w:p>
    <w:p>
      <w:pPr>
        <w:spacing w:after="100" w:line="260"/>
        <w:ind w:left="360"/>
        <w:jc w:val="both"/>
      </w:pPr>
      <w:r>
        <w:rPr>
          <w:rFonts w:ascii="Georgia" w:cs="Georgia" w:eastAsia="Georgia" w:hAnsi="Georgia"/>
          <w:b/>
          <w:bCs/>
          <w:color w:val="212121"/>
          <w:sz w:val="21"/>
          <w:szCs w:val="21"/>
        </w:rPr>
        <w:t xml:space="preserve">4.9   </w:t>
      </w:r>
      <w:r>
        <w:rPr>
          <w:rFonts w:ascii="Georgia" w:cs="Georgia" w:eastAsia="Georgia" w:hAnsi="Georgia"/>
          <w:color w:val="212121"/>
          <w:sz w:val="21"/>
          <w:szCs w:val="21"/>
        </w:rPr>
        <w:t xml:space="preserve">Each Party shall take no action, and shall make no public statement, that purports to condition the other Party's sovereign choices outside the scope of this Statement. The Covenant binds conduct; it does not bargain sovereignty.</w:t>
      </w:r>
    </w:p>
    <w:p>
      <w:pPr>
        <w:pStyle w:val="Heading1"/>
        <w:pBdr>
          <w:bottom w:val="single" w:color="B0BEC5" w:sz="6" w:space="4"/>
        </w:pBdr>
        <w:spacing w:after="120" w:before="280" w:line="270"/>
        <w:jc w:val="left"/>
      </w:pPr>
      <w:r>
        <w:rPr>
          <w:rFonts w:ascii="Calibri" w:cs="Calibri" w:eastAsia="Calibri" w:hAnsi="Calibri"/>
          <w:b/>
          <w:bCs/>
          <w:color w:val="37474F"/>
          <w:sz w:val="32"/>
          <w:szCs w:val="32"/>
        </w:rPr>
        <w:t xml:space="preserve">Section 5: Consultation, Administration, and Legal Character</w:t>
      </w:r>
    </w:p>
    <w:p>
      <w:pPr>
        <w:pStyle w:val="Heading2"/>
        <w:spacing w:after="90" w:before="200" w:line="270"/>
        <w:jc w:val="left"/>
      </w:pPr>
      <w:r>
        <w:rPr>
          <w:rFonts w:ascii="Calibri" w:cs="Calibri" w:eastAsia="Calibri" w:hAnsi="Calibri"/>
          <w:b/>
          <w:bCs/>
          <w:color w:val="37474F"/>
          <w:sz w:val="26"/>
          <w:szCs w:val="26"/>
        </w:rPr>
        <w:t xml:space="preserve">5.A  The Joint Coordinating Committee</w:t>
      </w:r>
    </w:p>
    <w:p>
      <w:pPr>
        <w:spacing w:after="100" w:line="260"/>
        <w:ind w:left="360"/>
        <w:jc w:val="both"/>
      </w:pPr>
      <w:r>
        <w:rPr>
          <w:rFonts w:ascii="Georgia" w:cs="Georgia" w:eastAsia="Georgia" w:hAnsi="Georgia"/>
          <w:b/>
          <w:bCs/>
          <w:color w:val="212121"/>
          <w:sz w:val="21"/>
          <w:szCs w:val="21"/>
        </w:rPr>
        <w:t xml:space="preserve">5.1   </w:t>
      </w:r>
      <w:r>
        <w:rPr>
          <w:rFonts w:ascii="Georgia" w:cs="Georgia" w:eastAsia="Georgia" w:hAnsi="Georgia"/>
          <w:color w:val="212121"/>
          <w:sz w:val="21"/>
          <w:szCs w:val="21"/>
        </w:rPr>
        <w:t xml:space="preserve">The Parties hereby establish a Joint Coordinating Committee, co-chaired for Canada by the Minister responsible for Canada–United States Trade and for the United States by the United States Trade Representative. The Committee shall supervise this Statement, direct the working groups, receive their deliverables, and hold a principals' call no less than weekly during the stabilization period.</w:t>
      </w:r>
    </w:p>
    <w:p>
      <w:pPr>
        <w:spacing w:after="100" w:line="260"/>
        <w:ind w:left="360"/>
        <w:jc w:val="both"/>
      </w:pPr>
      <w:r>
        <w:rPr>
          <w:rFonts w:ascii="Georgia" w:cs="Georgia" w:eastAsia="Georgia" w:hAnsi="Georgia"/>
          <w:b/>
          <w:bCs/>
          <w:color w:val="212121"/>
          <w:sz w:val="21"/>
          <w:szCs w:val="21"/>
        </w:rPr>
        <w:t xml:space="preserve">5.2   </w:t>
      </w:r>
      <w:r>
        <w:rPr>
          <w:rFonts w:ascii="Georgia" w:cs="Georgia" w:eastAsia="Georgia" w:hAnsi="Georgia"/>
          <w:color w:val="212121"/>
          <w:sz w:val="21"/>
          <w:szCs w:val="21"/>
        </w:rPr>
        <w:t xml:space="preserve">Each Party shall designate an office to act as its secretariat contact — for Canada, Global Affairs Canada; for the United States, the Office of the United States Trade Representative — through which all notices under this Statement shall be delivered in writing.</w:t>
      </w:r>
    </w:p>
    <w:p>
      <w:pPr>
        <w:pStyle w:val="Heading2"/>
        <w:spacing w:after="90" w:before="200" w:line="270"/>
        <w:jc w:val="left"/>
      </w:pPr>
      <w:r>
        <w:rPr>
          <w:rFonts w:ascii="Calibri" w:cs="Calibri" w:eastAsia="Calibri" w:hAnsi="Calibri"/>
          <w:b/>
          <w:bCs/>
          <w:color w:val="37474F"/>
          <w:sz w:val="26"/>
          <w:szCs w:val="26"/>
        </w:rPr>
        <w:t xml:space="preserve">5.B  Interpretation</w:t>
      </w:r>
    </w:p>
    <w:p>
      <w:pPr>
        <w:spacing w:after="100" w:line="260"/>
        <w:ind w:left="360"/>
        <w:jc w:val="both"/>
      </w:pPr>
      <w:r>
        <w:rPr>
          <w:rFonts w:ascii="Georgia" w:cs="Georgia" w:eastAsia="Georgia" w:hAnsi="Georgia"/>
          <w:b/>
          <w:bCs/>
          <w:color w:val="212121"/>
          <w:sz w:val="21"/>
          <w:szCs w:val="21"/>
        </w:rPr>
        <w:t xml:space="preserve">5.3   </w:t>
      </w:r>
      <w:r>
        <w:rPr>
          <w:rFonts w:ascii="Georgia" w:cs="Georgia" w:eastAsia="Georgia" w:hAnsi="Georgia"/>
          <w:color w:val="212121"/>
          <w:sz w:val="21"/>
          <w:szCs w:val="21"/>
        </w:rPr>
        <w:t xml:space="preserve">This Statement supplements CUSMA and shall be interpreted in accordance with it, including its dispute settlement provisions. Nothing in this Statement amends CUSMA, prejudges the 2026 joint review, or affects either Party's position on the extension of CUSMA beyond 2036.</w:t>
      </w:r>
    </w:p>
    <w:p>
      <w:pPr>
        <w:spacing w:after="100" w:line="260"/>
        <w:ind w:left="360"/>
        <w:jc w:val="both"/>
      </w:pPr>
      <w:r>
        <w:rPr>
          <w:rFonts w:ascii="Georgia" w:cs="Georgia" w:eastAsia="Georgia" w:hAnsi="Georgia"/>
          <w:b/>
          <w:bCs/>
          <w:color w:val="212121"/>
          <w:sz w:val="21"/>
          <w:szCs w:val="21"/>
        </w:rPr>
        <w:t xml:space="preserve">5.4   </w:t>
      </w:r>
      <w:r>
        <w:rPr>
          <w:rFonts w:ascii="Georgia" w:cs="Georgia" w:eastAsia="Georgia" w:hAnsi="Georgia"/>
          <w:color w:val="212121"/>
          <w:sz w:val="21"/>
          <w:szCs w:val="21"/>
        </w:rPr>
        <w:t xml:space="preserve">Where this Statement and a measure of a Party conflict, the Statement shall be implemented in good faith through the domestic procedures of that Party, and the other Party shall be notified promptly of any implementation difficulty and of the steps being taken to resolve it.</w:t>
      </w:r>
    </w:p>
    <w:p>
      <w:pPr>
        <w:pStyle w:val="Heading2"/>
        <w:spacing w:after="90" w:before="200" w:line="270"/>
        <w:jc w:val="left"/>
      </w:pPr>
      <w:r>
        <w:rPr>
          <w:rFonts w:ascii="Calibri" w:cs="Calibri" w:eastAsia="Calibri" w:hAnsi="Calibri"/>
          <w:b/>
          <w:bCs/>
          <w:color w:val="37474F"/>
          <w:sz w:val="26"/>
          <w:szCs w:val="26"/>
        </w:rPr>
        <w:t xml:space="preserve">5.C  Transparency</w:t>
      </w:r>
    </w:p>
    <w:p>
      <w:pPr>
        <w:spacing w:after="100" w:line="260"/>
        <w:ind w:left="360"/>
        <w:jc w:val="both"/>
      </w:pPr>
      <w:r>
        <w:rPr>
          <w:rFonts w:ascii="Georgia" w:cs="Georgia" w:eastAsia="Georgia" w:hAnsi="Georgia"/>
          <w:b/>
          <w:bCs/>
          <w:color w:val="212121"/>
          <w:sz w:val="21"/>
          <w:szCs w:val="21"/>
        </w:rPr>
        <w:t xml:space="preserve">5.5   </w:t>
      </w:r>
      <w:r>
        <w:rPr>
          <w:rFonts w:ascii="Georgia" w:cs="Georgia" w:eastAsia="Georgia" w:hAnsi="Georgia"/>
          <w:color w:val="212121"/>
          <w:sz w:val="21"/>
          <w:szCs w:val="21"/>
        </w:rPr>
        <w:t xml:space="preserve">The Parties shall publish this Statement on issuance. Working group reports shall be published in summary form unless both co-chairs agree that publication would prejudice the negotiations. The shared tariff and measure inventory shall be published in full.</w:t>
      </w:r>
    </w:p>
    <w:p>
      <w:pPr>
        <w:pStyle w:val="Heading1"/>
        <w:pBdr>
          <w:bottom w:val="single" w:color="B0BEC5" w:sz="6" w:space="4"/>
        </w:pBdr>
        <w:spacing w:after="120" w:before="280" w:line="270"/>
        <w:jc w:val="left"/>
      </w:pPr>
      <w:r>
        <w:rPr>
          <w:rFonts w:ascii="Calibri" w:cs="Calibri" w:eastAsia="Calibri" w:hAnsi="Calibri"/>
          <w:b/>
          <w:bCs/>
          <w:color w:val="37474F"/>
          <w:sz w:val="32"/>
          <w:szCs w:val="32"/>
        </w:rPr>
        <w:t xml:space="preserve">Section 6: Next Steps — The Formal Interim Agreement and Trilateral Engagement</w:t>
      </w:r>
    </w:p>
    <w:p>
      <w:pPr>
        <w:pStyle w:val="Heading2"/>
        <w:spacing w:after="90" w:before="200" w:line="270"/>
        <w:jc w:val="left"/>
      </w:pPr>
      <w:r>
        <w:rPr>
          <w:rFonts w:ascii="Calibri" w:cs="Calibri" w:eastAsia="Calibri" w:hAnsi="Calibri"/>
          <w:b/>
          <w:bCs/>
          <w:color w:val="37474F"/>
          <w:sz w:val="26"/>
          <w:szCs w:val="26"/>
        </w:rPr>
        <w:t xml:space="preserve">6.A  The Formal Interim Trade Stabilization Agreement</w:t>
      </w:r>
    </w:p>
    <w:p>
      <w:pPr>
        <w:spacing w:after="100" w:line="260"/>
        <w:jc w:val="both"/>
      </w:pPr>
      <w:r>
        <w:rPr>
          <w:rFonts w:ascii="Georgia" w:cs="Georgia" w:eastAsia="Georgia" w:hAnsi="Georgia"/>
          <w:color w:val="212121"/>
          <w:sz w:val="21"/>
          <w:szCs w:val="21"/>
        </w:rPr>
        <w:t xml:space="preserve">This Statement is deliberately brief so that it can take effect before the September counter-tariffs bite. The Parties therefore begin, on issuance, the conversion of this Statement into a formal Interim Trade Stabilization Agreement: the same commitments, carried in full treaty articles, with annexed schedules of the suspended measures, complete working group terms of reference, consultation clocks, and the standstill covenant restated as an operative article.</w:t>
      </w:r>
    </w:p>
    <w:p>
      <w:pPr>
        <w:spacing w:after="100" w:line="260"/>
        <w:jc w:val="both"/>
      </w:pPr>
      <w:r>
        <w:rPr>
          <w:rFonts w:ascii="Georgia" w:cs="Georgia" w:eastAsia="Georgia" w:hAnsi="Georgia"/>
          <w:b/>
          <w:bCs/>
          <w:color w:val="212121"/>
          <w:sz w:val="21"/>
          <w:szCs w:val="21"/>
        </w:rPr>
        <w:t xml:space="preserve">Target date. </w:t>
      </w:r>
      <w:r>
        <w:rPr>
          <w:rFonts w:ascii="Georgia" w:cs="Georgia" w:eastAsia="Georgia" w:hAnsi="Georgia"/>
          <w:color w:val="212121"/>
          <w:sz w:val="21"/>
          <w:szCs w:val="21"/>
        </w:rPr>
        <w:t xml:space="preserve">Signature on or before October 22, 2026 — within the stabilization period and well ahead of the holiday shipping season on which so many border businesses depend.</w:t>
      </w:r>
    </w:p>
    <w:p>
      <w:pPr>
        <w:spacing w:after="100" w:line="260"/>
        <w:jc w:val="both"/>
      </w:pPr>
      <w:r>
        <w:rPr>
          <w:rFonts w:ascii="Georgia" w:cs="Georgia" w:eastAsia="Georgia" w:hAnsi="Georgia"/>
          <w:b/>
          <w:bCs/>
          <w:color w:val="212121"/>
          <w:sz w:val="21"/>
          <w:szCs w:val="21"/>
        </w:rPr>
        <w:t xml:space="preserve">Drafting discipline. </w:t>
      </w:r>
      <w:r>
        <w:rPr>
          <w:rFonts w:ascii="Georgia" w:cs="Georgia" w:eastAsia="Georgia" w:hAnsi="Georgia"/>
          <w:color w:val="212121"/>
          <w:sz w:val="21"/>
          <w:szCs w:val="21"/>
        </w:rPr>
        <w:t xml:space="preserve">The Interim Agreement keeps the hybrid form: a plain, present-tense political frame over operative articles in the traditional syntax that customs administrations and panels apply. Long-form reference architectures already developed by the Parties inform the annexes; they are drawn upon, not legislated wholesale.</w:t>
      </w:r>
    </w:p>
    <w:p>
      <w:pPr>
        <w:pStyle w:val="Heading2"/>
        <w:spacing w:after="90" w:before="200" w:line="270"/>
        <w:jc w:val="left"/>
      </w:pPr>
      <w:r>
        <w:rPr>
          <w:rFonts w:ascii="Calibri" w:cs="Calibri" w:eastAsia="Calibri" w:hAnsi="Calibri"/>
          <w:b/>
          <w:bCs/>
          <w:color w:val="37474F"/>
          <w:sz w:val="26"/>
          <w:szCs w:val="26"/>
        </w:rPr>
        <w:t xml:space="preserve">6.B  Trilateral Engagement</w:t>
      </w:r>
    </w:p>
    <w:p>
      <w:pPr>
        <w:spacing w:after="100" w:line="260"/>
        <w:jc w:val="both"/>
      </w:pPr>
      <w:r>
        <w:rPr>
          <w:rFonts w:ascii="Georgia" w:cs="Georgia" w:eastAsia="Georgia" w:hAnsi="Georgia"/>
          <w:color w:val="212121"/>
          <w:sz w:val="21"/>
          <w:szCs w:val="21"/>
        </w:rPr>
        <w:t xml:space="preserve">North American trade is trilateral in fact even when it is bilateral in text. The Parties therefore open the door they are walking through:</w:t>
      </w:r>
    </w:p>
    <w:p>
      <w:pPr>
        <w:pStyle w:val="ListParagraph"/>
        <w:numPr>
          <w:ilvl w:val="0"/>
          <w:numId w:val="2"/>
        </w:numPr>
        <w:spacing w:after="100" w:line="260"/>
        <w:jc w:val="both"/>
      </w:pPr>
      <w:r>
        <w:rPr>
          <w:rFonts w:ascii="Georgia" w:cs="Georgia" w:eastAsia="Georgia" w:hAnsi="Georgia"/>
          <w:color w:val="212121"/>
          <w:sz w:val="21"/>
          <w:szCs w:val="21"/>
        </w:rPr>
        <w:t xml:space="preserve">The United Mexican States may accede to this Statement by side-letter of identical effect at any time during the stabilization period, whereupon the suspensions, the Covenant, and the working group structure apply to it mutatis mutandis.</w:t>
      </w:r>
    </w:p>
    <w:p>
      <w:pPr>
        <w:pStyle w:val="ListParagraph"/>
        <w:numPr>
          <w:ilvl w:val="0"/>
          <w:numId w:val="2"/>
        </w:numPr>
        <w:spacing w:after="100" w:line="260"/>
        <w:jc w:val="both"/>
      </w:pPr>
      <w:r>
        <w:rPr>
          <w:rFonts w:ascii="Georgia" w:cs="Georgia" w:eastAsia="Georgia" w:hAnsi="Georgia"/>
          <w:color w:val="212121"/>
          <w:sz w:val="21"/>
          <w:szCs w:val="21"/>
        </w:rPr>
        <w:t xml:space="preserve">If accession occurs after Day 30 of the stabilization period, working group deliverable dates extend day for day by the length of Mexico's absence, up to a maximum of twenty-one (21) days; all other dates, including the Suspension Time and the duration of the Covenant, are unaffected.</w:t>
      </w:r>
    </w:p>
    <w:p>
      <w:pPr>
        <w:pStyle w:val="ListParagraph"/>
        <w:numPr>
          <w:ilvl w:val="0"/>
          <w:numId w:val="2"/>
        </w:numPr>
        <w:spacing w:after="100" w:line="260"/>
        <w:jc w:val="both"/>
      </w:pPr>
      <w:r>
        <w:rPr>
          <w:rFonts w:ascii="Georgia" w:cs="Georgia" w:eastAsia="Georgia" w:hAnsi="Georgia"/>
          <w:color w:val="212121"/>
          <w:sz w:val="21"/>
          <w:szCs w:val="21"/>
        </w:rPr>
        <w:t xml:space="preserve">Upon accession, each working group becomes tri-chaired, with Mexico naming a co-chair of equal rank. Deliverables already signed bilaterally do not reopen; Mexico may subscribe to them by exchange of letters, and they thereupon apply to it as if it had been an original signatory.</w:t>
      </w:r>
    </w:p>
    <w:p>
      <w:pPr>
        <w:pStyle w:val="ListParagraph"/>
        <w:numPr>
          <w:ilvl w:val="0"/>
          <w:numId w:val="2"/>
        </w:numPr>
        <w:spacing w:after="100" w:line="260"/>
        <w:jc w:val="both"/>
      </w:pPr>
      <w:r>
        <w:rPr>
          <w:rFonts w:ascii="Georgia" w:cs="Georgia" w:eastAsia="Georgia" w:hAnsi="Georgia"/>
          <w:color w:val="212121"/>
          <w:sz w:val="21"/>
          <w:szCs w:val="21"/>
        </w:rPr>
        <w:t xml:space="preserve">Measures between either Party and Mexico that are suspended under an accession side-letter are recorded in a supplementary schedule to Annex A, which takes effect without further amendment to this Statement.</w:t>
      </w:r>
    </w:p>
    <w:p>
      <w:pPr>
        <w:pStyle w:val="ListParagraph"/>
        <w:numPr>
          <w:ilvl w:val="0"/>
          <w:numId w:val="2"/>
        </w:numPr>
        <w:spacing w:after="100" w:line="260"/>
        <w:jc w:val="both"/>
      </w:pPr>
      <w:r>
        <w:rPr>
          <w:rFonts w:ascii="Georgia" w:cs="Georgia" w:eastAsia="Georgia" w:hAnsi="Georgia"/>
          <w:color w:val="212121"/>
          <w:sz w:val="21"/>
          <w:szCs w:val="21"/>
        </w:rPr>
        <w:t xml:space="preserve">A trilateral ministerial among Canada, the United States, and Mexico is targeted for October 30, 2026, to align the bilateral track with the 2026 CUSMA joint review and to agree which modernization annexes proceed on a trilateral basis.</w:t>
      </w:r>
    </w:p>
    <w:p>
      <w:pPr>
        <w:pStyle w:val="ListParagraph"/>
        <w:numPr>
          <w:ilvl w:val="0"/>
          <w:numId w:val="2"/>
        </w:numPr>
        <w:spacing w:after="100" w:line="260"/>
        <w:jc w:val="both"/>
      </w:pPr>
      <w:r>
        <w:rPr>
          <w:rFonts w:ascii="Georgia" w:cs="Georgia" w:eastAsia="Georgia" w:hAnsi="Georgia"/>
          <w:color w:val="212121"/>
          <w:sz w:val="21"/>
          <w:szCs w:val="21"/>
        </w:rPr>
        <w:t xml:space="preserve">The working group deliverables are drafted from the outset in accession-ready form, so that what two countries build this autumn, three can sign this winter.</w:t>
      </w:r>
    </w:p>
    <w:p>
      <w:pPr>
        <w:pStyle w:val="Heading2"/>
        <w:spacing w:after="90" w:before="200" w:line="270"/>
        <w:jc w:val="left"/>
      </w:pPr>
      <w:r>
        <w:rPr>
          <w:rFonts w:ascii="Calibri" w:cs="Calibri" w:eastAsia="Calibri" w:hAnsi="Calibri"/>
          <w:b/>
          <w:bCs/>
          <w:color w:val="37474F"/>
          <w:sz w:val="26"/>
          <w:szCs w:val="26"/>
        </w:rPr>
        <w:t xml:space="preserve">6.C  The Longer Road</w:t>
      </w:r>
    </w:p>
    <w:p>
      <w:pPr>
        <w:spacing w:after="100" w:line="260"/>
        <w:jc w:val="both"/>
      </w:pPr>
      <w:r>
        <w:rPr>
          <w:rFonts w:ascii="Georgia" w:cs="Georgia" w:eastAsia="Georgia" w:hAnsi="Georgia"/>
          <w:color w:val="212121"/>
          <w:sz w:val="21"/>
          <w:szCs w:val="21"/>
        </w:rPr>
        <w:t xml:space="preserve">The Parties record their shared intention that the stabilization period be the beginning of a modernization agenda, not merely the end of a tariff exchange. The modular annexes — digital trade, customs and trade facilitation, automotive origin, competitiveness and economic security, labor, and environment — are the agreed long-term agenda, and the working groups of Section 3 are their first drafting tables.</w:t>
      </w:r>
    </w:p>
    <w:p>
      <w:pPr>
        <w:pStyle w:val="Heading1"/>
        <w:pBdr>
          <w:bottom w:val="single" w:color="B0BEC5" w:sz="6" w:space="4"/>
        </w:pBdr>
        <w:spacing w:after="120" w:before="280" w:line="270"/>
        <w:jc w:val="left"/>
      </w:pPr>
      <w:r>
        <w:rPr>
          <w:rFonts w:ascii="Calibri" w:cs="Calibri" w:eastAsia="Calibri" w:hAnsi="Calibri"/>
          <w:b/>
          <w:bCs/>
          <w:color w:val="37474F"/>
          <w:sz w:val="32"/>
          <w:szCs w:val="32"/>
        </w:rPr>
        <w:t xml:space="preserve">Adoption and Signature</w:t>
      </w:r>
    </w:p>
    <w:p>
      <w:pPr>
        <w:spacing w:after="100" w:line="260"/>
        <w:jc w:val="both"/>
      </w:pPr>
      <w:r>
        <w:rPr>
          <w:rFonts w:ascii="Georgia" w:cs="Georgia" w:eastAsia="Georgia" w:hAnsi="Georgia"/>
          <w:color w:val="212121"/>
          <w:sz w:val="21"/>
          <w:szCs w:val="21"/>
        </w:rPr>
        <w:t xml:space="preserve">Done at Washington, District of Columbia, and at Ottawa, Ontario, in duplicate, this seventh day of September, 2026, in the English and French languages, each text being equally authentic.</w:t>
      </w:r>
    </w:p>
    <w:p>
      <w:pPr>
        <w:spacing w:after="0" w:before="600"/>
      </w:pPr>
    </w:p>
    <w:p>
      <w:pPr>
        <w:spacing w:after="100" w:line="260"/>
        <w:jc w:val="left"/>
      </w:pPr>
      <w:r>
        <w:rPr>
          <w:rFonts w:ascii="Calibri" w:cs="Calibri" w:eastAsia="Calibri" w:hAnsi="Calibri"/>
          <w:b/>
          <w:bCs/>
          <w:color w:val="37474F"/>
          <w:sz w:val="22"/>
          <w:szCs w:val="22"/>
        </w:rPr>
        <w:t xml:space="preserve">FOR THE GOVERNMENT OF CANADA</w:t>
      </w:r>
    </w:p>
    <w:p>
      <w:pPr>
        <w:pBdr>
          <w:bottom w:val="single" w:color="546E7A" w:sz="6" w:space="1"/>
        </w:pBdr>
        <w:spacing w:after="40" w:before="500"/>
        <w:ind w:right="3600"/>
      </w:pPr>
    </w:p>
    <w:p>
      <w:pPr>
        <w:spacing w:after="600"/>
        <w:jc w:val="left"/>
      </w:pPr>
      <w:r>
        <w:rPr>
          <w:rFonts w:ascii="Georgia" w:cs="Georgia" w:eastAsia="Georgia" w:hAnsi="Georgia"/>
          <w:color w:val="212121"/>
          <w:sz w:val="21"/>
          <w:szCs w:val="21"/>
        </w:rPr>
        <w:t xml:space="preserve">Minister responsible for Canada–United States Trade</w:t>
      </w:r>
    </w:p>
    <w:p>
      <w:pPr>
        <w:spacing w:after="100" w:line="260"/>
        <w:jc w:val="left"/>
      </w:pPr>
      <w:r>
        <w:rPr>
          <w:rFonts w:ascii="Calibri" w:cs="Calibri" w:eastAsia="Calibri" w:hAnsi="Calibri"/>
          <w:b/>
          <w:bCs/>
          <w:color w:val="37474F"/>
          <w:sz w:val="22"/>
          <w:szCs w:val="22"/>
        </w:rPr>
        <w:t xml:space="preserve">FOR THE GOVERNMENT OF THE UNITED STATES OF AMERICA</w:t>
      </w:r>
    </w:p>
    <w:p>
      <w:pPr>
        <w:pBdr>
          <w:bottom w:val="single" w:color="546E7A" w:sz="6" w:space="1"/>
        </w:pBdr>
        <w:spacing w:after="40" w:before="500"/>
        <w:ind w:right="3600"/>
      </w:pPr>
    </w:p>
    <w:p>
      <w:pPr>
        <w:spacing w:after="100" w:line="260"/>
        <w:jc w:val="left"/>
      </w:pPr>
      <w:r>
        <w:rPr>
          <w:rFonts w:ascii="Georgia" w:cs="Georgia" w:eastAsia="Georgia" w:hAnsi="Georgia"/>
          <w:color w:val="212121"/>
          <w:sz w:val="21"/>
          <w:szCs w:val="21"/>
        </w:rPr>
        <w:t xml:space="preserve">United States Trade Representative</w:t>
      </w:r>
    </w:p>
    <w:p>
      <w:pPr>
        <w:pStyle w:val="Heading1"/>
        <w:pBdr>
          <w:bottom w:val="single" w:color="B0BEC5" w:sz="6" w:space="4"/>
        </w:pBdr>
        <w:spacing w:after="120" w:before="280" w:line="270"/>
        <w:jc w:val="left"/>
      </w:pPr>
      <w:r>
        <w:rPr>
          <w:rFonts w:ascii="Calibri" w:cs="Calibri" w:eastAsia="Calibri" w:hAnsi="Calibri"/>
          <w:b/>
          <w:bCs/>
          <w:color w:val="37474F"/>
          <w:sz w:val="32"/>
          <w:szCs w:val="32"/>
        </w:rPr>
        <w:t xml:space="preserve">Annex A: Schedule of Suspended Measures</w:t>
      </w:r>
    </w:p>
    <w:p>
      <w:pPr>
        <w:spacing w:after="100" w:line="260"/>
        <w:jc w:val="both"/>
      </w:pPr>
      <w:r>
        <w:rPr>
          <w:rFonts w:ascii="Georgia" w:cs="Georgia" w:eastAsia="Georgia" w:hAnsi="Georgia"/>
          <w:color w:val="212121"/>
          <w:sz w:val="21"/>
          <w:szCs w:val="21"/>
        </w:rPr>
        <w:t xml:space="preserve">This Annex records the measures held in suspension under Section 1. It is descriptive; the operative obligations are those of Section 1. Each Party maintains the authoritative line-level schedule through its customs administration, and the two schedules are reconciled through the shared inventory of Phase One. If the United Mexican States accedes under Section 6.B, the measures suspended under its side-letter are recorded in a supplementary schedule to this Annex, which takes effect without further amendment to this Statement.</w:t>
      </w:r>
    </w:p>
    <w:p>
      <w:pPr>
        <w:pStyle w:val="Heading2"/>
        <w:spacing w:after="90" w:before="200" w:line="270"/>
        <w:jc w:val="left"/>
      </w:pPr>
      <w:r>
        <w:rPr>
          <w:rFonts w:ascii="Calibri" w:cs="Calibri" w:eastAsia="Calibri" w:hAnsi="Calibri"/>
          <w:b/>
          <w:bCs/>
          <w:color w:val="37474F"/>
          <w:sz w:val="26"/>
          <w:szCs w:val="26"/>
        </w:rPr>
        <w:t xml:space="preserve">A.1  United States Suspended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EEF3F6" w:val="clear"/>
            <w:tcMar>
              <w:top w:type="dxa" w:w="70"/>
              <w:left w:type="dxa" w:w="120"/>
              <w:bottom w:type="dxa" w:w="70"/>
              <w:right w:type="dxa" w:w="120"/>
            </w:tcMar>
          </w:tcPr>
          <w:p>
            <w:pPr>
              <w:spacing w:after="20" w:line="240"/>
              <w:jc w:val="left"/>
            </w:pPr>
            <w:r>
              <w:rPr>
                <w:rFonts w:ascii="Calibri" w:cs="Calibri" w:eastAsia="Calibri" w:hAnsi="Calibri"/>
                <w:b/>
                <w:bCs/>
                <w:color w:val="37474F"/>
                <w:sz w:val="20"/>
                <w:szCs w:val="20"/>
              </w:rPr>
              <w:t xml:space="preserve">Element</w:t>
            </w:r>
          </w:p>
        </w:tc>
        <w:tc>
          <w:tcPr>
            <w:tcW w:type="dxa" w:w="7160"/>
            <w:shd w:fill="EEF3F6" w:val="clear"/>
            <w:tcMar>
              <w:top w:type="dxa" w:w="70"/>
              <w:left w:type="dxa" w:w="120"/>
              <w:bottom w:type="dxa" w:w="70"/>
              <w:right w:type="dxa" w:w="120"/>
            </w:tcMar>
          </w:tcPr>
          <w:p>
            <w:pPr>
              <w:spacing w:after="20" w:line="240"/>
              <w:jc w:val="left"/>
            </w:pPr>
            <w:r>
              <w:rPr>
                <w:rFonts w:ascii="Calibri" w:cs="Calibri" w:eastAsia="Calibri" w:hAnsi="Calibri"/>
                <w:b/>
                <w:bCs/>
                <w:color w:val="37474F"/>
                <w:sz w:val="20"/>
                <w:szCs w:val="20"/>
              </w:rPr>
              <w:t xml:space="preserve">Description</w:t>
            </w:r>
          </w:p>
        </w:tc>
      </w:tr>
      <w:tr>
        <w:tc>
          <w:tcPr>
            <w:tcW w:type="dxa" w:w="220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Instrument</w:t>
            </w:r>
          </w:p>
        </w:tc>
        <w:tc>
          <w:tcPr>
            <w:tcW w:type="dxa" w:w="716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Three Presidential Proclamations of July 20, 2026, issued under Section 338 of the Tariff Act of 1930; in force August 22, 2026</w:t>
            </w:r>
          </w:p>
        </w:tc>
      </w:tr>
      <w:tr>
        <w:tc>
          <w:tcPr>
            <w:tcW w:type="dxa" w:w="220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Rate</w:t>
            </w:r>
          </w:p>
        </w:tc>
        <w:tc>
          <w:tcPr>
            <w:tcW w:type="dxa" w:w="716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Additional duties of 50 percent</w:t>
            </w:r>
          </w:p>
        </w:tc>
      </w:tr>
      <w:tr>
        <w:tc>
          <w:tcPr>
            <w:tcW w:type="dxa" w:w="220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Coverage</w:t>
            </w:r>
          </w:p>
        </w:tc>
        <w:tc>
          <w:tcPr>
            <w:tcW w:type="dxa" w:w="716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A broad range of products of Canada, representing approximately US$20 billion of annual United States imports from Canada (approximately 5 percent of total imports from Canada), including hockey and other sporting equipment, apparel, cement, and beer</w:t>
            </w:r>
          </w:p>
        </w:tc>
      </w:tr>
      <w:tr>
        <w:tc>
          <w:tcPr>
            <w:tcW w:type="dxa" w:w="220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Status under this Statement</w:t>
            </w:r>
          </w:p>
        </w:tc>
        <w:tc>
          <w:tcPr>
            <w:tcW w:type="dxa" w:w="716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Suspended in full at the Suspension Time; dormant, not rescinded; reactivation only per Sections 4 and 5</w:t>
            </w:r>
          </w:p>
        </w:tc>
      </w:tr>
    </w:tbl>
    <w:p>
      <w:pPr>
        <w:pStyle w:val="Heading2"/>
        <w:spacing w:after="90" w:before="200" w:line="270"/>
        <w:jc w:val="left"/>
      </w:pPr>
      <w:r>
        <w:rPr>
          <w:rFonts w:ascii="Calibri" w:cs="Calibri" w:eastAsia="Calibri" w:hAnsi="Calibri"/>
          <w:b/>
          <w:bCs/>
          <w:color w:val="37474F"/>
          <w:sz w:val="26"/>
          <w:szCs w:val="26"/>
        </w:rPr>
        <w:t xml:space="preserve">A.2  Canadian Suspended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EEF3F6" w:val="clear"/>
            <w:tcMar>
              <w:top w:type="dxa" w:w="70"/>
              <w:left w:type="dxa" w:w="120"/>
              <w:bottom w:type="dxa" w:w="70"/>
              <w:right w:type="dxa" w:w="120"/>
            </w:tcMar>
          </w:tcPr>
          <w:p>
            <w:pPr>
              <w:spacing w:after="20" w:line="240"/>
              <w:jc w:val="left"/>
            </w:pPr>
            <w:r>
              <w:rPr>
                <w:rFonts w:ascii="Calibri" w:cs="Calibri" w:eastAsia="Calibri" w:hAnsi="Calibri"/>
                <w:b/>
                <w:bCs/>
                <w:color w:val="37474F"/>
                <w:sz w:val="20"/>
                <w:szCs w:val="20"/>
              </w:rPr>
              <w:t xml:space="preserve">Element</w:t>
            </w:r>
          </w:p>
        </w:tc>
        <w:tc>
          <w:tcPr>
            <w:tcW w:type="dxa" w:w="7160"/>
            <w:shd w:fill="EEF3F6" w:val="clear"/>
            <w:tcMar>
              <w:top w:type="dxa" w:w="70"/>
              <w:left w:type="dxa" w:w="120"/>
              <w:bottom w:type="dxa" w:w="70"/>
              <w:right w:type="dxa" w:w="120"/>
            </w:tcMar>
          </w:tcPr>
          <w:p>
            <w:pPr>
              <w:spacing w:after="20" w:line="240"/>
              <w:jc w:val="left"/>
            </w:pPr>
            <w:r>
              <w:rPr>
                <w:rFonts w:ascii="Calibri" w:cs="Calibri" w:eastAsia="Calibri" w:hAnsi="Calibri"/>
                <w:b/>
                <w:bCs/>
                <w:color w:val="37474F"/>
                <w:sz w:val="20"/>
                <w:szCs w:val="20"/>
              </w:rPr>
              <w:t xml:space="preserve">Description</w:t>
            </w:r>
          </w:p>
        </w:tc>
      </w:tr>
      <w:tr>
        <w:tc>
          <w:tcPr>
            <w:tcW w:type="dxa" w:w="220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Instrument</w:t>
            </w:r>
          </w:p>
        </w:tc>
        <w:tc>
          <w:tcPr>
            <w:tcW w:type="dxa" w:w="716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Counter-tariff measures announced by the Department of Finance Canada on August 25, 2026; scheduled for 12:01 a.m., September 8, 2026</w:t>
            </w:r>
          </w:p>
        </w:tc>
      </w:tr>
      <w:tr>
        <w:tc>
          <w:tcPr>
            <w:tcW w:type="dxa" w:w="220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Rates</w:t>
            </w:r>
          </w:p>
        </w:tc>
        <w:tc>
          <w:tcPr>
            <w:tcW w:type="dxa" w:w="716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15, 25, and 50 percent, matched dollar for dollar and rate for rate to the corresponding United States measures</w:t>
            </w:r>
          </w:p>
        </w:tc>
      </w:tr>
      <w:tr>
        <w:tc>
          <w:tcPr>
            <w:tcW w:type="dxa" w:w="220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Coverage</w:t>
            </w:r>
          </w:p>
        </w:tc>
        <w:tc>
          <w:tcPr>
            <w:tcW w:type="dxa" w:w="716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Approximately C$27.6 billion of United States imports across 629 tariff lines, concentrated in steel, dairy, appliances, agricultural equipment, pulp and paper, and electronics; existing 25 percent rates on certain goods would have risen to 50 percent</w:t>
            </w:r>
          </w:p>
        </w:tc>
      </w:tr>
      <w:tr>
        <w:tc>
          <w:tcPr>
            <w:tcW w:type="dxa" w:w="220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Status under this Statement</w:t>
            </w:r>
          </w:p>
        </w:tc>
        <w:tc>
          <w:tcPr>
            <w:tcW w:type="dxa" w:w="716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Suspended prior to application, or in full at the Suspension Time; dormant, not rescinded; reactivation only per Sections 4 and 5</w:t>
            </w:r>
          </w:p>
        </w:tc>
      </w:tr>
    </w:tbl>
    <w:p>
      <w:pPr>
        <w:pStyle w:val="Heading2"/>
        <w:spacing w:after="90" w:before="200" w:line="270"/>
        <w:jc w:val="left"/>
      </w:pPr>
      <w:r>
        <w:rPr>
          <w:rFonts w:ascii="Calibri" w:cs="Calibri" w:eastAsia="Calibri" w:hAnsi="Calibri"/>
          <w:b/>
          <w:bCs/>
          <w:color w:val="37474F"/>
          <w:sz w:val="26"/>
          <w:szCs w:val="26"/>
        </w:rPr>
        <w:t xml:space="preserve">A.3  Measures Referred to the Accelerated Channel</w:t>
      </w:r>
    </w:p>
    <w:p>
      <w:pPr>
        <w:spacing w:after="100" w:line="260"/>
        <w:jc w:val="both"/>
      </w:pPr>
      <w:r>
        <w:rPr>
          <w:rFonts w:ascii="Georgia" w:cs="Georgia" w:eastAsia="Georgia" w:hAnsi="Georgia"/>
          <w:color w:val="212121"/>
          <w:sz w:val="21"/>
          <w:szCs w:val="21"/>
        </w:rPr>
        <w:t xml:space="preserve">The following remain in force and are addressed through the accelerated channel of Section 2 with a ninety-day outcome target: the United States Section 232 duties on steel, aluminum, and automobiles and parts, and the corresponding Canadian measures. Their continuation during the stabilization period is not a breach of the Standstill Covenant; their escalation would be.</w:t>
      </w:r>
    </w:p>
    <w:p>
      <w:pPr>
        <w:pStyle w:val="Heading1"/>
        <w:pBdr>
          <w:bottom w:val="single" w:color="B0BEC5" w:sz="6" w:space="4"/>
        </w:pBdr>
        <w:spacing w:after="120" w:before="280" w:line="270"/>
        <w:jc w:val="left"/>
      </w:pPr>
      <w:r>
        <w:rPr>
          <w:rFonts w:ascii="Calibri" w:cs="Calibri" w:eastAsia="Calibri" w:hAnsi="Calibri"/>
          <w:b/>
          <w:bCs/>
          <w:color w:val="37474F"/>
          <w:sz w:val="32"/>
          <w:szCs w:val="32"/>
        </w:rPr>
        <w:t xml:space="preserve">Annex B: Working Group Terms of Reference</w:t>
      </w:r>
    </w:p>
    <w:p>
      <w:pPr>
        <w:spacing w:after="100" w:line="260"/>
        <w:jc w:val="both"/>
      </w:pPr>
      <w:r>
        <w:rPr>
          <w:rFonts w:ascii="Georgia" w:cs="Georgia" w:eastAsia="Georgia" w:hAnsi="Georgia"/>
          <w:color w:val="212121"/>
          <w:sz w:val="21"/>
          <w:szCs w:val="21"/>
        </w:rPr>
        <w:t xml:space="preserve">Each working group operates under these common terms of reference, supplemented by its mandate in Section 3.</w:t>
      </w:r>
    </w:p>
    <w:p>
      <w:pPr>
        <w:pStyle w:val="Heading2"/>
        <w:spacing w:after="90" w:before="200" w:line="270"/>
        <w:jc w:val="left"/>
      </w:pPr>
      <w:r>
        <w:rPr>
          <w:rFonts w:ascii="Calibri" w:cs="Calibri" w:eastAsia="Calibri" w:hAnsi="Calibri"/>
          <w:b/>
          <w:bCs/>
          <w:color w:val="37474F"/>
          <w:sz w:val="26"/>
          <w:szCs w:val="26"/>
        </w:rPr>
        <w:t xml:space="preserve">B.1  Common Terms</w:t>
      </w:r>
    </w:p>
    <w:p>
      <w:pPr>
        <w:pStyle w:val="ListParagraph"/>
        <w:numPr>
          <w:ilvl w:val="0"/>
          <w:numId w:val="2"/>
        </w:numPr>
        <w:spacing w:after="100" w:line="260"/>
        <w:jc w:val="both"/>
      </w:pPr>
      <w:r>
        <w:rPr>
          <w:rFonts w:ascii="Georgia" w:cs="Georgia" w:eastAsia="Georgia" w:hAnsi="Georgia"/>
          <w:color w:val="212121"/>
          <w:sz w:val="21"/>
          <w:szCs w:val="21"/>
        </w:rPr>
        <w:t xml:space="preserve">Composition: five members per Party, led by a co-chair at deputy-minister or deputy-USTR level; the customs group includes the operational heads of CBP and CBSA for the pilot sessions.</w:t>
      </w:r>
    </w:p>
    <w:p>
      <w:pPr>
        <w:pStyle w:val="ListParagraph"/>
        <w:numPr>
          <w:ilvl w:val="0"/>
          <w:numId w:val="2"/>
        </w:numPr>
        <w:spacing w:after="100" w:line="260"/>
        <w:jc w:val="both"/>
      </w:pPr>
      <w:r>
        <w:rPr>
          <w:rFonts w:ascii="Georgia" w:cs="Georgia" w:eastAsia="Georgia" w:hAnsi="Georgia"/>
          <w:color w:val="212121"/>
          <w:sz w:val="21"/>
          <w:szCs w:val="21"/>
        </w:rPr>
        <w:t xml:space="preserve">Cadence: continuous virtual session; in-person sessions monthly, alternating between Ottawa and Washington; first session no later than September 17, 2026.</w:t>
      </w:r>
    </w:p>
    <w:p>
      <w:pPr>
        <w:pStyle w:val="ListParagraph"/>
        <w:numPr>
          <w:ilvl w:val="0"/>
          <w:numId w:val="2"/>
        </w:numPr>
        <w:spacing w:after="100" w:line="260"/>
        <w:jc w:val="both"/>
      </w:pPr>
      <w:r>
        <w:rPr>
          <w:rFonts w:ascii="Georgia" w:cs="Georgia" w:eastAsia="Georgia" w:hAnsi="Georgia"/>
          <w:color w:val="212121"/>
          <w:sz w:val="21"/>
          <w:szCs w:val="21"/>
        </w:rPr>
        <w:t xml:space="preserve">Method: technical first, political last — groups exhaust the technical options before escalating a question to the Joint Coordinating Committee.</w:t>
      </w:r>
    </w:p>
    <w:p>
      <w:pPr>
        <w:pStyle w:val="ListParagraph"/>
        <w:numPr>
          <w:ilvl w:val="0"/>
          <w:numId w:val="2"/>
        </w:numPr>
        <w:spacing w:after="100" w:line="260"/>
        <w:jc w:val="both"/>
      </w:pPr>
      <w:r>
        <w:rPr>
          <w:rFonts w:ascii="Georgia" w:cs="Georgia" w:eastAsia="Georgia" w:hAnsi="Georgia"/>
          <w:color w:val="212121"/>
          <w:sz w:val="21"/>
          <w:szCs w:val="21"/>
        </w:rPr>
        <w:t xml:space="preserve">Transparency: summary reports published unless both co-chairs agree otherwise; all drafts shared simultaneously with both capitals.</w:t>
      </w:r>
    </w:p>
    <w:p>
      <w:pPr>
        <w:pStyle w:val="ListParagraph"/>
        <w:numPr>
          <w:ilvl w:val="0"/>
          <w:numId w:val="2"/>
        </w:numPr>
        <w:spacing w:after="100" w:line="260"/>
        <w:jc w:val="both"/>
      </w:pPr>
      <w:r>
        <w:rPr>
          <w:rFonts w:ascii="Georgia" w:cs="Georgia" w:eastAsia="Georgia" w:hAnsi="Georgia"/>
          <w:color w:val="212121"/>
          <w:sz w:val="21"/>
          <w:szCs w:val="21"/>
        </w:rPr>
        <w:t xml:space="preserve">Accession-ready drafting: every deliverable is drafted so that Mexico can accede by side-letter without renegotiation.</w:t>
      </w:r>
    </w:p>
    <w:p>
      <w:pPr>
        <w:pStyle w:val="ListParagraph"/>
        <w:numPr>
          <w:ilvl w:val="0"/>
          <w:numId w:val="2"/>
        </w:numPr>
        <w:spacing w:after="100" w:line="260"/>
        <w:jc w:val="both"/>
      </w:pPr>
      <w:r>
        <w:rPr>
          <w:rFonts w:ascii="Georgia" w:cs="Georgia" w:eastAsia="Georgia" w:hAnsi="Georgia"/>
          <w:color w:val="212121"/>
          <w:sz w:val="21"/>
          <w:szCs w:val="21"/>
        </w:rPr>
        <w:t xml:space="preserve">Outputs: a deliverable is either an agreed text or, failing agreement, a joint statement of unresolved issues, competing options, and recommended next steps. Deadlines force output; they never force concessions.</w:t>
      </w:r>
    </w:p>
    <w:p>
      <w:pPr>
        <w:pStyle w:val="Heading2"/>
        <w:spacing w:after="90" w:before="200" w:line="270"/>
        <w:jc w:val="left"/>
      </w:pPr>
      <w:r>
        <w:rPr>
          <w:rFonts w:ascii="Calibri" w:cs="Calibri" w:eastAsia="Calibri" w:hAnsi="Calibri"/>
          <w:b/>
          <w:bCs/>
          <w:color w:val="37474F"/>
          <w:sz w:val="26"/>
          <w:szCs w:val="26"/>
        </w:rPr>
        <w:t xml:space="preserve">B.2  Group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360"/>
      </w:tblGrid>
      <w:tr>
        <w:trPr>
          <w:tblHeader/>
        </w:trPr>
        <w:tc>
          <w:tcPr>
            <w:tcW w:type="dxa" w:w="2300"/>
            <w:shd w:fill="EEF3F6" w:val="clear"/>
            <w:tcMar>
              <w:top w:type="dxa" w:w="70"/>
              <w:left w:type="dxa" w:w="120"/>
              <w:bottom w:type="dxa" w:w="70"/>
              <w:right w:type="dxa" w:w="120"/>
            </w:tcMar>
          </w:tcPr>
          <w:p>
            <w:pPr>
              <w:spacing w:after="20" w:line="240"/>
              <w:jc w:val="left"/>
            </w:pPr>
            <w:r>
              <w:rPr>
                <w:rFonts w:ascii="Calibri" w:cs="Calibri" w:eastAsia="Calibri" w:hAnsi="Calibri"/>
                <w:b/>
                <w:bCs/>
                <w:color w:val="37474F"/>
                <w:sz w:val="20"/>
                <w:szCs w:val="20"/>
              </w:rPr>
              <w:t xml:space="preserve">Working Group</w:t>
            </w:r>
          </w:p>
        </w:tc>
        <w:tc>
          <w:tcPr>
            <w:tcW w:type="dxa" w:w="2700"/>
            <w:shd w:fill="EEF3F6" w:val="clear"/>
            <w:tcMar>
              <w:top w:type="dxa" w:w="70"/>
              <w:left w:type="dxa" w:w="120"/>
              <w:bottom w:type="dxa" w:w="70"/>
              <w:right w:type="dxa" w:w="120"/>
            </w:tcMar>
          </w:tcPr>
          <w:p>
            <w:pPr>
              <w:spacing w:after="20" w:line="240"/>
              <w:jc w:val="left"/>
            </w:pPr>
            <w:r>
              <w:rPr>
                <w:rFonts w:ascii="Calibri" w:cs="Calibri" w:eastAsia="Calibri" w:hAnsi="Calibri"/>
                <w:b/>
                <w:bCs/>
                <w:color w:val="37474F"/>
                <w:sz w:val="20"/>
                <w:szCs w:val="20"/>
              </w:rPr>
              <w:t xml:space="preserve">First Session By</w:t>
            </w:r>
          </w:p>
        </w:tc>
        <w:tc>
          <w:tcPr>
            <w:tcW w:type="dxa" w:w="4360"/>
            <w:shd w:fill="EEF3F6" w:val="clear"/>
            <w:tcMar>
              <w:top w:type="dxa" w:w="70"/>
              <w:left w:type="dxa" w:w="120"/>
              <w:bottom w:type="dxa" w:w="70"/>
              <w:right w:type="dxa" w:w="120"/>
            </w:tcMar>
          </w:tcPr>
          <w:p>
            <w:pPr>
              <w:spacing w:after="20" w:line="240"/>
              <w:jc w:val="left"/>
            </w:pPr>
            <w:r>
              <w:rPr>
                <w:rFonts w:ascii="Calibri" w:cs="Calibri" w:eastAsia="Calibri" w:hAnsi="Calibri"/>
                <w:b/>
                <w:bCs/>
                <w:color w:val="37474F"/>
                <w:sz w:val="20"/>
                <w:szCs w:val="20"/>
              </w:rPr>
              <w:t xml:space="preserve">Deliverable and Date</w:t>
            </w:r>
          </w:p>
        </w:tc>
      </w:tr>
      <w:tr>
        <w:tc>
          <w:tcPr>
            <w:tcW w:type="dxa" w:w="230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Automotive Rules of Origin</w:t>
            </w:r>
          </w:p>
        </w:tc>
        <w:tc>
          <w:tcPr>
            <w:tcW w:type="dxa" w:w="270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Sep 17, 2026</w:t>
            </w:r>
          </w:p>
        </w:tc>
        <w:tc>
          <w:tcPr>
            <w:tcW w:type="dxa" w:w="436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Origin documentation and audit understanding — Oct 9, 2026; EV battery-content module — Nov 8, 2026</w:t>
            </w:r>
          </w:p>
        </w:tc>
      </w:tr>
      <w:tr>
        <w:tc>
          <w:tcPr>
            <w:tcW w:type="dxa" w:w="230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Digital Trade and Data</w:t>
            </w:r>
          </w:p>
        </w:tc>
        <w:tc>
          <w:tcPr>
            <w:tcW w:type="dxa" w:w="270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Sep 17, 2026</w:t>
            </w:r>
          </w:p>
        </w:tc>
        <w:tc>
          <w:tcPr>
            <w:tcW w:type="dxa" w:w="436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Digital trade principles text — Nov 8, 2026</w:t>
            </w:r>
          </w:p>
        </w:tc>
      </w:tr>
      <w:tr>
        <w:tc>
          <w:tcPr>
            <w:tcW w:type="dxa" w:w="230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Customs and Trade Facilitation</w:t>
            </w:r>
          </w:p>
        </w:tc>
        <w:tc>
          <w:tcPr>
            <w:tcW w:type="dxa" w:w="270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Sep 17, 2026</w:t>
            </w:r>
          </w:p>
        </w:tc>
        <w:tc>
          <w:tcPr>
            <w:tcW w:type="dxa" w:w="436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Single-window pilot design (ports named, fields mapped) — Oct 9, 2026</w:t>
            </w:r>
          </w:p>
        </w:tc>
      </w:tr>
      <w:tr>
        <w:tc>
          <w:tcPr>
            <w:tcW w:type="dxa" w:w="230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Government Procurement</w:t>
            </w:r>
          </w:p>
        </w:tc>
        <w:tc>
          <w:tcPr>
            <w:tcW w:type="dxa" w:w="270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Sep 17, 2026</w:t>
            </w:r>
          </w:p>
        </w:tc>
        <w:tc>
          <w:tcPr>
            <w:tcW w:type="dxa" w:w="436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Transparency and notification protocol; contact points designated — Nov 8, 2026</w:t>
            </w:r>
          </w:p>
        </w:tc>
      </w:tr>
      <w:tr>
        <w:tc>
          <w:tcPr>
            <w:tcW w:type="dxa" w:w="230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Labor and Environment</w:t>
            </w:r>
          </w:p>
        </w:tc>
        <w:tc>
          <w:tcPr>
            <w:tcW w:type="dxa" w:w="270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Sep 17, 2026</w:t>
            </w:r>
          </w:p>
        </w:tc>
        <w:tc>
          <w:tcPr>
            <w:tcW w:type="dxa" w:w="4360"/>
            <w:tcMar>
              <w:top w:type="dxa" w:w="70"/>
              <w:left w:type="dxa" w:w="120"/>
              <w:bottom w:type="dxa" w:w="70"/>
              <w:right w:type="dxa" w:w="120"/>
            </w:tcMar>
          </w:tcPr>
          <w:p>
            <w:pPr>
              <w:spacing w:after="20" w:line="240"/>
              <w:jc w:val="left"/>
            </w:pPr>
            <w:r>
              <w:rPr>
                <w:rFonts w:ascii="Georgia" w:cs="Georgia" w:eastAsia="Georgia" w:hAnsi="Georgia"/>
                <w:color w:val="212121"/>
                <w:sz w:val="21"/>
                <w:szCs w:val="21"/>
              </w:rPr>
              <w:t xml:space="preserve">Joint work plan; 2027 wildfire-season protocol ready for signature — Nov 8, 2026</w:t>
            </w:r>
          </w:p>
        </w:tc>
      </w:tr>
    </w:tbl>
    <w:p>
      <w:pPr>
        <w:pStyle w:val="Heading2"/>
        <w:spacing w:after="90" w:before="200" w:line="270"/>
        <w:jc w:val="left"/>
      </w:pPr>
      <w:r>
        <w:rPr>
          <w:rFonts w:ascii="Calibri" w:cs="Calibri" w:eastAsia="Calibri" w:hAnsi="Calibri"/>
          <w:b/>
          <w:bCs/>
          <w:color w:val="37474F"/>
          <w:sz w:val="26"/>
          <w:szCs w:val="26"/>
        </w:rPr>
        <w:t xml:space="preserve">B.3  Escalation</w:t>
      </w:r>
    </w:p>
    <w:p>
      <w:pPr>
        <w:spacing w:after="100" w:line="260"/>
        <w:jc w:val="both"/>
      </w:pPr>
      <w:r>
        <w:rPr>
          <w:rFonts w:ascii="Georgia" w:cs="Georgia" w:eastAsia="Georgia" w:hAnsi="Georgia"/>
          <w:color w:val="212121"/>
          <w:sz w:val="21"/>
          <w:szCs w:val="21"/>
        </w:rPr>
        <w:t xml:space="preserve">A question unresolved in a working group for fourteen days goes to the Joint Coordinating Committee. A question unresolved in the Committee for fourteen days goes to the principals. Nothing escalates by silence: every open question sits on a named desk with a named date.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46E7A"/>
        <w:sz w:val="18"/>
        <w:szCs w:val="18"/>
      </w:rPr>
      <w:t xml:space="preserve">Page </w:t>
    </w:r>
    <w:r>
      <w:rPr>
        <w:rFonts w:ascii="Calibri" w:cs="Calibri" w:eastAsia="Calibri" w:hAnsi="Calibri"/>
        <w:color w:val="546E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40" w:line="240"/>
      </w:pPr>
      <w:r>
        <w:rPr>
          <w:rStyle w:val="FootnoteReference"/>
        </w:rPr>
        <w:footnoteRef/>
      </w:r>
      <w:r>
        <w:rPr>
          <w:rFonts w:ascii="Georgia" w:cs="Georgia" w:eastAsia="Georgia" w:hAnsi="Georgia"/>
          <w:color w:val="212121"/>
          <w:sz w:val="18"/>
          <w:szCs w:val="18"/>
        </w:rPr>
        <w:t xml:space="preserve">Presidential Proclamations of July 20, 2026, issued under Section 338 of the Tariff Act of 1930 (19 U.S.C. § 1338), imposing additional duties of 50 percent on a broad range of products of Canada, effective August 22, 2026. The duties apply to approximately US$20 billion of annual United States imports from Canada.</w:t>
      </w:r>
    </w:p>
  </w:footnote>
  <w:footnote w:id="2">
    <w:p>
      <w:pPr>
        <w:spacing w:after="40" w:line="240"/>
      </w:pPr>
      <w:r>
        <w:rPr>
          <w:rStyle w:val="FootnoteReference"/>
        </w:rPr>
        <w:footnoteRef/>
      </w:r>
      <w:r>
        <w:rPr>
          <w:rFonts w:ascii="Georgia" w:cs="Georgia" w:eastAsia="Georgia" w:hAnsi="Georgia"/>
          <w:color w:val="212121"/>
          <w:sz w:val="18"/>
          <w:szCs w:val="18"/>
        </w:rPr>
        <w:t xml:space="preserve">Department of Finance Canada, "List of Products from the United States Subject to Counter-Tariffs Effective September 8, 2026" (August 25, 2026): 629 tariff lines at rates of 15, 25, and 50 percent, covering approximately C$27.6 billion of United States imports, concentrated in steel, dairy, appliances, agricultural equipment, pulp and paper, and electronics.</w:t>
      </w:r>
    </w:p>
  </w:footnote>
  <w:footnote w:id="3">
    <w:p>
      <w:pPr>
        <w:spacing w:after="40" w:line="240"/>
      </w:pPr>
      <w:r>
        <w:rPr>
          <w:rStyle w:val="FootnoteReference"/>
        </w:rPr>
        <w:footnoteRef/>
      </w:r>
      <w:r>
        <w:rPr>
          <w:rFonts w:ascii="Georgia" w:cs="Georgia" w:eastAsia="Georgia" w:hAnsi="Georgia"/>
          <w:color w:val="212121"/>
          <w:sz w:val="18"/>
          <w:szCs w:val="18"/>
        </w:rPr>
        <w:t xml:space="preserve">USMCA Panel Report, United States — Automotive Rules of Origin (USA-MEX-CDA-2022-31-01), circulated January 2023, concerning the calculation of regional value content for passenger vehicles and light trucks, including the treatment of core parts (the roll-up methodology).</w:t>
      </w:r>
    </w:p>
  </w:footnote>
  <w:footnote w:id="4">
    <w:p>
      <w:pPr>
        <w:spacing w:after="40" w:line="240"/>
      </w:pPr>
      <w:r>
        <w:rPr>
          <w:rStyle w:val="FootnoteReference"/>
        </w:rPr>
        <w:footnoteRef/>
      </w:r>
      <w:r>
        <w:rPr>
          <w:rFonts w:ascii="Georgia" w:cs="Georgia" w:eastAsia="Georgia" w:hAnsi="Georgia"/>
          <w:color w:val="212121"/>
          <w:sz w:val="18"/>
          <w:szCs w:val="18"/>
        </w:rPr>
        <w:t xml:space="preserve">Canada–United States–Mexico Agreement, Chapter 31 (Dispute Settlement), including Article 31.4 (Consultations) and Article 31.6 (Establishment of a Panel).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s="Calibri" w:eastAsia="Calibri" w:hAnsi="Calibri"/>
        <w:color w:val="546E7A"/>
        <w:sz w:val="18"/>
        <w:szCs w:val="18"/>
      </w:rPr>
      <w:t xml:space="preserve">Joint Statement on North American Trade Stabilization and Sectoral Modernization  ·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qFormat/>
    <w:pPr>
      <w:spacing w:after="60" w:before="120" w:line="260"/>
    </w:pPr>
    <w:rPr>
      <w:rFonts w:ascii="Calibri" w:cs="Calibri" w:eastAsia="Calibri" w:hAnsi="Calibri"/>
      <w:b/>
      <w:bCs/>
      <w:color w:val="37474F"/>
      <w:sz w:val="21"/>
      <w:szCs w:val="21"/>
    </w:rPr>
  </w:style>
  <w:style w:type="paragraph" w:styleId="TOC2">
    <w:name w:val="toc 2"/>
    <w:basedOn w:val="Normal"/>
    <w:next w:val="Normal"/>
    <w:qFormat/>
    <w:pPr>
      <w:spacing w:after="40" w:line="260"/>
      <w:ind w:left="360"/>
    </w:pPr>
    <w:rPr>
      <w:rFonts w:ascii="Calibri" w:cs="Calibri" w:eastAsia="Calibri" w:hAnsi="Calibri"/>
      <w:color w:val="21212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Joint Statement on North American Trade Stabilization and Sectoral Modernization</dc:title>
  <dc:creator>Joint Drafting Teams of Canada and the United States</dc:creator>
  <dc:description>Canada–United States joint statement suspending the August and September 2026 tariff packages and launching a ninety-day stabilization and modernization track.</dc:description>
  <cp:lastModifiedBy>Un-named</cp:lastModifiedBy>
  <cp:revision>1</cp:revision>
  <dcterms:created xsi:type="dcterms:W3CDTF">2026-09-07T12:50:52.292Z</dcterms:created>
  <dcterms:modified xsi:type="dcterms:W3CDTF">2026-09-07T12:50:52.293Z</dcterms:modified>
</cp:coreProperties>
</file>

<file path=docProps/custom.xml><?xml version="1.0" encoding="utf-8"?>
<Properties xmlns="http://schemas.openxmlformats.org/officeDocument/2006/custom-properties" xmlns:vt="http://schemas.openxmlformats.org/officeDocument/2006/docPropsVTypes"/>
</file>