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jc w:val="center"/>
      </w:pPr>
      <w:r>
        <w:rPr>
          <w:rFonts w:ascii="Georgia" w:cs="Georgia" w:eastAsia="SimSun" w:hAnsi="Georgia"/>
          <w:b/>
          <w:bCs/>
          <w:color w:val="35586B"/>
          <w:sz w:val="64"/>
          <w:szCs w:val="64"/>
        </w:rPr>
        <w:t xml:space="preserve">THE SILVER LINE</w:t>
      </w:r>
    </w:p>
    <w:p>
      <w:pPr>
        <w:spacing w:after="240"/>
        <w:jc w:val="center"/>
      </w:pPr>
      <w:r>
        <w:rPr>
          <w:rFonts w:ascii="Georgia" w:cs="Georgia" w:eastAsia="SimSun" w:hAnsi="Georgia"/>
          <w:b/>
          <w:bCs/>
          <w:color w:val="35586B"/>
          <w:sz w:val="64"/>
          <w:szCs w:val="64"/>
        </w:rPr>
        <w:t xml:space="preserve">BRIDGE ACCORD</w:t>
      </w:r>
    </w:p>
    <w:p>
      <w:pPr>
        <w:spacing w:after="160"/>
        <w:jc w:val="center"/>
      </w:pPr>
      <w:r>
        <w:rPr>
          <w:rFonts w:ascii="Georgia" w:cs="Georgia" w:eastAsia="SimSun" w:hAnsi="Georgia"/>
          <w:color w:val="1F2A36"/>
          <w:sz w:val="30"/>
          <w:szCs w:val="30"/>
        </w:rPr>
        <w:t xml:space="preserve">Canada - United States Interim Trade Agreement</w:t>
      </w:r>
    </w:p>
    <w:p>
      <w:pPr>
        <w:spacing w:after="80"/>
        <w:jc w:val="center"/>
      </w:pPr>
      <w:r>
        <w:rPr>
          <w:rFonts w:ascii="Georgia" w:cs="Georgia" w:eastAsia="SimSun" w:hAnsi="Georgia"/>
          <w:color w:val="1F2A36"/>
          <w:sz w:val="24"/>
          <w:szCs w:val="24"/>
        </w:rPr>
        <w:t xml:space="preserve">Version 1.0 - September 2026</w:t>
      </w:r>
    </w:p>
    <w:p>
      <w:pPr>
        <w:spacing w:after="480"/>
        <w:jc w:val="center"/>
      </w:pPr>
      <w:r>
        <w:rPr>
          <w:rFonts w:ascii="Georgia" w:cs="Georgia" w:eastAsia="SimSun" w:hAnsi="Georgia"/>
          <w:i/>
          <w:iCs/>
          <w:color w:val="35586B"/>
          <w:sz w:val="22"/>
          <w:szCs w:val="22"/>
        </w:rPr>
        <w:t xml:space="preserve">Independent Conceptual Negotiating Draft - Unsigned - Without Prejudice</w:t>
      </w:r>
    </w:p>
    <w:p>
      <w:pPr>
        <w:spacing w:after="240"/>
        <w:jc w:val="center"/>
      </w:pPr>
      <w:r>
        <w:rPr>
          <w:rFonts w:ascii="Georgia" w:cs="Georgia" w:eastAsia="SimSun" w:hAnsi="Georgia"/>
          <w:color w:val="1F2A36"/>
          <w:sz w:val="22"/>
          <w:szCs w:val="22"/>
        </w:rPr>
        <w:t xml:space="preserve">A symmetric bilateral bridge for tariff de-escalation, reciprocal market access, sectoral settlement, strategic supply, and durable continental competitiveness - verified through the Cothrom Method, sustained by the Rolling Horizon, and protected by the No-Fade Principle.</w:t>
      </w:r>
    </w:p>
    <w:p>
      <w:pPr>
        <w:spacing w:after="0"/>
        <w:jc w:val="center"/>
      </w:pPr>
      <w:r>
        <w:rPr>
          <w:rFonts w:ascii="Georgia" w:cs="Georgia" w:eastAsia="SimSun" w:hAnsi="Georgia"/>
          <w:i/>
          <w:iCs/>
          <w:color w:val="35586B"/>
          <w:sz w:val="22"/>
          <w:szCs w:val="22"/>
        </w:rPr>
        <w:t xml:space="preserve">Preserving CUSMA as the continental baseline</w:t>
      </w:r>
    </w:p>
    <w:p>
      <w:pPr>
        <w:pStyle w:val="Heading1"/>
        <w:pageBreakBefore/>
        <w:spacing w:after="200" w:before="360"/>
      </w:pPr>
      <w:r>
        <w:rPr>
          <w:rFonts w:ascii="Georgia" w:cs="Georgia" w:eastAsia="SimSun" w:hAnsi="Georgia"/>
          <w:b/>
          <w:bCs/>
          <w:color w:val="35586B"/>
          <w:sz w:val="32"/>
          <w:szCs w:val="32"/>
        </w:rPr>
        <w:t xml:space="preserve">Document Control, Status, and Caution</w:t>
      </w:r>
    </w:p>
    <w:p>
      <w:pPr>
        <w:spacing w:after="160" w:line="300"/>
        <w:ind w:firstLine="431"/>
        <w:jc w:val="both"/>
      </w:pPr>
      <w:r>
        <w:rPr>
          <w:rFonts w:ascii="Georgia" w:cs="Georgia" w:eastAsia="SimSun" w:hAnsi="Georgia"/>
          <w:color w:val="1F2A36"/>
          <w:sz w:val="22"/>
          <w:szCs w:val="22"/>
        </w:rPr>
        <w:t xml:space="preserve">This text presents an independent conceptual negotiating draft prepared for policy discussion. It does not represent an official position of Canada, the United States, any province, any state, CUSMA institutions, or any public authority. It is unsigned and without prejudice to the legal positions of either country under the Canada-United States-Mexico Agreement (CUSMA), World Trade Organization instruments, domestic law, or any pending trade-remedy, dispute-settlement, or judicial proceeding. References to statutes, proclamations, orders, tariff headings, and international agreements are drafting anchors intended to make the text operationally precise; they do not assert any official action by the issuing authorities.</w:t>
      </w:r>
    </w:p>
    <w:p>
      <w:pPr>
        <w:spacing w:after="160" w:line="300"/>
        <w:ind w:firstLine="431"/>
        <w:jc w:val="both"/>
      </w:pPr>
      <w:r>
        <w:rPr>
          <w:rFonts w:ascii="Georgia" w:cs="Georgia" w:eastAsia="SimSun" w:hAnsi="Georgia"/>
          <w:color w:val="1F2A36"/>
          <w:sz w:val="22"/>
          <w:szCs w:val="22"/>
        </w:rPr>
        <w:t xml:space="preserve">The Silver Line Bridge Accord operates as an interim administrative and political bridge. Each government implements only those actions that its competent authorities independently identify as available under existing law. Measures that depend on legislation, appropriations, provincial action, state action, regulatory approval, or private contracting remain within those decision channels, and the Accord records them as scheduled commitments executed through the domestic instruments identified in Annex U (Domestic Implementing Instruments Checklist).</w:t>
      </w:r>
    </w:p>
    <w:p>
      <w:pPr>
        <w:spacing w:after="160" w:line="300"/>
        <w:ind w:firstLine="431"/>
        <w:jc w:val="both"/>
      </w:pPr>
      <w:r>
        <w:rPr>
          <w:rFonts w:ascii="Georgia" w:cs="Georgia" w:eastAsia="SimSun" w:hAnsi="Georgia"/>
          <w:color w:val="1F2A36"/>
          <w:sz w:val="22"/>
          <w:szCs w:val="22"/>
        </w:rPr>
        <w:t xml:space="preserve">Interim commercial actions taken under the Accord create no permanent precedent and carry no admission regarding the legality of any contested measure, including measures adopted under Section 232 of the Trade Expansion Act of 1962 (19 U.S.C. 1862), Section 301 of the Trade Act of 1974 (19 U.S.C. 2411), Section 122 of the Trade Act of 1974 (19 U.S.C. 2132), the Customs Tariff (Canada) and its surtax orders, or any successor authority.</w:t>
      </w:r>
    </w:p>
    <w:p>
      <w:pPr>
        <w:spacing w:after="160" w:line="300"/>
        <w:ind w:firstLine="431"/>
        <w:jc w:val="both"/>
      </w:pPr>
      <w:r>
        <w:rPr>
          <w:rFonts w:ascii="Georgia" w:cs="Georgia" w:eastAsia="SimSun" w:hAnsi="Georgia"/>
          <w:color w:val="1F2A36"/>
          <w:sz w:val="22"/>
          <w:szCs w:val="22"/>
        </w:rPr>
        <w:t xml:space="preserve">Research cut-off for the situation assessment: September 8, 2026. Drafting basis: the symmetric balance framework set out in the Carney interim materials, the operational architecture of the Great Lakes Gateway Interim Trade Accord, and The Cothrom Verification Method, Version 1.0. Conflict rule: where a specific Annex conflicts with a general Article, the Annex's specific rule prevails, except that any provision touching sovereignty is governed by Annex S (Red Lines Preserved), which prevails over all other provisions.</w:t>
      </w:r>
    </w:p>
    <w:p>
      <w:pPr>
        <w:pStyle w:val="Heading1"/>
        <w:pageBreakBefore/>
        <w:spacing w:after="200" w:before="360"/>
      </w:pPr>
      <w:r>
        <w:rPr>
          <w:rFonts w:ascii="Georgia" w:cs="Georgia" w:eastAsia="SimSun" w:hAnsi="Georgia"/>
          <w:b/>
          <w:bCs/>
          <w:color w:val="35586B"/>
          <w:sz w:val="32"/>
          <w:szCs w:val="32"/>
        </w:rPr>
        <w:t xml:space="preserve">Executive Negotiating Snapshot</w:t>
      </w:r>
    </w:p>
    <w:p>
      <w:pPr>
        <w:spacing w:after="160" w:line="300"/>
        <w:ind w:firstLine="431"/>
        <w:jc w:val="both"/>
      </w:pPr>
      <w:r>
        <w:rPr>
          <w:rFonts w:ascii="Georgia" w:cs="Georgia" w:eastAsia="SimSun" w:hAnsi="Georgia"/>
          <w:color w:val="1F2A36"/>
          <w:sz w:val="22"/>
          <w:szCs w:val="22"/>
        </w:rPr>
        <w:t xml:space="preserve">As of September 8, 2026, the bilateral trading relationship sits inside an active tariff exchange. On August 22, 2026, United States duties of 50 percent took effect on a broad range of Canadian goods following the collapse of negotiations on August 21. Canadian counter-tariffs of 15, 25, and 50 percent on approximately C$27.6 billion of United States imports, covering roughly 629 tariff lines in steel, dairy, appliances, agricultural equipment, pulp and paper, and electronics, take effect today. Pre-existing burdens remain layered beneath this exchange: Section 232 tariffs of 50 percent on steel, aluminum, and copper; 25 percent tariffs on automobiles and non-qualifying auto parts; combined anti-dumping and countervailing duties above 35 percent on softwood lumber; and a Section 232 timber tariff of 10 percent. The CUSMA panel ruling in favor of Canada and Mexico on automotive core-parts roll-up under the Appendix to Annex 4-B remains outstanding and unimplemented by the United States.</w:t>
      </w:r>
    </w:p>
    <w:p>
      <w:pPr>
        <w:spacing w:after="160" w:line="300"/>
        <w:ind w:firstLine="431"/>
        <w:jc w:val="both"/>
      </w:pPr>
      <w:r>
        <w:rPr>
          <w:rFonts w:ascii="Georgia" w:cs="Georgia" w:eastAsia="SimSun" w:hAnsi="Georgia"/>
          <w:color w:val="1F2A36"/>
          <w:sz w:val="22"/>
          <w:szCs w:val="22"/>
        </w:rPr>
        <w:t xml:space="preserve">The Silver Line Bridge Accord answers this configuration with a symmetric, reciprocal exchange built on eight modules drawn from the Carney framework: tariff de-escalation; autos and EV supply chains; dairy and agriculture; digital and cultural sovereignty; critical minerals and energy; procurement and alcohol normalization; dispute resolution and containment of unilateral tools; and geopolitical sovereignty, including Canada's unrestricted right to conclude trade agreements with other partners. Every concession by one Party is paired with a concession of comparable strategic weight by the other, on the same clock, verified through the same method, and executed by a named Competent Authority against a defined deadline.</w:t>
      </w:r>
    </w:p>
    <w:p>
      <w:pPr>
        <w:spacing w:after="160" w:line="300"/>
        <w:ind w:firstLine="431"/>
        <w:jc w:val="both"/>
      </w:pPr>
      <w:r>
        <w:rPr>
          <w:rFonts w:ascii="Georgia" w:cs="Georgia" w:eastAsia="SimSun" w:hAnsi="Georgia"/>
          <w:color w:val="1F2A36"/>
          <w:sz w:val="22"/>
          <w:szCs w:val="22"/>
        </w:rPr>
        <w:t xml:space="preserve">Two structural choices distinguish this Accord from prior interim instruments. First, verification runs through the Cothrom Method: a reciprocal, proportionate, evidence-based compliance architecture in which both Parties report, both Parties challenge, consequences scale to the verified breach, and every paused benefit carries a defined earn-back path. Second, the Accord contains no sunset clauses. Every time-limited mechanism instead operates on a rolling horizon under the No-Fade Principle: performance renews automatically through periodic joint confirmation, benefits in good standing cannot lapse through mere passage of time, and continuation depends on verified conduct rather than renegotiation leverage.</w:t>
      </w:r>
    </w:p>
    <w:p>
      <w:pPr>
        <w:pStyle w:val="Heading2"/>
        <w:spacing w:after="140" w:before="300"/>
      </w:pPr>
      <w:r>
        <w:rPr>
          <w:rFonts w:ascii="Georgia" w:cs="Georgia" w:eastAsia="SimSun" w:hAnsi="Georgia"/>
          <w:b/>
          <w:bCs/>
          <w:color w:val="1F2A36"/>
          <w:sz w:val="26"/>
          <w:szCs w:val="26"/>
        </w:rPr>
        <w:t xml:space="preserve">The Opening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Canadian early actions (Competent Authority)</w:t>
            </w:r>
          </w:p>
        </w:tc>
        <w:tc>
          <w:tcPr>
            <w:tcW w:type="dxa" w:w="468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United States early actions (Competent Authority)</w:t>
            </w:r>
          </w:p>
        </w:tc>
      </w:tr>
      <w:tr>
        <w:tc>
          <w:tcPr>
            <w:tcW w:type="dxa" w:w="46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Abeyance of the September 8 counter-tariff package (CBSA; Global Affairs Canada); restoration of neutral alcohol listing in participating provinces; dairy TRQ transparency protocol activated; auto countermeasure stand-down</w:t>
            </w:r>
          </w:p>
        </w:tc>
        <w:tc>
          <w:tcPr>
            <w:tcW w:type="dxa" w:w="46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Withdrawal of the August 22 fifty-percent duties (CBP; USTR); freeze on new Canada-specific tariff escalation; preservation of CUSMA preference processing for qualifying goods</w:t>
            </w:r>
          </w:p>
        </w:tc>
      </w:tr>
      <w:tr>
        <w:tc>
          <w:tcPr>
            <w:tcW w:type="dxa" w:w="46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Origin-integrity package: trusted exporter registry, smelt-and-cast and melt-and-manufacture traceability, anti-transshipment data for steel and aluminum lanes (CBSA; NRCan)</w:t>
            </w:r>
          </w:p>
        </w:tc>
        <w:tc>
          <w:tcPr>
            <w:tcW w:type="dxa" w:w="46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Reduction of Section 232 metals burden on qualifying Canadian steel and aluminum to an interim band of 25 percent, moving to 10 percent on verification (CBP; Department of Commerce)</w:t>
            </w:r>
          </w:p>
        </w:tc>
      </w:tr>
      <w:tr>
        <w:tc>
          <w:tcPr>
            <w:tcW w:type="dxa" w:w="46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Critical minerals and energy corridor opened on commercial terms; procurement test lane published; forced-labour enforcement cooperation schedule activated (PSPC; CBSA)</w:t>
            </w:r>
          </w:p>
        </w:tc>
        <w:tc>
          <w:tcPr>
            <w:tcW w:type="dxa" w:w="46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Automotive tariff reduced to 15 percent across all vehicle classes, including medium- and heavy-duty trucks; EV credit eligibility extended to Canadian assembly and Canadian-sourced minerals (CBP; Department of the Treasury)</w:t>
            </w:r>
          </w:p>
        </w:tc>
      </w:tr>
    </w:tbl>
    <w:p>
      <w:pPr>
        <w:spacing w:after="120"/>
      </w:pPr>
      <w:r>
        <w:rPr>
          <w:rFonts w:ascii="Georgia" w:cs="Georgia" w:eastAsia="SimSun" w:hAnsi="Georgia"/>
          <w:color w:val="1F2A36"/>
          <w:sz w:val="22"/>
          <w:szCs w:val="22"/>
        </w:rPr>
        <w:t xml:space="preserve"/>
      </w:r>
    </w:p>
    <w:p>
      <w:pPr>
        <w:pStyle w:val="Heading2"/>
        <w:spacing w:after="140" w:before="300"/>
      </w:pPr>
      <w:r>
        <w:rPr>
          <w:rFonts w:ascii="Georgia" w:cs="Georgia" w:eastAsia="SimSun" w:hAnsi="Georgia"/>
          <w:b/>
          <w:bCs/>
          <w:color w:val="1F2A36"/>
          <w:sz w:val="26"/>
          <w:szCs w:val="26"/>
        </w:rPr>
        <w:t xml:space="preserve">Balanced Political Scoreboard</w:t>
      </w:r>
    </w:p>
    <w:p>
      <w:pPr>
        <w:spacing w:after="160" w:line="300"/>
        <w:ind w:firstLine="431"/>
        <w:jc w:val="both"/>
      </w:pPr>
      <w:r>
        <w:rPr>
          <w:rFonts w:ascii="Georgia" w:cs="Georgia" w:eastAsia="SimSun" w:hAnsi="Georgia"/>
          <w:color w:val="1F2A36"/>
          <w:sz w:val="22"/>
          <w:szCs w:val="22"/>
        </w:rPr>
        <w:t xml:space="preserve">The United States receives: relief from the C$27.6 billion counter-tariff package; American alcohol restored to Canadian shelves on neutral terms; transparent, utilization-driven dairy quota administration with automatic reallocation; a guaranteed commercial access lane for Canadian critical minerals, potash, aluminum, and electricity; a reciprocal procurement test lane; and the strongest origin-integrity and anti-transshipment perimeter either country has operated.</w:t>
      </w:r>
    </w:p>
    <w:p>
      <w:pPr>
        <w:spacing w:after="160" w:line="300"/>
        <w:ind w:firstLine="431"/>
        <w:jc w:val="both"/>
      </w:pPr>
      <w:r>
        <w:rPr>
          <w:rFonts w:ascii="Georgia" w:cs="Georgia" w:eastAsia="SimSun" w:hAnsi="Georgia"/>
          <w:color w:val="1F2A36"/>
          <w:sz w:val="22"/>
          <w:szCs w:val="22"/>
        </w:rPr>
        <w:t xml:space="preserve">Canada receives: withdrawal of the fifty-percent duties; a staged path from 50 percent metals tariffs to a 10 percent interim band with quota alternatives; tariff relief for the entire automotive sector, including the medium- and heavy-duty trucks excluded from the August offer; explicit preservation of supply management, cultural exemptions, French-language discoverability, provincial jurisdiction, and the sovereign right to conclude trade agreements with any partner; and binding dispute settlement with automatic panel seating that neither side can block.</w:t>
      </w:r>
    </w:p>
    <w:p>
      <w:pPr>
        <w:spacing w:after="160" w:line="300"/>
        <w:ind w:firstLine="431"/>
        <w:jc w:val="both"/>
      </w:pPr>
      <w:r>
        <w:rPr>
          <w:rFonts w:ascii="Georgia" w:cs="Georgia" w:eastAsia="SimSun" w:hAnsi="Georgia"/>
          <w:color w:val="1F2A36"/>
          <w:sz w:val="22"/>
          <w:szCs w:val="22"/>
        </w:rPr>
        <w:t xml:space="preserve">Neither side concedes an existential red line. Supply management survives. No right-of-first-refusal attaches to Canadian resources. No restriction touches Canada's trade diversification. No asymmetric auto rule survives signature. And no provision of this Accord expires by calendar alone: the rolling horizon and No-Fade Principle replace the sunset weaponization that destroyed the August negotiation.</w:t>
      </w:r>
    </w:p>
    <w:p>
      <w:pPr>
        <w:pStyle w:val="Heading1"/>
        <w:pageBreakBefore/>
        <w:spacing w:after="200" w:before="360"/>
      </w:pPr>
      <w:r>
        <w:rPr>
          <w:rFonts w:ascii="Georgia" w:cs="Georgia" w:eastAsia="SimSun" w:hAnsi="Georgia"/>
          <w:b/>
          <w:bCs/>
          <w:color w:val="35586B"/>
          <w:sz w:val="32"/>
          <w:szCs w:val="32"/>
        </w:rPr>
        <w:t xml:space="preserve">Table of Contents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 xml:space="preserve">Document Control, Status, and Caution</w:t>
          </w:r>
          <w:r>
            <w:tab/>
          </w:r>
          <w:r>
            <w:t>9</w:t>
          </w:r>
        </w:p>
        <w:p>
          <w:pPr>
            <w:pStyle w:val="TOC1"/>
            <w:tabs>
              <w:tab w:val="right" w:leader="dot" w:pos="9000"/>
            </w:tabs>
            <w:ind w:left="0"/>
          </w:pPr>
          <w:r>
            <w:t xml:space="preserve">Executive Negotiating Snapshot</w:t>
          </w:r>
          <w:r>
            <w:tab/>
          </w:r>
          <w:r>
            <w:t>10</w:t>
          </w:r>
        </w:p>
        <w:p>
          <w:pPr>
            <w:pStyle w:val="TOC2"/>
            <w:tabs>
              <w:tab w:val="right" w:leader="dot" w:pos="9000"/>
            </w:tabs>
            <w:ind w:left="360"/>
          </w:pPr>
          <w:r>
            <w:t xml:space="preserve">The Opening Exchange</w:t>
          </w:r>
          <w:r>
            <w:tab/>
          </w:r>
          <w:r>
            <w:t>11</w:t>
          </w:r>
        </w:p>
        <w:p>
          <w:pPr>
            <w:pStyle w:val="TOC2"/>
            <w:tabs>
              <w:tab w:val="right" w:leader="dot" w:pos="9000"/>
            </w:tabs>
            <w:ind w:left="360"/>
          </w:pPr>
          <w:r>
            <w:t xml:space="preserve">Balanced Political Scoreboard</w:t>
          </w:r>
          <w:r>
            <w:tab/>
          </w:r>
          <w:r>
            <w:t>11</w:t>
          </w:r>
        </w:p>
        <w:p>
          <w:pPr>
            <w:pStyle w:val="TOC1"/>
            <w:tabs>
              <w:tab w:val="right" w:leader="dot" w:pos="9000"/>
            </w:tabs>
            <w:ind w:left="0"/>
          </w:pPr>
          <w:r>
            <w:t xml:space="preserve">Table of Contents</w:t>
          </w:r>
          <w:r>
            <w:tab/>
          </w:r>
          <w:r>
            <w:t>12</w:t>
          </w:r>
        </w:p>
        <w:p>
          <w:pPr>
            <w:pStyle w:val="TOC1"/>
            <w:tabs>
              <w:tab w:val="right" w:leader="dot" w:pos="9000"/>
            </w:tabs>
            <w:ind w:left="0"/>
          </w:pPr>
          <w:r>
            <w:t xml:space="preserve">Preamble</w:t>
          </w:r>
          <w:r>
            <w:tab/>
          </w:r>
          <w:r>
            <w:t>12</w:t>
          </w:r>
        </w:p>
        <w:p>
          <w:pPr>
            <w:pStyle w:val="TOC1"/>
            <w:tabs>
              <w:tab w:val="right" w:leader="dot" w:pos="9000"/>
            </w:tabs>
            <w:ind w:left="0"/>
          </w:pPr>
          <w:r>
            <w:t xml:space="preserve">Part I. Strategic Context, Definitions, and Operating Logic</w:t>
          </w:r>
          <w:r>
            <w:tab/>
          </w:r>
          <w:r>
            <w:t>12</w:t>
          </w:r>
        </w:p>
        <w:p>
          <w:pPr>
            <w:pStyle w:val="TOC2"/>
            <w:tabs>
              <w:tab w:val="right" w:leader="dot" w:pos="9000"/>
            </w:tabs>
            <w:ind w:left="360"/>
          </w:pPr>
          <w:r>
            <w:t xml:space="preserve">Article 1. Situation Assessment</w:t>
          </w:r>
          <w:r>
            <w:tab/>
          </w:r>
          <w:r>
            <w:t>12</w:t>
          </w:r>
        </w:p>
        <w:p>
          <w:pPr>
            <w:pStyle w:val="TOC2"/>
            <w:tabs>
              <w:tab w:val="right" w:leader="dot" w:pos="9000"/>
            </w:tabs>
            <w:ind w:left="360"/>
          </w:pPr>
          <w:r>
            <w:t xml:space="preserve">Article 2. Design Principles</w:t>
          </w:r>
          <w:r>
            <w:tab/>
          </w:r>
          <w:r>
            <w:t>14</w:t>
          </w:r>
        </w:p>
        <w:p>
          <w:pPr>
            <w:pStyle w:val="TOC2"/>
            <w:tabs>
              <w:tab w:val="right" w:leader="dot" w:pos="9000"/>
            </w:tabs>
            <w:ind w:left="360"/>
          </w:pPr>
          <w:r>
            <w:t xml:space="preserve">Article 3. Layered Timeline</w:t>
          </w:r>
          <w:r>
            <w:tab/>
          </w:r>
          <w:r>
            <w:t>15</w:t>
          </w:r>
        </w:p>
        <w:p>
          <w:pPr>
            <w:pStyle w:val="TOC2"/>
            <w:tabs>
              <w:tab w:val="right" w:leader="dot" w:pos="9000"/>
            </w:tabs>
            <w:ind w:left="360"/>
          </w:pPr>
          <w:r>
            <w:t xml:space="preserve">Article 4. Definitions</w:t>
          </w:r>
          <w:r>
            <w:tab/>
          </w:r>
          <w:r>
            <w:t>15</w:t>
          </w:r>
        </w:p>
        <w:p>
          <w:pPr>
            <w:pStyle w:val="TOC1"/>
            <w:tabs>
              <w:tab w:val="right" w:leader="dot" w:pos="9000"/>
            </w:tabs>
            <w:ind w:left="0"/>
          </w:pPr>
          <w:r>
            <w:t xml:space="preserve">Part II. Entry into Force and Tariff De-escalation</w:t>
          </w:r>
          <w:r>
            <w:tab/>
          </w:r>
          <w:r>
            <w:t>17</w:t>
          </w:r>
        </w:p>
        <w:p>
          <w:pPr>
            <w:pStyle w:val="TOC2"/>
            <w:tabs>
              <w:tab w:val="right" w:leader="dot" w:pos="9000"/>
            </w:tabs>
            <w:ind w:left="360"/>
          </w:pPr>
          <w:r>
            <w:t xml:space="preserve">Article 5. Entry into Force and Legal Character</w:t>
          </w:r>
          <w:r>
            <w:tab/>
          </w:r>
          <w:r>
            <w:t>17</w:t>
          </w:r>
        </w:p>
        <w:p>
          <w:pPr>
            <w:pStyle w:val="TOC2"/>
            <w:tabs>
              <w:tab w:val="right" w:leader="dot" w:pos="9000"/>
            </w:tabs>
            <w:ind w:left="360"/>
          </w:pPr>
          <w:r>
            <w:t xml:space="preserve">Article 6. United States Withdrawal of the August Duties</w:t>
          </w:r>
          <w:r>
            <w:tab/>
          </w:r>
          <w:r>
            <w:t>18</w:t>
          </w:r>
        </w:p>
        <w:p>
          <w:pPr>
            <w:pStyle w:val="TOC2"/>
            <w:tabs>
              <w:tab w:val="right" w:leader="dot" w:pos="9000"/>
            </w:tabs>
            <w:ind w:left="360"/>
          </w:pPr>
          <w:r>
            <w:t xml:space="preserve">Article 7. Canadian Countermeasure Standstill</w:t>
          </w:r>
          <w:r>
            <w:tab/>
          </w:r>
          <w:r>
            <w:t>18</w:t>
          </w:r>
        </w:p>
        <w:p>
          <w:pPr>
            <w:pStyle w:val="TOC2"/>
            <w:tabs>
              <w:tab w:val="right" w:leader="dot" w:pos="9000"/>
            </w:tabs>
            <w:ind w:left="360"/>
          </w:pPr>
          <w:r>
            <w:t xml:space="preserve">Article 8. Steel and Aluminum De-escalation</w:t>
          </w:r>
          <w:r>
            <w:tab/>
          </w:r>
          <w:r>
            <w:t>19</w:t>
          </w:r>
        </w:p>
        <w:p>
          <w:pPr>
            <w:pStyle w:val="TOC2"/>
            <w:tabs>
              <w:tab w:val="right" w:leader="dot" w:pos="9000"/>
            </w:tabs>
            <w:ind w:left="360"/>
          </w:pPr>
          <w:r>
            <w:t xml:space="preserve">Article 9. Automotive De-escalation Across All Vehicle Classes</w:t>
          </w:r>
          <w:r>
            <w:tab/>
          </w:r>
          <w:r>
            <w:t>20</w:t>
          </w:r>
        </w:p>
        <w:p>
          <w:pPr>
            <w:pStyle w:val="TOC2"/>
            <w:tabs>
              <w:tab w:val="right" w:leader="dot" w:pos="9000"/>
            </w:tabs>
            <w:ind w:left="360"/>
          </w:pPr>
          <w:r>
            <w:t xml:space="preserve">Article 10. Softwood Lumber De-escalation</w:t>
          </w:r>
          <w:r>
            <w:tab/>
          </w:r>
          <w:r>
            <w:t>21</w:t>
          </w:r>
        </w:p>
        <w:p>
          <w:pPr>
            <w:pStyle w:val="TOC2"/>
            <w:tabs>
              <w:tab w:val="right" w:leader="dot" w:pos="9000"/>
            </w:tabs>
            <w:ind w:left="360"/>
          </w:pPr>
          <w:r>
            <w:t xml:space="preserve">Article 11. Remaining Countermeasures and Consumer Goods</w:t>
          </w:r>
          <w:r>
            <w:tab/>
          </w:r>
          <w:r>
            <w:t>22</w:t>
          </w:r>
        </w:p>
        <w:p>
          <w:pPr>
            <w:pStyle w:val="TOC2"/>
            <w:tabs>
              <w:tab w:val="right" w:leader="dot" w:pos="9000"/>
            </w:tabs>
            <w:ind w:left="360"/>
          </w:pPr>
          <w:r>
            <w:t xml:space="preserve">Article 12. Predictability Disciplines</w:t>
          </w:r>
          <w:r>
            <w:tab/>
          </w:r>
          <w:r>
            <w:t>22</w:t>
          </w:r>
        </w:p>
        <w:p>
          <w:pPr>
            <w:pStyle w:val="TOC1"/>
            <w:tabs>
              <w:tab w:val="right" w:leader="dot" w:pos="9000"/>
            </w:tabs>
            <w:ind w:left="0"/>
          </w:pPr>
          <w:r>
            <w:t xml:space="preserve">Part III. Sectoral Settlements</w:t>
          </w:r>
          <w:r>
            <w:tab/>
          </w:r>
          <w:r>
            <w:t>22</w:t>
          </w:r>
        </w:p>
        <w:p>
          <w:pPr>
            <w:pStyle w:val="TOC2"/>
            <w:tabs>
              <w:tab w:val="right" w:leader="dot" w:pos="9000"/>
            </w:tabs>
            <w:ind w:left="360"/>
          </w:pPr>
          <w:r>
            <w:t xml:space="preserve">Article 13. Dairy and Supply Management</w:t>
          </w:r>
          <w:r>
            <w:tab/>
          </w:r>
          <w:r>
            <w:t>23</w:t>
          </w:r>
        </w:p>
        <w:p>
          <w:pPr>
            <w:pStyle w:val="TOC2"/>
            <w:tabs>
              <w:tab w:val="right" w:leader="dot" w:pos="9000"/>
            </w:tabs>
            <w:ind w:left="360"/>
          </w:pPr>
          <w:r>
            <w:t xml:space="preserve">Article 14. Agriculture, Seeds, and SPS Transparency</w:t>
          </w:r>
          <w:r>
            <w:tab/>
          </w:r>
          <w:r>
            <w:t>23</w:t>
          </w:r>
        </w:p>
        <w:p>
          <w:pPr>
            <w:pStyle w:val="TOC2"/>
            <w:tabs>
              <w:tab w:val="right" w:leader="dot" w:pos="9000"/>
            </w:tabs>
            <w:ind w:left="360"/>
          </w:pPr>
          <w:r>
            <w:t xml:space="preserve">Article 15. Digital Trade and Cultural Sovereignty</w:t>
          </w:r>
          <w:r>
            <w:tab/>
          </w:r>
          <w:r>
            <w:t>24</w:t>
          </w:r>
        </w:p>
        <w:p>
          <w:pPr>
            <w:pStyle w:val="TOC2"/>
            <w:tabs>
              <w:tab w:val="right" w:leader="dot" w:pos="9000"/>
            </w:tabs>
            <w:ind w:left="360"/>
          </w:pPr>
          <w:r>
            <w:t xml:space="preserve">Article 16. Critical Minerals</w:t>
          </w:r>
          <w:r>
            <w:tab/>
          </w:r>
          <w:r>
            <w:t>25</w:t>
          </w:r>
        </w:p>
        <w:p>
          <w:pPr>
            <w:pStyle w:val="TOC2"/>
            <w:tabs>
              <w:tab w:val="right" w:leader="dot" w:pos="9000"/>
            </w:tabs>
            <w:ind w:left="360"/>
          </w:pPr>
          <w:r>
            <w:t xml:space="preserve">Article 17. Energy and Electricity</w:t>
          </w:r>
          <w:r>
            <w:tab/>
          </w:r>
          <w:r>
            <w:t>25</w:t>
          </w:r>
        </w:p>
        <w:p>
          <w:pPr>
            <w:pStyle w:val="TOC2"/>
            <w:tabs>
              <w:tab w:val="right" w:leader="dot" w:pos="9000"/>
            </w:tabs>
            <w:ind w:left="360"/>
          </w:pPr>
          <w:r>
            <w:t xml:space="preserve">Article 18. Procurement and Alcohol Normalization</w:t>
          </w:r>
          <w:r>
            <w:tab/>
          </w:r>
          <w:r>
            <w:t>26</w:t>
          </w:r>
        </w:p>
        <w:p>
          <w:pPr>
            <w:pStyle w:val="TOC2"/>
            <w:tabs>
              <w:tab w:val="right" w:leader="dot" w:pos="9000"/>
            </w:tabs>
            <w:ind w:left="360"/>
          </w:pPr>
          <w:r>
            <w:t xml:space="preserve">Article 19. Intellectual Property</w:t>
          </w:r>
          <w:r>
            <w:tab/>
          </w:r>
          <w:r>
            <w:t>26</w:t>
          </w:r>
        </w:p>
        <w:p>
          <w:pPr>
            <w:pStyle w:val="TOC2"/>
            <w:tabs>
              <w:tab w:val="right" w:leader="dot" w:pos="9000"/>
            </w:tabs>
            <w:ind w:left="360"/>
          </w:pPr>
          <w:r>
            <w:t xml:space="preserve">Article 20. Labour and Forced-Labour Enforcement</w:t>
          </w:r>
          <w:r>
            <w:tab/>
          </w:r>
          <w:r>
            <w:t>27</w:t>
          </w:r>
        </w:p>
        <w:p>
          <w:pPr>
            <w:pStyle w:val="TOC2"/>
            <w:tabs>
              <w:tab w:val="right" w:leader="dot" w:pos="9000"/>
            </w:tabs>
            <w:ind w:left="360"/>
          </w:pPr>
          <w:r>
            <w:t xml:space="preserve">Article 21. Automotive Industrial Strategy and EV Credits</w:t>
          </w:r>
          <w:r>
            <w:tab/>
          </w:r>
          <w:r>
            <w:t>27</w:t>
          </w:r>
        </w:p>
        <w:p>
          <w:pPr>
            <w:pStyle w:val="TOC1"/>
            <w:tabs>
              <w:tab w:val="right" w:leader="dot" w:pos="9000"/>
            </w:tabs>
            <w:ind w:left="0"/>
          </w:pPr>
          <w:r>
            <w:t xml:space="preserve">Part IV. Sovereignty and Geopolitical Alignment</w:t>
          </w:r>
          <w:r>
            <w:tab/>
          </w:r>
          <w:r>
            <w:t>27</w:t>
          </w:r>
        </w:p>
        <w:p>
          <w:pPr>
            <w:pStyle w:val="TOC2"/>
            <w:tabs>
              <w:tab w:val="right" w:leader="dot" w:pos="9000"/>
            </w:tabs>
            <w:ind w:left="360"/>
          </w:pPr>
          <w:r>
            <w:t xml:space="preserve">Article 22. Trade Diversification Rights</w:t>
          </w:r>
          <w:r>
            <w:tab/>
          </w:r>
          <w:r>
            <w:t>28</w:t>
          </w:r>
        </w:p>
        <w:p>
          <w:pPr>
            <w:pStyle w:val="TOC2"/>
            <w:tabs>
              <w:tab w:val="right" w:leader="dot" w:pos="9000"/>
            </w:tabs>
            <w:ind w:left="360"/>
          </w:pPr>
          <w:r>
            <w:t xml:space="preserve">Article 23. Cultural and Linguistic Sovereignty</w:t>
          </w:r>
          <w:r>
            <w:tab/>
          </w:r>
          <w:r>
            <w:t>28</w:t>
          </w:r>
        </w:p>
        <w:p>
          <w:pPr>
            <w:pStyle w:val="TOC2"/>
            <w:tabs>
              <w:tab w:val="right" w:leader="dot" w:pos="9000"/>
            </w:tabs>
            <w:ind w:left="360"/>
          </w:pPr>
          <w:r>
            <w:t xml:space="preserve">Article 24. Containment of Unilateral Trade Tools</w:t>
          </w:r>
          <w:r>
            <w:tab/>
          </w:r>
          <w:r>
            <w:t>28</w:t>
          </w:r>
        </w:p>
        <w:p>
          <w:pPr>
            <w:pStyle w:val="TOC1"/>
            <w:tabs>
              <w:tab w:val="right" w:leader="dot" w:pos="9000"/>
            </w:tabs>
            <w:ind w:left="0"/>
          </w:pPr>
          <w:r>
            <w:t xml:space="preserve">Part V. Cothrom Verification Architecture</w:t>
          </w:r>
          <w:r>
            <w:tab/>
          </w:r>
          <w:r>
            <w:t>29</w:t>
          </w:r>
        </w:p>
        <w:p>
          <w:pPr>
            <w:pStyle w:val="TOC2"/>
            <w:tabs>
              <w:tab w:val="right" w:leader="dot" w:pos="9000"/>
            </w:tabs>
            <w:ind w:left="360"/>
          </w:pPr>
          <w:r>
            <w:t xml:space="preserve">Article 25. The Cothrom Principle in Trade Application</w:t>
          </w:r>
          <w:r>
            <w:tab/>
          </w:r>
          <w:r>
            <w:t>29</w:t>
          </w:r>
        </w:p>
        <w:p>
          <w:pPr>
            <w:pStyle w:val="TOC2"/>
            <w:tabs>
              <w:tab w:val="right" w:leader="dot" w:pos="9000"/>
            </w:tabs>
            <w:ind w:left="360"/>
          </w:pPr>
          <w:r>
            <w:t xml:space="preserve">Article 26. Joint Trade Verification Secretariat</w:t>
          </w:r>
          <w:r>
            <w:tab/>
          </w:r>
          <w:r>
            <w:t>29</w:t>
          </w:r>
        </w:p>
        <w:p>
          <w:pPr>
            <w:pStyle w:val="TOC2"/>
            <w:tabs>
              <w:tab w:val="right" w:leader="dot" w:pos="9000"/>
            </w:tabs>
            <w:ind w:left="360"/>
          </w:pPr>
          <w:r>
            <w:t xml:space="preserve">Article 27. Shared Trade Registry</w:t>
          </w:r>
          <w:r>
            <w:tab/>
          </w:r>
          <w:r>
            <w:t>30</w:t>
          </w:r>
        </w:p>
        <w:p>
          <w:pPr>
            <w:pStyle w:val="TOC2"/>
            <w:tabs>
              <w:tab w:val="right" w:leader="dot" w:pos="9000"/>
            </w:tabs>
            <w:ind w:left="360"/>
          </w:pPr>
          <w:r>
            <w:t xml:space="preserve">Article 28. Data and Notification Standards</w:t>
          </w:r>
          <w:r>
            <w:tab/>
          </w:r>
          <w:r>
            <w:t>31</w:t>
          </w:r>
        </w:p>
        <w:p>
          <w:pPr>
            <w:pStyle w:val="TOC2"/>
            <w:tabs>
              <w:tab w:val="right" w:leader="dot" w:pos="9000"/>
            </w:tabs>
            <w:ind w:left="360"/>
          </w:pPr>
          <w:r>
            <w:t xml:space="preserve">Article 29. Anomaly Detection and Technical Truth Escalation</w:t>
          </w:r>
          <w:r>
            <w:tab/>
          </w:r>
          <w:r>
            <w:t>31</w:t>
          </w:r>
        </w:p>
        <w:p>
          <w:pPr>
            <w:pStyle w:val="TOC2"/>
            <w:tabs>
              <w:tab w:val="right" w:leader="dot" w:pos="9000"/>
            </w:tabs>
            <w:ind w:left="360"/>
          </w:pPr>
          <w:r>
            <w:t xml:space="preserve">Article 30. Evidence Standards and Confirmation Levels</w:t>
          </w:r>
          <w:r>
            <w:tab/>
          </w:r>
          <w:r>
            <w:t>32</w:t>
          </w:r>
        </w:p>
        <w:p>
          <w:pPr>
            <w:pStyle w:val="TOC2"/>
            <w:tabs>
              <w:tab w:val="right" w:leader="dot" w:pos="9000"/>
            </w:tabs>
            <w:ind w:left="360"/>
          </w:pPr>
          <w:r>
            <w:t xml:space="preserve">Article 31. Challenge Window and Neutral Review</w:t>
          </w:r>
          <w:r>
            <w:tab/>
          </w:r>
          <w:r>
            <w:t>32</w:t>
          </w:r>
        </w:p>
        <w:p>
          <w:pPr>
            <w:pStyle w:val="TOC2"/>
            <w:tabs>
              <w:tab w:val="right" w:leader="dot" w:pos="9000"/>
            </w:tabs>
            <w:ind w:left="360"/>
          </w:pPr>
          <w:r>
            <w:t xml:space="preserve">Article 32. Frivolous Challenge Control</w:t>
          </w:r>
          <w:r>
            <w:tab/>
          </w:r>
          <w:r>
            <w:t>33</w:t>
          </w:r>
        </w:p>
        <w:p>
          <w:pPr>
            <w:pStyle w:val="TOC2"/>
            <w:tabs>
              <w:tab w:val="right" w:leader="dot" w:pos="9000"/>
            </w:tabs>
            <w:ind w:left="360"/>
          </w:pPr>
          <w:r>
            <w:t xml:space="preserve">Article 33. Partial Credit and Status Zones</w:t>
          </w:r>
          <w:r>
            <w:tab/>
          </w:r>
          <w:r>
            <w:t>33</w:t>
          </w:r>
        </w:p>
        <w:p>
          <w:pPr>
            <w:pStyle w:val="TOC2"/>
            <w:tabs>
              <w:tab w:val="right" w:leader="dot" w:pos="9000"/>
            </w:tabs>
            <w:ind w:left="360"/>
          </w:pPr>
          <w:r>
            <w:t xml:space="preserve">Article 34. Step-Back Tiers, Pre-Action Notification, Firewalls, and Earn-Back</w:t>
          </w:r>
          <w:r>
            <w:tab/>
          </w:r>
          <w:r>
            <w:t>33</w:t>
          </w:r>
        </w:p>
        <w:p>
          <w:pPr>
            <w:pStyle w:val="TOC2"/>
            <w:tabs>
              <w:tab w:val="right" w:leader="dot" w:pos="9000"/>
            </w:tabs>
            <w:ind w:left="360"/>
          </w:pPr>
          <w:r>
            <w:t xml:space="preserve">Article 35. Emergency Measures, Force Majeure, and Operational Pause</w:t>
          </w:r>
          <w:r>
            <w:tab/>
          </w:r>
          <w:r>
            <w:t>35</w:t>
          </w:r>
        </w:p>
        <w:p>
          <w:pPr>
            <w:pStyle w:val="TOC1"/>
            <w:tabs>
              <w:tab w:val="right" w:leader="dot" w:pos="9000"/>
            </w:tabs>
            <w:ind w:left="0"/>
          </w:pPr>
          <w:r>
            <w:t xml:space="preserve">Part VI. Dispute Resolution</w:t>
          </w:r>
          <w:r>
            <w:tab/>
          </w:r>
          <w:r>
            <w:t>35</w:t>
          </w:r>
        </w:p>
        <w:p>
          <w:pPr>
            <w:pStyle w:val="TOC2"/>
            <w:tabs>
              <w:tab w:val="right" w:leader="dot" w:pos="9000"/>
            </w:tabs>
            <w:ind w:left="360"/>
          </w:pPr>
          <w:r>
            <w:t xml:space="preserve">Article 36. Binding Panels and Automatic Seating</w:t>
          </w:r>
          <w:r>
            <w:tab/>
          </w:r>
          <w:r>
            <w:t>35</w:t>
          </w:r>
        </w:p>
        <w:p>
          <w:pPr>
            <w:pStyle w:val="TOC2"/>
            <w:tabs>
              <w:tab w:val="right" w:leader="dot" w:pos="9000"/>
            </w:tabs>
            <w:ind w:left="360"/>
          </w:pPr>
          <w:r>
            <w:t xml:space="preserve">Article 37. Compliance, Remedies, and Escalation</w:t>
          </w:r>
          <w:r>
            <w:tab/>
          </w:r>
          <w:r>
            <w:t>35</w:t>
          </w:r>
        </w:p>
        <w:p>
          <w:pPr>
            <w:pStyle w:val="TOC2"/>
            <w:tabs>
              <w:tab w:val="right" w:leader="dot" w:pos="9000"/>
            </w:tabs>
            <w:ind w:left="360"/>
          </w:pPr>
          <w:r>
            <w:t xml:space="preserve">Article 38. Fast-Track Lanes</w:t>
          </w:r>
          <w:r>
            <w:tab/>
          </w:r>
          <w:r>
            <w:t>36</w:t>
          </w:r>
        </w:p>
        <w:p>
          <w:pPr>
            <w:pStyle w:val="TOC1"/>
            <w:tabs>
              <w:tab w:val="right" w:leader="dot" w:pos="9000"/>
            </w:tabs>
            <w:ind w:left="0"/>
          </w:pPr>
          <w:r>
            <w:t xml:space="preserve">Part VII. Durability: The Rolling Horizon and the No-Fade Principle</w:t>
          </w:r>
          <w:r>
            <w:tab/>
          </w:r>
          <w:r>
            <w:t>36</w:t>
          </w:r>
        </w:p>
        <w:p>
          <w:pPr>
            <w:pStyle w:val="TOC2"/>
            <w:tabs>
              <w:tab w:val="right" w:leader="dot" w:pos="9000"/>
            </w:tabs>
            <w:ind w:left="360"/>
          </w:pPr>
          <w:r>
            <w:t xml:space="preserve">Article 39. No Sunset Clauses</w:t>
          </w:r>
          <w:r>
            <w:tab/>
          </w:r>
          <w:r>
            <w:t>36</w:t>
          </w:r>
        </w:p>
        <w:p>
          <w:pPr>
            <w:pStyle w:val="TOC2"/>
            <w:tabs>
              <w:tab w:val="right" w:leader="dot" w:pos="9000"/>
            </w:tabs>
            <w:ind w:left="360"/>
          </w:pPr>
          <w:r>
            <w:t xml:space="preserve">Article 40. The Rolling Horizon</w:t>
          </w:r>
          <w:r>
            <w:tab/>
          </w:r>
          <w:r>
            <w:t>36</w:t>
          </w:r>
        </w:p>
        <w:p>
          <w:pPr>
            <w:pStyle w:val="TOC2"/>
            <w:tabs>
              <w:tab w:val="right" w:leader="dot" w:pos="9000"/>
            </w:tabs>
            <w:ind w:left="360"/>
          </w:pPr>
          <w:r>
            <w:t xml:space="preserve">Article 41. The No-Fade Principle</w:t>
          </w:r>
          <w:r>
            <w:tab/>
          </w:r>
          <w:r>
            <w:t>37</w:t>
          </w:r>
        </w:p>
        <w:p>
          <w:pPr>
            <w:pStyle w:val="TOC2"/>
            <w:tabs>
              <w:tab w:val="right" w:leader="dot" w:pos="9000"/>
            </w:tabs>
            <w:ind w:left="360"/>
          </w:pPr>
          <w:r>
            <w:t xml:space="preserve">Article 42. Continuity Guarantee and Vested Rights</w:t>
          </w:r>
          <w:r>
            <w:tab/>
          </w:r>
          <w:r>
            <w:t>37</w:t>
          </w:r>
        </w:p>
        <w:p>
          <w:pPr>
            <w:pStyle w:val="TOC2"/>
            <w:tabs>
              <w:tab w:val="right" w:leader="dot" w:pos="9000"/>
            </w:tabs>
            <w:ind w:left="360"/>
          </w:pPr>
          <w:r>
            <w:t xml:space="preserve">Article 43. Bridge to CUSMA</w:t>
          </w:r>
          <w:r>
            <w:tab/>
          </w:r>
          <w:r>
            <w:t>38</w:t>
          </w:r>
        </w:p>
        <w:p>
          <w:pPr>
            <w:pStyle w:val="TOC1"/>
            <w:tabs>
              <w:tab w:val="right" w:leader="dot" w:pos="9000"/>
            </w:tabs>
            <w:ind w:left="0"/>
          </w:pPr>
          <w:r>
            <w:t xml:space="preserve">Part VIII. Final Provisions</w:t>
          </w:r>
          <w:r>
            <w:tab/>
          </w:r>
          <w:r>
            <w:t>38</w:t>
          </w:r>
        </w:p>
        <w:p>
          <w:pPr>
            <w:pStyle w:val="TOC2"/>
            <w:tabs>
              <w:tab w:val="right" w:leader="dot" w:pos="9000"/>
            </w:tabs>
            <w:ind w:left="360"/>
          </w:pPr>
          <w:r>
            <w:t xml:space="preserve">Article 44. Amendments</w:t>
          </w:r>
          <w:r>
            <w:tab/>
          </w:r>
          <w:r>
            <w:t>38</w:t>
          </w:r>
        </w:p>
        <w:p>
          <w:pPr>
            <w:pStyle w:val="TOC2"/>
            <w:tabs>
              <w:tab w:val="right" w:leader="dot" w:pos="9000"/>
            </w:tabs>
            <w:ind w:left="360"/>
          </w:pPr>
          <w:r>
            <w:t xml:space="preserve">Article 45. Withdrawal</w:t>
          </w:r>
          <w:r>
            <w:tab/>
          </w:r>
          <w:r>
            <w:t>38</w:t>
          </w:r>
        </w:p>
        <w:p>
          <w:pPr>
            <w:pStyle w:val="TOC2"/>
            <w:tabs>
              <w:tab w:val="right" w:leader="dot" w:pos="9000"/>
            </w:tabs>
            <w:ind w:left="360"/>
          </w:pPr>
          <w:r>
            <w:t xml:space="preserve">Article 46. Depositaries, Languages, Ratification, and Authentic Texts</w:t>
          </w:r>
          <w:r>
            <w:tab/>
          </w:r>
          <w:r>
            <w:t>39</w:t>
          </w:r>
        </w:p>
        <w:p>
          <w:pPr>
            <w:pStyle w:val="TOC2"/>
            <w:tabs>
              <w:tab w:val="right" w:leader="dot" w:pos="9000"/>
            </w:tabs>
            <w:ind w:left="360"/>
          </w:pPr>
          <w:r>
            <w:t xml:space="preserve">Article 47. High-Level Political Accountability</w:t>
          </w:r>
          <w:r>
            <w:tab/>
          </w:r>
          <w:r>
            <w:t>39</w:t>
          </w:r>
        </w:p>
        <w:p>
          <w:pPr>
            <w:pStyle w:val="TOC2"/>
            <w:tabs>
              <w:tab w:val="right" w:leader="dot" w:pos="9000"/>
            </w:tabs>
            <w:ind w:left="360"/>
          </w:pPr>
          <w:r>
            <w:t xml:space="preserve">Closing Statement. A Silver Line, Held by Verification</w:t>
          </w:r>
          <w:r>
            <w:tab/>
          </w:r>
          <w:r>
            <w:t>40</w:t>
          </w:r>
        </w:p>
        <w:p>
          <w:pPr>
            <w:pStyle w:val="TOC1"/>
            <w:tabs>
              <w:tab w:val="right" w:leader="dot" w:pos="9000"/>
            </w:tabs>
            <w:ind w:left="0"/>
          </w:pPr>
          <w:r>
            <w:t xml:space="preserve">Annex A. Reciprocal Action Matrix</w:t>
          </w:r>
          <w:r>
            <w:tab/>
          </w:r>
          <w:r>
            <w:t>40</w:t>
          </w:r>
        </w:p>
        <w:p>
          <w:pPr>
            <w:pStyle w:val="TOC1"/>
            <w:tabs>
              <w:tab w:val="right" w:leader="dot" w:pos="9000"/>
            </w:tabs>
            <w:ind w:left="0"/>
          </w:pPr>
          <w:r>
            <w:t xml:space="preserve">Annex B. Steel and Aluminum Schedule</w:t>
          </w:r>
          <w:r>
            <w:tab/>
          </w:r>
          <w:r>
            <w:t>42</w:t>
          </w:r>
        </w:p>
        <w:p>
          <w:pPr>
            <w:pStyle w:val="TOC1"/>
            <w:tabs>
              <w:tab w:val="right" w:leader="dot" w:pos="9000"/>
            </w:tabs>
            <w:ind w:left="0"/>
          </w:pPr>
          <w:r>
            <w:t xml:space="preserve">Annex C. Automotive Schedule</w:t>
          </w:r>
          <w:r>
            <w:tab/>
          </w:r>
          <w:r>
            <w:t>43</w:t>
          </w:r>
        </w:p>
        <w:p>
          <w:pPr>
            <w:pStyle w:val="TOC1"/>
            <w:tabs>
              <w:tab w:val="right" w:leader="dot" w:pos="9000"/>
            </w:tabs>
            <w:ind w:left="0"/>
          </w:pPr>
          <w:r>
            <w:t xml:space="preserve">Annex D. Softwood Lumber Schedule</w:t>
          </w:r>
          <w:r>
            <w:tab/>
          </w:r>
          <w:r>
            <w:t>45</w:t>
          </w:r>
        </w:p>
        <w:p>
          <w:pPr>
            <w:pStyle w:val="TOC1"/>
            <w:tabs>
              <w:tab w:val="right" w:leader="dot" w:pos="9000"/>
            </w:tabs>
            <w:ind w:left="0"/>
          </w:pPr>
          <w:r>
            <w:t xml:space="preserve">Annex E. Dairy TRQ Transparency and Utilization Protocol</w:t>
          </w:r>
          <w:r>
            <w:tab/>
          </w:r>
          <w:r>
            <w:t>46</w:t>
          </w:r>
        </w:p>
        <w:p>
          <w:pPr>
            <w:pStyle w:val="TOC1"/>
            <w:tabs>
              <w:tab w:val="right" w:leader="dot" w:pos="9000"/>
            </w:tabs>
            <w:ind w:left="0"/>
          </w:pPr>
          <w:r>
            <w:t xml:space="preserve">Annex F. Agriculture and SPS Work Program</w:t>
          </w:r>
          <w:r>
            <w:tab/>
          </w:r>
          <w:r>
            <w:t>48</w:t>
          </w:r>
        </w:p>
        <w:p>
          <w:pPr>
            <w:pStyle w:val="TOC1"/>
            <w:tabs>
              <w:tab w:val="right" w:leader="dot" w:pos="9000"/>
            </w:tabs>
            <w:ind w:left="0"/>
          </w:pPr>
          <w:r>
            <w:t xml:space="preserve">Annex G. Alcohol Market Normalization Schedule</w:t>
          </w:r>
          <w:r>
            <w:tab/>
          </w:r>
          <w:r>
            <w:t>49</w:t>
          </w:r>
        </w:p>
        <w:p>
          <w:pPr>
            <w:pStyle w:val="TOC1"/>
            <w:tabs>
              <w:tab w:val="right" w:leader="dot" w:pos="9000"/>
            </w:tabs>
            <w:ind w:left="0"/>
          </w:pPr>
          <w:r>
            <w:t xml:space="preserve">Annex H. Digital and Cultural Schedule</w:t>
          </w:r>
          <w:r>
            <w:tab/>
          </w:r>
          <w:r>
            <w:t>50</w:t>
          </w:r>
        </w:p>
        <w:p>
          <w:pPr>
            <w:pStyle w:val="TOC1"/>
            <w:tabs>
              <w:tab w:val="right" w:leader="dot" w:pos="9000"/>
            </w:tabs>
            <w:ind w:left="0"/>
          </w:pPr>
          <w:r>
            <w:t xml:space="preserve">Annex I. Critical Minerals and Energy Corridor</w:t>
          </w:r>
          <w:r>
            <w:tab/>
          </w:r>
          <w:r>
            <w:t>51</w:t>
          </w:r>
        </w:p>
        <w:p>
          <w:pPr>
            <w:pStyle w:val="TOC1"/>
            <w:tabs>
              <w:tab w:val="right" w:leader="dot" w:pos="9000"/>
            </w:tabs>
            <w:ind w:left="0"/>
          </w:pPr>
          <w:r>
            <w:t xml:space="preserve">Annex J. Procurement Reciprocity Schedule</w:t>
          </w:r>
          <w:r>
            <w:tab/>
          </w:r>
          <w:r>
            <w:t>52</w:t>
          </w:r>
        </w:p>
        <w:p>
          <w:pPr>
            <w:pStyle w:val="TOC1"/>
            <w:tabs>
              <w:tab w:val="right" w:leader="dot" w:pos="9000"/>
            </w:tabs>
            <w:ind w:left="0"/>
          </w:pPr>
          <w:r>
            <w:t xml:space="preserve">Annex K. Origin Integrity and Anti-Circumvention Protocol</w:t>
          </w:r>
          <w:r>
            <w:tab/>
          </w:r>
          <w:r>
            <w:t>53</w:t>
          </w:r>
        </w:p>
        <w:p>
          <w:pPr>
            <w:pStyle w:val="TOC1"/>
            <w:tabs>
              <w:tab w:val="right" w:leader="dot" w:pos="9000"/>
            </w:tabs>
            <w:ind w:left="0"/>
          </w:pPr>
          <w:r>
            <w:t xml:space="preserve">Annex L. Forced-Labour and Labour Cooperation Protocol</w:t>
          </w:r>
          <w:r>
            <w:tab/>
          </w:r>
          <w:r>
            <w:t>54</w:t>
          </w:r>
        </w:p>
        <w:p>
          <w:pPr>
            <w:pStyle w:val="TOC1"/>
            <w:tabs>
              <w:tab w:val="right" w:leader="dot" w:pos="9000"/>
            </w:tabs>
            <w:ind w:left="0"/>
          </w:pPr>
          <w:r>
            <w:t xml:space="preserve">Annex M. Cothrom Evidence Standards and Claim Template</w:t>
          </w:r>
          <w:r>
            <w:tab/>
          </w:r>
          <w:r>
            <w:t>54</w:t>
          </w:r>
        </w:p>
        <w:p>
          <w:pPr>
            <w:pStyle w:val="TOC1"/>
            <w:tabs>
              <w:tab w:val="right" w:leader="dot" w:pos="9000"/>
            </w:tabs>
            <w:ind w:left="0"/>
          </w:pPr>
          <w:r>
            <w:t xml:space="preserve">Annex N. Module Status Dashboard</w:t>
          </w:r>
          <w:r>
            <w:tab/>
          </w:r>
          <w:r>
            <w:t>55</w:t>
          </w:r>
        </w:p>
        <w:p>
          <w:pPr>
            <w:pStyle w:val="TOC1"/>
            <w:tabs>
              <w:tab w:val="right" w:leader="dot" w:pos="9000"/>
            </w:tabs>
            <w:ind w:left="0"/>
          </w:pPr>
          <w:r>
            <w:t xml:space="preserve">Annex O. Dispute Panel Roster and Rules of Procedure</w:t>
          </w:r>
          <w:r>
            <w:tab/>
          </w:r>
          <w:r>
            <w:t>55</w:t>
          </w:r>
        </w:p>
        <w:p>
          <w:pPr>
            <w:pStyle w:val="TOC1"/>
            <w:tabs>
              <w:tab w:val="right" w:leader="dot" w:pos="9000"/>
            </w:tabs>
            <w:ind w:left="0"/>
          </w:pPr>
          <w:r>
            <w:t xml:space="preserve">Annex P. Rolling Horizon Review Calendar</w:t>
          </w:r>
          <w:r>
            <w:tab/>
          </w:r>
          <w:r>
            <w:t>57</w:t>
          </w:r>
        </w:p>
        <w:p>
          <w:pPr>
            <w:pStyle w:val="TOC1"/>
            <w:tabs>
              <w:tab w:val="right" w:leader="dot" w:pos="9000"/>
            </w:tabs>
            <w:ind w:left="0"/>
          </w:pPr>
          <w:r>
            <w:t xml:space="preserve">Annex Q. Failure Scenarios and Responses</w:t>
          </w:r>
          <w:r>
            <w:tab/>
          </w:r>
          <w:r>
            <w:t>57</w:t>
          </w:r>
        </w:p>
        <w:p>
          <w:pPr>
            <w:pStyle w:val="TOC1"/>
            <w:tabs>
              <w:tab w:val="right" w:leader="dot" w:pos="9000"/>
            </w:tabs>
            <w:ind w:left="0"/>
          </w:pPr>
          <w:r>
            <w:t xml:space="preserve">Annex R. Negotiator Fallback Ladder</w:t>
          </w:r>
          <w:r>
            <w:tab/>
          </w:r>
          <w:r>
            <w:t>58</w:t>
          </w:r>
        </w:p>
        <w:p>
          <w:pPr>
            <w:pStyle w:val="TOC1"/>
            <w:tabs>
              <w:tab w:val="right" w:leader="dot" w:pos="9000"/>
            </w:tabs>
            <w:ind w:left="0"/>
          </w:pPr>
          <w:r>
            <w:t xml:space="preserve">Annex S. Red Lines Preserved (Both Parties)</w:t>
          </w:r>
          <w:r>
            <w:tab/>
          </w:r>
          <w:r>
            <w:t>59</w:t>
          </w:r>
        </w:p>
        <w:p>
          <w:pPr>
            <w:pStyle w:val="TOC1"/>
            <w:tabs>
              <w:tab w:val="right" w:leader="dot" w:pos="9000"/>
            </w:tabs>
            <w:ind w:left="0"/>
          </w:pPr>
          <w:r>
            <w:t xml:space="preserve">Annex T. Measurable Benefits Dashboard: Formulas and Benchmarks</w:t>
          </w:r>
          <w:r>
            <w:tab/>
          </w:r>
          <w:r>
            <w:t>59</w:t>
          </w:r>
        </w:p>
        <w:p>
          <w:pPr>
            <w:pStyle w:val="TOC1"/>
            <w:tabs>
              <w:tab w:val="right" w:leader="dot" w:pos="9000"/>
            </w:tabs>
            <w:ind w:left="0"/>
          </w:pPr>
          <w:r>
            <w:t xml:space="preserve">Annex U. Domestic Implementing Instruments Checklist</w:t>
          </w:r>
          <w:r>
            <w:tab/>
          </w:r>
          <w:r>
            <w:t>60</w:t>
          </w:r>
        </w:p>
        <w:p>
          <w:pPr>
            <w:pStyle w:val="TOC1"/>
            <w:tabs>
              <w:tab w:val="right" w:leader="dot" w:pos="9000"/>
            </w:tabs>
            <w:ind w:left="0"/>
          </w:pPr>
          <w:r>
            <w:t xml:space="preserve">Annex V. Research Basis and Source Notes</w:t>
          </w:r>
          <w:r>
            <w:tab/>
          </w:r>
          <w:r>
            <w:t>61</w:t>
          </w:r>
        </w:p>
        <w:p>
          <w:pPr>
            <w:pStyle w:val="TOC1"/>
            <w:tabs>
              <w:tab w:val="right" w:leader="dot" w:pos="9000"/>
            </w:tabs>
            <w:ind w:left="0"/>
          </w:pPr>
          <w:r>
            <w:t xml:space="preserve">Annex W. Signature and Political Confirmation</w:t>
          </w:r>
          <w:r>
            <w:tab/>
          </w:r>
          <w:r>
            <w:t>62</w:t>
          </w:r>
        </w:p>
        <w:p>
          <w:r>
            <w:fldChar w:fldCharType="end"/>
          </w:r>
        </w:p>
      </w:sdtContent>
    </w:sdt>
    <w:p>
      <w:pPr>
        <w:pStyle w:val="Heading1"/>
        <w:pageBreakBefore/>
        <w:spacing w:after="200" w:before="360"/>
      </w:pPr>
      <w:r>
        <w:rPr>
          <w:rFonts w:ascii="Georgia" w:cs="Georgia" w:eastAsia="SimSun" w:hAnsi="Georgia"/>
          <w:b/>
          <w:bCs/>
          <w:color w:val="35586B"/>
          <w:sz w:val="32"/>
          <w:szCs w:val="32"/>
        </w:rPr>
        <w:t xml:space="preserve">Preamble</w:t>
      </w:r>
    </w:p>
    <w:p>
      <w:pPr>
        <w:spacing w:after="160" w:line="300"/>
        <w:ind w:firstLine="431"/>
        <w:jc w:val="both"/>
      </w:pPr>
      <w:r>
        <w:rPr>
          <w:rFonts w:ascii="Georgia" w:cs="Georgia" w:eastAsia="SimSun" w:hAnsi="Georgia"/>
          <w:color w:val="1F2A36"/>
          <w:sz w:val="22"/>
          <w:szCs w:val="22"/>
        </w:rPr>
        <w:t xml:space="preserve">Canada and the United States of America (the Parties), sharing the largest bilateral trading relationship in the world and a continental industrial base built across a shared border, record their common purpose in this Accord.</w:t>
      </w:r>
    </w:p>
    <w:p>
      <w:pPr>
        <w:spacing w:after="160" w:line="300"/>
        <w:ind w:firstLine="431"/>
        <w:jc w:val="both"/>
      </w:pPr>
      <w:r>
        <w:rPr>
          <w:rFonts w:ascii="Georgia" w:cs="Georgia" w:eastAsia="SimSun" w:hAnsi="Georgia"/>
          <w:color w:val="1F2A36"/>
          <w:sz w:val="22"/>
          <w:szCs w:val="22"/>
        </w:rPr>
        <w:t xml:space="preserve">The Parties affirm that trade between them works best when it is rules-based, reciprocal, and predictable. They affirm that each Party keeps full control over its industrial policy, subsidies, procurement, culture, digital rules, and natural resources. They recognize that North American competitiveness is a shared asset, not a transfer from one economy to the other. They commit to durability: this Accord is built to survive political cycles, to resist last-minute power plays, and to convert verified performance into deepening benefit rather than recurring crisis.</w:t>
      </w:r>
    </w:p>
    <w:p>
      <w:pPr>
        <w:spacing w:after="160" w:line="300"/>
        <w:ind w:firstLine="431"/>
        <w:jc w:val="both"/>
      </w:pPr>
      <w:r>
        <w:rPr>
          <w:rFonts w:ascii="Georgia" w:cs="Georgia" w:eastAsia="SimSun" w:hAnsi="Georgia"/>
          <w:color w:val="1F2A36"/>
          <w:sz w:val="22"/>
          <w:szCs w:val="22"/>
        </w:rPr>
        <w:t xml:space="preserve">The Parties adopt the Cothrom principle: verification is a reciprocal architecture, not surveillance. Both Parties report. Both Parties verify. Both Parties recover. Consequences stay proportionate to verified conduct, and no verified failure permanently excludes a Party from benefit.</w:t>
      </w:r>
    </w:p>
    <w:p>
      <w:pPr>
        <w:spacing w:after="160" w:line="300"/>
        <w:ind w:firstLine="431"/>
        <w:jc w:val="both"/>
      </w:pPr>
      <w:r>
        <w:rPr>
          <w:rFonts w:ascii="Georgia" w:cs="Georgia" w:eastAsia="SimSun" w:hAnsi="Georgia"/>
          <w:color w:val="1F2A36"/>
          <w:sz w:val="22"/>
          <w:szCs w:val="22"/>
        </w:rPr>
        <w:t xml:space="preserve">The Parties adopt the No-Fade Principle: a benefit in good standing does not weaken, narrow, or lapse through the mere passage of time. Renewal follows performance. Reviews measure conduct, not leverage. Continuity is the default; interruption requires a verified cause.</w:t>
      </w:r>
    </w:p>
    <w:p>
      <w:pPr>
        <w:spacing w:after="160" w:line="300"/>
        <w:ind w:firstLine="431"/>
        <w:jc w:val="both"/>
      </w:pPr>
      <w:r>
        <w:rPr>
          <w:rFonts w:ascii="Georgia" w:cs="Georgia" w:eastAsia="SimSun" w:hAnsi="Georgia"/>
          <w:color w:val="1F2A36"/>
          <w:sz w:val="22"/>
          <w:szCs w:val="22"/>
        </w:rPr>
        <w:t xml:space="preserve">This Accord supplements the Canada-United States-Mexico Agreement, done at Buenos Aires on November 30, 2018, as amended (CUSMA), and is interpreted in harmony with it. Where this Accord and CUSMA both address a matter, the provision more favorable to bilateral trade flows applies for the duration of this Accord. Nothing in this Accord prejudices the position of either Party in the CUSMA review under Article 34.7 of CUSMA, in any pending or future dispute, or in the negotiation of any successor instrument.</w:t>
      </w:r>
    </w:p>
    <w:p>
      <w:pPr>
        <w:pStyle w:val="Heading1"/>
        <w:pageBreakBefore/>
        <w:spacing w:after="200" w:before="360"/>
      </w:pPr>
      <w:r>
        <w:rPr>
          <w:rFonts w:ascii="Georgia" w:cs="Georgia" w:eastAsia="SimSun" w:hAnsi="Georgia"/>
          <w:b/>
          <w:bCs/>
          <w:color w:val="35586B"/>
          <w:sz w:val="32"/>
          <w:szCs w:val="32"/>
        </w:rPr>
        <w:t xml:space="preserve">Part I. Strategic Context, Definitions, and Operating Logic</w:t>
      </w:r>
    </w:p>
    <w:p>
      <w:pPr>
        <w:spacing w:after="200" w:line="300"/>
      </w:pPr>
      <w:r>
        <w:rPr>
          <w:rFonts w:ascii="Georgia" w:cs="Georgia" w:eastAsia="SimSun" w:hAnsi="Georgia"/>
          <w:i/>
          <w:iCs/>
          <w:color w:val="35586B"/>
          <w:sz w:val="22"/>
          <w:szCs w:val="22"/>
        </w:rPr>
        <w:t xml:space="preserve">Part I fixes the factual baseline, the design principles, the timeline architecture, and the defined terms that govern every operative provision that follows.</w:t>
      </w:r>
    </w:p>
    <w:p>
      <w:pPr>
        <w:pStyle w:val="Heading2"/>
        <w:spacing w:after="140" w:before="300"/>
      </w:pPr>
      <w:r>
        <w:rPr>
          <w:rFonts w:ascii="Georgia" w:cs="Georgia" w:eastAsia="SimSun" w:hAnsi="Georgia"/>
          <w:b/>
          <w:bCs/>
          <w:color w:val="1F2A36"/>
          <w:sz w:val="26"/>
          <w:szCs w:val="26"/>
        </w:rPr>
        <w:t xml:space="preserve">Article 1. Situation Assessment</w:t>
      </w:r>
    </w:p>
    <w:p>
      <w:pPr>
        <w:spacing w:after="160" w:line="300"/>
        <w:ind w:firstLine="431"/>
        <w:jc w:val="both"/>
      </w:pPr>
      <w:r>
        <w:rPr>
          <w:rFonts w:ascii="Georgia" w:cs="Georgia" w:eastAsia="SimSun" w:hAnsi="Georgia"/>
          <w:color w:val="1F2A36"/>
          <w:sz w:val="22"/>
          <w:szCs w:val="22"/>
        </w:rPr>
        <w:t xml:space="preserve">1.1. The Parties acknowledge the following baseline facts as of the research cut-off: (a) on August 22, 2026, additional United States duties of 50 percent took effect on a scheduled list of Canadian products following the suspension of negotiations on August 21, 2026; (b) Canada announced counter-tariffs of 15, 25, and 50 percent on approximately C$27.6 billion of United States imports, effective September 8, 2026; (c) Section 232 duties of 50 percent apply to Canadian steel, aluminum, and copper, and 25 percent duties apply to Canadian automobiles and to non-qualifying auto parts; (d) combined anti-dumping and countervailing duties exceeding 35 percent apply to Canadian softwood lumber, alongside a 10 percent Section 232 timber duty; (e) the United States Supreme Court invalidated tariffs levied under the International Emergency Economic Powers Act in February 2026, and a temporary 10 percent surcharge under Section 122 of the Trade Act of 1974 excludes CUSMA-compliant goods; and (f) a CUSMA panel constituted under Chapter 31 ruled in favor of Canada and Mexico on the treatment of core auto parts under the roll-up methodology of the Appendix to Annex 4-B, and that ruling remains unimplemented.</w:t>
      </w:r>
    </w:p>
    <w:p>
      <w:pPr>
        <w:spacing w:after="160" w:line="300"/>
        <w:ind w:firstLine="431"/>
        <w:jc w:val="both"/>
      </w:pPr>
      <w:r>
        <w:rPr>
          <w:rFonts w:ascii="Georgia" w:cs="Georgia" w:eastAsia="SimSun" w:hAnsi="Georgia"/>
          <w:color w:val="1F2A36"/>
          <w:sz w:val="22"/>
          <w:szCs w:val="22"/>
        </w:rPr>
        <w:t xml:space="preserve">1.2. The Parties acknowledge that the August breakdown turned on four discrete disagreements: the exclusion of medium- and heavy-duty trucks from automotive tariff relief; proposed restrictions on Canada's freedom to conclude trade agreements with other partners; proposed restrictions on Canadian protections for language and culture; and demands that Canada withdraw retaliatory measures, including provincial alcohol measures, without reciprocal United States action.</w:t>
      </w:r>
    </w:p>
    <w:p>
      <w:pPr>
        <w:spacing w:after="160" w:line="300"/>
        <w:ind w:firstLine="431"/>
        <w:jc w:val="both"/>
      </w:pPr>
      <w:r>
        <w:rPr>
          <w:rFonts w:ascii="Georgia" w:cs="Georgia" w:eastAsia="SimSun" w:hAnsi="Georgia"/>
          <w:color w:val="1F2A36"/>
          <w:sz w:val="22"/>
          <w:szCs w:val="22"/>
        </w:rPr>
        <w:t xml:space="preserve">1.3. The Parties agree that this Accord closes each of those four disagreements symmetrically, and that the closure is recorded in the Shared Trade Registry as a foundational entry against which all later performance is measured. Specifically: (a) Article 9 and Annex C extend tariff relief to every vehicle class without weight-class carve-out; (b) Article 22 records the permanent withdrawal of restrictions on third-party trade agreements; (c) Articles 15 and 23 protect French-language discoverability and cultural exemptions as sovereignty matters outside trade objection; and (d) Articles 6 and 7 execute the withdrawal of the August duties and the abeyance of the September counter-tariffs as a single Paired Action with the same effective hour, so that neither Party stands down first and waits.</w:t>
      </w:r>
    </w:p>
    <w:p>
      <w:pPr>
        <w:spacing w:after="160" w:line="300"/>
        <w:ind w:firstLine="431"/>
        <w:jc w:val="both"/>
      </w:pPr>
      <w:r>
        <w:rPr>
          <w:rFonts w:ascii="Georgia" w:cs="Georgia" w:eastAsia="SimSun" w:hAnsi="Georgia"/>
          <w:color w:val="1F2A36"/>
          <w:sz w:val="22"/>
          <w:szCs w:val="22"/>
        </w:rPr>
        <w:t xml:space="preserve">1.4. Instruments superseded or held in abeyance. Upon entry into force, the Competent Authorities identified below shall execute the following: (a) the United States, by Presidential Proclamation or superseding proclamation, and by Federal Register notice issued by the Office of the United States Trade Representative, withdraws the Proclamation of July 20, 2026 imposing additional duties effective August 22, 2026, and terminates the associated tariff action in the Harmonized Tariff Schedule of the United States (HTSUS); (b) the United States holds in abeyance, for the Accord Term, the application to qualifying Canadian goods of the measures proclaimed under Section 232 in Proclamation 10947 of June 3, 2025 (steel and aluminum, 50 percent), Proclamation 10908 of March 26, 2025 (automobiles, 25 percent), and Proclamation 10976 of September 29, 2025 (timber, lumber, and derivative wood products, 10 percent), in each case as modified by the staged schedules of Part II and Annexes B, C, and D; (c) Canada, by Order in Council under section 53 of the Customs Tariff, places into abeyance the United States Surtax Order (September 2026) covering approximately 629 tariff lines, and thereafter unwinds the United States Surtax Order (Steel and Aluminum) and the United States Surtax Order (Motor Vehicles) on the paired schedules of Articles 8 and 9; (d) Canada converts the remission orders for manufacturing inputs, food and beverage packaging, public health, and national security goods into standing exemptions under Article 11.2; and (e) each Party publishes the complete list of affected instruments in the Shared Trade Registry within 72 hours of signature. The abeyance of an instrument preserves the underlying legal authority of that instrument and constitutes no admission regarding its legality.</w:t>
      </w:r>
    </w:p>
    <w:p>
      <w:pPr>
        <w:pStyle w:val="Heading2"/>
        <w:spacing w:after="140" w:before="300"/>
      </w:pPr>
      <w:r>
        <w:rPr>
          <w:rFonts w:ascii="Georgia" w:cs="Georgia" w:eastAsia="SimSun" w:hAnsi="Georgia"/>
          <w:b/>
          <w:bCs/>
          <w:color w:val="1F2A36"/>
          <w:sz w:val="26"/>
          <w:szCs w:val="26"/>
        </w:rPr>
        <w:t xml:space="preserve">Article 2. Design Principles</w:t>
      </w:r>
    </w:p>
    <w:p>
      <w:pPr>
        <w:spacing w:after="160" w:line="300"/>
        <w:ind w:firstLine="431"/>
        <w:jc w:val="both"/>
      </w:pPr>
      <w:r>
        <w:rPr>
          <w:rFonts w:ascii="Georgia" w:cs="Georgia" w:eastAsia="SimSun" w:hAnsi="Georgia"/>
          <w:color w:val="1F2A36"/>
          <w:sz w:val="22"/>
          <w:szCs w:val="22"/>
        </w:rPr>
        <w:t xml:space="preserve">2.1. The Accord operates on ten design principles: reciprocity, symmetry, reversibility, modularity, commercial pricing, sovereignty preservation, provincial and state competence, CUSMA continuity, transparent verification, and guaranteed recuperation after verified failure.</w:t>
      </w:r>
    </w:p>
    <w:p>
      <w:pPr>
        <w:spacing w:after="160" w:line="300"/>
        <w:ind w:firstLine="431"/>
        <w:jc w:val="both"/>
      </w:pPr>
      <w:r>
        <w:rPr>
          <w:rFonts w:ascii="Georgia" w:cs="Georgia" w:eastAsia="SimSun" w:hAnsi="Georgia"/>
          <w:color w:val="1F2A36"/>
          <w:sz w:val="22"/>
          <w:szCs w:val="22"/>
        </w:rPr>
        <w:t xml:space="preserve">2.2. Reciprocity means comparable strategic weight, not identical action. Symmetry means that every obligation in this Accord binds both Parties in equivalent form: no clause grants one Party a right, remedy, or exemption that is not available to the other on equivalent facts. Reversibility protects each Party from permanent loss during the bridge. Modularity confines every failure to the module in which it occurs. Commercial pricing prevents strategic cooperation from becoming a disguised transfer, in accordance with the Commercial Pricing Clause of Annex I.</w:t>
      </w:r>
    </w:p>
    <w:p>
      <w:pPr>
        <w:spacing w:after="160" w:line="300"/>
        <w:ind w:firstLine="431"/>
        <w:jc w:val="both"/>
      </w:pPr>
      <w:r>
        <w:rPr>
          <w:rFonts w:ascii="Georgia" w:cs="Georgia" w:eastAsia="SimSun" w:hAnsi="Georgia"/>
          <w:color w:val="1F2A36"/>
          <w:sz w:val="22"/>
          <w:szCs w:val="22"/>
        </w:rPr>
        <w:t xml:space="preserve">2.3. Sovereignty preservation is absolute within this Accord. The framework architecture excludes: forced alignment of industrial, subsidy, procurement, cultural, or digital policy; any right of first refusal over the resources of either Party; any restriction on the trade agreements either Party concludes with third parties; and any limit on either Party's protection of its language, culture, or heritage.</w:t>
      </w:r>
    </w:p>
    <w:p>
      <w:pPr>
        <w:pStyle w:val="ListParagraph"/>
        <w:numPr>
          <w:ilvl w:val="0"/>
          <w:numId w:val="2"/>
        </w:numPr>
        <w:spacing w:after="100" w:line="300"/>
      </w:pPr>
      <w:r>
        <w:rPr>
          <w:rFonts w:ascii="Georgia" w:cs="Georgia" w:eastAsia="SimSun" w:hAnsi="Georgia"/>
          <w:color w:val="1F2A36"/>
          <w:sz w:val="22"/>
          <w:szCs w:val="22"/>
        </w:rPr>
        <w:t xml:space="preserve">No snapback architecture. Cothrom step-back affects the smallest relevant module first.</w:t>
      </w:r>
    </w:p>
    <w:p>
      <w:pPr>
        <w:pStyle w:val="ListParagraph"/>
        <w:numPr>
          <w:ilvl w:val="0"/>
          <w:numId w:val="2"/>
        </w:numPr>
        <w:spacing w:after="100" w:line="300"/>
      </w:pPr>
      <w:r>
        <w:rPr>
          <w:rFonts w:ascii="Georgia" w:cs="Georgia" w:eastAsia="SimSun" w:hAnsi="Georgia"/>
          <w:color w:val="1F2A36"/>
          <w:sz w:val="22"/>
          <w:szCs w:val="22"/>
        </w:rPr>
        <w:t xml:space="preserve">No permanent purchase quotas. Commercial opportunities, priority options, and procurement competitions use market terms.</w:t>
      </w:r>
    </w:p>
    <w:p>
      <w:pPr>
        <w:pStyle w:val="ListParagraph"/>
        <w:numPr>
          <w:ilvl w:val="0"/>
          <w:numId w:val="2"/>
        </w:numPr>
        <w:spacing w:after="100" w:line="300"/>
      </w:pPr>
      <w:r>
        <w:rPr>
          <w:rFonts w:ascii="Georgia" w:cs="Georgia" w:eastAsia="SimSun" w:hAnsi="Georgia"/>
          <w:color w:val="1F2A36"/>
          <w:sz w:val="22"/>
          <w:szCs w:val="22"/>
        </w:rPr>
        <w:t xml:space="preserve">No supply-management abolition. Dairy access operates through transparent administration and reallocation of existing entitlement.</w:t>
      </w:r>
    </w:p>
    <w:p>
      <w:pPr>
        <w:pStyle w:val="ListParagraph"/>
        <w:numPr>
          <w:ilvl w:val="0"/>
          <w:numId w:val="2"/>
        </w:numPr>
        <w:spacing w:after="100" w:line="300"/>
      </w:pPr>
      <w:r>
        <w:rPr>
          <w:rFonts w:ascii="Georgia" w:cs="Georgia" w:eastAsia="SimSun" w:hAnsi="Georgia"/>
          <w:color w:val="1F2A36"/>
          <w:sz w:val="22"/>
          <w:szCs w:val="22"/>
        </w:rPr>
        <w:t xml:space="preserve">No sunset clauses. Every time-limited mechanism operates on a rolling horizon under the No-Fade Principle.</w:t>
      </w:r>
    </w:p>
    <w:p>
      <w:pPr>
        <w:pStyle w:val="ListParagraph"/>
        <w:numPr>
          <w:ilvl w:val="0"/>
          <w:numId w:val="2"/>
        </w:numPr>
        <w:spacing w:after="100" w:line="300"/>
      </w:pPr>
      <w:r>
        <w:rPr>
          <w:rFonts w:ascii="Georgia" w:cs="Georgia" w:eastAsia="SimSun" w:hAnsi="Georgia"/>
          <w:color w:val="1F2A36"/>
          <w:sz w:val="22"/>
          <w:szCs w:val="22"/>
        </w:rPr>
        <w:t xml:space="preserve">No automatic concession cascade. Every module carries its own verification record and its own Module Firewall.</w:t>
      </w:r>
    </w:p>
    <w:p>
      <w:pPr>
        <w:pStyle w:val="Heading2"/>
        <w:spacing w:after="140" w:before="300"/>
      </w:pPr>
      <w:r>
        <w:rPr>
          <w:rFonts w:ascii="Georgia" w:cs="Georgia" w:eastAsia="SimSun" w:hAnsi="Georgia"/>
          <w:b/>
          <w:bCs/>
          <w:color w:val="1F2A36"/>
          <w:sz w:val="26"/>
          <w:szCs w:val="26"/>
        </w:rPr>
        <w:t xml:space="preserve">Article 3. Layered Timeline</w:t>
      </w:r>
    </w:p>
    <w:p>
      <w:pPr>
        <w:spacing w:after="160" w:line="300"/>
        <w:ind w:firstLine="431"/>
        <w:jc w:val="both"/>
      </w:pPr>
      <w:r>
        <w:rPr>
          <w:rFonts w:ascii="Georgia" w:cs="Georgia" w:eastAsia="SimSun" w:hAnsi="Georgia"/>
          <w:color w:val="1F2A36"/>
          <w:sz w:val="22"/>
          <w:szCs w:val="22"/>
        </w:rPr>
        <w:t xml:space="preserve">3.1. The bridge uses five layers. Layer Zero runs from entry into force through Hour 72 and stops the active tariff exchange. Layer One runs through Day 15 and delivers the politically visible measures. Layer Two runs through Day 45 and opens commercial corridors. Layer Three runs through Day 90 and scales verified supply, access, and investment. Layer Four runs from Day 91 and converts verified performance into a rolling program of consolidation, with the first Consolidation Review at Day 120. Unless a provision expressly states otherwise, a deadline expressed in days means Calendar Days; a deadline expressed in business days excludes Saturdays, Sundays, and statutory holidays of the performing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Layer</w:t>
            </w:r>
          </w:p>
        </w:tc>
        <w:tc>
          <w:tcPr>
            <w:tcW w:type="dxa" w:w="234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Window</w:t>
            </w:r>
          </w:p>
        </w:tc>
        <w:tc>
          <w:tcPr>
            <w:tcW w:type="dxa" w:w="54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Primary purpose</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Zero</w:t>
            </w:r>
          </w:p>
        </w:tc>
        <w:tc>
          <w:tcPr>
            <w:tcW w:type="dxa" w:w="234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Hour 0 to 72</w:t>
            </w:r>
          </w:p>
        </w:tc>
        <w:tc>
          <w:tcPr>
            <w:tcW w:type="dxa" w:w="54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Stop the tariff exchange; ACE and CARM system updates; open the Shared Trade Registry</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One</w:t>
            </w:r>
          </w:p>
        </w:tc>
        <w:tc>
          <w:tcPr>
            <w:tcW w:type="dxa" w:w="234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 to 15</w:t>
            </w:r>
          </w:p>
        </w:tc>
        <w:tc>
          <w:tcPr>
            <w:tcW w:type="dxa" w:w="54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Deliver visible market-access and tariff actions; first metals and auto relief</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Two</w:t>
            </w:r>
          </w:p>
        </w:tc>
        <w:tc>
          <w:tcPr>
            <w:tcW w:type="dxa" w:w="234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16 to 45</w:t>
            </w:r>
          </w:p>
        </w:tc>
        <w:tc>
          <w:tcPr>
            <w:tcW w:type="dxa" w:w="54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Open commercial corridors: minerals, energy, procurement, agriculture</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Three</w:t>
            </w:r>
          </w:p>
        </w:tc>
        <w:tc>
          <w:tcPr>
            <w:tcW w:type="dxa" w:w="234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46 to 90</w:t>
            </w:r>
          </w:p>
        </w:tc>
        <w:tc>
          <w:tcPr>
            <w:tcW w:type="dxa" w:w="54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Scale verified activity; second-stage tariff reductions; investment milestones</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Four</w:t>
            </w:r>
          </w:p>
        </w:tc>
        <w:tc>
          <w:tcPr>
            <w:tcW w:type="dxa" w:w="234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91 onward</w:t>
            </w:r>
          </w:p>
        </w:tc>
        <w:tc>
          <w:tcPr>
            <w:tcW w:type="dxa" w:w="54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Consolidation Reviews on a rolling horizon; conversion of verified modules into durable arrangements</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3.2. No layer ends a benefit. Transition between layers is additive: a module that reaches Green status retains its benefit through every later layer unless the Cothrom architecture records a Verified Breach within that module.</w:t>
      </w:r>
    </w:p>
    <w:p>
      <w:pPr>
        <w:pStyle w:val="Heading2"/>
        <w:spacing w:after="140" w:before="300"/>
      </w:pPr>
      <w:r>
        <w:rPr>
          <w:rFonts w:ascii="Georgia" w:cs="Georgia" w:eastAsia="SimSun" w:hAnsi="Georgia"/>
          <w:b/>
          <w:bCs/>
          <w:color w:val="1F2A36"/>
          <w:sz w:val="26"/>
          <w:szCs w:val="26"/>
        </w:rPr>
        <w:t xml:space="preserve">Article 4. Definitions</w:t>
      </w:r>
    </w:p>
    <w:p>
      <w:pPr>
        <w:spacing w:after="160" w:line="300"/>
        <w:ind w:firstLine="431"/>
        <w:jc w:val="both"/>
      </w:pPr>
      <w:r>
        <w:rPr>
          <w:rFonts w:ascii="Georgia" w:cs="Georgia" w:eastAsia="SimSun" w:hAnsi="Georgia"/>
          <w:color w:val="1F2A36"/>
          <w:sz w:val="22"/>
          <w:szCs w:val="22"/>
        </w:rPr>
        <w:t xml:space="preserve">4.1. For purposes of this Accord, the following definitions apply. A term defined in the singular includes the plural, and a cross-reference to CUSMA includes any successor provision.</w:t>
      </w:r>
    </w:p>
    <w:p>
      <w:pPr>
        <w:spacing w:after="160" w:line="300"/>
        <w:ind w:firstLine="431"/>
        <w:jc w:val="both"/>
      </w:pPr>
      <w:r>
        <w:rPr>
          <w:rFonts w:ascii="Georgia" w:cs="Georgia" w:eastAsia="SimSun" w:hAnsi="Georgia"/>
          <w:color w:val="1F2A36"/>
          <w:sz w:val="22"/>
          <w:szCs w:val="22"/>
        </w:rPr>
        <w:t xml:space="preserve">(a) Accord Term means the period from entry into force continuing on the Rolling Horizon described in Part VII, through any extension, until termination under Article 45.</w:t>
      </w:r>
    </w:p>
    <w:p>
      <w:pPr>
        <w:spacing w:after="160" w:line="300"/>
        <w:ind w:firstLine="431"/>
        <w:jc w:val="both"/>
      </w:pPr>
      <w:r>
        <w:rPr>
          <w:rFonts w:ascii="Georgia" w:cs="Georgia" w:eastAsia="SimSun" w:hAnsi="Georgia"/>
          <w:color w:val="1F2A36"/>
          <w:sz w:val="22"/>
          <w:szCs w:val="22"/>
        </w:rPr>
        <w:t xml:space="preserve">(b) Annex means an annex to this Accord, each of which forms an integral part of this Accord under Article 46.2.</w:t>
      </w:r>
    </w:p>
    <w:p>
      <w:pPr>
        <w:spacing w:after="160" w:line="300"/>
        <w:ind w:firstLine="431"/>
        <w:jc w:val="both"/>
      </w:pPr>
      <w:r>
        <w:rPr>
          <w:rFonts w:ascii="Georgia" w:cs="Georgia" w:eastAsia="SimSun" w:hAnsi="Georgia"/>
          <w:color w:val="1F2A36"/>
          <w:sz w:val="22"/>
          <w:szCs w:val="22"/>
        </w:rPr>
        <w:t xml:space="preserve">(c) Business Day means a day other than a Saturday, Sunday, or statutory holiday of the Party performing the relevant act.</w:t>
      </w:r>
    </w:p>
    <w:p>
      <w:pPr>
        <w:spacing w:after="160" w:line="300"/>
        <w:ind w:firstLine="431"/>
        <w:jc w:val="both"/>
      </w:pPr>
      <w:r>
        <w:rPr>
          <w:rFonts w:ascii="Georgia" w:cs="Georgia" w:eastAsia="SimSun" w:hAnsi="Georgia"/>
          <w:color w:val="1F2A36"/>
          <w:sz w:val="22"/>
          <w:szCs w:val="22"/>
        </w:rPr>
        <w:t xml:space="preserve">(d) Calendar Day means any day, including Saturdays, Sundays, and holidays; a deadline expressed in days without qualification means Calendar Days.</w:t>
      </w:r>
    </w:p>
    <w:p>
      <w:pPr>
        <w:spacing w:after="160" w:line="300"/>
        <w:ind w:firstLine="431"/>
        <w:jc w:val="both"/>
      </w:pPr>
      <w:r>
        <w:rPr>
          <w:rFonts w:ascii="Georgia" w:cs="Georgia" w:eastAsia="SimSun" w:hAnsi="Georgia"/>
          <w:color w:val="1F2A36"/>
          <w:sz w:val="22"/>
          <w:szCs w:val="22"/>
        </w:rPr>
        <w:t xml:space="preserve">(e) CBP means U.S. Customs and Border Protection, including its administration of the Automated Commercial Environment (ACE).</w:t>
      </w:r>
    </w:p>
    <w:p>
      <w:pPr>
        <w:spacing w:after="160" w:line="300"/>
        <w:ind w:firstLine="431"/>
        <w:jc w:val="both"/>
      </w:pPr>
      <w:r>
        <w:rPr>
          <w:rFonts w:ascii="Georgia" w:cs="Georgia" w:eastAsia="SimSun" w:hAnsi="Georgia"/>
          <w:color w:val="1F2A36"/>
          <w:sz w:val="22"/>
          <w:szCs w:val="22"/>
        </w:rPr>
        <w:t xml:space="preserve">(f) CBSA means the Canada Border Services Agency, including its administration of the CBSA Assessment and Revenue Management system (CARM).</w:t>
      </w:r>
    </w:p>
    <w:p>
      <w:pPr>
        <w:spacing w:after="160" w:line="300"/>
        <w:ind w:firstLine="431"/>
        <w:jc w:val="both"/>
      </w:pPr>
      <w:r>
        <w:rPr>
          <w:rFonts w:ascii="Georgia" w:cs="Georgia" w:eastAsia="SimSun" w:hAnsi="Georgia"/>
          <w:color w:val="1F2A36"/>
          <w:sz w:val="22"/>
          <w:szCs w:val="22"/>
        </w:rPr>
        <w:t xml:space="preserve">(g) Competent Authority means the organ of a Party designated in this Accord or its Annexes as responsible for a specified action, including USTR, the United States Departments of Commerce, the Treasury, State, and Agriculture, CBP, Global Affairs Canada, the Department of Finance Canada, CBSA, Public Services and Procurement Canada (PSPC), Natural Resources Canada (NRCan), and the Canadian Food Inspection Agency (CFIA).</w:t>
      </w:r>
    </w:p>
    <w:p>
      <w:pPr>
        <w:spacing w:after="160" w:line="300"/>
        <w:ind w:firstLine="431"/>
        <w:jc w:val="both"/>
      </w:pPr>
      <w:r>
        <w:rPr>
          <w:rFonts w:ascii="Georgia" w:cs="Georgia" w:eastAsia="SimSun" w:hAnsi="Georgia"/>
          <w:color w:val="1F2A36"/>
          <w:sz w:val="22"/>
          <w:szCs w:val="22"/>
        </w:rPr>
        <w:t xml:space="preserve">(h) Consolidation Review means a review conducted under Article 40 and Annex P.</w:t>
      </w:r>
    </w:p>
    <w:p>
      <w:pPr>
        <w:spacing w:after="160" w:line="300"/>
        <w:ind w:firstLine="431"/>
        <w:jc w:val="both"/>
      </w:pPr>
      <w:r>
        <w:rPr>
          <w:rFonts w:ascii="Georgia" w:cs="Georgia" w:eastAsia="SimSun" w:hAnsi="Georgia"/>
          <w:color w:val="1F2A36"/>
          <w:sz w:val="22"/>
          <w:szCs w:val="22"/>
        </w:rPr>
        <w:t xml:space="preserve">(i) Corridor-Registered Shipment means a shipment of goods enrolled in a corridor under Annex B, I, or K, bearing the chain-of-custody records specified in Annex K, and logged in the Shared Trade Registry with a unique corridor identifier.</w:t>
      </w:r>
    </w:p>
    <w:p>
      <w:pPr>
        <w:spacing w:after="160" w:line="300"/>
        <w:ind w:firstLine="431"/>
        <w:jc w:val="both"/>
      </w:pPr>
      <w:r>
        <w:rPr>
          <w:rFonts w:ascii="Georgia" w:cs="Georgia" w:eastAsia="SimSun" w:hAnsi="Georgia"/>
          <w:color w:val="1F2A36"/>
          <w:sz w:val="22"/>
          <w:szCs w:val="22"/>
        </w:rPr>
        <w:t xml:space="preserve">(j) Cothrom Architecture means the verification, challenge, step-back, and earn-back system set out in Part V and Annexes M and N.</w:t>
      </w:r>
    </w:p>
    <w:p>
      <w:pPr>
        <w:spacing w:after="160" w:line="300"/>
        <w:ind w:firstLine="431"/>
        <w:jc w:val="both"/>
      </w:pPr>
      <w:r>
        <w:rPr>
          <w:rFonts w:ascii="Georgia" w:cs="Georgia" w:eastAsia="SimSun" w:hAnsi="Georgia"/>
          <w:color w:val="1F2A36"/>
          <w:sz w:val="22"/>
          <w:szCs w:val="22"/>
        </w:rPr>
        <w:t xml:space="preserve">(k) Covered Measure means any tariff, surtax, quota, tariff-rate quota, procurement condition, listing rule, exemption, or administrative action listed in an Annex to this Accord.</w:t>
      </w:r>
    </w:p>
    <w:p>
      <w:pPr>
        <w:spacing w:after="160" w:line="300"/>
        <w:ind w:firstLine="431"/>
        <w:jc w:val="both"/>
      </w:pPr>
      <w:r>
        <w:rPr>
          <w:rFonts w:ascii="Georgia" w:cs="Georgia" w:eastAsia="SimSun" w:hAnsi="Georgia"/>
          <w:color w:val="1F2A36"/>
          <w:sz w:val="22"/>
          <w:szCs w:val="22"/>
        </w:rPr>
        <w:t xml:space="preserve">(l) Earn-Back Credit means a credit unit calculated under Article 34.5: one credit unit equals a one-day reduction in the clean-performance period for a Tier 2 or Tier 3 event, accrued for every seven consecutive days of early milestone completion, subject to the 25 percent acceleration cap.</w:t>
      </w:r>
    </w:p>
    <w:p>
      <w:pPr>
        <w:spacing w:after="160" w:line="300"/>
        <w:ind w:firstLine="431"/>
        <w:jc w:val="both"/>
      </w:pPr>
      <w:r>
        <w:rPr>
          <w:rFonts w:ascii="Georgia" w:cs="Georgia" w:eastAsia="SimSun" w:hAnsi="Georgia"/>
          <w:color w:val="1F2A36"/>
          <w:sz w:val="22"/>
          <w:szCs w:val="22"/>
        </w:rPr>
        <w:t xml:space="preserve">(m) Golden Record means the unalterable, cryptographically sealed data stream maintained in the Shared Trade Registry against which the Secretariat assesses claims under Article 30.</w:t>
      </w:r>
    </w:p>
    <w:p>
      <w:pPr>
        <w:spacing w:after="160" w:line="300"/>
        <w:ind w:firstLine="431"/>
        <w:jc w:val="both"/>
      </w:pPr>
      <w:r>
        <w:rPr>
          <w:rFonts w:ascii="Georgia" w:cs="Georgia" w:eastAsia="SimSun" w:hAnsi="Georgia"/>
          <w:color w:val="1F2A36"/>
          <w:sz w:val="22"/>
          <w:szCs w:val="22"/>
        </w:rPr>
        <w:t xml:space="preserve">(n) Green, Amber, Orange, and Red Status carry the meanings assigned in Annex N.</w:t>
      </w:r>
    </w:p>
    <w:p>
      <w:pPr>
        <w:spacing w:after="160" w:line="300"/>
        <w:ind w:firstLine="431"/>
        <w:jc w:val="both"/>
      </w:pPr>
      <w:r>
        <w:rPr>
          <w:rFonts w:ascii="Georgia" w:cs="Georgia" w:eastAsia="SimSun" w:hAnsi="Georgia"/>
          <w:color w:val="1F2A36"/>
          <w:sz w:val="22"/>
          <w:szCs w:val="22"/>
        </w:rPr>
        <w:t xml:space="preserve">(o) Module means a discrete schedule of paired commitments identified in the Reciprocal Action Matrix (Annex A) or admitted by a Consolidation Review.</w:t>
      </w:r>
    </w:p>
    <w:p>
      <w:pPr>
        <w:spacing w:after="160" w:line="300"/>
        <w:ind w:firstLine="431"/>
        <w:jc w:val="both"/>
      </w:pPr>
      <w:r>
        <w:rPr>
          <w:rFonts w:ascii="Georgia" w:cs="Georgia" w:eastAsia="SimSun" w:hAnsi="Georgia"/>
          <w:color w:val="1F2A36"/>
          <w:sz w:val="22"/>
          <w:szCs w:val="22"/>
        </w:rPr>
        <w:t xml:space="preserve">(p) Module Firewall means the rule of Article 34.4 confining the consequences of a Verified Breach to the Module in which it occurs, absent a Panel finding of direct and material cross-module conduct.</w:t>
      </w:r>
    </w:p>
    <w:p>
      <w:pPr>
        <w:spacing w:after="160" w:line="300"/>
        <w:ind w:firstLine="431"/>
        <w:jc w:val="both"/>
      </w:pPr>
      <w:r>
        <w:rPr>
          <w:rFonts w:ascii="Georgia" w:cs="Georgia" w:eastAsia="SimSun" w:hAnsi="Georgia"/>
          <w:color w:val="1F2A36"/>
          <w:sz w:val="22"/>
          <w:szCs w:val="22"/>
        </w:rPr>
        <w:t xml:space="preserve">(q) No-Fade Principle means the rule of Article 41 that a benefit in good standing neither lapses nor narrows through the passage of time alone.</w:t>
      </w:r>
    </w:p>
    <w:p>
      <w:pPr>
        <w:spacing w:after="160" w:line="300"/>
        <w:ind w:firstLine="431"/>
        <w:jc w:val="both"/>
      </w:pPr>
      <w:r>
        <w:rPr>
          <w:rFonts w:ascii="Georgia" w:cs="Georgia" w:eastAsia="SimSun" w:hAnsi="Georgia"/>
          <w:color w:val="1F2A36"/>
          <w:sz w:val="22"/>
          <w:szCs w:val="22"/>
        </w:rPr>
        <w:t xml:space="preserve">(r) Originating Good means a good that qualifies as originating under Article 4.2 of CUSMA and the product-specific rules of origin in CUSMA Annex 4-B, including, for automotive goods, the Appendix to Annex 4-B, as those provisions apply on the date of entry; for the Accord Term, transitional content treatment is governed exclusively by the Transitional Content Credit of Annex C, which constitutes a bilateral bridge modification without prejudice to CUSMA itself.</w:t>
      </w:r>
    </w:p>
    <w:p>
      <w:pPr>
        <w:spacing w:after="160" w:line="300"/>
        <w:ind w:firstLine="431"/>
        <w:jc w:val="both"/>
      </w:pPr>
      <w:r>
        <w:rPr>
          <w:rFonts w:ascii="Georgia" w:cs="Georgia" w:eastAsia="SimSun" w:hAnsi="Georgia"/>
          <w:color w:val="1F2A36"/>
          <w:sz w:val="22"/>
          <w:szCs w:val="22"/>
        </w:rPr>
        <w:t xml:space="preserve">(s) Paired Action means two commitments, one of each Party, scheduled in Annex A to take effect at the same effective hour and verified as a single module entry.</w:t>
      </w:r>
    </w:p>
    <w:p>
      <w:pPr>
        <w:spacing w:after="160" w:line="300"/>
        <w:ind w:firstLine="431"/>
        <w:jc w:val="both"/>
      </w:pPr>
      <w:r>
        <w:rPr>
          <w:rFonts w:ascii="Georgia" w:cs="Georgia" w:eastAsia="SimSun" w:hAnsi="Georgia"/>
          <w:color w:val="1F2A36"/>
          <w:sz w:val="22"/>
          <w:szCs w:val="22"/>
        </w:rPr>
        <w:t xml:space="preserve">(t) Rolling Horizon means the self-renewing twelve-month review cycle described in Article 40, including the Automatic Extension rule of Article 40.4.</w:t>
      </w:r>
    </w:p>
    <w:p>
      <w:pPr>
        <w:spacing w:after="160" w:line="300"/>
        <w:ind w:firstLine="431"/>
        <w:jc w:val="both"/>
      </w:pPr>
      <w:r>
        <w:rPr>
          <w:rFonts w:ascii="Georgia" w:cs="Georgia" w:eastAsia="SimSun" w:hAnsi="Georgia"/>
          <w:color w:val="1F2A36"/>
          <w:sz w:val="22"/>
          <w:szCs w:val="22"/>
        </w:rPr>
        <w:t xml:space="preserve">(u) Secretariat means the Joint Trade Verification Secretariat established under Article 26.</w:t>
      </w:r>
    </w:p>
    <w:p>
      <w:pPr>
        <w:spacing w:after="160" w:line="300"/>
        <w:ind w:firstLine="431"/>
        <w:jc w:val="both"/>
      </w:pPr>
      <w:r>
        <w:rPr>
          <w:rFonts w:ascii="Georgia" w:cs="Georgia" w:eastAsia="SimSun" w:hAnsi="Georgia"/>
          <w:color w:val="1F2A36"/>
          <w:sz w:val="22"/>
          <w:szCs w:val="22"/>
        </w:rPr>
        <w:t xml:space="preserve">(v) Shared Trade Registry or Registry means the joint record maintained under Article 27.</w:t>
      </w:r>
    </w:p>
    <w:p>
      <w:pPr>
        <w:spacing w:after="160" w:line="300"/>
        <w:ind w:firstLine="431"/>
        <w:jc w:val="both"/>
      </w:pPr>
      <w:r>
        <w:rPr>
          <w:rFonts w:ascii="Georgia" w:cs="Georgia" w:eastAsia="SimSun" w:hAnsi="Georgia"/>
          <w:color w:val="1F2A36"/>
          <w:sz w:val="22"/>
          <w:szCs w:val="22"/>
        </w:rPr>
        <w:t xml:space="preserve">(w) Step-Back means a proportionate, reversible suspension of a discretionary benefit within a Module, applied under Article 34.</w:t>
      </w:r>
    </w:p>
    <w:p>
      <w:pPr>
        <w:spacing w:after="160" w:line="300"/>
        <w:ind w:firstLine="431"/>
        <w:jc w:val="both"/>
      </w:pPr>
      <w:r>
        <w:rPr>
          <w:rFonts w:ascii="Georgia" w:cs="Georgia" w:eastAsia="SimSun" w:hAnsi="Georgia"/>
          <w:color w:val="1F2A36"/>
          <w:sz w:val="22"/>
          <w:szCs w:val="22"/>
        </w:rPr>
        <w:t xml:space="preserve">(x) Tier 1 Event, Tier 2 Event, and Tier 3 Event mean the categories of variance defined in Articles 34.1, 34.2, and 34.3 respectively.</w:t>
      </w:r>
    </w:p>
    <w:p>
      <w:pPr>
        <w:spacing w:after="160" w:line="300"/>
        <w:ind w:firstLine="431"/>
        <w:jc w:val="both"/>
      </w:pPr>
      <w:r>
        <w:rPr>
          <w:rFonts w:ascii="Georgia" w:cs="Georgia" w:eastAsia="SimSun" w:hAnsi="Georgia"/>
          <w:color w:val="1F2A36"/>
          <w:sz w:val="22"/>
          <w:szCs w:val="22"/>
        </w:rPr>
        <w:t xml:space="preserve">(y) Trade Verification Panel or Panel means a three-member panel constituted under Article 31 and Annex O.</w:t>
      </w:r>
    </w:p>
    <w:p>
      <w:pPr>
        <w:spacing w:after="160" w:line="300"/>
        <w:ind w:firstLine="431"/>
        <w:jc w:val="both"/>
      </w:pPr>
      <w:r>
        <w:rPr>
          <w:rFonts w:ascii="Georgia" w:cs="Georgia" w:eastAsia="SimSun" w:hAnsi="Georgia"/>
          <w:color w:val="1F2A36"/>
          <w:sz w:val="22"/>
          <w:szCs w:val="22"/>
        </w:rPr>
        <w:t xml:space="preserve">(z) Transitional Content Credit means the deduction-credit formula of Annex C.3 for the Accord Term.</w:t>
      </w:r>
    </w:p>
    <w:p>
      <w:pPr>
        <w:spacing w:after="160" w:line="300"/>
        <w:ind w:firstLine="431"/>
        <w:jc w:val="both"/>
      </w:pPr>
      <w:r>
        <w:rPr>
          <w:rFonts w:ascii="Georgia" w:cs="Georgia" w:eastAsia="SimSun" w:hAnsi="Georgia"/>
          <w:color w:val="1F2A36"/>
          <w:sz w:val="22"/>
          <w:szCs w:val="22"/>
        </w:rPr>
        <w:t xml:space="preserve">(aa) Verified means confirmed through the evidence standards of Article 30 and Annex M; Verified Breach means a breach confirmed by the Secretariat and, where challenged, sustained by a Trade Verification Panel.</w:t>
      </w:r>
    </w:p>
    <w:p>
      <w:pPr>
        <w:spacing w:after="160" w:line="300"/>
        <w:ind w:firstLine="431"/>
        <w:jc w:val="both"/>
      </w:pPr>
      <w:r>
        <w:rPr>
          <w:rFonts w:ascii="Georgia" w:cs="Georgia" w:eastAsia="SimSun" w:hAnsi="Georgia"/>
          <w:color w:val="1F2A36"/>
          <w:sz w:val="22"/>
          <w:szCs w:val="22"/>
        </w:rPr>
        <w:t xml:space="preserve">(ab) HTSUS means the Harmonized Tariff Schedule of the United States; Customs Tariff means the Customs Tariff of Canada; and a reference to a tariff heading or subheading is at the six-digit Harmonized System level unless a provision states a finer level.</w:t>
      </w:r>
    </w:p>
    <w:p>
      <w:pPr>
        <w:spacing w:after="160" w:line="300"/>
        <w:ind w:firstLine="431"/>
        <w:jc w:val="both"/>
      </w:pPr>
      <w:r>
        <w:rPr>
          <w:rFonts w:ascii="Georgia" w:cs="Georgia" w:eastAsia="SimSun" w:hAnsi="Georgia"/>
          <w:color w:val="1F2A36"/>
          <w:sz w:val="22"/>
          <w:szCs w:val="22"/>
        </w:rPr>
        <w:t xml:space="preserve">(ac) Strategic Weight means the combined commercial, industrial, and political significance of a concession, assessed qualitatively by the Secretariat for pairing purposes and reported in the Annex T scorecard.</w:t>
      </w:r>
    </w:p>
    <w:p>
      <w:pPr>
        <w:pStyle w:val="Heading1"/>
        <w:pageBreakBefore/>
        <w:spacing w:after="200" w:before="360"/>
      </w:pPr>
      <w:r>
        <w:rPr>
          <w:rFonts w:ascii="Georgia" w:cs="Georgia" w:eastAsia="SimSun" w:hAnsi="Georgia"/>
          <w:b/>
          <w:bCs/>
          <w:color w:val="35586B"/>
          <w:sz w:val="32"/>
          <w:szCs w:val="32"/>
        </w:rPr>
        <w:t xml:space="preserve">Part II. Entry into Force and Tariff De-escalation</w:t>
      </w:r>
    </w:p>
    <w:p>
      <w:pPr>
        <w:spacing w:after="200" w:line="300"/>
      </w:pPr>
      <w:r>
        <w:rPr>
          <w:rFonts w:ascii="Georgia" w:cs="Georgia" w:eastAsia="SimSun" w:hAnsi="Georgia"/>
          <w:i/>
          <w:iCs/>
          <w:color w:val="35586B"/>
          <w:sz w:val="22"/>
          <w:szCs w:val="22"/>
        </w:rPr>
        <w:t xml:space="preserve">Part II stops the active tariff exchange in the first seventy-two hours, then de-escalates the layered tariff burdens on a paired, staged schedule. Every reduction by one Party is matched by a reduction of comparable Strategic Weight by the other, on the same clock, executed by a named Competent Authority against a defined deadline.</w:t>
      </w:r>
    </w:p>
    <w:p>
      <w:pPr>
        <w:pStyle w:val="Heading2"/>
        <w:spacing w:after="140" w:before="300"/>
      </w:pPr>
      <w:r>
        <w:rPr>
          <w:rFonts w:ascii="Georgia" w:cs="Georgia" w:eastAsia="SimSun" w:hAnsi="Georgia"/>
          <w:b/>
          <w:bCs/>
          <w:color w:val="1F2A36"/>
          <w:sz w:val="26"/>
          <w:szCs w:val="26"/>
        </w:rPr>
        <w:t xml:space="preserve">Article 5. Entry into Force and Legal Character</w:t>
      </w:r>
    </w:p>
    <w:p>
      <w:pPr>
        <w:spacing w:after="160" w:line="300"/>
        <w:ind w:firstLine="431"/>
        <w:jc w:val="both"/>
      </w:pPr>
      <w:r>
        <w:rPr>
          <w:rFonts w:ascii="Georgia" w:cs="Georgia" w:eastAsia="SimSun" w:hAnsi="Georgia"/>
          <w:color w:val="1F2A36"/>
          <w:sz w:val="22"/>
          <w:szCs w:val="22"/>
        </w:rPr>
        <w:t xml:space="preserve">5.1. This Accord enters into force upon signature by the designated representatives of both Parties. Signature activates the joint process; each domestic action takes legal effect through its own executing instrument as identified in Annex U, and the Shared Trade Registry records the effective time of every domestic action.</w:t>
      </w:r>
    </w:p>
    <w:p>
      <w:pPr>
        <w:spacing w:after="160" w:line="300"/>
        <w:ind w:firstLine="431"/>
        <w:jc w:val="both"/>
      </w:pPr>
      <w:r>
        <w:rPr>
          <w:rFonts w:ascii="Georgia" w:cs="Georgia" w:eastAsia="SimSun" w:hAnsi="Georgia"/>
          <w:color w:val="1F2A36"/>
          <w:sz w:val="22"/>
          <w:szCs w:val="22"/>
        </w:rPr>
        <w:t xml:space="preserve">5.2. The Accord operates as an interim political and administrative understanding. Nothing in this Accord requires either Party to act outside its domestic legal authority, and nothing in this Accord limits either Party's rights under CUSMA except as expressly scheduled in an Annex.</w:t>
      </w:r>
    </w:p>
    <w:p>
      <w:pPr>
        <w:pStyle w:val="Heading2"/>
        <w:spacing w:after="140" w:before="300"/>
      </w:pPr>
      <w:r>
        <w:rPr>
          <w:rFonts w:ascii="Georgia" w:cs="Georgia" w:eastAsia="SimSun" w:hAnsi="Georgia"/>
          <w:b/>
          <w:bCs/>
          <w:color w:val="1F2A36"/>
          <w:sz w:val="26"/>
          <w:szCs w:val="26"/>
        </w:rPr>
        <w:t xml:space="preserve">Article 6. United States Withdrawal of the August Duties</w:t>
      </w:r>
    </w:p>
    <w:p>
      <w:pPr>
        <w:spacing w:after="160" w:line="300"/>
        <w:ind w:firstLine="431"/>
        <w:jc w:val="both"/>
      </w:pPr>
      <w:r>
        <w:rPr>
          <w:rFonts w:ascii="Georgia" w:cs="Georgia" w:eastAsia="SimSun" w:hAnsi="Georgia"/>
          <w:color w:val="1F2A36"/>
          <w:sz w:val="22"/>
          <w:szCs w:val="22"/>
        </w:rPr>
        <w:t xml:space="preserve">6.1. Trigger and timeline. At entry into force, the President of the United States shall issue a superseding proclamation withdrawing the duties that took effect on August 22, 2026, on the Canadian products identified in the Proclamation of July 20, 2026. Within 24 hours of signature, USTR shall publish the corresponding Federal Register notice terminating the tariff action. Within 72 hours of signature, CBP shall implement the withdrawal in ACE, publish a Cargo Systems Messaging Service (CSMS) instruction identifying the affected HTSUS subheadings and the end of the additional duty reporting requirements, and post the implementation record to the Registry.</w:t>
      </w:r>
    </w:p>
    <w:p>
      <w:pPr>
        <w:spacing w:after="160" w:line="300"/>
        <w:ind w:firstLine="431"/>
        <w:jc w:val="both"/>
      </w:pPr>
      <w:r>
        <w:rPr>
          <w:rFonts w:ascii="Georgia" w:cs="Georgia" w:eastAsia="SimSun" w:hAnsi="Georgia"/>
          <w:color w:val="1F2A36"/>
          <w:sz w:val="22"/>
          <w:szCs w:val="22"/>
        </w:rPr>
        <w:t xml:space="preserve">6.2. The withdrawal is permanent in character, not a pause: the executing instrument terminates the tariff action rather than deferring it. Reimposition is available only through the escalation pathway of Article 37 following a Verified Breach constituting a Tier 3 Event in a related Module, and only in proportion to that event.</w:t>
      </w:r>
    </w:p>
    <w:p>
      <w:pPr>
        <w:spacing w:after="160" w:line="300"/>
        <w:ind w:firstLine="431"/>
        <w:jc w:val="both"/>
      </w:pPr>
      <w:r>
        <w:rPr>
          <w:rFonts w:ascii="Georgia" w:cs="Georgia" w:eastAsia="SimSun" w:hAnsi="Georgia"/>
          <w:color w:val="1F2A36"/>
          <w:sz w:val="22"/>
          <w:szCs w:val="22"/>
        </w:rPr>
        <w:t xml:space="preserve">6.3. Refund Mechanism. Where an importer of record deposits additional duties described in paragraph 6.1 on an entry occurring after the effective hour recorded in the Registry and before ACE reflects the withdrawal, CBP shall treat the deposit as erroneously collected and shall: (a) liquidate or reliquidate the entry without the additional duties within 20 Business Days of the importer's post-summary correction or protest; (b) pay refunds with interest under 19 U.S.C. 1505(c); and (c) publish a standing CSMS refund instruction within 5 Business Days of the Federal Register notice. CBP shall report refund volumes monthly to the Registry until the refund population reaches zero.</w:t>
      </w:r>
    </w:p>
    <w:p>
      <w:pPr>
        <w:spacing w:after="160" w:line="300"/>
        <w:ind w:firstLine="431"/>
        <w:jc w:val="both"/>
      </w:pPr>
      <w:r>
        <w:rPr>
          <w:rFonts w:ascii="Georgia" w:cs="Georgia" w:eastAsia="SimSun" w:hAnsi="Georgia"/>
          <w:color w:val="1F2A36"/>
          <w:sz w:val="22"/>
          <w:szCs w:val="22"/>
        </w:rPr>
        <w:t xml:space="preserve">6.4. Public notices shall separate the withdrawal from any admission regarding the legality of the original action.</w:t>
      </w:r>
    </w:p>
    <w:p>
      <w:pPr>
        <w:pStyle w:val="Heading2"/>
        <w:spacing w:after="140" w:before="300"/>
      </w:pPr>
      <w:r>
        <w:rPr>
          <w:rFonts w:ascii="Georgia" w:cs="Georgia" w:eastAsia="SimSun" w:hAnsi="Georgia"/>
          <w:b/>
          <w:bCs/>
          <w:color w:val="1F2A36"/>
          <w:sz w:val="26"/>
          <w:szCs w:val="26"/>
        </w:rPr>
        <w:t xml:space="preserve">Article 7. Canadian Countermeasure Standstill</w:t>
      </w:r>
    </w:p>
    <w:p>
      <w:pPr>
        <w:spacing w:after="160" w:line="300"/>
        <w:ind w:firstLine="431"/>
        <w:jc w:val="both"/>
      </w:pPr>
      <w:r>
        <w:rPr>
          <w:rFonts w:ascii="Georgia" w:cs="Georgia" w:eastAsia="SimSun" w:hAnsi="Georgia"/>
          <w:color w:val="1F2A36"/>
          <w:sz w:val="22"/>
          <w:szCs w:val="22"/>
        </w:rPr>
        <w:t xml:space="preserve">7.1. Trigger and timeline. Simultaneously with Article 6, the Governor in Council shall issue an order under section 53 of the Customs Tariff placing into abeyance the United States Surtax Order (September 2026), covering approximately 629 tariff lines and approximately C$27.6 billion of United States imports. Within 72 hours of signature, CBSA shall implement the abeyance in CARM, publish a Customs Notice identifying the affected tariff items, and post the implementation record to the Registry.</w:t>
      </w:r>
    </w:p>
    <w:p>
      <w:pPr>
        <w:spacing w:after="160" w:line="300"/>
        <w:ind w:firstLine="431"/>
        <w:jc w:val="both"/>
      </w:pPr>
      <w:r>
        <w:rPr>
          <w:rFonts w:ascii="Georgia" w:cs="Georgia" w:eastAsia="SimSun" w:hAnsi="Georgia"/>
          <w:color w:val="1F2A36"/>
          <w:sz w:val="22"/>
          <w:szCs w:val="22"/>
        </w:rPr>
        <w:t xml:space="preserve">7.2. The standstill preserves Canada's legal position and the underlying authority of the executing instruments. The framework architecture treats the abeyance as reciprocal value exchanged for the Article 6 withdrawal, and the two actions shall enter the Shared Trade Registry with the same effective hour as a single Paired Action. If either side of the Paired Action fails to execute within 72 hours, the executing Party may suspend its own performance, pro rata and without penalty, until the counterpart executes.</w:t>
      </w:r>
    </w:p>
    <w:p>
      <w:pPr>
        <w:spacing w:after="160" w:line="300"/>
        <w:ind w:firstLine="431"/>
        <w:jc w:val="both"/>
      </w:pPr>
      <w:r>
        <w:rPr>
          <w:rFonts w:ascii="Georgia" w:cs="Georgia" w:eastAsia="SimSun" w:hAnsi="Georgia"/>
          <w:color w:val="1F2A36"/>
          <w:sz w:val="22"/>
          <w:szCs w:val="22"/>
        </w:rPr>
        <w:t xml:space="preserve">7.3. Refund Mechanism. Where a Canadian importer remits a surtax described in paragraph 7.1 on goods accounted for after the effective hour and before CARM reflects the abeyance, CBSA shall process a correction or refund claim under the Customs Act, issue the refund within 20 Business Days of a complete claim, and publish a standing refund instruction in a Customs Notice within 5 Business Days of the Order in Council.</w:t>
      </w:r>
    </w:p>
    <w:p>
      <w:pPr>
        <w:spacing w:after="160" w:line="300"/>
        <w:ind w:firstLine="431"/>
        <w:jc w:val="both"/>
      </w:pPr>
      <w:r>
        <w:rPr>
          <w:rFonts w:ascii="Georgia" w:cs="Georgia" w:eastAsia="SimSun" w:hAnsi="Georgia"/>
          <w:color w:val="1F2A36"/>
          <w:sz w:val="22"/>
          <w:szCs w:val="22"/>
        </w:rPr>
        <w:t xml:space="preserve">7.4. Standstill discipline. Where the United States completes Article 6 and Canada completes Article 7.1, each Party shall maintain a standstill on new bilateral tariff escalation for the sectors covered by this Accord, except for measures arising from ordinary trade-remedy investigations conducted in good faith under domestic law, which follow the disciplines of Article 24.2.</w:t>
      </w:r>
    </w:p>
    <w:p>
      <w:pPr>
        <w:pStyle w:val="Heading2"/>
        <w:spacing w:after="140" w:before="300"/>
      </w:pPr>
      <w:r>
        <w:rPr>
          <w:rFonts w:ascii="Georgia" w:cs="Georgia" w:eastAsia="SimSun" w:hAnsi="Georgia"/>
          <w:b/>
          <w:bCs/>
          <w:color w:val="1F2A36"/>
          <w:sz w:val="26"/>
          <w:szCs w:val="26"/>
        </w:rPr>
        <w:t xml:space="preserve">Article 8. Steel and Aluminum De-escalation</w:t>
      </w:r>
    </w:p>
    <w:p>
      <w:pPr>
        <w:spacing w:after="160" w:line="300"/>
        <w:ind w:firstLine="431"/>
        <w:jc w:val="both"/>
      </w:pPr>
      <w:r>
        <w:rPr>
          <w:rFonts w:ascii="Georgia" w:cs="Georgia" w:eastAsia="SimSun" w:hAnsi="Georgia"/>
          <w:color w:val="1F2A36"/>
          <w:sz w:val="22"/>
          <w:szCs w:val="22"/>
        </w:rPr>
        <w:t xml:space="preserve">8.1. Rate schedule. The Competent Authorities shall reduce the Section 232 burden on qualifying Canadian steel and aluminum from 50 percent to an interim band in two Verified stages. Stage One, effective at Layer One: 25 percent ad valorem. Stage Two, effective upon Verification at the Day 30 review of the origin-integrity package in Annex K: 10 percent ad valorem. Stage Three, at the first Consolidation Review upon sustained Green status: a target of zero to 5 percent for Corridor-Registered Shipments, set by joint written confirmation. Covered goods include the steel products of HTSUS headings 7208 through 7229 and 7301 through 7311, the aluminum products of headings 7601 and 7604 through 7616, the copper products of headings 7403 and 7407 through 7413, and derivative articles listed in the proclamations referenced in Article 1.4(b).</w:t>
      </w:r>
    </w:p>
    <w:p>
      <w:pPr>
        <w:spacing w:after="160" w:line="300"/>
        <w:ind w:firstLine="431"/>
        <w:jc w:val="both"/>
      </w:pPr>
      <w:r>
        <w:rPr>
          <w:rFonts w:ascii="Georgia" w:cs="Georgia" w:eastAsia="SimSun" w:hAnsi="Georgia"/>
          <w:color w:val="1F2A36"/>
          <w:sz w:val="22"/>
          <w:szCs w:val="22"/>
        </w:rPr>
        <w:t xml:space="preserve">8.2. Tariff-rate quota alternative. Where the United States elects volume-based administration under Annex B.3, the In-Quota Volume for calendar year Y equals V(Y) = V(0) x (1.025)^Y', where V(0) equals 100 percent of the annual average quantity of Canadian imports of the covered product group for 2022-2024 as recorded in official import statistics, and Y' equals the number of complete calendar years elapsed since 2026. The in-quota rate shall not exceed 2 percent ad valorem; the band rate for volumes between 100 and 115 percent of V(Y) equals the prevailing Stage rate; volumes above 115 percent of V(Y) bear the residual rate specified in Annex B. Quota volumes shall not be reduced while the Module holds Green or Amber status.</w:t>
      </w:r>
    </w:p>
    <w:p>
      <w:pPr>
        <w:spacing w:after="160" w:line="300"/>
        <w:ind w:firstLine="431"/>
        <w:jc w:val="both"/>
      </w:pPr>
      <w:r>
        <w:rPr>
          <w:rFonts w:ascii="Georgia" w:cs="Georgia" w:eastAsia="SimSun" w:hAnsi="Georgia"/>
          <w:color w:val="1F2A36"/>
          <w:sz w:val="22"/>
          <w:szCs w:val="22"/>
        </w:rPr>
        <w:t xml:space="preserve">8.3. Canadian pairing. Canada shall reduce its retaliatory surtaxes on United States steel and aluminum products by the same percentages on the same effective dates, entering the Registry as the paired half of the metals Module. The Minister of Finance shall execute the reductions by order under section 53 of the Customs Tariff, and CBSA shall implement each reduction in CARM within 5 Business Days of the corresponding United States action taking effect in ACE.</w:t>
      </w:r>
    </w:p>
    <w:p>
      <w:pPr>
        <w:spacing w:after="160" w:line="300"/>
        <w:ind w:firstLine="431"/>
        <w:jc w:val="both"/>
      </w:pPr>
      <w:r>
        <w:rPr>
          <w:rFonts w:ascii="Georgia" w:cs="Georgia" w:eastAsia="SimSun" w:hAnsi="Georgia"/>
          <w:color w:val="1F2A36"/>
          <w:sz w:val="22"/>
          <w:szCs w:val="22"/>
        </w:rPr>
        <w:t xml:space="preserve">8.4. Copper and steel-derivative products follow the same schedule and the same pairing rule. Canada's December 2025 measures on steel-derivative products and its tariff-rate quota adjustments shall unwind in step with the United States Stage Two reduction, Verified through the same Module.</w:t>
      </w:r>
    </w:p>
    <w:p>
      <w:pPr>
        <w:spacing w:after="160" w:line="300"/>
        <w:ind w:firstLine="431"/>
        <w:jc w:val="both"/>
      </w:pPr>
      <w:r>
        <w:rPr>
          <w:rFonts w:ascii="Georgia" w:cs="Georgia" w:eastAsia="SimSun" w:hAnsi="Georgia"/>
          <w:color w:val="1F2A36"/>
          <w:sz w:val="22"/>
          <w:szCs w:val="22"/>
        </w:rPr>
        <w:t xml:space="preserve">8.5. Consequence for failure. A failure to implement a scheduled rate in ACE or CARM that persists beyond 5 Business Days after written notice through the Registry constitutes a Tier 2 Event; erroneous collections in the interim are refunded under Article 6.3 or 7.3, as applicable.</w:t>
      </w:r>
    </w:p>
    <w:p>
      <w:pPr>
        <w:pStyle w:val="Heading2"/>
        <w:spacing w:after="140" w:before="300"/>
      </w:pPr>
      <w:r>
        <w:rPr>
          <w:rFonts w:ascii="Georgia" w:cs="Georgia" w:eastAsia="SimSun" w:hAnsi="Georgia"/>
          <w:b/>
          <w:bCs/>
          <w:color w:val="1F2A36"/>
          <w:sz w:val="26"/>
          <w:szCs w:val="26"/>
        </w:rPr>
        <w:t xml:space="preserve">Article 9. Automotive De-escalation Across All Vehicle Classes</w:t>
      </w:r>
    </w:p>
    <w:p>
      <w:pPr>
        <w:spacing w:after="160" w:line="300"/>
        <w:ind w:firstLine="431"/>
        <w:jc w:val="both"/>
      </w:pPr>
      <w:r>
        <w:rPr>
          <w:rFonts w:ascii="Georgia" w:cs="Georgia" w:eastAsia="SimSun" w:hAnsi="Georgia"/>
          <w:color w:val="1F2A36"/>
          <w:sz w:val="22"/>
          <w:szCs w:val="22"/>
        </w:rPr>
        <w:t xml:space="preserve">9.1. Rate schedule and coverage. The United States, through CBP, shall reduce the Section 232 headline tariff on qualifying Canadian-produced motor vehicles from 25 percent to 15 percent at Layer One, and to 10 percent at Layer Three upon Verification of the paired Canadian measures in Article 9.4 and the origin-data sharing schedule in Annex K. Coverage includes every vehicle class of HTSUS headings 8701 through 8705, defined by Gross Vehicle Weight Rating (GVWR): light-duty, meaning vehicles with GVWR of 14,000 pounds (6,350 kilograms) or less, including passenger vehicles of heading 8703 and light trucks of subheading 8704.21 and 8704.31; medium-duty, meaning vehicles with GVWR exceeding 14,000 pounds but not exceeding 26,000 pounds (11,793 kilograms), corresponding to United States Classes 4 through 6 and including trucks of subheadings 8704.22 and 8704.32 within that weight band; and heavy-duty, meaning vehicles with GVWR exceeding 26,000 pounds, corresponding to Classes 7 and 8 and including trucks of subheadings 8704.23 and 8704.33 and road tractors of heading 8701. Buses of heading 8702 are covered at the same rates. The framework architecture excludes any carve-out by vehicle weight class.</w:t>
      </w:r>
    </w:p>
    <w:p>
      <w:pPr>
        <w:spacing w:after="160" w:line="300"/>
        <w:ind w:firstLine="431"/>
        <w:jc w:val="both"/>
      </w:pPr>
      <w:r>
        <w:rPr>
          <w:rFonts w:ascii="Georgia" w:cs="Georgia" w:eastAsia="SimSun" w:hAnsi="Georgia"/>
          <w:color w:val="1F2A36"/>
          <w:sz w:val="22"/>
          <w:szCs w:val="22"/>
        </w:rPr>
        <w:t xml:space="preserve">9.2. Content treatment. The United States maintains its domestic exemption for United States content in accordance with its own law. Canada accepts this as a United States domestic policy choice. During the bridge, other CUSMA-origin content receives a 75 percent deduction credit against the tariff base, and non-originating content receives no deduction credit, through the Transitional Content Credit of Annex C. This formula bridges the dispute without deciding the final CUSMA rule and without prejudice to the outstanding Chapter 31 panel ruling on core-parts roll-up under the Appendix to Annex 4-B, which the Parties address through the technical lane in Article 9.5 rather than through reopening.</w:t>
      </w:r>
    </w:p>
    <w:p>
      <w:pPr>
        <w:spacing w:after="160" w:line="300"/>
        <w:ind w:firstLine="431"/>
        <w:jc w:val="both"/>
      </w:pPr>
      <w:r>
        <w:rPr>
          <w:rFonts w:ascii="Georgia" w:cs="Georgia" w:eastAsia="SimSun" w:hAnsi="Georgia"/>
          <w:color w:val="1F2A36"/>
          <w:sz w:val="22"/>
          <w:szCs w:val="22"/>
        </w:rPr>
        <w:t xml:space="preserve">9.3. Parts. Auto parts that qualify as Originating Goods under CUSMA Article 4.2 and the Appendix to Annex 4-B shall continue to enter the United States free of the Section 232 parts tariff, and the Parties shall extend equivalent interim treatment to medium- and heavy-duty truck parts on the same schedule.</w:t>
      </w:r>
    </w:p>
    <w:p>
      <w:pPr>
        <w:spacing w:after="160" w:line="300"/>
        <w:ind w:firstLine="431"/>
        <w:jc w:val="both"/>
      </w:pPr>
      <w:r>
        <w:rPr>
          <w:rFonts w:ascii="Georgia" w:cs="Georgia" w:eastAsia="SimSun" w:hAnsi="Georgia"/>
          <w:color w:val="1F2A36"/>
          <w:sz w:val="22"/>
          <w:szCs w:val="22"/>
        </w:rPr>
        <w:t xml:space="preserve">9.4. Canadian pairing. Canada shall suspend its retaliatory auto surtax schedule simultaneously with the Layer One rate reduction, and shall terminate it upon the Layer Three reduction, each action entering the Registry as the paired half of the auto Module at the same effective hour as the corresponding United States action. CBSA implements; Global Affairs Canada certifies completion to the Registry within 2 Business Days of each stage.</w:t>
      </w:r>
    </w:p>
    <w:p>
      <w:pPr>
        <w:spacing w:after="160" w:line="300"/>
        <w:ind w:firstLine="431"/>
        <w:jc w:val="both"/>
      </w:pPr>
      <w:r>
        <w:rPr>
          <w:rFonts w:ascii="Georgia" w:cs="Georgia" w:eastAsia="SimSun" w:hAnsi="Georgia"/>
          <w:color w:val="1F2A36"/>
          <w:sz w:val="22"/>
          <w:szCs w:val="22"/>
        </w:rPr>
        <w:t xml:space="preserve">9.5. Auto Origin Technical Lane. The Parties establish an Auto Origin Technical Lane, co-chaired by USTR and Global Affairs Canada, meeting every 14 Calendar Days, to address documentation, audit standards, and the roll-up methodology, respecting the panel ruling as settled law between the Parties. The lane shall deliver a consolidated technical report at each Consolidation Review.</w:t>
      </w:r>
    </w:p>
    <w:p>
      <w:pPr>
        <w:pStyle w:val="Heading2"/>
        <w:spacing w:after="140" w:before="300"/>
      </w:pPr>
      <w:r>
        <w:rPr>
          <w:rFonts w:ascii="Georgia" w:cs="Georgia" w:eastAsia="SimSun" w:hAnsi="Georgia"/>
          <w:b/>
          <w:bCs/>
          <w:color w:val="1F2A36"/>
          <w:sz w:val="26"/>
          <w:szCs w:val="26"/>
        </w:rPr>
        <w:t xml:space="preserve">Article 10. Softwood Lumber De-escalation</w:t>
      </w:r>
    </w:p>
    <w:p>
      <w:pPr>
        <w:spacing w:after="160" w:line="300"/>
        <w:ind w:firstLine="431"/>
        <w:jc w:val="both"/>
      </w:pPr>
      <w:r>
        <w:rPr>
          <w:rFonts w:ascii="Georgia" w:cs="Georgia" w:eastAsia="SimSun" w:hAnsi="Georgia"/>
          <w:color w:val="1F2A36"/>
          <w:sz w:val="22"/>
          <w:szCs w:val="22"/>
        </w:rPr>
        <w:t xml:space="preserve">10.1. The Parties recognize softwood lumber of HTSUS heading 4407 (coniferous sawn wood) as the longest-running bilateral trade dispute and resolve it within this Accord on symmetric terms, without prejudice to either Party's legal position in pending administrative reviews or CUSMA Chapter 10 proceedings.</w:t>
      </w:r>
    </w:p>
    <w:p>
      <w:pPr>
        <w:spacing w:after="160" w:line="300"/>
        <w:ind w:firstLine="431"/>
        <w:jc w:val="both"/>
      </w:pPr>
      <w:r>
        <w:rPr>
          <w:rFonts w:ascii="Georgia" w:cs="Georgia" w:eastAsia="SimSun" w:hAnsi="Georgia"/>
          <w:color w:val="1F2A36"/>
          <w:sz w:val="22"/>
          <w:szCs w:val="22"/>
        </w:rPr>
        <w:t xml:space="preserve">10.2. The United States, through CBP, shall suspend collection of the 10 percent Section 232 timber duty on Canadian softwood lumber at Layer One. At Layer Three, upon Verification of the provincial stumpage transparency schedule in Annex D, the United States, through the Department of Commerce and CBP, shall convert the existing anti-dumping and countervailing duty orders (A-122-857 and C-122-858) into a managed-trade band under Annex D.2: a zero-deposit quota tier calibrated to historical shipment volumes, a moderate deposit tier within a defined band above that volume, and the existing order rates reserved for volumes above the band.</w:t>
      </w:r>
    </w:p>
    <w:p>
      <w:pPr>
        <w:spacing w:after="160" w:line="300"/>
        <w:ind w:firstLine="431"/>
        <w:jc w:val="both"/>
      </w:pPr>
      <w:r>
        <w:rPr>
          <w:rFonts w:ascii="Georgia" w:cs="Georgia" w:eastAsia="SimSun" w:hAnsi="Georgia"/>
          <w:color w:val="1F2A36"/>
          <w:sz w:val="22"/>
          <w:szCs w:val="22"/>
        </w:rPr>
        <w:t xml:space="preserve">10.3. Canada shall provide the paired measures: provinces shall publish stumpage pricing and auction data through the common transparency template of Annex D.3 within 90 Calendar Days; Canada shall maintain the 2026 export charge and quota architecture at existing levels during the bridge; and both Parties shall staff the joint lumber technical cell described in Annex D.</w:t>
      </w:r>
    </w:p>
    <w:p>
      <w:pPr>
        <w:spacing w:after="160" w:line="300"/>
        <w:ind w:firstLine="431"/>
        <w:jc w:val="both"/>
      </w:pPr>
      <w:r>
        <w:rPr>
          <w:rFonts w:ascii="Georgia" w:cs="Georgia" w:eastAsia="SimSun" w:hAnsi="Georgia"/>
          <w:color w:val="1F2A36"/>
          <w:sz w:val="22"/>
          <w:szCs w:val="22"/>
        </w:rPr>
        <w:t xml:space="preserve">10.4. Pending and future administrative reviews proceed under domestic law, but deposit rates set under the band prevail for covered shipments during the Accord Term. Cash deposits collected above the band rate during the bridge shall receive refund treatment at the next completed administrative review, with interest as provided by domestic law.</w:t>
      </w:r>
    </w:p>
    <w:p>
      <w:pPr>
        <w:pStyle w:val="Heading2"/>
        <w:spacing w:after="140" w:before="300"/>
      </w:pPr>
      <w:r>
        <w:rPr>
          <w:rFonts w:ascii="Georgia" w:cs="Georgia" w:eastAsia="SimSun" w:hAnsi="Georgia"/>
          <w:b/>
          <w:bCs/>
          <w:color w:val="1F2A36"/>
          <w:sz w:val="26"/>
          <w:szCs w:val="26"/>
        </w:rPr>
        <w:t xml:space="preserve">Article 11. Remaining Countermeasures and Consumer Goods</w:t>
      </w:r>
    </w:p>
    <w:p>
      <w:pPr>
        <w:spacing w:after="160" w:line="300"/>
        <w:ind w:firstLine="431"/>
        <w:jc w:val="both"/>
      </w:pPr>
      <w:r>
        <w:rPr>
          <w:rFonts w:ascii="Georgia" w:cs="Georgia" w:eastAsia="SimSun" w:hAnsi="Georgia"/>
          <w:color w:val="1F2A36"/>
          <w:sz w:val="22"/>
          <w:szCs w:val="22"/>
        </w:rPr>
        <w:t xml:space="preserve">11.1. Canadian retaliatory tariffs remaining in place on United States steel, aluminum, and autos after September 2025 shall unwind on the paired schedules of Articles 8 and 9. The counter-tariffs of September 8, 2026, enter abeyance under Article 7 and shall terminate upon completion of the Stage Two metals reduction and the Layer Three auto reduction.</w:t>
      </w:r>
    </w:p>
    <w:p>
      <w:pPr>
        <w:spacing w:after="160" w:line="300"/>
        <w:ind w:firstLine="431"/>
        <w:jc w:val="both"/>
      </w:pPr>
      <w:r>
        <w:rPr>
          <w:rFonts w:ascii="Georgia" w:cs="Georgia" w:eastAsia="SimSun" w:hAnsi="Georgia"/>
          <w:color w:val="1F2A36"/>
          <w:sz w:val="22"/>
          <w:szCs w:val="22"/>
        </w:rPr>
        <w:t xml:space="preserve">11.2. The temporary remission orders Canada maintains for goods used in manufacturing, food and beverage packaging, public health, and national security shall convert into standing exemptions for the Accord Term, removing the recurring expiry cycle that has forced repeated extensions since April 2025. Under the No-Fade Principle, these exemptions continue while their Module remains in Green or Amber status.</w:t>
      </w:r>
    </w:p>
    <w:p>
      <w:pPr>
        <w:spacing w:after="160" w:line="300"/>
        <w:ind w:firstLine="431"/>
        <w:jc w:val="both"/>
      </w:pPr>
      <w:r>
        <w:rPr>
          <w:rFonts w:ascii="Georgia" w:cs="Georgia" w:eastAsia="SimSun" w:hAnsi="Georgia"/>
          <w:color w:val="1F2A36"/>
          <w:sz w:val="22"/>
          <w:szCs w:val="22"/>
        </w:rPr>
        <w:t xml:space="preserve">11.3. Neither Party shall introduce new consumer-goods tariffs against the other during the bridge. The standstill covers the sectors listed in the Reciprocal Action Matrix and any successor schedule adopted through a Consolidation Review.</w:t>
      </w:r>
    </w:p>
    <w:p>
      <w:pPr>
        <w:pStyle w:val="Heading2"/>
        <w:spacing w:after="140" w:before="300"/>
      </w:pPr>
      <w:r>
        <w:rPr>
          <w:rFonts w:ascii="Georgia" w:cs="Georgia" w:eastAsia="SimSun" w:hAnsi="Georgia"/>
          <w:b/>
          <w:bCs/>
          <w:color w:val="1F2A36"/>
          <w:sz w:val="26"/>
          <w:szCs w:val="26"/>
        </w:rPr>
        <w:t xml:space="preserve">Article 12. Predictability Disciplines</w:t>
      </w:r>
    </w:p>
    <w:p>
      <w:pPr>
        <w:spacing w:after="160" w:line="300"/>
        <w:ind w:firstLine="431"/>
        <w:jc w:val="both"/>
      </w:pPr>
      <w:r>
        <w:rPr>
          <w:rFonts w:ascii="Georgia" w:cs="Georgia" w:eastAsia="SimSun" w:hAnsi="Georgia"/>
          <w:color w:val="1F2A36"/>
          <w:sz w:val="22"/>
          <w:szCs w:val="22"/>
        </w:rPr>
        <w:t xml:space="preserve">12.1. Each Party shall provide a minimum of twelve months' written notice through the Registry before any change in tariff treatment affecting the other Party's goods in covered sectors, except a genuine national security emergency measure, which follows Article 35.1 and receives expedited Panel review within 30 Calendar Days of imposition.</w:t>
      </w:r>
    </w:p>
    <w:p>
      <w:pPr>
        <w:spacing w:after="160" w:line="300"/>
        <w:ind w:firstLine="431"/>
        <w:jc w:val="both"/>
      </w:pPr>
      <w:r>
        <w:rPr>
          <w:rFonts w:ascii="Georgia" w:cs="Georgia" w:eastAsia="SimSun" w:hAnsi="Georgia"/>
          <w:color w:val="1F2A36"/>
          <w:sz w:val="22"/>
          <w:szCs w:val="22"/>
        </w:rPr>
        <w:t xml:space="preserve">12.2. Automatic review triggers protect the exchange: if either Party imposes a new tariff outside this framework, the other Party may reinstate proportionate reciprocal measures without penalty, and the event enters Cothrom review in the affected Module rather than collapsing the Accord.</w:t>
      </w:r>
    </w:p>
    <w:p>
      <w:pPr>
        <w:spacing w:after="160" w:line="300"/>
        <w:ind w:firstLine="431"/>
        <w:jc w:val="both"/>
      </w:pPr>
      <w:r>
        <w:rPr>
          <w:rFonts w:ascii="Georgia" w:cs="Georgia" w:eastAsia="SimSun" w:hAnsi="Georgia"/>
          <w:color w:val="1F2A36"/>
          <w:sz w:val="22"/>
          <w:szCs w:val="22"/>
        </w:rPr>
        <w:t xml:space="preserve">12.3. The Section 122 temporary import surcharge, and any successor global measure, shall continue to exclude CUSMA-compliant goods of the other Party. The Parties record this exclusion as a standing Registry entry and shall extend equivalent treatment to any replacement instrument.</w:t>
      </w:r>
    </w:p>
    <w:p>
      <w:pPr>
        <w:pStyle w:val="Heading1"/>
        <w:pageBreakBefore/>
        <w:spacing w:after="200" w:before="360"/>
      </w:pPr>
      <w:r>
        <w:rPr>
          <w:rFonts w:ascii="Georgia" w:cs="Georgia" w:eastAsia="SimSun" w:hAnsi="Georgia"/>
          <w:b/>
          <w:bCs/>
          <w:color w:val="35586B"/>
          <w:sz w:val="32"/>
          <w:szCs w:val="32"/>
        </w:rPr>
        <w:t xml:space="preserve">Part III. Sectoral Settlements</w:t>
      </w:r>
    </w:p>
    <w:p>
      <w:pPr>
        <w:spacing w:after="200" w:line="300"/>
      </w:pPr>
      <w:r>
        <w:rPr>
          <w:rFonts w:ascii="Georgia" w:cs="Georgia" w:eastAsia="SimSun" w:hAnsi="Georgia"/>
          <w:i/>
          <w:iCs/>
          <w:color w:val="35586B"/>
          <w:sz w:val="22"/>
          <w:szCs w:val="22"/>
        </w:rPr>
        <w:t xml:space="preserve">Part III settles, sector by sector, every active bilateral dispute identified in the negotiation record. Each settlement is symmetric: each Party's concession pairs with a concession of comparable strategic weight, and each sector carries its own module, its own verification record, and its own firewall.</w:t>
      </w:r>
    </w:p>
    <w:p>
      <w:pPr>
        <w:pStyle w:val="Heading2"/>
        <w:spacing w:after="140" w:before="300"/>
      </w:pPr>
      <w:r>
        <w:rPr>
          <w:rFonts w:ascii="Georgia" w:cs="Georgia" w:eastAsia="SimSun" w:hAnsi="Georgia"/>
          <w:b/>
          <w:bCs/>
          <w:color w:val="1F2A36"/>
          <w:sz w:val="26"/>
          <w:szCs w:val="26"/>
        </w:rPr>
        <w:t xml:space="preserve">Article 13. Dairy and Supply Management</w:t>
      </w:r>
    </w:p>
    <w:p>
      <w:pPr>
        <w:spacing w:after="160" w:line="300"/>
        <w:ind w:firstLine="431"/>
        <w:jc w:val="both"/>
      </w:pPr>
      <w:r>
        <w:rPr>
          <w:rFonts w:ascii="Georgia" w:cs="Georgia" w:eastAsia="SimSun" w:hAnsi="Georgia"/>
          <w:color w:val="1F2A36"/>
          <w:sz w:val="22"/>
          <w:szCs w:val="22"/>
        </w:rPr>
        <w:t xml:space="preserve">13.1. Canada preserves its supply-management system in full. The framework architecture excludes any structural overhaul of supply management, any over-quota tariff reduction, and any expansion of dairy, poultry, or egg access beyond current CUSMA levels during the bridge. This is a red line recorded in Annex S.</w:t>
      </w:r>
    </w:p>
    <w:p>
      <w:pPr>
        <w:spacing w:after="160" w:line="300"/>
        <w:ind w:firstLine="431"/>
        <w:jc w:val="both"/>
      </w:pPr>
      <w:r>
        <w:rPr>
          <w:rFonts w:ascii="Georgia" w:cs="Georgia" w:eastAsia="SimSun" w:hAnsi="Georgia"/>
          <w:color w:val="1F2A36"/>
          <w:sz w:val="22"/>
          <w:szCs w:val="22"/>
        </w:rPr>
        <w:t xml:space="preserve">13.2. Canada activates the Dairy TRQ Transparency and Utilization Protocol in Annex E. The protocol publishes monthly utilization data for every CUSMA dairy tariff-rate quota, establishes an automatic reallocation pool for unused entitlement, and opens retailer, distributor, and food-service eligibility within the existing allocation process. An allocation holder that uses less than 70 percent of a scheduled entitlement by the midpoint of a quota year loses the unused portion for the remainder of that year, and the reallocation pool opens to qualified importers.</w:t>
      </w:r>
    </w:p>
    <w:p>
      <w:pPr>
        <w:spacing w:after="160" w:line="300"/>
        <w:ind w:firstLine="431"/>
        <w:jc w:val="both"/>
      </w:pPr>
      <w:r>
        <w:rPr>
          <w:rFonts w:ascii="Georgia" w:cs="Georgia" w:eastAsia="SimSun" w:hAnsi="Georgia"/>
          <w:color w:val="1F2A36"/>
          <w:sz w:val="22"/>
          <w:szCs w:val="22"/>
        </w:rPr>
        <w:t xml:space="preserve">13.3. Canada closes the protein-ingredient channel that allows dairy protein concentrates to circumvent tariff-rate quota limits, through the customs classification and compositional standards set out in Annex E. This is a technical fix, not a structural change.</w:t>
      </w:r>
    </w:p>
    <w:p>
      <w:pPr>
        <w:spacing w:after="160" w:line="300"/>
        <w:ind w:firstLine="431"/>
        <w:jc w:val="both"/>
      </w:pPr>
      <w:r>
        <w:rPr>
          <w:rFonts w:ascii="Georgia" w:cs="Georgia" w:eastAsia="SimSun" w:hAnsi="Georgia"/>
          <w:color w:val="1F2A36"/>
          <w:sz w:val="22"/>
          <w:szCs w:val="22"/>
        </w:rPr>
        <w:t xml:space="preserve">13.4. Canada commissions a joint study of quota allocation design, including direct eligibility for grocery retailers, with findings reported at the second Consolidation Review. The study creates no binding commitment to change; its purpose is evidence for the CUSMA review.</w:t>
      </w:r>
    </w:p>
    <w:p>
      <w:pPr>
        <w:spacing w:after="160" w:line="300"/>
        <w:ind w:firstLine="431"/>
        <w:jc w:val="both"/>
      </w:pPr>
      <w:r>
        <w:rPr>
          <w:rFonts w:ascii="Georgia" w:cs="Georgia" w:eastAsia="SimSun" w:hAnsi="Georgia"/>
          <w:color w:val="1F2A36"/>
          <w:sz w:val="22"/>
          <w:szCs w:val="22"/>
        </w:rPr>
        <w:t xml:space="preserve">13.5. The United States pairs these measures with: (a) withdrawal of its objections to the administration of CUSMA dairy TRQs while the protocol operates in Green or Amber status; (b) withdrawal of demands that grocery retailers bypass domestic processors as a condition of any other module; and (c) reciprocal transparency on United States dairy export programs and surplus disposal affecting the Canadian market, reported through the same monthly schedule.</w:t>
      </w:r>
    </w:p>
    <w:p>
      <w:pPr>
        <w:spacing w:after="160" w:line="300"/>
        <w:ind w:firstLine="431"/>
        <w:jc w:val="both"/>
      </w:pPr>
      <w:r>
        <w:rPr>
          <w:rFonts w:ascii="Georgia" w:cs="Georgia" w:eastAsia="SimSun" w:hAnsi="Georgia"/>
          <w:color w:val="1F2A36"/>
          <w:sz w:val="22"/>
          <w:szCs w:val="22"/>
        </w:rPr>
        <w:t xml:space="preserve">13.6. Safeguards: a verified market-disruption finding slows the next reallocation tranche by up to 25 percent; a second verified finding within thirty days pauses new permits in the affected product line for seven days while the joint dairy technical cell recalibrates. The earn-back path of Article 34 restores the original tranche after seven clean days and a technical finding that market indicators return inside the agreed band.</w:t>
      </w:r>
    </w:p>
    <w:p>
      <w:pPr>
        <w:pStyle w:val="Heading2"/>
        <w:spacing w:after="140" w:before="300"/>
      </w:pPr>
      <w:r>
        <w:rPr>
          <w:rFonts w:ascii="Georgia" w:cs="Georgia" w:eastAsia="SimSun" w:hAnsi="Georgia"/>
          <w:b/>
          <w:bCs/>
          <w:color w:val="1F2A36"/>
          <w:sz w:val="26"/>
          <w:szCs w:val="26"/>
        </w:rPr>
        <w:t xml:space="preserve">Article 14. Agriculture, Seeds, and SPS Transparency</w:t>
      </w:r>
    </w:p>
    <w:p>
      <w:pPr>
        <w:spacing w:after="160" w:line="300"/>
        <w:ind w:firstLine="431"/>
        <w:jc w:val="both"/>
      </w:pPr>
      <w:r>
        <w:rPr>
          <w:rFonts w:ascii="Georgia" w:cs="Georgia" w:eastAsia="SimSun" w:hAnsi="Georgia"/>
          <w:color w:val="1F2A36"/>
          <w:sz w:val="22"/>
          <w:szCs w:val="22"/>
        </w:rPr>
        <w:t xml:space="preserve">14.1. Canada retains sovereign control over its seed-registration and variety systems and its sanitary and phytosanitary (SPS) regime. No provision of this Accord requires regulatory alignment that limits either Party's ability to set safety standards.</w:t>
      </w:r>
    </w:p>
    <w:p>
      <w:pPr>
        <w:spacing w:after="160" w:line="300"/>
        <w:ind w:firstLine="431"/>
        <w:jc w:val="both"/>
      </w:pPr>
      <w:r>
        <w:rPr>
          <w:rFonts w:ascii="Georgia" w:cs="Georgia" w:eastAsia="SimSun" w:hAnsi="Georgia"/>
          <w:color w:val="1F2A36"/>
          <w:sz w:val="22"/>
          <w:szCs w:val="22"/>
        </w:rPr>
        <w:t xml:space="preserve">14.2. Both Parties adopt the SPS transparency schedule in Annex F: published approval timelines, expedited review lanes for low-risk products, a joint technical consultation window of thirty days before any new SPS measure affecting the other Party's exports takes effect, and an annual equivalence review.</w:t>
      </w:r>
    </w:p>
    <w:p>
      <w:pPr>
        <w:spacing w:after="160" w:line="300"/>
        <w:ind w:firstLine="431"/>
        <w:jc w:val="both"/>
      </w:pPr>
      <w:r>
        <w:rPr>
          <w:rFonts w:ascii="Georgia" w:cs="Georgia" w:eastAsia="SimSun" w:hAnsi="Georgia"/>
          <w:color w:val="1F2A36"/>
          <w:sz w:val="22"/>
          <w:szCs w:val="22"/>
        </w:rPr>
        <w:t xml:space="preserve">14.3. The United States receives a defined service standard: seed and grain variety registration applications from United States applicants receive a preliminary completeness determination within sixty days and a target final decision within eighteen months, with queue positions published quarterly. Canada receives the identical service standard for Canadian applicants in United States systems.</w:t>
      </w:r>
    </w:p>
    <w:p>
      <w:pPr>
        <w:spacing w:after="160" w:line="300"/>
        <w:ind w:firstLine="431"/>
        <w:jc w:val="both"/>
      </w:pPr>
      <w:r>
        <w:rPr>
          <w:rFonts w:ascii="Georgia" w:cs="Georgia" w:eastAsia="SimSun" w:hAnsi="Georgia"/>
          <w:color w:val="1F2A36"/>
          <w:sz w:val="22"/>
          <w:szCs w:val="22"/>
        </w:rPr>
        <w:t xml:space="preserve">14.4. Trade in fresh fruits and vegetables follows the expedited pre-clearance lanes of Annex F, with risk-based inspection replacing blanket holds. Verified low-risk shipment histories reduce inspection frequency on a published schedule that applies identically in both directions.</w:t>
      </w:r>
    </w:p>
    <w:p>
      <w:pPr>
        <w:pStyle w:val="Heading2"/>
        <w:spacing w:after="140" w:before="300"/>
      </w:pPr>
      <w:r>
        <w:rPr>
          <w:rFonts w:ascii="Georgia" w:cs="Georgia" w:eastAsia="SimSun" w:hAnsi="Georgia"/>
          <w:b/>
          <w:bCs/>
          <w:color w:val="1F2A36"/>
          <w:sz w:val="26"/>
          <w:szCs w:val="26"/>
        </w:rPr>
        <w:t xml:space="preserve">Article 15. Digital Trade and Cultural Sovereignty</w:t>
      </w:r>
    </w:p>
    <w:p>
      <w:pPr>
        <w:spacing w:after="160" w:line="300"/>
        <w:ind w:firstLine="431"/>
        <w:jc w:val="both"/>
      </w:pPr>
      <w:r>
        <w:rPr>
          <w:rFonts w:ascii="Georgia" w:cs="Georgia" w:eastAsia="SimSun" w:hAnsi="Georgia"/>
          <w:color w:val="1F2A36"/>
          <w:sz w:val="22"/>
          <w:szCs w:val="22"/>
        </w:rPr>
        <w:t xml:space="preserve">15.1. Canada confirms that the Digital Services Tax remains rescinded and will not be reinstated during the bridge. The Parties record their shared preference for multilateral resolution of digital taxation through ongoing international processes.</w:t>
      </w:r>
    </w:p>
    <w:p>
      <w:pPr>
        <w:spacing w:after="160" w:line="300"/>
        <w:ind w:firstLine="431"/>
        <w:jc w:val="both"/>
      </w:pPr>
      <w:r>
        <w:rPr>
          <w:rFonts w:ascii="Georgia" w:cs="Georgia" w:eastAsia="SimSun" w:hAnsi="Georgia"/>
          <w:color w:val="1F2A36"/>
          <w:sz w:val="22"/>
          <w:szCs w:val="22"/>
        </w:rPr>
        <w:t xml:space="preserve">15.2. Canada retains, without condition, its rules ensuring the discoverability of French-language and Canadian content on streaming and digital platforms. The United States accepts these rules as an exercise of cultural sovereignty, not a trade barrier, and withdraws its objections to them as a trade matter. This withdrawal is permanent for the Accord term and survives under the No-Fade Principle.</w:t>
      </w:r>
    </w:p>
    <w:p>
      <w:pPr>
        <w:spacing w:after="160" w:line="300"/>
        <w:ind w:firstLine="431"/>
        <w:jc w:val="both"/>
      </w:pPr>
      <w:r>
        <w:rPr>
          <w:rFonts w:ascii="Georgia" w:cs="Georgia" w:eastAsia="SimSun" w:hAnsi="Georgia"/>
          <w:color w:val="1F2A36"/>
          <w:sz w:val="22"/>
          <w:szCs w:val="22"/>
        </w:rPr>
        <w:t xml:space="preserve">15.3. The Online Streaming Act and the Online News Act remain in force under Canadian administration. Canada continues structured consultation with the United States on implementation to avoid unintended trade impacts, through the digital dialogue of Annex H. Consultation is a process commitment; it carries no veto.</w:t>
      </w:r>
    </w:p>
    <w:p>
      <w:pPr>
        <w:spacing w:after="160" w:line="300"/>
        <w:ind w:firstLine="431"/>
        <w:jc w:val="both"/>
      </w:pPr>
      <w:r>
        <w:rPr>
          <w:rFonts w:ascii="Georgia" w:cs="Georgia" w:eastAsia="SimSun" w:hAnsi="Georgia"/>
          <w:color w:val="1F2A36"/>
          <w:sz w:val="22"/>
          <w:szCs w:val="22"/>
        </w:rPr>
        <w:t xml:space="preserve">15.4. The full cultural exemption is preserved and extended: broadcasting, streaming, publishing, film, and Canadian-content rules are carved out of this Accord entirely, and the exemption applies symmetrically to United States cultural measures.</w:t>
      </w:r>
    </w:p>
    <w:p>
      <w:pPr>
        <w:spacing w:after="160" w:line="300"/>
        <w:ind w:firstLine="431"/>
        <w:jc w:val="both"/>
      </w:pPr>
      <w:r>
        <w:rPr>
          <w:rFonts w:ascii="Georgia" w:cs="Georgia" w:eastAsia="SimSun" w:hAnsi="Georgia"/>
          <w:color w:val="1F2A36"/>
          <w:sz w:val="22"/>
          <w:szCs w:val="22"/>
        </w:rPr>
        <w:t xml:space="preserve">15.5. Data governance: each Party retains control over data rules, privacy, platform regulation, and artificial intelligence governance. Cross-border data flows for commercial purposes operate under the reciprocity schedule in Annex H: Canadian digital services and AI firms receive treatment in the United States no less favorable than United States firms receive in Canada, and vice versa, measured through the market-access metrics of Annex T.</w:t>
      </w:r>
    </w:p>
    <w:p>
      <w:pPr>
        <w:spacing w:after="160" w:line="300"/>
        <w:ind w:firstLine="431"/>
        <w:jc w:val="both"/>
      </w:pPr>
      <w:r>
        <w:rPr>
          <w:rFonts w:ascii="Georgia" w:cs="Georgia" w:eastAsia="SimSun" w:hAnsi="Georgia"/>
          <w:color w:val="1F2A36"/>
          <w:sz w:val="22"/>
          <w:szCs w:val="22"/>
        </w:rPr>
        <w:t xml:space="preserve">15.6. The Parties establish a joint work program on AI safety standards, cybersecurity coordination, and cloud-service reciprocity, with deliverables reported at each Consolidation Review. Participation creates no binding regulatory commitment during the bridge.</w:t>
      </w:r>
    </w:p>
    <w:p>
      <w:pPr>
        <w:pStyle w:val="Heading2"/>
        <w:spacing w:after="140" w:before="300"/>
      </w:pPr>
      <w:r>
        <w:rPr>
          <w:rFonts w:ascii="Georgia" w:cs="Georgia" w:eastAsia="SimSun" w:hAnsi="Georgia"/>
          <w:b/>
          <w:bCs/>
          <w:color w:val="1F2A36"/>
          <w:sz w:val="26"/>
          <w:szCs w:val="26"/>
        </w:rPr>
        <w:t xml:space="preserve">Article 16. Critical Minerals</w:t>
      </w:r>
    </w:p>
    <w:p>
      <w:pPr>
        <w:spacing w:after="160" w:line="300"/>
        <w:ind w:firstLine="431"/>
        <w:jc w:val="both"/>
      </w:pPr>
      <w:r>
        <w:rPr>
          <w:rFonts w:ascii="Georgia" w:cs="Georgia" w:eastAsia="SimSun" w:hAnsi="Georgia"/>
          <w:color w:val="1F2A36"/>
          <w:sz w:val="22"/>
          <w:szCs w:val="22"/>
        </w:rPr>
        <w:t xml:space="preserve">16.1. The United States withdraws any demand for a right of first refusal over Canadian critical minerals, at any price. The framework architecture excludes exclusivity clauses, price caps imposed by one Party, and priority-access regimes that one Party does not pay for commercially.</w:t>
      </w:r>
    </w:p>
    <w:p>
      <w:pPr>
        <w:spacing w:after="160" w:line="300"/>
        <w:ind w:firstLine="431"/>
        <w:jc w:val="both"/>
      </w:pPr>
      <w:r>
        <w:rPr>
          <w:rFonts w:ascii="Georgia" w:cs="Georgia" w:eastAsia="SimSun" w:hAnsi="Georgia"/>
          <w:color w:val="1F2A36"/>
          <w:sz w:val="22"/>
          <w:szCs w:val="22"/>
        </w:rPr>
        <w:t xml:space="preserve">16.2. The United States guarantees continued market access for Canadian critical minerals without discriminatory tariffs or quotas, covering the trade that reached US$28.8 billion in 2025. Canadian minerals and derivative products qualify for United States defense, clean-energy, and manufacturing programs on the same terms as domestic content where the governing statute permits, and on most-favored-partner terms where it does not.</w:t>
      </w:r>
    </w:p>
    <w:p>
      <w:pPr>
        <w:spacing w:after="160" w:line="300"/>
        <w:ind w:firstLine="431"/>
        <w:jc w:val="both"/>
      </w:pPr>
      <w:r>
        <w:rPr>
          <w:rFonts w:ascii="Georgia" w:cs="Georgia" w:eastAsia="SimSun" w:hAnsi="Georgia"/>
          <w:color w:val="1F2A36"/>
          <w:sz w:val="22"/>
          <w:szCs w:val="22"/>
        </w:rPr>
        <w:t xml:space="preserve">16.3. Canada retains the sovereign right to export critical minerals to any market. Diversification is recorded as a protected right, not a concession.</w:t>
      </w:r>
    </w:p>
    <w:p>
      <w:pPr>
        <w:spacing w:after="160" w:line="300"/>
        <w:ind w:firstLine="431"/>
        <w:jc w:val="both"/>
      </w:pPr>
      <w:r>
        <w:rPr>
          <w:rFonts w:ascii="Georgia" w:cs="Georgia" w:eastAsia="SimSun" w:hAnsi="Georgia"/>
          <w:color w:val="1F2A36"/>
          <w:sz w:val="22"/>
          <w:szCs w:val="22"/>
        </w:rPr>
        <w:t xml:space="preserve">16.4. The Parties establish a Critical Minerals Security Dialogue for emergency coordination, joint stockpile feasibility, and project co-financing, on commercial terms. The dialogue carries no binding supply commitment; supply contracts remain private and priced by the market.</w:t>
      </w:r>
    </w:p>
    <w:p>
      <w:pPr>
        <w:spacing w:after="160" w:line="300"/>
        <w:ind w:firstLine="431"/>
        <w:jc w:val="both"/>
      </w:pPr>
      <w:r>
        <w:rPr>
          <w:rFonts w:ascii="Georgia" w:cs="Georgia" w:eastAsia="SimSun" w:hAnsi="Georgia"/>
          <w:color w:val="1F2A36"/>
          <w:sz w:val="22"/>
          <w:szCs w:val="22"/>
        </w:rPr>
        <w:t xml:space="preserve">16.5. Origin integrity for minerals follows the anti-transshipment protocol of Annex K: registered Canadian producers carry chain-of-custody records from mine or processor to border, and verified Canadian production receives treatment as trusted North American supply rather than as a security vulnerability.</w:t>
      </w:r>
    </w:p>
    <w:p>
      <w:pPr>
        <w:pStyle w:val="Heading2"/>
        <w:spacing w:after="140" w:before="300"/>
      </w:pPr>
      <w:r>
        <w:rPr>
          <w:rFonts w:ascii="Georgia" w:cs="Georgia" w:eastAsia="SimSun" w:hAnsi="Georgia"/>
          <w:b/>
          <w:bCs/>
          <w:color w:val="1F2A36"/>
          <w:sz w:val="26"/>
          <w:szCs w:val="26"/>
        </w:rPr>
        <w:t xml:space="preserve">Article 17. Energy and Electricity</w:t>
      </w:r>
    </w:p>
    <w:p>
      <w:pPr>
        <w:spacing w:after="160" w:line="300"/>
        <w:ind w:firstLine="431"/>
        <w:jc w:val="both"/>
      </w:pPr>
      <w:r>
        <w:rPr>
          <w:rFonts w:ascii="Georgia" w:cs="Georgia" w:eastAsia="SimSun" w:hAnsi="Georgia"/>
          <w:color w:val="1F2A36"/>
          <w:sz w:val="22"/>
          <w:szCs w:val="22"/>
        </w:rPr>
        <w:t xml:space="preserve">17.1. Canada retains full control over pipelines, electricity exports, grid operations, and clean-tech strategy. The framework architecture excludes any United States leverage over Canadian energy approvals, export volumes, or pricing, and any Canadian leverage over United States approvals, volumes, or pricing.</w:t>
      </w:r>
    </w:p>
    <w:p>
      <w:pPr>
        <w:spacing w:after="160" w:line="300"/>
        <w:ind w:firstLine="431"/>
        <w:jc w:val="both"/>
      </w:pPr>
      <w:r>
        <w:rPr>
          <w:rFonts w:ascii="Georgia" w:cs="Georgia" w:eastAsia="SimSun" w:hAnsi="Georgia"/>
          <w:color w:val="1F2A36"/>
          <w:sz w:val="22"/>
          <w:szCs w:val="22"/>
        </w:rPr>
        <w:t xml:space="preserve">17.2. Cross-border energy trade operates on predictable commercial rules: no new discriminatory tariffs or export conditions on energy products in either direction during the bridge; existing contracts and transmission arrangements continue undisturbed; and the Section 122-style global measures continue to exclude CUSMA-compliant energy.</w:t>
      </w:r>
    </w:p>
    <w:p>
      <w:pPr>
        <w:spacing w:after="160" w:line="300"/>
        <w:ind w:firstLine="431"/>
        <w:jc w:val="both"/>
      </w:pPr>
      <w:r>
        <w:rPr>
          <w:rFonts w:ascii="Georgia" w:cs="Georgia" w:eastAsia="SimSun" w:hAnsi="Georgia"/>
          <w:color w:val="1F2A36"/>
          <w:sz w:val="22"/>
          <w:szCs w:val="22"/>
        </w:rPr>
        <w:t xml:space="preserve">17.3. The Parties establish a North American Energy and Compute Corridor under Annex I, pairing incremental Canadian generation, storage, and transmission with United States data-center and industrial load. Domestic reliability takes precedence in both countries: every corridor project carries a reliability certificate from the competent system operator, and no project displaces household, farm, hospital, or industrial priority.</w:t>
      </w:r>
    </w:p>
    <w:p>
      <w:pPr>
        <w:spacing w:after="160" w:line="300"/>
        <w:ind w:firstLine="431"/>
        <w:jc w:val="both"/>
      </w:pPr>
      <w:r>
        <w:rPr>
          <w:rFonts w:ascii="Georgia" w:cs="Georgia" w:eastAsia="SimSun" w:hAnsi="Georgia"/>
          <w:color w:val="1F2A36"/>
          <w:sz w:val="22"/>
          <w:szCs w:val="22"/>
        </w:rPr>
        <w:t xml:space="preserve">17.4. Electricity trade between Alberta and Montana, and comparable provincial-state corridors, receives a joint technical lane to resolve throttling and access complaints through published congestion and pricing data rather than political escalation. The lane applies identically in both directions.</w:t>
      </w:r>
    </w:p>
    <w:p>
      <w:pPr>
        <w:spacing w:after="160" w:line="300"/>
        <w:ind w:firstLine="431"/>
        <w:jc w:val="both"/>
      </w:pPr>
      <w:r>
        <w:rPr>
          <w:rFonts w:ascii="Georgia" w:cs="Georgia" w:eastAsia="SimSun" w:hAnsi="Georgia"/>
          <w:color w:val="1F2A36"/>
          <w:sz w:val="22"/>
          <w:szCs w:val="22"/>
        </w:rPr>
        <w:t xml:space="preserve">17.5. The United States expedites permitting reviews for cross-border energy infrastructure within its authority; Canada gives such projects good-faith consideration within its own regulatory processes, including Indigenous consultation. Neither commitment predetermines an outcome.</w:t>
      </w:r>
    </w:p>
    <w:p>
      <w:pPr>
        <w:pStyle w:val="Heading2"/>
        <w:spacing w:after="140" w:before="300"/>
      </w:pPr>
      <w:r>
        <w:rPr>
          <w:rFonts w:ascii="Georgia" w:cs="Georgia" w:eastAsia="SimSun" w:hAnsi="Georgia"/>
          <w:b/>
          <w:bCs/>
          <w:color w:val="1F2A36"/>
          <w:sz w:val="26"/>
          <w:szCs w:val="26"/>
        </w:rPr>
        <w:t xml:space="preserve">Article 18. Procurement and Alcohol Normalization</w:t>
      </w:r>
    </w:p>
    <w:p>
      <w:pPr>
        <w:spacing w:after="160" w:line="300"/>
        <w:ind w:firstLine="431"/>
        <w:jc w:val="both"/>
      </w:pPr>
      <w:r>
        <w:rPr>
          <w:rFonts w:ascii="Georgia" w:cs="Georgia" w:eastAsia="SimSun" w:hAnsi="Georgia"/>
          <w:color w:val="1F2A36"/>
          <w:sz w:val="22"/>
          <w:szCs w:val="22"/>
        </w:rPr>
        <w:t xml:space="preserve">18.1. Provincial alcohol measures: participating provinces restore United States wine, beer, cider, and spirits to standard listing, tender, wholesale, and retail processes on terms applied to comparable products, following the schedule in Annex G. Provincial authority over age limits, health rules, retail models, markups, and distribution is preserved in full. The module targets nationality-based retaliation, not the existence of provincial liquor systems.</w:t>
      </w:r>
    </w:p>
    <w:p>
      <w:pPr>
        <w:spacing w:after="160" w:line="300"/>
        <w:ind w:firstLine="431"/>
        <w:jc w:val="both"/>
      </w:pPr>
      <w:r>
        <w:rPr>
          <w:rFonts w:ascii="Georgia" w:cs="Georgia" w:eastAsia="SimSun" w:hAnsi="Georgia"/>
          <w:color w:val="1F2A36"/>
          <w:sz w:val="22"/>
          <w:szCs w:val="22"/>
        </w:rPr>
        <w:t xml:space="preserve">18.2. The restoration is conditional and symmetric: it holds while United States tariff treatment remains at the levels set by Part II, and re-listing pauses only in proportion to a verified re-escalation in a related module, through Cothrom treatment rather than automatic snapback.</w:t>
      </w:r>
    </w:p>
    <w:p>
      <w:pPr>
        <w:spacing w:after="160" w:line="300"/>
        <w:ind w:firstLine="431"/>
        <w:jc w:val="both"/>
      </w:pPr>
      <w:r>
        <w:rPr>
          <w:rFonts w:ascii="Georgia" w:cs="Georgia" w:eastAsia="SimSun" w:hAnsi="Georgia"/>
          <w:color w:val="1F2A36"/>
          <w:sz w:val="22"/>
          <w:szCs w:val="22"/>
        </w:rPr>
        <w:t xml:space="preserve">18.3. Procurement: the Parties open a reciprocal procurement test lane under Annex J. Canada opens selected federal competitions in emergency response, grid equipment, digital infrastructure, and border facilities to United States suppliers on national treatment; the United States opens equivalent federal infrastructure and emergency-response competitions to Canadian suppliers on identical terms. Covered solicitations, eligibility rules, and awards publish in the Shared Trade Registry.</w:t>
      </w:r>
    </w:p>
    <w:p>
      <w:pPr>
        <w:spacing w:after="160" w:line="300"/>
        <w:ind w:firstLine="431"/>
        <w:jc w:val="both"/>
      </w:pPr>
      <w:r>
        <w:rPr>
          <w:rFonts w:ascii="Georgia" w:cs="Georgia" w:eastAsia="SimSun" w:hAnsi="Georgia"/>
          <w:color w:val="1F2A36"/>
          <w:sz w:val="22"/>
          <w:szCs w:val="22"/>
        </w:rPr>
        <w:t xml:space="preserve">18.4. Buy Canadian and Buy American policies otherwise remain untouched. Provincial Buy Canadian measures are addressed through voluntary provincial opt-in to the reciprocity lane, with no federal coercion in either country. Sub-federal participation is a choice, recorded in the Registry, and non-participation by any single province or state does not place the module in non-compliance.</w:t>
      </w:r>
    </w:p>
    <w:p>
      <w:pPr>
        <w:spacing w:after="160" w:line="300"/>
        <w:ind w:firstLine="431"/>
        <w:jc w:val="both"/>
      </w:pPr>
      <w:r>
        <w:rPr>
          <w:rFonts w:ascii="Georgia" w:cs="Georgia" w:eastAsia="SimSun" w:hAnsi="Georgia"/>
          <w:color w:val="1F2A36"/>
          <w:sz w:val="22"/>
          <w:szCs w:val="22"/>
        </w:rPr>
        <w:t xml:space="preserve">18.5. Coverage thresholds: the alcohol module reaches Green status when provinces representing at least 75 percent of Canadian beverage-alcohol retail value restore neutral access; between 50 and 75 percent the module holds Amber with proportionate continuation; below 50 percent triggers technical consultation, never whole-Accord consequence. The procurement module scores only completed, open competitions, so neither Party receives credit for announcements.</w:t>
      </w:r>
    </w:p>
    <w:p>
      <w:pPr>
        <w:pStyle w:val="Heading2"/>
        <w:spacing w:after="140" w:before="300"/>
      </w:pPr>
      <w:r>
        <w:rPr>
          <w:rFonts w:ascii="Georgia" w:cs="Georgia" w:eastAsia="SimSun" w:hAnsi="Georgia"/>
          <w:b/>
          <w:bCs/>
          <w:color w:val="1F2A36"/>
          <w:sz w:val="26"/>
          <w:szCs w:val="26"/>
        </w:rPr>
        <w:t xml:space="preserve">Article 19. Intellectual Property</w:t>
      </w:r>
    </w:p>
    <w:p>
      <w:pPr>
        <w:spacing w:after="160" w:line="300"/>
        <w:ind w:firstLine="431"/>
        <w:jc w:val="both"/>
      </w:pPr>
      <w:r>
        <w:rPr>
          <w:rFonts w:ascii="Georgia" w:cs="Georgia" w:eastAsia="SimSun" w:hAnsi="Georgia"/>
          <w:color w:val="1F2A36"/>
          <w:sz w:val="22"/>
          <w:szCs w:val="22"/>
        </w:rPr>
        <w:t xml:space="preserve">19.1. Each Party retains sovereign control over its intellectual property and patent regime. The framework architecture excludes unilateral extension of pharmaceutical patent or data-protection terms as a condition of any other module.</w:t>
      </w:r>
    </w:p>
    <w:p>
      <w:pPr>
        <w:spacing w:after="160" w:line="300"/>
        <w:ind w:firstLine="431"/>
        <w:jc w:val="both"/>
      </w:pPr>
      <w:r>
        <w:rPr>
          <w:rFonts w:ascii="Georgia" w:cs="Georgia" w:eastAsia="SimSun" w:hAnsi="Georgia"/>
          <w:color w:val="1F2A36"/>
          <w:sz w:val="22"/>
          <w:szCs w:val="22"/>
        </w:rPr>
        <w:t xml:space="preserve">19.2. The Parties replace watch-list pressure with a balanced enforcement schedule: Canada maintains and reports enforcement against counterfeit and pirated goods, including at identified high-risk retail locations, through a published semi-annual enforcement report; the United States provides reciprocal reporting on enforcement against goods infringing Canadian rights holders.</w:t>
      </w:r>
    </w:p>
    <w:p>
      <w:pPr>
        <w:spacing w:after="160" w:line="300"/>
        <w:ind w:firstLine="431"/>
        <w:jc w:val="both"/>
      </w:pPr>
      <w:r>
        <w:rPr>
          <w:rFonts w:ascii="Georgia" w:cs="Georgia" w:eastAsia="SimSun" w:hAnsi="Georgia"/>
          <w:color w:val="1F2A36"/>
          <w:sz w:val="22"/>
          <w:szCs w:val="22"/>
        </w:rPr>
        <w:t xml:space="preserve">19.3. During the bridge, the United States suspends Canada-specific designations under unilateral IP review processes while Canada's enforcement reporting remains Green or Amber. The suspension renews on the rolling horizon and does not lapse by calendar.</w:t>
      </w:r>
    </w:p>
    <w:p>
      <w:pPr>
        <w:spacing w:after="160" w:line="300"/>
        <w:ind w:firstLine="431"/>
        <w:jc w:val="both"/>
      </w:pPr>
      <w:r>
        <w:rPr>
          <w:rFonts w:ascii="Georgia" w:cs="Georgia" w:eastAsia="SimSun" w:hAnsi="Georgia"/>
          <w:color w:val="1F2A36"/>
          <w:sz w:val="22"/>
          <w:szCs w:val="22"/>
        </w:rPr>
        <w:t xml:space="preserve">19.4. Geographical indications, copyright term, and patent linkage remain governed by existing CUSMA text. Any change requires a negotiated amendment under Article 44, not unilateral demand.</w:t>
      </w:r>
    </w:p>
    <w:p>
      <w:pPr>
        <w:pStyle w:val="Heading2"/>
        <w:spacing w:after="140" w:before="300"/>
      </w:pPr>
      <w:r>
        <w:rPr>
          <w:rFonts w:ascii="Georgia" w:cs="Georgia" w:eastAsia="SimSun" w:hAnsi="Georgia"/>
          <w:b/>
          <w:bCs/>
          <w:color w:val="1F2A36"/>
          <w:sz w:val="26"/>
          <w:szCs w:val="26"/>
        </w:rPr>
        <w:t xml:space="preserve">Article 20. Labour and Forced-Labour Enforcement</w:t>
      </w:r>
    </w:p>
    <w:p>
      <w:pPr>
        <w:spacing w:after="160" w:line="300"/>
        <w:ind w:firstLine="431"/>
        <w:jc w:val="both"/>
      </w:pPr>
      <w:r>
        <w:rPr>
          <w:rFonts w:ascii="Georgia" w:cs="Georgia" w:eastAsia="SimSun" w:hAnsi="Georgia"/>
          <w:color w:val="1F2A36"/>
          <w:sz w:val="22"/>
          <w:szCs w:val="22"/>
        </w:rPr>
        <w:t xml:space="preserve">20.1. Each Party retains sovereign control over its labour enforcement regime. Good-faith enforcement activity under this Article never triggers trade consequences under this Accord.</w:t>
      </w:r>
    </w:p>
    <w:p>
      <w:pPr>
        <w:spacing w:after="160" w:line="300"/>
        <w:ind w:firstLine="431"/>
        <w:jc w:val="both"/>
      </w:pPr>
      <w:r>
        <w:rPr>
          <w:rFonts w:ascii="Georgia" w:cs="Georgia" w:eastAsia="SimSun" w:hAnsi="Georgia"/>
          <w:color w:val="1F2A36"/>
          <w:sz w:val="22"/>
          <w:szCs w:val="22"/>
        </w:rPr>
        <w:t xml:space="preserve">20.2. Canada strengthens customs enforcement against goods produced with forced labour through the evidence-sharing, importer due-diligence, and risk-based targeting schedule in Annex L. The United States shares relevant admissible supply-chain information through designated channels and provides reciprocal reporting on its own enforcement outcomes.</w:t>
      </w:r>
    </w:p>
    <w:p>
      <w:pPr>
        <w:spacing w:after="160" w:line="300"/>
        <w:ind w:firstLine="431"/>
        <w:jc w:val="both"/>
      </w:pPr>
      <w:r>
        <w:rPr>
          <w:rFonts w:ascii="Georgia" w:cs="Georgia" w:eastAsia="SimSun" w:hAnsi="Georgia"/>
          <w:color w:val="1F2A36"/>
          <w:sz w:val="22"/>
          <w:szCs w:val="22"/>
        </w:rPr>
        <w:t xml:space="preserve">20.3. The Parties adopt a common evidentiary template that separates allegations, intelligence leads, public-source indicators, and verified findings. Import restrictions depend on the applicable domestic legal threshold in each country. Deliberate use of forced-labour procedures as disguised nationality discrimination enters Cothrom governance review in the affected module.</w:t>
      </w:r>
    </w:p>
    <w:p>
      <w:pPr>
        <w:spacing w:after="160" w:line="300"/>
        <w:ind w:firstLine="431"/>
        <w:jc w:val="both"/>
      </w:pPr>
      <w:r>
        <w:rPr>
          <w:rFonts w:ascii="Georgia" w:cs="Georgia" w:eastAsia="SimSun" w:hAnsi="Georgia"/>
          <w:color w:val="1F2A36"/>
          <w:sz w:val="22"/>
          <w:szCs w:val="22"/>
        </w:rPr>
        <w:t xml:space="preserve">20.4. The Parties coordinate on rapid-response labour complaints affecting integrated supply chains, building on existing CUSMA facility-level mechanisms, with timelines published in Annex L and applied symmetrically.</w:t>
      </w:r>
    </w:p>
    <w:p>
      <w:pPr>
        <w:pStyle w:val="Heading2"/>
        <w:spacing w:after="140" w:before="300"/>
      </w:pPr>
      <w:r>
        <w:rPr>
          <w:rFonts w:ascii="Georgia" w:cs="Georgia" w:eastAsia="SimSun" w:hAnsi="Georgia"/>
          <w:b/>
          <w:bCs/>
          <w:color w:val="1F2A36"/>
          <w:sz w:val="26"/>
          <w:szCs w:val="26"/>
        </w:rPr>
        <w:t xml:space="preserve">Article 21. Automotive Industrial Strategy and EV Credits</w:t>
      </w:r>
    </w:p>
    <w:p>
      <w:pPr>
        <w:spacing w:after="160" w:line="300"/>
        <w:ind w:firstLine="431"/>
        <w:jc w:val="both"/>
      </w:pPr>
      <w:r>
        <w:rPr>
          <w:rFonts w:ascii="Georgia" w:cs="Georgia" w:eastAsia="SimSun" w:hAnsi="Georgia"/>
          <w:color w:val="1F2A36"/>
          <w:sz w:val="22"/>
          <w:szCs w:val="22"/>
        </w:rPr>
        <w:t xml:space="preserve">21.1. Neither Party seeks the removal of automotive manufacturing from the other. The framework architecture excludes any term, demand, or condition designed to relocate assembly capacity as a price of tariff relief. This records, in binding form, Canada's refusal of the August demand and the United States' corresponding interest in continental production strength.</w:t>
      </w:r>
    </w:p>
    <w:p>
      <w:pPr>
        <w:spacing w:after="160" w:line="300"/>
        <w:ind w:firstLine="431"/>
        <w:jc w:val="both"/>
      </w:pPr>
      <w:r>
        <w:rPr>
          <w:rFonts w:ascii="Georgia" w:cs="Georgia" w:eastAsia="SimSun" w:hAnsi="Georgia"/>
          <w:color w:val="1F2A36"/>
          <w:sz w:val="22"/>
          <w:szCs w:val="22"/>
        </w:rPr>
        <w:t xml:space="preserve">21.2. United States electric-vehicle and battery incentive programs treat Canadian-assembled vehicles and Canadian-sourced critical minerals as eligible to the fullest extent permitted by governing statute; where statute limits eligibility, the Parties pursue the administrative and legislative pathways identified in Annex C and report progress at each Consolidation Review. Canada applies its own EV incentive programs to United States-assembled vehicles on equivalent terms.</w:t>
      </w:r>
    </w:p>
    <w:p>
      <w:pPr>
        <w:spacing w:after="160" w:line="300"/>
        <w:ind w:firstLine="431"/>
        <w:jc w:val="both"/>
      </w:pPr>
      <w:r>
        <w:rPr>
          <w:rFonts w:ascii="Georgia" w:cs="Georgia" w:eastAsia="SimSun" w:hAnsi="Georgia"/>
          <w:color w:val="1F2A36"/>
          <w:sz w:val="22"/>
          <w:szCs w:val="22"/>
        </w:rPr>
        <w:t xml:space="preserve">21.3. The Parties open a North American Components Investment Track for battery materials and cells, power electronics, semiconductors, motors, sensors, and selected castings, with equal eligibility for Canadian and United States projects under objective continental-production criteria. Performance is scored on actual sourcing, plant utilization, payroll, and shipment data, never on announcements.</w:t>
      </w:r>
    </w:p>
    <w:p>
      <w:pPr>
        <w:spacing w:after="160" w:line="300"/>
        <w:ind w:firstLine="431"/>
        <w:jc w:val="both"/>
      </w:pPr>
      <w:r>
        <w:rPr>
          <w:rFonts w:ascii="Georgia" w:cs="Georgia" w:eastAsia="SimSun" w:hAnsi="Georgia"/>
          <w:color w:val="1F2A36"/>
          <w:sz w:val="22"/>
          <w:szCs w:val="22"/>
        </w:rPr>
        <w:t xml:space="preserve">21.4. Rules of origin remain at current CUSMA levels during the bridge. The Auto Origin Technical Lane of Article 9.5 produces at least two permanent-rule options by the second Consolidation Review: a continental-content option and a weighted-content option, each with plant-level impact modeling for both countries.</w:t>
      </w:r>
    </w:p>
    <w:p>
      <w:pPr>
        <w:pStyle w:val="Heading1"/>
        <w:pageBreakBefore/>
        <w:spacing w:after="200" w:before="360"/>
      </w:pPr>
      <w:r>
        <w:rPr>
          <w:rFonts w:ascii="Georgia" w:cs="Georgia" w:eastAsia="SimSun" w:hAnsi="Georgia"/>
          <w:b/>
          <w:bCs/>
          <w:color w:val="35586B"/>
          <w:sz w:val="32"/>
          <w:szCs w:val="32"/>
        </w:rPr>
        <w:t xml:space="preserve">Part IV. Sovereignty and Geopolitical Alignment</w:t>
      </w:r>
    </w:p>
    <w:p>
      <w:pPr>
        <w:spacing w:after="200" w:line="300"/>
      </w:pPr>
      <w:r>
        <w:rPr>
          <w:rFonts w:ascii="Georgia" w:cs="Georgia" w:eastAsia="SimSun" w:hAnsi="Georgia"/>
          <w:i/>
          <w:iCs/>
          <w:color w:val="35586B"/>
          <w:sz w:val="22"/>
          <w:szCs w:val="22"/>
        </w:rPr>
        <w:t xml:space="preserve">Part IV records, in operative form, the sovereignty guarantees whose absence destroyed the August negotiation. These Articles are not aspirational; they are scheduled, verified, and protected by the same architecture as every tariff line.</w:t>
      </w:r>
    </w:p>
    <w:p>
      <w:pPr>
        <w:pStyle w:val="Heading2"/>
        <w:spacing w:after="140" w:before="300"/>
      </w:pPr>
      <w:r>
        <w:rPr>
          <w:rFonts w:ascii="Georgia" w:cs="Georgia" w:eastAsia="SimSun" w:hAnsi="Georgia"/>
          <w:b/>
          <w:bCs/>
          <w:color w:val="1F2A36"/>
          <w:sz w:val="26"/>
          <w:szCs w:val="26"/>
        </w:rPr>
        <w:t xml:space="preserve">Article 22. Trade Diversification Rights</w:t>
      </w:r>
    </w:p>
    <w:p>
      <w:pPr>
        <w:spacing w:after="160" w:line="300"/>
        <w:ind w:firstLine="431"/>
        <w:jc w:val="both"/>
      </w:pPr>
      <w:r>
        <w:rPr>
          <w:rFonts w:ascii="Georgia" w:cs="Georgia" w:eastAsia="SimSun" w:hAnsi="Georgia"/>
          <w:color w:val="1F2A36"/>
          <w:sz w:val="22"/>
          <w:szCs w:val="22"/>
        </w:rPr>
        <w:t xml:space="preserve">22.1. Each Party retains the unrestricted sovereign right to negotiate, sign, and implement trade and economic agreements with any third party. The framework architecture excludes any consultation requirement, sign-off, veto, or alignment obligation respecting third-party agreements.</w:t>
      </w:r>
    </w:p>
    <w:p>
      <w:pPr>
        <w:spacing w:after="160" w:line="300"/>
        <w:ind w:firstLine="431"/>
        <w:jc w:val="both"/>
      </w:pPr>
      <w:r>
        <w:rPr>
          <w:rFonts w:ascii="Georgia" w:cs="Georgia" w:eastAsia="SimSun" w:hAnsi="Georgia"/>
          <w:color w:val="1F2A36"/>
          <w:sz w:val="22"/>
          <w:szCs w:val="22"/>
        </w:rPr>
        <w:t xml:space="preserve">22.2. The United States withdraws, permanently for the Accord term, its proposals to constrain Canada's trade agreements with the European Union, Japan, the United Kingdom, or any other partner, including proposals respecting sectoral tariffs on steel and aluminum from Canada's FTA partners. Canada's middle-power alignment strategy is recognized and respected as a legitimate sovereign policy.</w:t>
      </w:r>
    </w:p>
    <w:p>
      <w:pPr>
        <w:spacing w:after="160" w:line="300"/>
        <w:ind w:firstLine="431"/>
        <w:jc w:val="both"/>
      </w:pPr>
      <w:r>
        <w:rPr>
          <w:rFonts w:ascii="Georgia" w:cs="Georgia" w:eastAsia="SimSun" w:hAnsi="Georgia"/>
          <w:color w:val="1F2A36"/>
          <w:sz w:val="22"/>
          <w:szCs w:val="22"/>
        </w:rPr>
        <w:t xml:space="preserve">22.3. Symmetrically, Canada recognizes the United States' right to pursue its own third-party agreements. Neither Party treats the other's third-party agreements as a trade irritant within this Accord.</w:t>
      </w:r>
    </w:p>
    <w:p>
      <w:pPr>
        <w:spacing w:after="160" w:line="300"/>
        <w:ind w:firstLine="431"/>
        <w:jc w:val="both"/>
      </w:pPr>
      <w:r>
        <w:rPr>
          <w:rFonts w:ascii="Georgia" w:cs="Georgia" w:eastAsia="SimSun" w:hAnsi="Georgia"/>
          <w:color w:val="1F2A36"/>
          <w:sz w:val="22"/>
          <w:szCs w:val="22"/>
        </w:rPr>
        <w:t xml:space="preserve">22.4. Trade and security remain separate domains. No trade concession purchases security cooperation, and no security cooperation purchases trade concession. Discussions on missile defense and continental security continue in their own channels and carry no binding commitment under this Accord.</w:t>
      </w:r>
    </w:p>
    <w:p>
      <w:pPr>
        <w:pStyle w:val="Heading2"/>
        <w:spacing w:after="140" w:before="300"/>
      </w:pPr>
      <w:r>
        <w:rPr>
          <w:rFonts w:ascii="Georgia" w:cs="Georgia" w:eastAsia="SimSun" w:hAnsi="Georgia"/>
          <w:b/>
          <w:bCs/>
          <w:color w:val="1F2A36"/>
          <w:sz w:val="26"/>
          <w:szCs w:val="26"/>
        </w:rPr>
        <w:t xml:space="preserve">Article 23. Cultural and Linguistic Sovereignty</w:t>
      </w:r>
    </w:p>
    <w:p>
      <w:pPr>
        <w:spacing w:after="160" w:line="300"/>
        <w:ind w:firstLine="431"/>
        <w:jc w:val="both"/>
      </w:pPr>
      <w:r>
        <w:rPr>
          <w:rFonts w:ascii="Georgia" w:cs="Georgia" w:eastAsia="SimSun" w:hAnsi="Georgia"/>
          <w:color w:val="1F2A36"/>
          <w:sz w:val="22"/>
          <w:szCs w:val="22"/>
        </w:rPr>
        <w:t xml:space="preserve">23.1. Canada's protections for the French language, Canadian content, and cultural industries stand outside the scope of this Accord and outside the scope of any trade objection by the United States. The cultural exemption of Article 15.4 is absolute and symmetric.</w:t>
      </w:r>
    </w:p>
    <w:p>
      <w:pPr>
        <w:spacing w:after="160" w:line="300"/>
        <w:ind w:firstLine="431"/>
        <w:jc w:val="both"/>
      </w:pPr>
      <w:r>
        <w:rPr>
          <w:rFonts w:ascii="Georgia" w:cs="Georgia" w:eastAsia="SimSun" w:hAnsi="Georgia"/>
          <w:color w:val="1F2A36"/>
          <w:sz w:val="22"/>
          <w:szCs w:val="22"/>
        </w:rPr>
        <w:t xml:space="preserve">23.2. Regulatory independence: neither Party's commitment under this Accord limits its ability to set safety, environmental, competition, privacy, or public-health standards. Harmonization occurs only through mutual agreement in a technical lane, and only where it does not constrain either Party's regulatory ceiling.</w:t>
      </w:r>
    </w:p>
    <w:p>
      <w:pPr>
        <w:pStyle w:val="Heading2"/>
        <w:spacing w:after="140" w:before="300"/>
      </w:pPr>
      <w:r>
        <w:rPr>
          <w:rFonts w:ascii="Georgia" w:cs="Georgia" w:eastAsia="SimSun" w:hAnsi="Georgia"/>
          <w:b/>
          <w:bCs/>
          <w:color w:val="1F2A36"/>
          <w:sz w:val="26"/>
          <w:szCs w:val="26"/>
        </w:rPr>
        <w:t xml:space="preserve">Article 24. Containment of Unilateral Trade Tools</w:t>
      </w:r>
    </w:p>
    <w:p>
      <w:pPr>
        <w:spacing w:after="160" w:line="300"/>
        <w:ind w:firstLine="431"/>
        <w:jc w:val="both"/>
      </w:pPr>
      <w:r>
        <w:rPr>
          <w:rFonts w:ascii="Georgia" w:cs="Georgia" w:eastAsia="SimSun" w:hAnsi="Georgia"/>
          <w:color w:val="1F2A36"/>
          <w:sz w:val="22"/>
          <w:szCs w:val="22"/>
        </w:rPr>
        <w:t xml:space="preserve">24.1. Section 232 and Section 301 measures: any new measure under these authorities affecting the other Party's goods in covered sectors is referred to a dispute panel under Article 36 within thirty days of imposition. Where the panel finds no legitimate national security basis, or finds the measure inconsistent with this Accord, the measure is removed or modified within forty-five days of the report.</w:t>
      </w:r>
    </w:p>
    <w:p>
      <w:pPr>
        <w:spacing w:after="160" w:line="300"/>
        <w:ind w:firstLine="431"/>
        <w:jc w:val="both"/>
      </w:pPr>
      <w:r>
        <w:rPr>
          <w:rFonts w:ascii="Georgia" w:cs="Georgia" w:eastAsia="SimSun" w:hAnsi="Georgia"/>
          <w:color w:val="1F2A36"/>
          <w:sz w:val="22"/>
          <w:szCs w:val="22"/>
        </w:rPr>
        <w:t xml:space="preserve">24.2. Trade-remedy discipline: anti-dumping and countervailing investigations proceed under domestic law and WTO-consistent standards, but the Parties adopt the good-faith disciplines of Annex O: pre-initiation notification, shared injury-data review, and a bilateral consultation window before final measures in cases exceeding a defined trade-value threshold.</w:t>
      </w:r>
    </w:p>
    <w:p>
      <w:pPr>
        <w:spacing w:after="160" w:line="300"/>
        <w:ind w:firstLine="431"/>
        <w:jc w:val="both"/>
      </w:pPr>
      <w:r>
        <w:rPr>
          <w:rFonts w:ascii="Georgia" w:cs="Georgia" w:eastAsia="SimSun" w:hAnsi="Georgia"/>
          <w:color w:val="1F2A36"/>
          <w:sz w:val="22"/>
          <w:szCs w:val="22"/>
        </w:rPr>
        <w:t xml:space="preserve">24.3. Executive volatility containment: any executive action that reverses a Covered Measure of this Accord takes effect only after the notice, consultation, and panel-review sequence of Articles 35 through 37. The framework architecture converts unilateral reversal from an instantaneous act into a managed legal process with defined clocks.</w:t>
      </w:r>
    </w:p>
    <w:p>
      <w:pPr>
        <w:spacing w:after="160" w:line="300"/>
        <w:ind w:firstLine="431"/>
        <w:jc w:val="both"/>
      </w:pPr>
      <w:r>
        <w:rPr>
          <w:rFonts w:ascii="Georgia" w:cs="Georgia" w:eastAsia="SimSun" w:hAnsi="Georgia"/>
          <w:color w:val="1F2A36"/>
          <w:sz w:val="22"/>
          <w:szCs w:val="22"/>
        </w:rPr>
        <w:t xml:space="preserve">24.4. Last-minute demand prohibition: once the Parties record agreement on a module in the Registry, neither Party adds new conditions to that module outside a scheduled Consolidation Review. A proposed addition follows the amendment procedure of Article 44, with sixty days' notice and mutual consent. This Article directly answers the failure mode of August 21, 2026.</w:t>
      </w:r>
    </w:p>
    <w:p>
      <w:pPr>
        <w:pStyle w:val="Heading1"/>
        <w:pageBreakBefore/>
        <w:spacing w:after="200" w:before="360"/>
      </w:pPr>
      <w:r>
        <w:rPr>
          <w:rFonts w:ascii="Georgia" w:cs="Georgia" w:eastAsia="SimSun" w:hAnsi="Georgia"/>
          <w:b/>
          <w:bCs/>
          <w:color w:val="35586B"/>
          <w:sz w:val="32"/>
          <w:szCs w:val="32"/>
        </w:rPr>
        <w:t xml:space="preserve">Part V. Cothrom Verification Architecture</w:t>
      </w:r>
    </w:p>
    <w:p>
      <w:pPr>
        <w:spacing w:after="200" w:line="300"/>
      </w:pPr>
      <w:r>
        <w:rPr>
          <w:rFonts w:ascii="Georgia" w:cs="Georgia" w:eastAsia="SimSun" w:hAnsi="Georgia"/>
          <w:i/>
          <w:iCs/>
          <w:color w:val="35586B"/>
          <w:sz w:val="22"/>
          <w:szCs w:val="22"/>
        </w:rPr>
        <w:t xml:space="preserve">Part V installs the Cothrom Method as the verification system of the entire Accord. Cothrom (Irish: equal, balanced, level, fair) treats verification as reciprocal architecture rather than one-sided surveillance: both Parties report, both Parties challenge, both Parties receive review rights, and both Parties retain a defined path back to full benefit after a Verified Breach. The core rule rejects binary snapback. A narrow breach produces a narrow consequence. A technical error produces correction before economic consequence. Deliberate nonperformance produces proportionate Step-Back. Sustained clean performance restores paused benefits.</w:t>
      </w:r>
    </w:p>
    <w:p>
      <w:pPr>
        <w:pStyle w:val="Heading2"/>
        <w:spacing w:after="140" w:before="300"/>
      </w:pPr>
      <w:r>
        <w:rPr>
          <w:rFonts w:ascii="Georgia" w:cs="Georgia" w:eastAsia="SimSun" w:hAnsi="Georgia"/>
          <w:b/>
          <w:bCs/>
          <w:color w:val="1F2A36"/>
          <w:sz w:val="26"/>
          <w:szCs w:val="26"/>
        </w:rPr>
        <w:t xml:space="preserve">Article 25. The Cothrom Principle in Trade Application</w:t>
      </w:r>
    </w:p>
    <w:p>
      <w:pPr>
        <w:spacing w:after="160" w:line="300"/>
        <w:ind w:firstLine="431"/>
        <w:jc w:val="both"/>
      </w:pPr>
      <w:r>
        <w:rPr>
          <w:rFonts w:ascii="Georgia" w:cs="Georgia" w:eastAsia="SimSun" w:hAnsi="Georgia"/>
          <w:color w:val="1F2A36"/>
          <w:sz w:val="22"/>
          <w:szCs w:val="22"/>
        </w:rPr>
        <w:t xml:space="preserve">25.1. The framework architecture does not collapse upon breach; it breathes. Discretionary benefits pause first. Core tariff-standstill treatment survives longest. Minor infractions produce minor proportional consequences. No violation creates permanent exclusion from a Module.</w:t>
      </w:r>
    </w:p>
    <w:p>
      <w:pPr>
        <w:spacing w:after="160" w:line="300"/>
        <w:ind w:firstLine="431"/>
        <w:jc w:val="both"/>
      </w:pPr>
      <w:r>
        <w:rPr>
          <w:rFonts w:ascii="Georgia" w:cs="Georgia" w:eastAsia="SimSun" w:hAnsi="Georgia"/>
          <w:color w:val="1F2A36"/>
          <w:sz w:val="22"/>
          <w:szCs w:val="22"/>
        </w:rPr>
        <w:t xml:space="preserve">25.2. The architecture is symmetric by construction. Every reporting duty, challenge right, consequence ladder, and earn-back path applies identically to both Parties. There is no claimant side and no verifier side; each Party is both, in every Module, at all times.</w:t>
      </w:r>
    </w:p>
    <w:p>
      <w:pPr>
        <w:spacing w:after="160" w:line="300"/>
        <w:ind w:firstLine="431"/>
        <w:jc w:val="both"/>
      </w:pPr>
      <w:r>
        <w:rPr>
          <w:rFonts w:ascii="Georgia" w:cs="Georgia" w:eastAsia="SimSun" w:hAnsi="Georgia"/>
          <w:color w:val="1F2A36"/>
          <w:sz w:val="22"/>
          <w:szCs w:val="22"/>
        </w:rPr>
        <w:t xml:space="preserve">25.3. Verification covers conduct, not political speech. Political statements enter the record only where a statement itself constitutes a performance milestone.</w:t>
      </w:r>
    </w:p>
    <w:p>
      <w:pPr>
        <w:pStyle w:val="Heading2"/>
        <w:spacing w:after="140" w:before="300"/>
      </w:pPr>
      <w:r>
        <w:rPr>
          <w:rFonts w:ascii="Georgia" w:cs="Georgia" w:eastAsia="SimSun" w:hAnsi="Georgia"/>
          <w:b/>
          <w:bCs/>
          <w:color w:val="1F2A36"/>
          <w:sz w:val="26"/>
          <w:szCs w:val="26"/>
        </w:rPr>
        <w:t xml:space="preserve">Article 26. Joint Trade Verification Secretariat</w:t>
      </w:r>
    </w:p>
    <w:p>
      <w:pPr>
        <w:spacing w:after="160" w:line="300"/>
        <w:ind w:firstLine="431"/>
        <w:jc w:val="both"/>
      </w:pPr>
      <w:r>
        <w:rPr>
          <w:rFonts w:ascii="Georgia" w:cs="Georgia" w:eastAsia="SimSun" w:hAnsi="Georgia"/>
          <w:color w:val="1F2A36"/>
          <w:sz w:val="22"/>
          <w:szCs w:val="22"/>
        </w:rPr>
        <w:t xml:space="preserve">26.1. Establishment. The Parties establish a Joint Trade Verification Secretariat with equal Canadian and United States representation. The Secretariat maintains the Shared Trade Registry, logs milestones, receives evidence packages, records challenges, and publishes non-confidential performance dashboards.</w:t>
      </w:r>
    </w:p>
    <w:p>
      <w:pPr>
        <w:spacing w:after="160" w:line="300"/>
        <w:ind w:firstLine="431"/>
        <w:jc w:val="both"/>
      </w:pPr>
      <w:r>
        <w:rPr>
          <w:rFonts w:ascii="Georgia" w:cs="Georgia" w:eastAsia="SimSun" w:hAnsi="Georgia"/>
          <w:color w:val="1F2A36"/>
          <w:sz w:val="22"/>
          <w:szCs w:val="22"/>
        </w:rPr>
        <w:t xml:space="preserve">26.2. Location and staff. The Secretariat maintains two co-equal offices, one in Ottawa and one in Washington, D.C., and plenary sessions rotate between them quarterly, with the host city alternating on the same calendar as the Consolidation Reviews of Annex P. Each Party appoints one senior co-chair and an equal technical staff complement of not fewer than twelve full-time officers. The co-chairs alternate meeting chairmanship. Neither co-chair controls publication, classification, or case routing alone.</w:t>
      </w:r>
    </w:p>
    <w:p>
      <w:pPr>
        <w:spacing w:after="160" w:line="300"/>
        <w:ind w:firstLine="431"/>
        <w:jc w:val="both"/>
      </w:pPr>
      <w:r>
        <w:rPr>
          <w:rFonts w:ascii="Georgia" w:cs="Georgia" w:eastAsia="SimSun" w:hAnsi="Georgia"/>
          <w:color w:val="1F2A36"/>
          <w:sz w:val="22"/>
          <w:szCs w:val="22"/>
        </w:rPr>
        <w:t xml:space="preserve">26.3. Budget. The Parties fund the Secretariat in equal 50/50 shares. The initial annual budget of US$12 million (US$6 million per Party) covers staffing, the Registry platform, audits, and panel support, and is payable within 30 Calendar Days of entry into force and of each anniversary. The budget adjusts annually by the lesser of actual cost or the aggregate consumer price inflation of the two Parties. Neither Party may withhold, condition, or delay its contribution; a contribution delayed beyond 30 Calendar Days enters Tier 1 review, and the Secretariat's operations continue without interruption during any funding dispute.</w:t>
      </w:r>
    </w:p>
    <w:p>
      <w:pPr>
        <w:spacing w:after="160" w:line="300"/>
        <w:ind w:firstLine="431"/>
        <w:jc w:val="both"/>
      </w:pPr>
      <w:r>
        <w:rPr>
          <w:rFonts w:ascii="Georgia" w:cs="Georgia" w:eastAsia="SimSun" w:hAnsi="Georgia"/>
          <w:color w:val="1F2A36"/>
          <w:sz w:val="22"/>
          <w:szCs w:val="22"/>
        </w:rPr>
        <w:t xml:space="preserve">26.4. Deadlock resolution. Decisions of the Secretariat require joint confirmation. If the co-chairs fail to agree on any operational decision within 5 Business Days of the matter being tabled, the matter escalates automatically, without further referral, to a Trade Verification Panel constituted under Article 31, which shall issue a determination within 15 Calendar Days. During escalation, the status quo ante is preserved.</w:t>
      </w:r>
    </w:p>
    <w:p>
      <w:pPr>
        <w:spacing w:after="160" w:line="300"/>
        <w:ind w:firstLine="431"/>
        <w:jc w:val="both"/>
      </w:pPr>
      <w:r>
        <w:rPr>
          <w:rFonts w:ascii="Georgia" w:cs="Georgia" w:eastAsia="SimSun" w:hAnsi="Georgia"/>
          <w:color w:val="1F2A36"/>
          <w:sz w:val="22"/>
          <w:szCs w:val="22"/>
        </w:rPr>
        <w:t xml:space="preserve">26.5. Legal character. The Secretariat is an administrative verification body. It does not substitute for customs agencies, regulators, courts, CUSMA panels, or domestic legal review, and its findings control Accord administration without altering domestic-law rights.</w:t>
      </w:r>
    </w:p>
    <w:p>
      <w:pPr>
        <w:pStyle w:val="Heading2"/>
        <w:spacing w:after="140" w:before="300"/>
      </w:pPr>
      <w:r>
        <w:rPr>
          <w:rFonts w:ascii="Georgia" w:cs="Georgia" w:eastAsia="SimSun" w:hAnsi="Georgia"/>
          <w:b/>
          <w:bCs/>
          <w:color w:val="1F2A36"/>
          <w:sz w:val="26"/>
          <w:szCs w:val="26"/>
        </w:rPr>
        <w:t xml:space="preserve">Article 27. Shared Trade Registry</w:t>
      </w:r>
    </w:p>
    <w:p>
      <w:pPr>
        <w:spacing w:after="160" w:line="300"/>
        <w:ind w:firstLine="431"/>
        <w:jc w:val="both"/>
      </w:pPr>
      <w:r>
        <w:rPr>
          <w:rFonts w:ascii="Georgia" w:cs="Georgia" w:eastAsia="SimSun" w:hAnsi="Georgia"/>
          <w:color w:val="1F2A36"/>
          <w:sz w:val="22"/>
          <w:szCs w:val="22"/>
        </w:rPr>
        <w:t xml:space="preserve">27.1. The Shared Trade Registry records every covered commitment with its baseline, evidence source, effective time, review deadline, status, challenge history, and Earn-Back status. Both Parties receive simultaneous access to the same record, with identical latency not exceeding 60 seconds.</w:t>
      </w:r>
    </w:p>
    <w:p>
      <w:pPr>
        <w:spacing w:after="160" w:line="300"/>
        <w:ind w:firstLine="431"/>
        <w:jc w:val="both"/>
      </w:pPr>
      <w:r>
        <w:rPr>
          <w:rFonts w:ascii="Georgia" w:cs="Georgia" w:eastAsia="SimSun" w:hAnsi="Georgia"/>
          <w:color w:val="1F2A36"/>
          <w:sz w:val="22"/>
          <w:szCs w:val="22"/>
        </w:rPr>
        <w:t xml:space="preserve">27.2. The Registry is unalterable: every entry carries a time stamp and a cryptographic chain of custody using append-only logging with hash-linked records. Corrections preserve the original entry and identify the reason for correction. Neither Party modifies, deletes, or redacts logged data.</w:t>
      </w:r>
    </w:p>
    <w:p>
      <w:pPr>
        <w:spacing w:after="160" w:line="300"/>
        <w:ind w:firstLine="431"/>
        <w:jc w:val="both"/>
      </w:pPr>
      <w:r>
        <w:rPr>
          <w:rFonts w:ascii="Georgia" w:cs="Georgia" w:eastAsia="SimSun" w:hAnsi="Georgia"/>
          <w:color w:val="1F2A36"/>
          <w:sz w:val="22"/>
          <w:szCs w:val="22"/>
        </w:rPr>
        <w:t xml:space="preserve">27.3. Data architecture standards. (a) All structured submissions shall conform to the Joint Registry Schema, version 1.0, comprising JSON-LD for claim and milestone objects and XML (XSD-validated) for customs and procurement extracts; the Secretariat shall publish the schema, validation rules, and API specification within 20 Business Days of entry into force. (b) Identifiers: every Module, milestone, claim, challenge, and shipment record carries a persistent unique identifier of the form SLB-[module]-[serial]. (c) Availability: the Registry maintains 99.5 percent monthly availability; an outage exceeding 48 consecutive hours affecting verification-relevant data triggers Article 29.3. (d) Interoperability: CBP (ACE) and CBSA (CARM) post implementation records through machine-readable extracts; manual filings remain available as a fallback and carry equal evidentiary weight once logged.</w:t>
      </w:r>
    </w:p>
    <w:p>
      <w:pPr>
        <w:spacing w:after="160" w:line="300"/>
        <w:ind w:firstLine="431"/>
        <w:jc w:val="both"/>
      </w:pPr>
      <w:r>
        <w:rPr>
          <w:rFonts w:ascii="Georgia" w:cs="Georgia" w:eastAsia="SimSun" w:hAnsi="Georgia"/>
          <w:color w:val="1F2A36"/>
          <w:sz w:val="22"/>
          <w:szCs w:val="22"/>
        </w:rPr>
        <w:t xml:space="preserve">27.4. Classified Information Protocol. The Registry separates public metrics from protected commercial information. Public fields include Module status, aggregate shipment value, aggregate procurement value, tariff-rate status, milestone completion, and unresolved review count. Protected fields, including company pricing, proprietary sourcing, personal data, chain-of-custody data submitted under Annex K, and security-sensitive infrastructure information, are stored in a segregated enclave with role-based access, encrypted in transit and at rest, and disclosed only to the submitting Party, the receiving customs authority, the Secretariat case officers assigned to the matter, and a Trade Verification Panel under protective order. A Panel report shall redact protected information from its public version.</w:t>
      </w:r>
    </w:p>
    <w:p>
      <w:pPr>
        <w:spacing w:after="160" w:line="300"/>
        <w:ind w:firstLine="431"/>
        <w:jc w:val="both"/>
      </w:pPr>
      <w:r>
        <w:rPr>
          <w:rFonts w:ascii="Georgia" w:cs="Georgia" w:eastAsia="SimSun" w:hAnsi="Georgia"/>
          <w:color w:val="1F2A36"/>
          <w:sz w:val="22"/>
          <w:szCs w:val="22"/>
        </w:rPr>
        <w:t xml:space="preserve">27.5. Retention and audit. The Registry retains all logged data for a minimum of five years. Either Party may request an independent forensic audit of any data segment; the Secretariat shall select the auditor from the pre-accredited expert pool within 5 Business Days, the auditor shall complete the review within 30 Calendar Days of appointment, and the requesting Party bears the cost unless the audit reveals material manipulation, in which case the manipulating Party bears all costs, including the requesting Party's costs.</w:t>
      </w:r>
    </w:p>
    <w:p>
      <w:pPr>
        <w:pStyle w:val="Heading2"/>
        <w:spacing w:after="140" w:before="300"/>
      </w:pPr>
      <w:r>
        <w:rPr>
          <w:rFonts w:ascii="Georgia" w:cs="Georgia" w:eastAsia="SimSun" w:hAnsi="Georgia"/>
          <w:b/>
          <w:bCs/>
          <w:color w:val="1F2A36"/>
          <w:sz w:val="26"/>
          <w:szCs w:val="26"/>
        </w:rPr>
        <w:t xml:space="preserve">Article 28. Data and Notification Standards</w:t>
      </w:r>
    </w:p>
    <w:p>
      <w:pPr>
        <w:spacing w:after="160" w:line="300"/>
        <w:ind w:firstLine="431"/>
        <w:jc w:val="both"/>
      </w:pPr>
      <w:r>
        <w:rPr>
          <w:rFonts w:ascii="Georgia" w:cs="Georgia" w:eastAsia="SimSun" w:hAnsi="Georgia"/>
          <w:color w:val="1F2A36"/>
          <w:sz w:val="22"/>
          <w:szCs w:val="22"/>
        </w:rPr>
        <w:t xml:space="preserve">28.1. All data exchanged under this Part is simultaneous, unalterable, transparent between the Parties, and non-attributable for political purposes. Participation in data collection and receipt carries no endorsement of any legal position, and no political meaning attaches to its collection or sharing.</w:t>
      </w:r>
    </w:p>
    <w:p>
      <w:pPr>
        <w:spacing w:after="160" w:line="300"/>
        <w:ind w:firstLine="431"/>
        <w:jc w:val="both"/>
      </w:pPr>
      <w:r>
        <w:rPr>
          <w:rFonts w:ascii="Georgia" w:cs="Georgia" w:eastAsia="SimSun" w:hAnsi="Georgia"/>
          <w:color w:val="1F2A36"/>
          <w:sz w:val="22"/>
          <w:szCs w:val="22"/>
        </w:rPr>
        <w:t xml:space="preserve">28.2. All formal notifications transmit through the Registry, which distributes them automatically according to the routing hierarchy: operational notifications to the Secretariat and both Parties' technical desks within 1 hour; political notifications to the office of the United States Trade Representative and the office of the Canadian Minister responsible for international trade; financial notifications to the designated escrow agent and both Parties. A notification is deemed received by all recipients at the moment of transmission. Either Party may request confirmation of delivery, which the Secretariat duty officer shall confirm within 4 hours; failed delivery triggers automatic escalation to alternate secure routing.</w:t>
      </w:r>
    </w:p>
    <w:p>
      <w:pPr>
        <w:spacing w:after="160" w:line="300"/>
        <w:ind w:firstLine="431"/>
        <w:jc w:val="both"/>
      </w:pPr>
      <w:r>
        <w:rPr>
          <w:rFonts w:ascii="Georgia" w:cs="Georgia" w:eastAsia="SimSun" w:hAnsi="Georgia"/>
          <w:color w:val="1F2A36"/>
          <w:sz w:val="22"/>
          <w:szCs w:val="22"/>
        </w:rPr>
        <w:t xml:space="preserve">28.3. Data quality. Each Party maintains format compliance and signal quality above the thresholds in Annex M.5. Persistent data-quality failure, meaning three or more consecutive formatting or integrity alerts within any 72-hour period, is treated as a breach of the transparency requirement and enters Tier 1 review.</w:t>
      </w:r>
    </w:p>
    <w:p>
      <w:pPr>
        <w:pStyle w:val="Heading2"/>
        <w:spacing w:after="140" w:before="300"/>
      </w:pPr>
      <w:r>
        <w:rPr>
          <w:rFonts w:ascii="Georgia" w:cs="Georgia" w:eastAsia="SimSun" w:hAnsi="Georgia"/>
          <w:b/>
          <w:bCs/>
          <w:color w:val="1F2A36"/>
          <w:sz w:val="26"/>
          <w:szCs w:val="26"/>
        </w:rPr>
        <w:t xml:space="preserve">Article 29. Anomaly Detection and Technical Truth Escalation</w:t>
      </w:r>
    </w:p>
    <w:p>
      <w:pPr>
        <w:spacing w:after="160" w:line="300"/>
        <w:ind w:firstLine="431"/>
        <w:jc w:val="both"/>
      </w:pPr>
      <w:r>
        <w:rPr>
          <w:rFonts w:ascii="Georgia" w:cs="Georgia" w:eastAsia="SimSun" w:hAnsi="Georgia"/>
          <w:color w:val="1F2A36"/>
          <w:sz w:val="22"/>
          <w:szCs w:val="22"/>
        </w:rPr>
        <w:t xml:space="preserve">29.1. The anomaly system filters noise from genuine compliance events. Level 1 (informational) events require no action. Level 2 (technical review) events receive Secretariat review within 7 Calendar Days without penalty. Level 3 (compliance review) events trigger enhanced examination within 72 hours and potential Tier 1 classification if unresolved within 14 Calendar Days. Level 4 (breach indicator) events, meaning evidence of falsification, deliberate disablement of reporting, or material diversion, trigger Tier 2 consideration and mandatory senior-official consultation within 24 hours. Only Level 4 carries potential Step-Back.</w:t>
      </w:r>
    </w:p>
    <w:p>
      <w:pPr>
        <w:spacing w:after="160" w:line="300"/>
        <w:ind w:firstLine="431"/>
        <w:jc w:val="both"/>
      </w:pPr>
      <w:r>
        <w:rPr>
          <w:rFonts w:ascii="Georgia" w:cs="Georgia" w:eastAsia="SimSun" w:hAnsi="Georgia"/>
          <w:color w:val="1F2A36"/>
          <w:sz w:val="22"/>
          <w:szCs w:val="22"/>
        </w:rPr>
        <w:t xml:space="preserve">29.2. Data-fidelity disputes follow a binding, time-bound escalation chain: the Secretariat's chief technical officer issues a preliminary finding within 24 hours of registration; either Party may escalate to the Technical Working Group, which convenes within 48 hours; either Party may escalate further to a three-member neutral technical panel drawn from the Annex O roster, whose determination on data fidelity is final. Registration of a technical dispute freezes operational responses to the disputed event for 24 hours, and the hold lifts automatically on resolution.</w:t>
      </w:r>
    </w:p>
    <w:p>
      <w:pPr>
        <w:spacing w:after="160" w:line="300"/>
        <w:ind w:firstLine="431"/>
        <w:jc w:val="both"/>
      </w:pPr>
      <w:r>
        <w:rPr>
          <w:rFonts w:ascii="Georgia" w:cs="Georgia" w:eastAsia="SimSun" w:hAnsi="Georgia"/>
          <w:color w:val="1F2A36"/>
          <w:sz w:val="22"/>
          <w:szCs w:val="22"/>
        </w:rPr>
        <w:t xml:space="preserve">29.3. Automatic suspension for reporting failure is the sole exception to human-in-the-loop control: where verification-relevant data from a covered facility or program is unavailable for 48 consecutive hours and the Technical Working Group certifies the cause is not equipment failure or maintenance, the framework benefits related to that facility or program suspend automatically and lift immediately upon certified restoration.</w:t>
      </w:r>
    </w:p>
    <w:p>
      <w:pPr>
        <w:pStyle w:val="Heading2"/>
        <w:spacing w:after="140" w:before="300"/>
      </w:pPr>
      <w:r>
        <w:rPr>
          <w:rFonts w:ascii="Georgia" w:cs="Georgia" w:eastAsia="SimSun" w:hAnsi="Georgia"/>
          <w:b/>
          <w:bCs/>
          <w:color w:val="1F2A36"/>
          <w:sz w:val="26"/>
          <w:szCs w:val="26"/>
        </w:rPr>
        <w:t xml:space="preserve">Article 30. Evidence Standards and Confirmation Levels</w:t>
      </w:r>
    </w:p>
    <w:p>
      <w:pPr>
        <w:spacing w:after="160" w:line="300"/>
        <w:ind w:firstLine="431"/>
        <w:jc w:val="both"/>
      </w:pPr>
      <w:r>
        <w:rPr>
          <w:rFonts w:ascii="Georgia" w:cs="Georgia" w:eastAsia="SimSun" w:hAnsi="Georgia"/>
          <w:color w:val="1F2A36"/>
          <w:sz w:val="22"/>
          <w:szCs w:val="22"/>
        </w:rPr>
        <w:t xml:space="preserve">30.1. Every performance claim identifies the obligation, the time period, the data source, the responsible Competent Authority, and the objective evidence, using the claim template of Annex M. Customs measures use official tariff instructions, entry data, and rate treatment. Procurement measures use solicitation and award records. Dairy and alcohol measures use allocation, listing, and shipment records. Energy, minerals, and compute measures use utility, regulatory, contract, and construction milestones.</w:t>
      </w:r>
    </w:p>
    <w:p>
      <w:pPr>
        <w:spacing w:after="160" w:line="300"/>
        <w:ind w:firstLine="431"/>
        <w:jc w:val="both"/>
      </w:pPr>
      <w:r>
        <w:rPr>
          <w:rFonts w:ascii="Georgia" w:cs="Georgia" w:eastAsia="SimSun" w:hAnsi="Georgia"/>
          <w:color w:val="1F2A36"/>
          <w:sz w:val="22"/>
          <w:szCs w:val="22"/>
        </w:rPr>
        <w:t xml:space="preserve">30.2. The Secretariat assigns each claim one of four confirmation levels against the Golden Record: Confirmed (100 percent data alignment), Substantially Confirmed (90 to 99 percent), Partially Confirmed (50 to 89 percent), or Unconfirmed (below 50 percent). Partial findings preserve the verified portion instead of converting a mixed record into total failure. The Secretariat shall issue each confirmation determination within 10 Business Days of a complete claim package.</w:t>
      </w:r>
    </w:p>
    <w:p>
      <w:pPr>
        <w:spacing w:after="160" w:line="300"/>
        <w:ind w:firstLine="431"/>
        <w:jc w:val="both"/>
      </w:pPr>
      <w:r>
        <w:rPr>
          <w:rFonts w:ascii="Georgia" w:cs="Georgia" w:eastAsia="SimSun" w:hAnsi="Georgia"/>
          <w:color w:val="1F2A36"/>
          <w:sz w:val="22"/>
          <w:szCs w:val="22"/>
        </w:rPr>
        <w:t xml:space="preserve">30.3. The challenging Party identifies the exact disputed element and supplies counter-evidence. General political disagreement does not qualify as an evidentiary challenge.</w:t>
      </w:r>
    </w:p>
    <w:p>
      <w:pPr>
        <w:pStyle w:val="Heading2"/>
        <w:spacing w:after="140" w:before="300"/>
      </w:pPr>
      <w:r>
        <w:rPr>
          <w:rFonts w:ascii="Georgia" w:cs="Georgia" w:eastAsia="SimSun" w:hAnsi="Georgia"/>
          <w:b/>
          <w:bCs/>
          <w:color w:val="1F2A36"/>
          <w:sz w:val="26"/>
          <w:szCs w:val="26"/>
        </w:rPr>
        <w:t xml:space="preserve">Article 31. Challenge Window and Neutral Review</w:t>
      </w:r>
    </w:p>
    <w:p>
      <w:pPr>
        <w:spacing w:after="160" w:line="300"/>
        <w:ind w:firstLine="431"/>
        <w:jc w:val="both"/>
      </w:pPr>
      <w:r>
        <w:rPr>
          <w:rFonts w:ascii="Georgia" w:cs="Georgia" w:eastAsia="SimSun" w:hAnsi="Georgia"/>
          <w:color w:val="1F2A36"/>
          <w:sz w:val="22"/>
          <w:szCs w:val="22"/>
        </w:rPr>
        <w:t xml:space="preserve">31.1. Each Party has 48 hours after a Secretariat finding to file a technical challenge through the Registry. A challenge freezes only the disputed incremental benefit, not the underlying Module, for up to 72 hours.</w:t>
      </w:r>
    </w:p>
    <w:p>
      <w:pPr>
        <w:spacing w:after="160" w:line="300"/>
        <w:ind w:firstLine="431"/>
        <w:jc w:val="both"/>
      </w:pPr>
      <w:r>
        <w:rPr>
          <w:rFonts w:ascii="Georgia" w:cs="Georgia" w:eastAsia="SimSun" w:hAnsi="Georgia"/>
          <w:color w:val="1F2A36"/>
          <w:sz w:val="22"/>
          <w:szCs w:val="22"/>
        </w:rPr>
        <w:t xml:space="preserve">31.2. Unresolved challenges move to a three-person Trade Verification Panel. Canada selects one roster member, the United States selects one roster member, and the two selected members draw a neutral chair from the pre-approved non-party roster under the lot procedure of Annex O.3. Panel members disclose conflicts and step aside where a direct conflict exists. The Panel issues a written technical determination within 21 Calendar Days of constitution, based on the Accord text and the submitted evidence, and the determination controls Accord administration.</w:t>
      </w:r>
    </w:p>
    <w:p>
      <w:pPr>
        <w:spacing w:after="160" w:line="300"/>
        <w:ind w:firstLine="431"/>
        <w:jc w:val="both"/>
      </w:pPr>
      <w:r>
        <w:rPr>
          <w:rFonts w:ascii="Georgia" w:cs="Georgia" w:eastAsia="SimSun" w:hAnsi="Georgia"/>
          <w:color w:val="1F2A36"/>
          <w:sz w:val="22"/>
          <w:szCs w:val="22"/>
        </w:rPr>
        <w:t xml:space="preserve">31.3. Panel seating is automatic. The standing rosters of Annex O are maintained at full strength at all times, and a Party's failure to name a member within 10 Calendar Days results in appointment by lot from the roster. The framework architecture excludes panel blocking.</w:t>
      </w:r>
    </w:p>
    <w:p>
      <w:pPr>
        <w:pStyle w:val="Heading2"/>
        <w:spacing w:after="140" w:before="300"/>
      </w:pPr>
      <w:r>
        <w:rPr>
          <w:rFonts w:ascii="Georgia" w:cs="Georgia" w:eastAsia="SimSun" w:hAnsi="Georgia"/>
          <w:b/>
          <w:bCs/>
          <w:color w:val="1F2A36"/>
          <w:sz w:val="26"/>
          <w:szCs w:val="26"/>
        </w:rPr>
        <w:t xml:space="preserve">Article 32. Frivolous Challenge Control</w:t>
      </w:r>
    </w:p>
    <w:p>
      <w:pPr>
        <w:spacing w:after="160" w:line="300"/>
        <w:ind w:firstLine="431"/>
        <w:jc w:val="both"/>
      </w:pPr>
      <w:r>
        <w:rPr>
          <w:rFonts w:ascii="Georgia" w:cs="Georgia" w:eastAsia="SimSun" w:hAnsi="Georgia"/>
          <w:color w:val="1F2A36"/>
          <w:sz w:val="22"/>
          <w:szCs w:val="22"/>
        </w:rPr>
        <w:t xml:space="preserve">32.1. Cothrom protects the right to challenge while discouraging procedural flooding. A failed first challenge carries no consequence beyond loss of the temporary hold. A second failed challenge in the same Module narrows the next hold to 48 hours. A third failed challenge narrows the next hold to 24 hours and triggers co-chair review. A fourth failed challenge in the same Module within 30 Calendar Days creates a 7-day presumption in favor of Secretariat findings unless the challenger supplies new material evidence; the presumption ends automatically after the 7-day period.</w:t>
      </w:r>
    </w:p>
    <w:p>
      <w:pPr>
        <w:spacing w:after="160" w:line="300"/>
        <w:ind w:firstLine="431"/>
        <w:jc w:val="both"/>
      </w:pPr>
      <w:r>
        <w:rPr>
          <w:rFonts w:ascii="Georgia" w:cs="Georgia" w:eastAsia="SimSun" w:hAnsi="Georgia"/>
          <w:color w:val="1F2A36"/>
          <w:sz w:val="22"/>
          <w:szCs w:val="22"/>
        </w:rPr>
        <w:t xml:space="preserve">32.2. The ladder applies identically to both Parties. The architecture penalizes procedural abuse symmetrically, and the frivolous-objection rate of each Party publishes on the Annex N dashboard.</w:t>
      </w:r>
    </w:p>
    <w:p>
      <w:pPr>
        <w:pStyle w:val="Heading2"/>
        <w:spacing w:after="140" w:before="300"/>
      </w:pPr>
      <w:r>
        <w:rPr>
          <w:rFonts w:ascii="Georgia" w:cs="Georgia" w:eastAsia="SimSun" w:hAnsi="Georgia"/>
          <w:b/>
          <w:bCs/>
          <w:color w:val="1F2A36"/>
          <w:sz w:val="26"/>
          <w:szCs w:val="26"/>
        </w:rPr>
        <w:t xml:space="preserve">Article 33. Partial Credit and Status Zones</w:t>
      </w:r>
    </w:p>
    <w:p>
      <w:pPr>
        <w:spacing w:after="160" w:line="300"/>
        <w:ind w:firstLine="431"/>
        <w:jc w:val="both"/>
      </w:pPr>
      <w:r>
        <w:rPr>
          <w:rFonts w:ascii="Georgia" w:cs="Georgia" w:eastAsia="SimSun" w:hAnsi="Georgia"/>
          <w:color w:val="1F2A36"/>
          <w:sz w:val="22"/>
          <w:szCs w:val="22"/>
        </w:rPr>
        <w:t xml:space="preserve">33.1. The Secretariat scores milestone performance by verified completion: 90 percent or greater receives full credit; 70 to 89 percent receives 75 percent credit; 50 to 69 percent receives 50 percent credit; below 50 percent receives no credit. Partial credit affects discretionary progression benefits; core tariff-standstill treatment changes only through the tiered Step-Back rules after consultation and review.</w:t>
      </w:r>
    </w:p>
    <w:p>
      <w:pPr>
        <w:spacing w:after="160" w:line="300"/>
        <w:ind w:firstLine="431"/>
        <w:jc w:val="both"/>
      </w:pPr>
      <w:r>
        <w:rPr>
          <w:rFonts w:ascii="Georgia" w:cs="Georgia" w:eastAsia="SimSun" w:hAnsi="Georgia"/>
          <w:color w:val="1F2A36"/>
          <w:sz w:val="22"/>
          <w:szCs w:val="22"/>
        </w:rPr>
        <w:t xml:space="preserve">33.2. Module status zones follow Annex N: Green (strong verified performance), Amber (minor gap or active correction), Orange (material gap), Red (deliberate or severe failure). Zone status informs review and progression; it never by itself triggers cross-module or tariff consequences.</w:t>
      </w:r>
    </w:p>
    <w:p>
      <w:pPr>
        <w:pStyle w:val="Heading2"/>
        <w:spacing w:after="140" w:before="300"/>
      </w:pPr>
      <w:r>
        <w:rPr>
          <w:rFonts w:ascii="Georgia" w:cs="Georgia" w:eastAsia="SimSun" w:hAnsi="Georgia"/>
          <w:b/>
          <w:bCs/>
          <w:color w:val="1F2A36"/>
          <w:sz w:val="26"/>
          <w:szCs w:val="26"/>
        </w:rPr>
        <w:t xml:space="preserve">Article 34. Step-Back Tiers, Pre-Action Notification, Firewalls, and Earn-Back</w:t>
      </w:r>
    </w:p>
    <w:p>
      <w:pPr>
        <w:spacing w:after="160" w:line="300"/>
        <w:ind w:firstLine="431"/>
        <w:jc w:val="both"/>
      </w:pPr>
      <w:r>
        <w:rPr>
          <w:rFonts w:ascii="Georgia" w:cs="Georgia" w:eastAsia="SimSun" w:hAnsi="Georgia"/>
          <w:color w:val="1F2A36"/>
          <w:sz w:val="22"/>
          <w:szCs w:val="22"/>
        </w:rPr>
        <w:t xml:space="preserve">34.1. Tier 1 Event (technical variance): customs coding errors, short reporting delays, isolated data gaps, minor listing delays, or comparable defects with no material commercial effect and no evidence of intent. Tier 1 produces no benefit reduction; the responsible implementation body receives a correction window of up to 10 Business Days; a corrected event closes with no residual debit. Repeated identical Tier 1 Events enter pattern review only after three occurrences in 30 Calendar Days.</w:t>
      </w:r>
    </w:p>
    <w:p>
      <w:pPr>
        <w:spacing w:after="160" w:line="300"/>
        <w:ind w:firstLine="431"/>
        <w:jc w:val="both"/>
      </w:pPr>
      <w:r>
        <w:rPr>
          <w:rFonts w:ascii="Georgia" w:cs="Georgia" w:eastAsia="SimSun" w:hAnsi="Georgia"/>
          <w:color w:val="1F2A36"/>
          <w:sz w:val="22"/>
          <w:szCs w:val="22"/>
        </w:rPr>
        <w:t xml:space="preserve">34.2. Tier 2 Event (material disruption): failure to implement a Verified tariff rate, material denial of covered market access, repeated obstruction of evidence review, deliberate delay beyond a correction window, or a pattern of unresolved Tier 1 Events producing commercial harm. Tier 2 begins with a 48-hour senior-official consultation. Thereafter the affected discretionary benefit within the Module pauses by 10 percent for the first 7 Calendar Days, 15 percent for days 8 through 14, and 25 percent after day 14. Core customs preference processing, completed contracts, emergency flows, and safety-related actions remain protected. Full restoration follows 7 consecutive clean days after remediation.</w:t>
      </w:r>
    </w:p>
    <w:p>
      <w:pPr>
        <w:spacing w:after="160" w:line="300"/>
        <w:ind w:firstLine="431"/>
        <w:jc w:val="both"/>
      </w:pPr>
      <w:r>
        <w:rPr>
          <w:rFonts w:ascii="Georgia" w:cs="Georgia" w:eastAsia="SimSun" w:hAnsi="Georgia"/>
          <w:color w:val="1F2A36"/>
          <w:sz w:val="22"/>
          <w:szCs w:val="22"/>
        </w:rPr>
        <w:t xml:space="preserve">34.3. Tier 3 Event (deliberate circumvention): deliberately falsified performance data, coordinated customs evasion designed to defeat the Accord, deliberate destruction of verification records, or a systematic pattern of Tier 2 conduct demonstrating institutional bad faith. Immediate remediation within 72 hours limits the Module Step-Back to 25 percent; continued nonperformance after 72 hours raises it to 35 percent; continued nonperformance after 30 Calendar Days raises it to 50 percent. Full restoration follows 21 consecutive clean days plus Panel confirmation.</w:t>
      </w:r>
    </w:p>
    <w:p>
      <w:pPr>
        <w:spacing w:after="160" w:line="300"/>
        <w:ind w:firstLine="431"/>
        <w:jc w:val="both"/>
      </w:pPr>
      <w:r>
        <w:rPr>
          <w:rFonts w:ascii="Georgia" w:cs="Georgia" w:eastAsia="SimSun" w:hAnsi="Georgia"/>
          <w:color w:val="1F2A36"/>
          <w:sz w:val="22"/>
          <w:szCs w:val="22"/>
        </w:rPr>
        <w:t xml:space="preserve">34.4. Pre-Action Notification. Before escalating a matter from Tier 2 to Tier 3, the alleging Party shall file a Pre-Action Notification through the Registry containing: (a) the specific conduct alleged; (b) the evidence package demonstrating intent or systematic pattern; (c) the Tier 2 remediation history; and (d) the proposed Tier 3 classification. The responding Party has 5 Business Days to file a written response and supporting evidence. Absent an emergency under Article 35.1, no Tier 3 classification takes effect before the earlier of Panel determination or the expiry of 15 Calendar Days from the Pre-Action Notification. The same rule applies, mutatis mutandis, before any Step-Back percentage increase within Tier 3.</w:t>
      </w:r>
    </w:p>
    <w:p>
      <w:pPr>
        <w:spacing w:after="160" w:line="300"/>
        <w:ind w:firstLine="431"/>
        <w:jc w:val="both"/>
      </w:pPr>
      <w:r>
        <w:rPr>
          <w:rFonts w:ascii="Georgia" w:cs="Georgia" w:eastAsia="SimSun" w:hAnsi="Georgia"/>
          <w:color w:val="1F2A36"/>
          <w:sz w:val="22"/>
          <w:szCs w:val="22"/>
        </w:rPr>
        <w:t xml:space="preserve">34.5. Module Firewall. A failure in one Module does not alter any other Module. Cross-module effect activates only after the Trade Verification Panel finds that the same conduct directly and materially defeats a second Module, and the affected Party receives the challenge window of Article 31.1 before cross-module treatment starts. The Module Firewall is the central anti-collapse rule of the Accord.</w:t>
      </w:r>
    </w:p>
    <w:p>
      <w:pPr>
        <w:spacing w:after="160" w:line="300"/>
        <w:ind w:firstLine="431"/>
        <w:jc w:val="both"/>
      </w:pPr>
      <w:r>
        <w:rPr>
          <w:rFonts w:ascii="Georgia" w:cs="Georgia" w:eastAsia="SimSun" w:hAnsi="Georgia"/>
          <w:color w:val="1F2A36"/>
          <w:sz w:val="22"/>
          <w:szCs w:val="22"/>
        </w:rPr>
        <w:t xml:space="preserve">34.6. Earn-Back Credits. A Party accrues one Earn-Back Credit unit for every 7 consecutive days of early completion of a material milestone, provided clean performance is maintained through the original deadline. One credit unit equals a one-day reduction in the clean-performance period required for restoration from a later Tier 2 or Tier 3 Event in the same Module, subject to a maximum acceleration of 25 percent of the applicable clean-performance period. Credits are Module-specific, publish in the Registry, cannot be transferred between Modules, and persist on the Rolling Horizon rather than expiring by calendar. The Secretariat shall compute and post credit balances within 5 Business Days of each milestone verification.</w:t>
      </w:r>
    </w:p>
    <w:p>
      <w:pPr>
        <w:pStyle w:val="Heading2"/>
        <w:spacing w:after="140" w:before="300"/>
      </w:pPr>
      <w:r>
        <w:rPr>
          <w:rFonts w:ascii="Georgia" w:cs="Georgia" w:eastAsia="SimSun" w:hAnsi="Georgia"/>
          <w:b/>
          <w:bCs/>
          <w:color w:val="1F2A36"/>
          <w:sz w:val="26"/>
          <w:szCs w:val="26"/>
        </w:rPr>
        <w:t xml:space="preserve">Article 35. Emergency Measures, Force Majeure, and Operational Pause</w:t>
      </w:r>
    </w:p>
    <w:p>
      <w:pPr>
        <w:spacing w:after="160" w:line="300"/>
        <w:ind w:firstLine="431"/>
        <w:jc w:val="both"/>
      </w:pPr>
      <w:r>
        <w:rPr>
          <w:rFonts w:ascii="Georgia" w:cs="Georgia" w:eastAsia="SimSun" w:hAnsi="Georgia"/>
          <w:color w:val="1F2A36"/>
          <w:sz w:val="22"/>
          <w:szCs w:val="22"/>
        </w:rPr>
        <w:t xml:space="preserve">35.1. Genuine national security emergency measures are narrowly defined, notified through the Registry at imposition, and referred to expedited Panel review within 30 Calendar Days. A measure the Panel finds pretextual shall be removed within 45 Calendar Days of the report, and the affected Module receives compensation treatment through accelerated Earn-Back at double the Article 34.6 accrual rate for 60 Calendar Days.</w:t>
      </w:r>
    </w:p>
    <w:p>
      <w:pPr>
        <w:spacing w:after="160" w:line="300"/>
        <w:ind w:firstLine="431"/>
        <w:jc w:val="both"/>
      </w:pPr>
      <w:r>
        <w:rPr>
          <w:rFonts w:ascii="Georgia" w:cs="Georgia" w:eastAsia="SimSun" w:hAnsi="Georgia"/>
          <w:color w:val="1F2A36"/>
          <w:sz w:val="22"/>
          <w:szCs w:val="22"/>
        </w:rPr>
        <w:t xml:space="preserve">35.2. Force majeure: wildfire, flood, grid emergency, strike, infrastructure failure, court order, or comparable external events that materially block performance pause the relevant performance clock for the verified duration of the impediment, upon notice filed with evidence as soon as practicable. Ordinary commercial price movements and demand changes are market risk, not force majeure.</w:t>
      </w:r>
    </w:p>
    <w:p>
      <w:pPr>
        <w:spacing w:after="160" w:line="300"/>
        <w:ind w:firstLine="431"/>
        <w:jc w:val="both"/>
      </w:pPr>
      <w:r>
        <w:rPr>
          <w:rFonts w:ascii="Georgia" w:cs="Georgia" w:eastAsia="SimSun" w:hAnsi="Georgia"/>
          <w:color w:val="1F2A36"/>
          <w:sz w:val="22"/>
          <w:szCs w:val="22"/>
        </w:rPr>
        <w:t xml:space="preserve">35.3. Either Party may activate one temporary operational pause of up to 7 Calendar Days per Module for a domestic transition, emergency administrative failure, or acute implementation dispute. The pause freezes new milestones but preserves existing tariff-standstill treatment and completed commercial rights. The activating Party identifies the affected Module, reason, and restoration date in the Registry. A second pause in the same Module requires joint co-chair confirmation.</w:t>
      </w:r>
    </w:p>
    <w:p>
      <w:pPr>
        <w:pStyle w:val="Heading1"/>
        <w:pageBreakBefore/>
        <w:spacing w:after="200" w:before="360"/>
      </w:pPr>
      <w:r>
        <w:rPr>
          <w:rFonts w:ascii="Georgia" w:cs="Georgia" w:eastAsia="SimSun" w:hAnsi="Georgia"/>
          <w:b/>
          <w:bCs/>
          <w:color w:val="35586B"/>
          <w:sz w:val="32"/>
          <w:szCs w:val="32"/>
        </w:rPr>
        <w:t xml:space="preserve">Part VI. Dispute Resolution</w:t>
      </w:r>
    </w:p>
    <w:p>
      <w:pPr>
        <w:spacing w:after="200" w:line="300"/>
      </w:pPr>
      <w:r>
        <w:rPr>
          <w:rFonts w:ascii="Georgia" w:cs="Georgia" w:eastAsia="SimSun" w:hAnsi="Georgia"/>
          <w:i/>
          <w:iCs/>
          <w:color w:val="35586B"/>
          <w:sz w:val="22"/>
          <w:szCs w:val="22"/>
        </w:rPr>
        <w:t xml:space="preserve">Part VI gives the Accord an enforceable spine that neither Party can ignore, block, or slow-walk. It repairs, in bilateral form, the dispute-resolution failures that have accumulated across CUSMA: panel blocking, non-compliance with rulings, stalled processes, and unilateral retaliation.</w:t>
      </w:r>
    </w:p>
    <w:p>
      <w:pPr>
        <w:pStyle w:val="Heading2"/>
        <w:spacing w:after="140" w:before="300"/>
      </w:pPr>
      <w:r>
        <w:rPr>
          <w:rFonts w:ascii="Georgia" w:cs="Georgia" w:eastAsia="SimSun" w:hAnsi="Georgia"/>
          <w:b/>
          <w:bCs/>
          <w:color w:val="1F2A36"/>
          <w:sz w:val="26"/>
          <w:szCs w:val="26"/>
        </w:rPr>
        <w:t xml:space="preserve">Article 36. Binding Panels and Automatic Seating</w:t>
      </w:r>
    </w:p>
    <w:p>
      <w:pPr>
        <w:spacing w:after="160" w:line="300"/>
        <w:ind w:firstLine="431"/>
        <w:jc w:val="both"/>
      </w:pPr>
      <w:r>
        <w:rPr>
          <w:rFonts w:ascii="Georgia" w:cs="Georgia" w:eastAsia="SimSun" w:hAnsi="Georgia"/>
          <w:color w:val="1F2A36"/>
          <w:sz w:val="22"/>
          <w:szCs w:val="22"/>
        </w:rPr>
        <w:t xml:space="preserve">36.1. Any dispute concerning the interpretation or application of this Accord follows a fixed sequence: written consultation request through the Registry; consultation within 30 Calendar Days; panel formation automatically upon request thereafter; panel report within 75 Calendar Days of formation, in accordance with the Rules of Procedure in Annex O.</w:t>
      </w:r>
    </w:p>
    <w:p>
      <w:pPr>
        <w:spacing w:after="160" w:line="300"/>
        <w:ind w:firstLine="431"/>
        <w:jc w:val="both"/>
      </w:pPr>
      <w:r>
        <w:rPr>
          <w:rFonts w:ascii="Georgia" w:cs="Georgia" w:eastAsia="SimSun" w:hAnsi="Georgia"/>
          <w:color w:val="1F2A36"/>
          <w:sz w:val="22"/>
          <w:szCs w:val="22"/>
        </w:rPr>
        <w:t xml:space="preserve">36.2. Panels form from the standing rosters of Annex O: each Party selects one panelist, and the chair is drawn by lot from the neutral roster. A Party that does not select within 10 Calendar Days receives an appointment by lot. No Party may prevent, delay, or condition panel formation.</w:t>
      </w:r>
    </w:p>
    <w:p>
      <w:pPr>
        <w:spacing w:after="160" w:line="300"/>
        <w:ind w:firstLine="431"/>
        <w:jc w:val="both"/>
      </w:pPr>
      <w:r>
        <w:rPr>
          <w:rFonts w:ascii="Georgia" w:cs="Georgia" w:eastAsia="SimSun" w:hAnsi="Georgia"/>
          <w:color w:val="1F2A36"/>
          <w:sz w:val="22"/>
          <w:szCs w:val="22"/>
        </w:rPr>
        <w:t xml:space="preserve">36.3. The Parties maintain the rosters at full strength continuously. Roster vacancies shall be filled within 30 Calendar Days, and the Registry publishes roster status in real time. Roster depletion beyond 30 Calendar Days enters Tier 2 review as an obstruction of process.</w:t>
      </w:r>
    </w:p>
    <w:p>
      <w:pPr>
        <w:pStyle w:val="Heading2"/>
        <w:spacing w:after="140" w:before="300"/>
      </w:pPr>
      <w:r>
        <w:rPr>
          <w:rFonts w:ascii="Georgia" w:cs="Georgia" w:eastAsia="SimSun" w:hAnsi="Georgia"/>
          <w:b/>
          <w:bCs/>
          <w:color w:val="1F2A36"/>
          <w:sz w:val="26"/>
          <w:szCs w:val="26"/>
        </w:rPr>
        <w:t xml:space="preserve">Article 37. Compliance, Remedies, and Escalation</w:t>
      </w:r>
    </w:p>
    <w:p>
      <w:pPr>
        <w:spacing w:after="160" w:line="300"/>
        <w:ind w:firstLine="431"/>
        <w:jc w:val="both"/>
      </w:pPr>
      <w:r>
        <w:rPr>
          <w:rFonts w:ascii="Georgia" w:cs="Georgia" w:eastAsia="SimSun" w:hAnsi="Georgia"/>
          <w:color w:val="1F2A36"/>
          <w:sz w:val="22"/>
          <w:szCs w:val="22"/>
        </w:rPr>
        <w:t xml:space="preserve">37.1. Where a panel finds a measure inconsistent with this Accord, the responding Party shall bring the measure into conformity within 45 Calendar Days of the report. Remedies are automatic and self-executing: no discretion exists to ignore a ruling.</w:t>
      </w:r>
    </w:p>
    <w:p>
      <w:pPr>
        <w:spacing w:after="160" w:line="300"/>
        <w:ind w:firstLine="431"/>
        <w:jc w:val="both"/>
      </w:pPr>
      <w:r>
        <w:rPr>
          <w:rFonts w:ascii="Georgia" w:cs="Georgia" w:eastAsia="SimSun" w:hAnsi="Georgia"/>
          <w:color w:val="1F2A36"/>
          <w:sz w:val="22"/>
          <w:szCs w:val="22"/>
        </w:rPr>
        <w:t xml:space="preserve">37.2. Where the responding Party does not conform within 45 Calendar Days, the complaining Party may suspend equivalent benefits, calibrated by the panel to the value of the non-conformity, within the affected Module first. Suspension follows the Cothrom ladders of Article 34 and carries the same Earn-Back paths.</w:t>
      </w:r>
    </w:p>
    <w:p>
      <w:pPr>
        <w:spacing w:after="160" w:line="300"/>
        <w:ind w:firstLine="431"/>
        <w:jc w:val="both"/>
      </w:pPr>
      <w:r>
        <w:rPr>
          <w:rFonts w:ascii="Georgia" w:cs="Georgia" w:eastAsia="SimSun" w:hAnsi="Georgia"/>
          <w:color w:val="1F2A36"/>
          <w:sz w:val="22"/>
          <w:szCs w:val="22"/>
        </w:rPr>
        <w:t xml:space="preserve">37.3. Neither Party shall impose retaliatory tariffs outside this sequence, except a genuine national security emergency measure under Article 35.1, which receives expedited review. A unilateral retaliatory measure imposed outside the sequence is itself a Tier 3 Event, and the automatic remedy is restoration of the status quo plus accelerated Earn-Back for the affected Party under Article 35.1.</w:t>
      </w:r>
    </w:p>
    <w:p>
      <w:pPr>
        <w:spacing w:after="160" w:line="300"/>
        <w:ind w:firstLine="431"/>
        <w:jc w:val="both"/>
      </w:pPr>
      <w:r>
        <w:rPr>
          <w:rFonts w:ascii="Georgia" w:cs="Georgia" w:eastAsia="SimSun" w:hAnsi="Georgia"/>
          <w:color w:val="1F2A36"/>
          <w:sz w:val="22"/>
          <w:szCs w:val="22"/>
        </w:rPr>
        <w:t xml:space="preserve">37.4. Relationship to CUSMA: nothing in this Part limits either Party's recourse to dispute settlement under CUSMA Chapter 31. A Party may proceed in either forum, but not both on the same measure, and a ruling in either forum is given full faith in the other for purposes of the same facts.</w:t>
      </w:r>
    </w:p>
    <w:p>
      <w:pPr>
        <w:pStyle w:val="Heading2"/>
        <w:spacing w:after="140" w:before="300"/>
      </w:pPr>
      <w:r>
        <w:rPr>
          <w:rFonts w:ascii="Georgia" w:cs="Georgia" w:eastAsia="SimSun" w:hAnsi="Georgia"/>
          <w:b/>
          <w:bCs/>
          <w:color w:val="1F2A36"/>
          <w:sz w:val="26"/>
          <w:szCs w:val="26"/>
        </w:rPr>
        <w:t xml:space="preserve">Article 38. Fast-Track Lanes</w:t>
      </w:r>
    </w:p>
    <w:p>
      <w:pPr>
        <w:spacing w:after="160" w:line="300"/>
        <w:ind w:firstLine="431"/>
        <w:jc w:val="both"/>
      </w:pPr>
      <w:r>
        <w:rPr>
          <w:rFonts w:ascii="Georgia" w:cs="Georgia" w:eastAsia="SimSun" w:hAnsi="Georgia"/>
          <w:color w:val="1F2A36"/>
          <w:sz w:val="22"/>
          <w:szCs w:val="22"/>
        </w:rPr>
        <w:t xml:space="preserve">38.1. Perishable goods, energy flows, and just-in-time automotive shipments use the fast-track lane: consultation within 7 Calendar Days, panel report within 30 Calendar Days, and interim relief available under Annex O.6 on a showing of imminent commercial harm.</w:t>
      </w:r>
    </w:p>
    <w:p>
      <w:pPr>
        <w:spacing w:after="160" w:line="300"/>
        <w:ind w:firstLine="431"/>
        <w:jc w:val="both"/>
      </w:pPr>
      <w:r>
        <w:rPr>
          <w:rFonts w:ascii="Georgia" w:cs="Georgia" w:eastAsia="SimSun" w:hAnsi="Georgia"/>
          <w:color w:val="1F2A36"/>
          <w:sz w:val="22"/>
          <w:szCs w:val="22"/>
        </w:rPr>
        <w:t xml:space="preserve">38.2. Customs administration errors affecting individual shipments resolve through the technical desk of the Secretariat within 10 Business Days, with refund and correction as the default remedy, and never escalate to Module consequence unless a pattern emerges under Article 34.1.</w:t>
      </w:r>
    </w:p>
    <w:p>
      <w:pPr>
        <w:pStyle w:val="Heading1"/>
        <w:pageBreakBefore/>
        <w:spacing w:after="200" w:before="360"/>
      </w:pPr>
      <w:r>
        <w:rPr>
          <w:rFonts w:ascii="Georgia" w:cs="Georgia" w:eastAsia="SimSun" w:hAnsi="Georgia"/>
          <w:b/>
          <w:bCs/>
          <w:color w:val="35586B"/>
          <w:sz w:val="32"/>
          <w:szCs w:val="32"/>
        </w:rPr>
        <w:t xml:space="preserve">Part VII. Durability: The Rolling Horizon and the No-Fade Principle</w:t>
      </w:r>
    </w:p>
    <w:p>
      <w:pPr>
        <w:spacing w:after="200" w:line="300"/>
      </w:pPr>
      <w:r>
        <w:rPr>
          <w:rFonts w:ascii="Georgia" w:cs="Georgia" w:eastAsia="SimSun" w:hAnsi="Georgia"/>
          <w:i/>
          <w:iCs/>
          <w:color w:val="35586B"/>
          <w:sz w:val="22"/>
          <w:szCs w:val="22"/>
        </w:rPr>
        <w:t xml:space="preserve">Part VII replaces the sunset architecture that has weaponized past agreements. There are no expiry dates, no forced renegotiation cycles, and no cliffs. Durability comes from verified performance, not from deadlines.</w:t>
      </w:r>
    </w:p>
    <w:p>
      <w:pPr>
        <w:pStyle w:val="Heading2"/>
        <w:spacing w:after="140" w:before="300"/>
      </w:pPr>
      <w:r>
        <w:rPr>
          <w:rFonts w:ascii="Georgia" w:cs="Georgia" w:eastAsia="SimSun" w:hAnsi="Georgia"/>
          <w:b/>
          <w:bCs/>
          <w:color w:val="1F2A36"/>
          <w:sz w:val="26"/>
          <w:szCs w:val="26"/>
        </w:rPr>
        <w:t xml:space="preserve">Article 39. No Sunset Clauses</w:t>
      </w:r>
    </w:p>
    <w:p>
      <w:pPr>
        <w:spacing w:after="160" w:line="300"/>
        <w:ind w:firstLine="431"/>
        <w:jc w:val="both"/>
      </w:pPr>
      <w:r>
        <w:rPr>
          <w:rFonts w:ascii="Georgia" w:cs="Georgia" w:eastAsia="SimSun" w:hAnsi="Georgia"/>
          <w:color w:val="1F2A36"/>
          <w:sz w:val="22"/>
          <w:szCs w:val="22"/>
        </w:rPr>
        <w:t xml:space="preserve">39.1. This Accord contains no sunset clause. No provision expires, terminates, or weakens by operation of a calendar date. No review, at any level, is capable of triggering automatic termination, automatic renegotiation, or automatic reimposition of any measure.</w:t>
      </w:r>
    </w:p>
    <w:p>
      <w:pPr>
        <w:spacing w:after="160" w:line="300"/>
        <w:ind w:firstLine="431"/>
        <w:jc w:val="both"/>
      </w:pPr>
      <w:r>
        <w:rPr>
          <w:rFonts w:ascii="Georgia" w:cs="Georgia" w:eastAsia="SimSun" w:hAnsi="Georgia"/>
          <w:color w:val="1F2A36"/>
          <w:sz w:val="22"/>
          <w:szCs w:val="22"/>
        </w:rPr>
        <w:t xml:space="preserve">39.2. The Parties explicitly reject the sunset-weaponization model in which the approach of an expiry date functions as leverage to extract new concessions. The framework architecture treats calendar-driven termination pressure as a defect, not a feature.</w:t>
      </w:r>
    </w:p>
    <w:p>
      <w:pPr>
        <w:pStyle w:val="Heading2"/>
        <w:spacing w:after="140" w:before="300"/>
      </w:pPr>
      <w:r>
        <w:rPr>
          <w:rFonts w:ascii="Georgia" w:cs="Georgia" w:eastAsia="SimSun" w:hAnsi="Georgia"/>
          <w:b/>
          <w:bCs/>
          <w:color w:val="1F2A36"/>
          <w:sz w:val="26"/>
          <w:szCs w:val="26"/>
        </w:rPr>
        <w:t xml:space="preserve">Article 40. The Rolling Horizon</w:t>
      </w:r>
    </w:p>
    <w:p>
      <w:pPr>
        <w:spacing w:after="160" w:line="300"/>
        <w:ind w:firstLine="431"/>
        <w:jc w:val="both"/>
      </w:pPr>
      <w:r>
        <w:rPr>
          <w:rFonts w:ascii="Georgia" w:cs="Georgia" w:eastAsia="SimSun" w:hAnsi="Georgia"/>
          <w:color w:val="1F2A36"/>
          <w:sz w:val="22"/>
          <w:szCs w:val="22"/>
        </w:rPr>
        <w:t xml:space="preserve">40.1. The Accord operates on a Rolling Horizon of twelve months. At each quarterly Consolidation Review, the horizon extends forward by one quarter, so that at every moment each Party faces exactly twelve months of verified, predictable treatment ahead. The horizon renews by performance: Modules in Green or Amber status carry forward automatically; Modules in Orange status carry forward with a correction plan; only an uncured Tier 3 Event interrupts a Module's horizon, and only within that Module.</w:t>
      </w:r>
    </w:p>
    <w:p>
      <w:pPr>
        <w:spacing w:after="160" w:line="300"/>
        <w:ind w:firstLine="431"/>
        <w:jc w:val="both"/>
      </w:pPr>
      <w:r>
        <w:rPr>
          <w:rFonts w:ascii="Georgia" w:cs="Georgia" w:eastAsia="SimSun" w:hAnsi="Georgia"/>
          <w:color w:val="1F2A36"/>
          <w:sz w:val="22"/>
          <w:szCs w:val="22"/>
        </w:rPr>
        <w:t xml:space="preserve">40.2. Consolidation Reviews occur at Day 120, Day 210, Day 300, and quarterly thereafter, on dates published twelve months ahead in the Registry under Annex P. Each review receives the consolidated scorecard of Annex T, covering tariff compliance, market-access metrics, dispute-resolution effectiveness, supply-chain integration indicators, and investment flows.</w:t>
      </w:r>
    </w:p>
    <w:p>
      <w:pPr>
        <w:spacing w:after="160" w:line="300"/>
        <w:ind w:firstLine="431"/>
        <w:jc w:val="both"/>
      </w:pPr>
      <w:r>
        <w:rPr>
          <w:rFonts w:ascii="Georgia" w:cs="Georgia" w:eastAsia="SimSun" w:hAnsi="Georgia"/>
          <w:color w:val="1F2A36"/>
          <w:sz w:val="22"/>
          <w:szCs w:val="22"/>
        </w:rPr>
        <w:t xml:space="preserve">40.3. Reviews assess performance against metrics, never political leverage. A review produces three categories of outcome: consolidation (Green Modules convert toward durable arrangements under Article 43), correction (Amber and Orange Modules receive targeted plans), and experimentation (new Modules may be added by mutual consent).</w:t>
      </w:r>
    </w:p>
    <w:p>
      <w:pPr>
        <w:spacing w:after="160" w:line="300"/>
        <w:ind w:firstLine="431"/>
        <w:jc w:val="both"/>
      </w:pPr>
      <w:r>
        <w:rPr>
          <w:rFonts w:ascii="Georgia" w:cs="Georgia" w:eastAsia="SimSun" w:hAnsi="Georgia"/>
          <w:color w:val="1F2A36"/>
          <w:sz w:val="22"/>
          <w:szCs w:val="22"/>
        </w:rPr>
        <w:t xml:space="preserve">40.4. Automatic Extension. If a scheduled Consolidation Review is not held for any reason, including administrative oversight, failure to convene, or a vacancy in any office, the Rolling Horizon and every benefit then in force extend automatically for a further twelve months from the scheduled review date, without signature, order, or confirmation of any kind. Extension is the default state of the architecture; only an affirmative, joint, written decision recorded in the Registry may substitute a different review date, and no such decision may shorten any benefit then in force.</w:t>
      </w:r>
    </w:p>
    <w:p>
      <w:pPr>
        <w:pStyle w:val="Heading2"/>
        <w:spacing w:after="140" w:before="300"/>
      </w:pPr>
      <w:r>
        <w:rPr>
          <w:rFonts w:ascii="Georgia" w:cs="Georgia" w:eastAsia="SimSun" w:hAnsi="Georgia"/>
          <w:b/>
          <w:bCs/>
          <w:color w:val="1F2A36"/>
          <w:sz w:val="26"/>
          <w:szCs w:val="26"/>
        </w:rPr>
        <w:t xml:space="preserve">Article 41. The No-Fade Principle</w:t>
      </w:r>
    </w:p>
    <w:p>
      <w:pPr>
        <w:spacing w:after="160" w:line="300"/>
        <w:ind w:firstLine="431"/>
        <w:jc w:val="both"/>
      </w:pPr>
      <w:r>
        <w:rPr>
          <w:rFonts w:ascii="Georgia" w:cs="Georgia" w:eastAsia="SimSun" w:hAnsi="Georgia"/>
          <w:color w:val="1F2A36"/>
          <w:sz w:val="22"/>
          <w:szCs w:val="22"/>
        </w:rPr>
        <w:t xml:space="preserve">41.1. A benefit in good standing does not fade. While a Module holds Green or Amber status, every benefit within it, including tariff rates, quota volumes, access lanes, exemptions, and service standards, continues at full strength and renews automatically at each Consolidation Review without further action by either Party.</w:t>
      </w:r>
    </w:p>
    <w:p>
      <w:pPr>
        <w:spacing w:after="160" w:line="300"/>
        <w:ind w:firstLine="431"/>
        <w:jc w:val="both"/>
      </w:pPr>
      <w:r>
        <w:rPr>
          <w:rFonts w:ascii="Georgia" w:cs="Georgia" w:eastAsia="SimSun" w:hAnsi="Georgia"/>
          <w:color w:val="1F2A36"/>
          <w:sz w:val="22"/>
          <w:szCs w:val="22"/>
        </w:rPr>
        <w:t xml:space="preserve">41.2. Narrowing or withdrawal of a benefit requires a verified cause: a Cothrom finding in the affected Module, following the tier and challenge procedures of Part V. Silence, inattention, administrative delay, or the passage of time never constitutes cause.</w:t>
      </w:r>
    </w:p>
    <w:p>
      <w:pPr>
        <w:spacing w:after="160" w:line="300"/>
        <w:ind w:firstLine="431"/>
        <w:jc w:val="both"/>
      </w:pPr>
      <w:r>
        <w:rPr>
          <w:rFonts w:ascii="Georgia" w:cs="Georgia" w:eastAsia="SimSun" w:hAnsi="Georgia"/>
          <w:color w:val="1F2A36"/>
          <w:sz w:val="22"/>
          <w:szCs w:val="22"/>
        </w:rPr>
        <w:t xml:space="preserve">41.3. Administrative instruments that implement this Accord domestically are drafted to match: remission orders, exemptions, and rate instruments under this Accord carry no expiry dates and are amended only in response to Registry-verified events, in accordance with the instruments listed in Annex U.</w:t>
      </w:r>
    </w:p>
    <w:p>
      <w:pPr>
        <w:pStyle w:val="Heading2"/>
        <w:spacing w:after="140" w:before="300"/>
      </w:pPr>
      <w:r>
        <w:rPr>
          <w:rFonts w:ascii="Georgia" w:cs="Georgia" w:eastAsia="SimSun" w:hAnsi="Georgia"/>
          <w:b/>
          <w:bCs/>
          <w:color w:val="1F2A36"/>
          <w:sz w:val="26"/>
          <w:szCs w:val="26"/>
        </w:rPr>
        <w:t xml:space="preserve">Article 42. Continuity Guarantee and Vested Rights</w:t>
      </w:r>
    </w:p>
    <w:p>
      <w:pPr>
        <w:spacing w:after="160" w:line="300"/>
        <w:ind w:firstLine="431"/>
        <w:jc w:val="both"/>
      </w:pPr>
      <w:r>
        <w:rPr>
          <w:rFonts w:ascii="Georgia" w:cs="Georgia" w:eastAsia="SimSun" w:hAnsi="Georgia"/>
          <w:color w:val="1F2A36"/>
          <w:sz w:val="22"/>
          <w:szCs w:val="22"/>
        </w:rPr>
        <w:t xml:space="preserve">42.1. If any Module is interrupted, goods entered before the effective time of interruption retain the customs treatment applicable at entry. Completed procurements remain valid. Signed contracts continue under their own terms. Permits already issued retain the treatment provided by domestic law.</w:t>
      </w:r>
    </w:p>
    <w:p>
      <w:pPr>
        <w:spacing w:after="160" w:line="300"/>
        <w:ind w:firstLine="431"/>
        <w:jc w:val="both"/>
      </w:pPr>
      <w:r>
        <w:rPr>
          <w:rFonts w:ascii="Georgia" w:cs="Georgia" w:eastAsia="SimSun" w:hAnsi="Georgia"/>
          <w:color w:val="1F2A36"/>
          <w:sz w:val="22"/>
          <w:szCs w:val="22"/>
        </w:rPr>
        <w:t xml:space="preserve">42.2. Vested Rights. Private contracts, licenses, permits, and property rights lawfully entered into or acquired under or in reliance on this Accord during its validity are not prejudiced by any amendment, suspension, or termination of this Accord. Consistent with Article 70(1)(b) of the Vienna Convention on the Law of Treaties, termination does not affect any right, obligation, or legal situation created through the execution of the Accord prior to its termination. The Parties shall ensure, through the domestic instruments of Annex U, that this protection is enforceable in their respective courts and administrative systems.</w:t>
      </w:r>
    </w:p>
    <w:p>
      <w:pPr>
        <w:spacing w:after="160" w:line="300"/>
        <w:ind w:firstLine="431"/>
        <w:jc w:val="both"/>
      </w:pPr>
      <w:r>
        <w:rPr>
          <w:rFonts w:ascii="Georgia" w:cs="Georgia" w:eastAsia="SimSun" w:hAnsi="Georgia"/>
          <w:color w:val="1F2A36"/>
          <w:sz w:val="22"/>
          <w:szCs w:val="22"/>
        </w:rPr>
        <w:t xml:space="preserve">42.3. If the Accord as a whole terminates under Article 45, the treatment in force on the termination date continues for a further 24 months across all Modules then in Green or Amber status, preventing any cliff edge and giving supply chains a managed transition.</w:t>
      </w:r>
    </w:p>
    <w:p>
      <w:pPr>
        <w:pStyle w:val="Heading2"/>
        <w:spacing w:after="140" w:before="300"/>
      </w:pPr>
      <w:r>
        <w:rPr>
          <w:rFonts w:ascii="Georgia" w:cs="Georgia" w:eastAsia="SimSun" w:hAnsi="Georgia"/>
          <w:b/>
          <w:bCs/>
          <w:color w:val="1F2A36"/>
          <w:sz w:val="26"/>
          <w:szCs w:val="26"/>
        </w:rPr>
        <w:t xml:space="preserve">Article 43. Bridge to CUSMA</w:t>
      </w:r>
    </w:p>
    <w:p>
      <w:pPr>
        <w:spacing w:after="160" w:line="300"/>
        <w:ind w:firstLine="431"/>
        <w:jc w:val="both"/>
      </w:pPr>
      <w:r>
        <w:rPr>
          <w:rFonts w:ascii="Georgia" w:cs="Georgia" w:eastAsia="SimSun" w:hAnsi="Georgia"/>
          <w:color w:val="1F2A36"/>
          <w:sz w:val="22"/>
          <w:szCs w:val="22"/>
        </w:rPr>
        <w:t xml:space="preserve">43.1. The Parties commit to good-faith negotiation toward a renewed and modernized CUSMA, including in the context of the joint review under CUSMA Article 34.7. This Accord is a bridge, not a destination, and its Verified Modules are the raw material of the permanent architecture.</w:t>
      </w:r>
    </w:p>
    <w:p>
      <w:pPr>
        <w:spacing w:after="160" w:line="300"/>
        <w:ind w:firstLine="431"/>
        <w:jc w:val="both"/>
      </w:pPr>
      <w:r>
        <w:rPr>
          <w:rFonts w:ascii="Georgia" w:cs="Georgia" w:eastAsia="SimSun" w:hAnsi="Georgia"/>
          <w:color w:val="1F2A36"/>
          <w:sz w:val="22"/>
          <w:szCs w:val="22"/>
        </w:rPr>
        <w:t xml:space="preserve">43.2. At each Consolidation Review, the Parties identify Green Modules suitable for conversion into permanent CUSMA text, side letters, committee decisions, or sectoral arrangements, and record which domestic-law actions each conversion requires under Annex U.</w:t>
      </w:r>
    </w:p>
    <w:p>
      <w:pPr>
        <w:spacing w:after="160" w:line="300"/>
        <w:ind w:firstLine="431"/>
        <w:jc w:val="both"/>
      </w:pPr>
      <w:r>
        <w:rPr>
          <w:rFonts w:ascii="Georgia" w:cs="Georgia" w:eastAsia="SimSun" w:hAnsi="Georgia"/>
          <w:color w:val="1F2A36"/>
          <w:sz w:val="22"/>
          <w:szCs w:val="22"/>
        </w:rPr>
        <w:t xml:space="preserve">43.3. Items without verified convergence, including final automotive content rules, broad supply-management questions, and permanent treatment of Section 232 authority, remain in defined negotiating lanes with published calendars, insulated from deadline pressure by the Rolling Horizon.</w:t>
      </w:r>
    </w:p>
    <w:p>
      <w:pPr>
        <w:pStyle w:val="Heading1"/>
        <w:pageBreakBefore/>
        <w:spacing w:after="200" w:before="360"/>
      </w:pPr>
      <w:r>
        <w:rPr>
          <w:rFonts w:ascii="Georgia" w:cs="Georgia" w:eastAsia="SimSun" w:hAnsi="Georgia"/>
          <w:b/>
          <w:bCs/>
          <w:color w:val="35586B"/>
          <w:sz w:val="32"/>
          <w:szCs w:val="32"/>
        </w:rPr>
        <w:t xml:space="preserve">Part VIII. Final Provisions</w:t>
      </w:r>
    </w:p>
    <w:p>
      <w:pPr>
        <w:pStyle w:val="Heading2"/>
        <w:spacing w:after="140" w:before="300"/>
      </w:pPr>
      <w:r>
        <w:rPr>
          <w:rFonts w:ascii="Georgia" w:cs="Georgia" w:eastAsia="SimSun" w:hAnsi="Georgia"/>
          <w:b/>
          <w:bCs/>
          <w:color w:val="1F2A36"/>
          <w:sz w:val="26"/>
          <w:szCs w:val="26"/>
        </w:rPr>
        <w:t xml:space="preserve">Article 44. Amendments</w:t>
      </w:r>
    </w:p>
    <w:p>
      <w:pPr>
        <w:spacing w:after="160" w:line="300"/>
        <w:ind w:firstLine="431"/>
        <w:jc w:val="both"/>
      </w:pPr>
      <w:r>
        <w:rPr>
          <w:rFonts w:ascii="Georgia" w:cs="Georgia" w:eastAsia="SimSun" w:hAnsi="Georgia"/>
          <w:color w:val="1F2A36"/>
          <w:sz w:val="22"/>
          <w:szCs w:val="22"/>
        </w:rPr>
        <w:t xml:space="preserve">44.1. The Parties may amend this Accord only by mutual written consent. A Party proposing an amendment shall table the complete proposed text through the Registry at least 60 Calendar Days before the proposed effective date. The amendment enters into force on the date the Parties record joint written confirmation in the Registry, or on such later date as the Parties agree, and each Party implements it through the domestic instruments identified in Annex U.</w:t>
      </w:r>
    </w:p>
    <w:p>
      <w:pPr>
        <w:spacing w:after="160" w:line="300"/>
        <w:ind w:firstLine="431"/>
        <w:jc w:val="both"/>
      </w:pPr>
      <w:r>
        <w:rPr>
          <w:rFonts w:ascii="Georgia" w:cs="Georgia" w:eastAsia="SimSun" w:hAnsi="Georgia"/>
          <w:color w:val="1F2A36"/>
          <w:sz w:val="22"/>
          <w:szCs w:val="22"/>
        </w:rPr>
        <w:t xml:space="preserve">44.2. The framework architecture excludes unilateral modification. A purported unilateral amendment has no effect within the Accord and enters Cothrom review as a process violation.</w:t>
      </w:r>
    </w:p>
    <w:p>
      <w:pPr>
        <w:pStyle w:val="Heading2"/>
        <w:spacing w:after="140" w:before="300"/>
      </w:pPr>
      <w:r>
        <w:rPr>
          <w:rFonts w:ascii="Georgia" w:cs="Georgia" w:eastAsia="SimSun" w:hAnsi="Georgia"/>
          <w:b/>
          <w:bCs/>
          <w:color w:val="1F2A36"/>
          <w:sz w:val="26"/>
          <w:szCs w:val="26"/>
        </w:rPr>
        <w:t xml:space="preserve">Article 45. Withdrawal</w:t>
      </w:r>
    </w:p>
    <w:p>
      <w:pPr>
        <w:spacing w:after="160" w:line="300"/>
        <w:ind w:firstLine="431"/>
        <w:jc w:val="both"/>
      </w:pPr>
      <w:r>
        <w:rPr>
          <w:rFonts w:ascii="Georgia" w:cs="Georgia" w:eastAsia="SimSun" w:hAnsi="Georgia"/>
          <w:color w:val="1F2A36"/>
          <w:sz w:val="22"/>
          <w:szCs w:val="22"/>
        </w:rPr>
        <w:t xml:space="preserve">45.1. Either Party may withdraw from this Accord by delivering written notice to the other Party and to the depositaries under Article 46. Withdrawal takes effect twelve months after the date of delivery of the notice, and all obligations continue in full during the notice period.</w:t>
      </w:r>
    </w:p>
    <w:p>
      <w:pPr>
        <w:spacing w:after="160" w:line="300"/>
        <w:ind w:firstLine="431"/>
        <w:jc w:val="both"/>
      </w:pPr>
      <w:r>
        <w:rPr>
          <w:rFonts w:ascii="Georgia" w:cs="Georgia" w:eastAsia="SimSun" w:hAnsi="Georgia"/>
          <w:color w:val="1F2A36"/>
          <w:sz w:val="22"/>
          <w:szCs w:val="22"/>
        </w:rPr>
        <w:t xml:space="preserve">45.2. Withdrawal triggers the continuity guarantee of Article 42, including the Vested Rights clause. No Party uses withdrawal, or the threat of withdrawal, as leverage within a review cycle; the twelve-month runway exists precisely to remove calendar pressure from the relationship.</w:t>
      </w:r>
    </w:p>
    <w:p>
      <w:pPr>
        <w:pStyle w:val="Heading2"/>
        <w:spacing w:after="140" w:before="300"/>
      </w:pPr>
      <w:r>
        <w:rPr>
          <w:rFonts w:ascii="Georgia" w:cs="Georgia" w:eastAsia="SimSun" w:hAnsi="Georgia"/>
          <w:b/>
          <w:bCs/>
          <w:color w:val="1F2A36"/>
          <w:sz w:val="26"/>
          <w:szCs w:val="26"/>
        </w:rPr>
        <w:t xml:space="preserve">Article 46. Depositaries, Languages, Ratification, and Authentic Texts</w:t>
      </w:r>
    </w:p>
    <w:p>
      <w:pPr>
        <w:spacing w:after="160" w:line="300"/>
        <w:ind w:firstLine="431"/>
        <w:jc w:val="both"/>
      </w:pPr>
      <w:r>
        <w:rPr>
          <w:rFonts w:ascii="Georgia" w:cs="Georgia" w:eastAsia="SimSun" w:hAnsi="Georgia"/>
          <w:color w:val="1F2A36"/>
          <w:sz w:val="22"/>
          <w:szCs w:val="22"/>
        </w:rPr>
        <w:t xml:space="preserve">46.1. The United States Department of State and Global Affairs Canada serve as joint depositaries of this Accord. Each depositary holds an original signed text, registers amendments and notifications, and transmits certified copies to the other Party and to the Secretariat. The Shared Trade Registry maintains the authoritative operational record of this Accord, its Annexes, and every amendment.</w:t>
      </w:r>
    </w:p>
    <w:p>
      <w:pPr>
        <w:spacing w:after="160" w:line="300"/>
        <w:ind w:firstLine="431"/>
        <w:jc w:val="both"/>
      </w:pPr>
      <w:r>
        <w:rPr>
          <w:rFonts w:ascii="Georgia" w:cs="Georgia" w:eastAsia="SimSun" w:hAnsi="Georgia"/>
          <w:color w:val="1F2A36"/>
          <w:sz w:val="22"/>
          <w:szCs w:val="22"/>
        </w:rPr>
        <w:t xml:space="preserve">46.2. The Annexes form an integral part of this Accord. In case of inconsistency between the Articles and an Annex, the Annex's specific rule prevails, except that any provision touching sovereignty is governed by Annex S, which prevails over all other provisions.</w:t>
      </w:r>
    </w:p>
    <w:p>
      <w:pPr>
        <w:spacing w:after="160" w:line="300"/>
        <w:ind w:firstLine="431"/>
        <w:jc w:val="both"/>
      </w:pPr>
      <w:r>
        <w:rPr>
          <w:rFonts w:ascii="Georgia" w:cs="Georgia" w:eastAsia="SimSun" w:hAnsi="Georgia"/>
          <w:color w:val="1F2A36"/>
          <w:sz w:val="22"/>
          <w:szCs w:val="22"/>
        </w:rPr>
        <w:t xml:space="preserve">46.3. This Accord is executed in the English and French languages, both texts being equally authentic. In case of divergence, the Parties shall reconcile the texts through the Secretariat, and pending reconciliation the interpretation most favorable to bilateral trade flows prevails.</w:t>
      </w:r>
    </w:p>
    <w:p>
      <w:pPr>
        <w:spacing w:after="160" w:line="300"/>
        <w:ind w:firstLine="431"/>
        <w:jc w:val="both"/>
      </w:pPr>
      <w:r>
        <w:rPr>
          <w:rFonts w:ascii="Georgia" w:cs="Georgia" w:eastAsia="SimSun" w:hAnsi="Georgia"/>
          <w:color w:val="1F2A36"/>
          <w:sz w:val="22"/>
          <w:szCs w:val="22"/>
        </w:rPr>
        <w:t xml:space="preserve">46.4. This Accord is not subject to ratification; it enters into force upon signature under Article 5 as an executive and administrative instrument. Where a domestic implementing measure identified in Annex U requires legislative action, the responsible Party shall table the necessary legislation within 90 Calendar Days of signature and shall notify the Registry of its progress at each Consolidation Review; the pendency of legislation does not delay any measure that existing executive or administrative authority can execute.</w:t>
      </w:r>
    </w:p>
    <w:p>
      <w:pPr>
        <w:pStyle w:val="Heading2"/>
        <w:spacing w:after="140" w:before="300"/>
      </w:pPr>
      <w:r>
        <w:rPr>
          <w:rFonts w:ascii="Georgia" w:cs="Georgia" w:eastAsia="SimSun" w:hAnsi="Georgia"/>
          <w:b/>
          <w:bCs/>
          <w:color w:val="1F2A36"/>
          <w:sz w:val="26"/>
          <w:szCs w:val="26"/>
        </w:rPr>
        <w:t xml:space="preserve">Article 47. High-Level Political Accountability</w:t>
      </w:r>
    </w:p>
    <w:p>
      <w:pPr>
        <w:spacing w:after="160" w:line="300"/>
        <w:ind w:firstLine="431"/>
        <w:jc w:val="both"/>
      </w:pPr>
      <w:r>
        <w:rPr>
          <w:rFonts w:ascii="Georgia" w:cs="Georgia" w:eastAsia="SimSun" w:hAnsi="Georgia"/>
          <w:color w:val="1F2A36"/>
          <w:sz w:val="22"/>
          <w:szCs w:val="22"/>
        </w:rPr>
        <w:t xml:space="preserve">47.1. Recurring accountability trigger. If any Module holds Red status for more than 120 consecutive Calendar Days, the matter elevates automatically to the Prime Minister of Canada and the President of the United States for direct resolution. The Secretariat shall notify both leaders' offices through the Registry on day 121, and the leaders or their designates shall convene within 30 Calendar Days of the notification.</w:t>
      </w:r>
    </w:p>
    <w:p>
      <w:pPr>
        <w:spacing w:after="160" w:line="300"/>
        <w:ind w:firstLine="431"/>
        <w:jc w:val="both"/>
      </w:pPr>
      <w:r>
        <w:rPr>
          <w:rFonts w:ascii="Georgia" w:cs="Georgia" w:eastAsia="SimSun" w:hAnsi="Georgia"/>
          <w:color w:val="1F2A36"/>
          <w:sz w:val="22"/>
          <w:szCs w:val="22"/>
        </w:rPr>
        <w:t xml:space="preserve">47.2. Public report. Within 60 Calendar Days of the elevation notice, the Secretariat shall publish a non-confidential report identifying the Module, the Verified record, the steps taken under Part V, and the status of resolution. The report states facts and Registry findings; it does not assign political blame.</w:t>
      </w:r>
    </w:p>
    <w:p>
      <w:pPr>
        <w:spacing w:after="160" w:line="300"/>
        <w:ind w:firstLine="431"/>
        <w:jc w:val="both"/>
      </w:pPr>
      <w:r>
        <w:rPr>
          <w:rFonts w:ascii="Georgia" w:cs="Georgia" w:eastAsia="SimSun" w:hAnsi="Georgia"/>
          <w:color w:val="1F2A36"/>
          <w:sz w:val="22"/>
          <w:szCs w:val="22"/>
        </w:rPr>
        <w:t xml:space="preserve">47.3. No expiry. This trigger is performance-based and perpetual for the Accord Term. It is not a deadline, creates no termination right, and cannot be weaponized as calendar leverage: elevation produces a conversation and a public record, nothing more. All Cothrom processes continue in parallel during elevation.</w:t>
      </w:r>
    </w:p>
    <w:p>
      <w:pPr>
        <w:pStyle w:val="Heading2"/>
        <w:spacing w:after="140" w:before="300"/>
      </w:pPr>
      <w:r>
        <w:rPr>
          <w:rFonts w:ascii="Georgia" w:cs="Georgia" w:eastAsia="SimSun" w:hAnsi="Georgia"/>
          <w:b/>
          <w:bCs/>
          <w:color w:val="1F2A36"/>
          <w:sz w:val="26"/>
          <w:szCs w:val="26"/>
        </w:rPr>
        <w:t xml:space="preserve">Closing Statement. A Silver Line, Held by Verification</w:t>
      </w:r>
    </w:p>
    <w:p>
      <w:pPr>
        <w:spacing w:after="160" w:line="300"/>
        <w:ind w:firstLine="431"/>
        <w:jc w:val="both"/>
      </w:pPr>
      <w:r>
        <w:rPr>
          <w:rFonts w:ascii="Georgia" w:cs="Georgia" w:eastAsia="SimSun" w:hAnsi="Georgia"/>
          <w:color w:val="1F2A36"/>
          <w:sz w:val="22"/>
          <w:szCs w:val="22"/>
        </w:rPr>
        <w:t xml:space="preserve">The Silver Line Bridge Accord rests on a simple proposition: an interim deal works when each government receives something it values now, neither government mortgages its long-term position, every dispute in the record is settled symmetrically rather than selectively, and the verification system survives imperfect performance. Tariffs fall in paired stages toward their lowest sustainable band, not because either side concedes, but because verification makes low tariffs safe. There are no sunsets to weaponize; the horizon rolls, and benefits do not fade. The silver line is this: predictable access, verified reciprocity, and a relationship that recovers from friction instead of collapsing into it.</w:t>
      </w:r>
    </w:p>
    <w:p>
      <w:pPr>
        <w:pStyle w:val="Heading1"/>
        <w:pageBreakBefore/>
        <w:spacing w:after="200" w:before="360"/>
      </w:pPr>
      <w:r>
        <w:rPr>
          <w:rFonts w:ascii="Georgia" w:cs="Georgia" w:eastAsia="SimSun" w:hAnsi="Georgia"/>
          <w:b/>
          <w:bCs/>
          <w:color w:val="35586B"/>
          <w:sz w:val="32"/>
          <w:szCs w:val="32"/>
        </w:rPr>
        <w:t xml:space="preserve">Annex A. Reciprocal Action Matrix</w:t>
      </w:r>
    </w:p>
    <w:p>
      <w:pPr>
        <w:spacing w:after="160" w:line="300"/>
        <w:ind w:firstLine="431"/>
        <w:jc w:val="both"/>
      </w:pPr>
      <w:r>
        <w:rPr>
          <w:rFonts w:ascii="Georgia" w:cs="Georgia" w:eastAsia="SimSun" w:hAnsi="Georgia"/>
          <w:color w:val="1F2A36"/>
          <w:sz w:val="22"/>
          <w:szCs w:val="22"/>
        </w:rPr>
        <w:t xml:space="preserve">This matrix presents the opening exchange and the paired schedule for every Module. Negotiators may adjust numeric bands without altering the paired architecture. Each row is one Module; each Module carries its own verification record and Module Firewall. Paired Actions enter the Registry with the same effective hour: neither Party performs first and waits.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1860"/>
      </w:tblGrid>
      <w:tr>
        <w:trPr>
          <w:tblHeader/>
        </w:trPr>
        <w:tc>
          <w:tcPr>
            <w:tcW w:type="dxa" w:w="15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Module</w:t>
            </w:r>
          </w:p>
        </w:tc>
        <w:tc>
          <w:tcPr>
            <w:tcW w:type="dxa" w:w="30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Canada action</w:t>
            </w:r>
          </w:p>
        </w:tc>
        <w:tc>
          <w:tcPr>
            <w:tcW w:type="dxa" w:w="30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United States action</w:t>
            </w:r>
          </w:p>
        </w:tc>
        <w:tc>
          <w:tcPr>
            <w:tcW w:type="dxa" w:w="18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Verification checkpoint</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Tariff cliff</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Abeyance and termination of the September 8 counter-tariff package (629 lines, C$27.6B) (CBSA)</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Withdrawal of the August 22 fifty-percent duties (CBP/USTR)</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Hour 72</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Metals</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Retaliatory surtaxes on U.S. steel and aluminum reduced in matched stages (Finance/CBSA)</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Section 232 on qualifying Canadian steel and aluminum to 25% at Layer One, 10% at Day 30 (CBP/Commerce)</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15 / Day 30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Autos</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Retaliatory auto surtax suspension at Layer One; termination at Layer Three; origin data sharing (CBSA/GAC)</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Section 232 auto rate to 15% at Layer One and 10% at Layer Three, all vehicle classes including medium- and heavy-duty trucks (CBP)</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15 / Day 90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Softwood lumber</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Stumpage transparency template; export-charge architecture held at existing levels (provinces/GAC)</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Section 232 timber duty suspended at Layer One; AD/CVD converted to managed band at Layer Three (Commerce/CBP)</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15 / Day 90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Dairy</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TRQ transparency protocol; 70% utilization reallocation; protein-loophole closure (GAC/CBSA/CFIA)</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Objections to TRQ administration withdrawn; reciprocal export-program transparency (USTR/USDA)</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30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Digital and culture</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DST rescission confirmed for the bridge; structured consultation on streaming implementation (Finance/CRTC)</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French discoverability accepted as cultural sovereignty; objections withdrawn (USTR)</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15</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Alcohol</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Participating provinces restore neutral listing and re-entry lanes</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Tariff treatment held at Part II levels; proportionate response only via Cothrom</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7 / Day 30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Critical minerals</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Commercial access corridor with chain-of-custody traceability; no price caps (NRCan)</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Guaranteed market access without discriminatory tariffs or quotas (Commerce/CBP)</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45</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Energy</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Corridor project intake; reliability-first certificates; Alberta-Montana technical lane (CER/NRCan/provinces)</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Expedited permitting reviews; no new discriminatory energy measures (DOE/FERC)</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45 / Day 60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Procurement</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Federal test lane: emergency, grid, digital, border competitions open to U.S. suppliers (PSPC)</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Equivalent federal test lane open to Canadian suppliers (GSA/FAR Council)</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60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Intellectual property</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Semi-annual counterfeit enforcement reports; high-risk location programs (CBSA/RCMP)</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Suspension of Canada-specific unilateral IP designations (USTR)</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90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Labour</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Forced-labour enforcement strengthening and reporting (CBSA/ESDC)</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Reciprocal information sharing and enforcement reporting (CBP/DOL)</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60</w:t>
            </w:r>
          </w:p>
        </w:tc>
      </w:tr>
      <w:tr>
        <w:tc>
          <w:tcPr>
            <w:tcW w:type="dxa" w:w="15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Geopolitical</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Allied procurement decisions proceed on their own merits; diversification respected as mutual right</w:t>
            </w:r>
          </w:p>
        </w:tc>
        <w:tc>
          <w:tcPr>
            <w:tcW w:type="dxa" w:w="30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Withdrawal of constraints on Canada's third-party trade agreements (USTR/State)</w:t>
            </w:r>
          </w:p>
        </w:tc>
        <w:tc>
          <w:tcPr>
            <w:tcW w:type="dxa" w:w="1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15</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A technical customs error in executing a Paired Action receives Tier 1 treatment; deliberate non-execution of a Paired Action enters Tier 2 or Tier 3 review depending on scale and intent. The pro-rata suspension right of Article 7.2 is the sole self-help remedy before Cothrom classification.</w:t>
      </w:r>
    </w:p>
    <w:p>
      <w:pPr>
        <w:pStyle w:val="Heading1"/>
        <w:pageBreakBefore/>
        <w:spacing w:after="200" w:before="360"/>
      </w:pPr>
      <w:r>
        <w:rPr>
          <w:rFonts w:ascii="Georgia" w:cs="Georgia" w:eastAsia="SimSun" w:hAnsi="Georgia"/>
          <w:b/>
          <w:bCs/>
          <w:color w:val="35586B"/>
          <w:sz w:val="32"/>
          <w:szCs w:val="32"/>
        </w:rPr>
        <w:t xml:space="preserve">Annex B. Steel and Aluminum Schedule</w:t>
      </w:r>
    </w:p>
    <w:p>
      <w:pPr>
        <w:spacing w:after="160" w:line="300"/>
        <w:ind w:firstLine="431"/>
        <w:jc w:val="both"/>
      </w:pPr>
      <w:r>
        <w:rPr>
          <w:rFonts w:ascii="Georgia" w:cs="Georgia" w:eastAsia="SimSun" w:hAnsi="Georgia"/>
          <w:color w:val="1F2A36"/>
          <w:sz w:val="22"/>
          <w:szCs w:val="22"/>
        </w:rPr>
        <w:t xml:space="preserve">B.1. Scope. This Annex covers: steel mill products of HTSUS headings 7208 through 7229 and 7301 through 7311 and the corresponding items of the Customs Tariff; primary aluminum of heading 7601 and aluminum articles of headings 7604 through 7616; copper and copper articles of headings 7403 and 7407 through 7413; and the steel-derivative articles enumerated in the proclamations referenced in Article 1.4(b), in each case where the goods are Originating Goods or constitute Corridor-Registered Shipments.</w:t>
      </w:r>
    </w:p>
    <w:p>
      <w:pPr>
        <w:spacing w:after="160" w:line="300"/>
        <w:ind w:firstLine="431"/>
        <w:jc w:val="both"/>
      </w:pPr>
      <w:r>
        <w:rPr>
          <w:rFonts w:ascii="Georgia" w:cs="Georgia" w:eastAsia="SimSun" w:hAnsi="Georgia"/>
          <w:color w:val="1F2A36"/>
          <w:sz w:val="22"/>
          <w:szCs w:val="22"/>
        </w:rPr>
        <w:t xml:space="preserve">B.2. Rate schedule. Stage One (Layer One, Day 15): 25 percent ad valorem on covered steel and aluminum. Stage Two (Day 30, upon Green or Amber Verification of the Annex K origin-integrity package): 10 percent. Stage Three (first Consolidation Review, upon sustained Green status): the Parties record a target of zero to 5 percent for Corridor-Registered Shipments, with the final rate set by joint written confirmation at that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Product group</w:t>
            </w:r>
          </w:p>
        </w:tc>
        <w:tc>
          <w:tcPr>
            <w:tcW w:type="dxa" w:w="18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Baseline (Sept 2026)</w:t>
            </w:r>
          </w:p>
        </w:tc>
        <w:tc>
          <w:tcPr>
            <w:tcW w:type="dxa" w:w="18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Stage One (Day 15)</w:t>
            </w:r>
          </w:p>
        </w:tc>
        <w:tc>
          <w:tcPr>
            <w:tcW w:type="dxa" w:w="18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Stage Two (Day 30)</w:t>
            </w:r>
          </w:p>
        </w:tc>
        <w:tc>
          <w:tcPr>
            <w:tcW w:type="dxa" w:w="18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Stage Three (Day 120)</w:t>
            </w:r>
          </w:p>
        </w:tc>
      </w:tr>
      <w:tr>
        <w:tc>
          <w:tcPr>
            <w:tcW w:type="dxa" w:w="2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Primary aluminum and articles (7601, 7604-7616)</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50%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25%</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10%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0-5% (corridor)</w:t>
            </w:r>
          </w:p>
        </w:tc>
      </w:tr>
      <w:tr>
        <w:tc>
          <w:tcPr>
            <w:tcW w:type="dxa" w:w="2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Steel mill products (7208-7229, 7301-7311)</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50%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25%</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10%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0-5% (corridor)</w:t>
            </w:r>
          </w:p>
        </w:tc>
      </w:tr>
      <w:tr>
        <w:tc>
          <w:tcPr>
            <w:tcW w:type="dxa" w:w="2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Copper and articles (7403, 7407-7413)</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50%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25%</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10%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0-5% (corridor)</w:t>
            </w:r>
          </w:p>
        </w:tc>
      </w:tr>
      <w:tr>
        <w:tc>
          <w:tcPr>
            <w:tcW w:type="dxa" w:w="2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Steel derivatives (enumerated lists)</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50% + Canadian 25% surtax</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25%; Canadian surtax unwinds in step</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10%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0-5% (corridor)</w:t>
            </w:r>
          </w:p>
        </w:tc>
      </w:tr>
      <w:tr>
        <w:tc>
          <w:tcPr>
            <w:tcW w:type="dxa" w:w="2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Auto-grade inputs</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50%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25%</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10%</w:t>
            </w:r>
          </w:p>
        </w:tc>
        <w:tc>
          <w:tcPr>
            <w:tcW w:type="dxa" w:w="18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0-5% (corridor)</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B.3. Tariff-rate quota alternative: exact formula. Where the United States elects volume-based administration, then for each product group and calendar year Y: the In-Quota Volume V(Y) = V(0) x (1.025)^Y', where V(0) equals 100 percent of the arithmetic mean of annual import quantities of the product group from Canada for 2022, 2023, and 2024 as recorded in official United States import statistics, and Y' equals the number of complete calendar years elapsed since 2026. The in-quota rate is 0 to 2 percent ad valorem, as specified in the executing proclamation. The band rate, applying to quantities above V(Y) up to and including 1.15 x V(Y), equals the prevailing Stage rate under paragraph B.2. Quantities above 1.15 x V(Y) bear the residual order rate. V(Y) shall not be reduced while the Module holds Green or Amber status, and the growth escalator of 2.5 percent per annum compounds without interruption under the No-Fade Principle. Quota allocation is administered on a first-come basis through ACE, with quarterly fill reporting to the Registry.</w:t>
      </w:r>
    </w:p>
    <w:p>
      <w:pPr>
        <w:spacing w:after="160" w:line="300"/>
        <w:ind w:firstLine="431"/>
        <w:jc w:val="both"/>
      </w:pPr>
      <w:r>
        <w:rPr>
          <w:rFonts w:ascii="Georgia" w:cs="Georgia" w:eastAsia="SimSun" w:hAnsi="Georgia"/>
          <w:color w:val="1F2A36"/>
          <w:sz w:val="22"/>
          <w:szCs w:val="22"/>
        </w:rPr>
        <w:t xml:space="preserve">B.4. Canadian pairing. The Minister of Finance shall reduce Canadian retaliatory surtaxes on United States steel and aluminum by the same percentages on the same effective dates, by order under section 53 of the Customs Tariff, and CBSA shall implement each reduction in CARM within 5 Business Days. Canadian steel-derivative surtaxes and the non-FTA TRQ adjustments of December 2025 unwind at Stage Two, preserving Canada's right to reapply them to genuinely non-originating transshipment identified through Annex K.</w:t>
      </w:r>
    </w:p>
    <w:p>
      <w:pPr>
        <w:spacing w:after="160" w:line="300"/>
        <w:ind w:firstLine="431"/>
        <w:jc w:val="both"/>
      </w:pPr>
      <w:r>
        <w:rPr>
          <w:rFonts w:ascii="Georgia" w:cs="Georgia" w:eastAsia="SimSun" w:hAnsi="Georgia"/>
          <w:color w:val="1F2A36"/>
          <w:sz w:val="22"/>
          <w:szCs w:val="22"/>
        </w:rPr>
        <w:t xml:space="preserve">B.5. Anti-transshipment perimeter. Corridor shipments carry smelt-and-cast (aluminum) or melt-and-manufacture (steel) data, production batch identifiers, and exporter attestations conforming to Annex K.4. Customs authorities compare declared origin against production capacity and shipment history. A suspicious shipment enters technical review without blocking unrelated corridor shipments; a Verified deliberate transshipment places only the implicated exporter or product lane into Orange or Red status absent a demonstrated broader pattern.</w:t>
      </w:r>
    </w:p>
    <w:p>
      <w:pPr>
        <w:spacing w:after="160" w:line="300"/>
        <w:ind w:firstLine="431"/>
        <w:jc w:val="both"/>
      </w:pPr>
      <w:r>
        <w:rPr>
          <w:rFonts w:ascii="Georgia" w:cs="Georgia" w:eastAsia="SimSun" w:hAnsi="Georgia"/>
          <w:color w:val="1F2A36"/>
          <w:sz w:val="22"/>
          <w:szCs w:val="22"/>
        </w:rPr>
        <w:t xml:space="preserve">B.6. Remissions. Canada's manufacturing-input remissions convert to standing exemptions under Article 11.2, eliminating the recurring expiry cycle. CBP and CBSA shall each publish implementation instructions in ACE and CARM within the Article 6.1 and 7.1 timelines.</w:t>
      </w:r>
    </w:p>
    <w:p>
      <w:pPr>
        <w:pStyle w:val="Heading1"/>
        <w:pageBreakBefore/>
        <w:spacing w:after="200" w:before="360"/>
      </w:pPr>
      <w:r>
        <w:rPr>
          <w:rFonts w:ascii="Georgia" w:cs="Georgia" w:eastAsia="SimSun" w:hAnsi="Georgia"/>
          <w:b/>
          <w:bCs/>
          <w:color w:val="35586B"/>
          <w:sz w:val="32"/>
          <w:szCs w:val="32"/>
        </w:rPr>
        <w:t xml:space="preserve">Annex C. Automotive Schedule</w:t>
      </w:r>
    </w:p>
    <w:p>
      <w:pPr>
        <w:spacing w:after="160" w:line="300"/>
        <w:ind w:firstLine="431"/>
        <w:jc w:val="both"/>
      </w:pPr>
      <w:r>
        <w:rPr>
          <w:rFonts w:ascii="Georgia" w:cs="Georgia" w:eastAsia="SimSun" w:hAnsi="Georgia"/>
          <w:color w:val="1F2A36"/>
          <w:sz w:val="22"/>
          <w:szCs w:val="22"/>
        </w:rPr>
        <w:t xml:space="preserve">C.1. Coverage and GVWR classes. All motor vehicles of HTSUS headings 8701 through 8705 produced in Canada and qualifying under this Annex. For purposes of this Accord: light-duty means GVWR of 14,000 pounds (6,350 kg) or less (Classes 1-3); medium-duty means GVWR exceeding 14,000 pounds but not exceeding 26,000 pounds (11,793 kg) (Classes 4-6); heavy-duty means GVWR exceeding 26,000 pounds (Classes 7-8), including road tractors of heading 8701 and buses of heading 8702 regardless of configuration. The framework architecture excludes weight-class carve-outs.</w:t>
      </w:r>
    </w:p>
    <w:p>
      <w:pPr>
        <w:spacing w:after="160" w:line="300"/>
        <w:ind w:firstLine="431"/>
        <w:jc w:val="both"/>
      </w:pPr>
      <w:r>
        <w:rPr>
          <w:rFonts w:ascii="Georgia" w:cs="Georgia" w:eastAsia="SimSun" w:hAnsi="Georgia"/>
          <w:color w:val="1F2A36"/>
          <w:sz w:val="22"/>
          <w:szCs w:val="22"/>
        </w:rPr>
        <w:t xml:space="preserve">C.2. Rate schedule. Layer One (Day 15): 15 percent ad valorem. Layer Three (Day 90, upon Verification of the paired Canadian suspension and origin-data sharing): 10 percent. First Consolidation Review: the Parties record a target band of 5 to 10 percent for Corridor-Registered vehicles, set by joint written confirmation.</w:t>
      </w:r>
    </w:p>
    <w:p>
      <w:pPr>
        <w:spacing w:after="160" w:line="300"/>
        <w:ind w:firstLine="431"/>
        <w:jc w:val="both"/>
      </w:pPr>
      <w:r>
        <w:rPr>
          <w:rFonts w:ascii="Georgia" w:cs="Georgia" w:eastAsia="SimSun" w:hAnsi="Georgia"/>
          <w:color w:val="1F2A36"/>
          <w:sz w:val="22"/>
          <w:szCs w:val="22"/>
        </w:rPr>
        <w:t xml:space="preserve">C.3. Transitional Content Credit: interim worksheet. For each vehicle, the dutiable value DV equals the entered customs value V multiplied by the non-creditable content share: DV = V x (1 - (US% x 1.00) - (CUSMA% x 0.75)), where US% is the percentage of value of United States-produced content, CUSMA% is the percentage of value of other CUSMA-origin content (Canadian or Mexican), and the remainder is non-originating content receiving no credit. The producer shall substantiate the worksheet with: (a) the vehicle's CUSMA certification of origin under Chapter 4 and the Appendix to Annex 4-B; (b) a build-level bill of materials tracing purchased parts to their origin status; (c) plant records establishing where each listed part was produced; (d) the producer's annual audited content reconciliation; and (e) for core parts (principal and complementary parts under the Appendix to Annex 4-B), the roll-up calculation sheet consistent with the outstanding Chapter 31 panel ruling. CBP shall accept the worksheet through ACE; verification audits under Article 31 of CUSMA or this Accord's Annex K are the exclusive means of contesting a worksheet, and contested worksheets resolve through Annex O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720"/>
        <w:gridCol w:w="4880"/>
      </w:tblGrid>
      <w:tr>
        <w:trPr>
          <w:tblHeader/>
        </w:trPr>
        <w:tc>
          <w:tcPr>
            <w:tcW w:type="dxa" w:w="27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Content class</w:t>
            </w:r>
          </w:p>
        </w:tc>
        <w:tc>
          <w:tcPr>
            <w:tcW w:type="dxa" w:w="172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Deduction credit</w:t>
            </w:r>
          </w:p>
        </w:tc>
        <w:tc>
          <w:tcPr>
            <w:tcW w:type="dxa" w:w="488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Documentary evidence</w:t>
            </w:r>
          </w:p>
        </w:tc>
      </w:tr>
      <w:tr>
        <w:tc>
          <w:tcPr>
            <w:tcW w:type="dxa" w:w="27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United States-produced content</w:t>
            </w:r>
          </w:p>
        </w:tc>
        <w:tc>
          <w:tcPr>
            <w:tcW w:type="dxa" w:w="17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100%</w:t>
            </w:r>
          </w:p>
        </w:tc>
        <w:tc>
          <w:tcPr>
            <w:tcW w:type="dxa" w:w="48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CUSMA certification; bill of materials; plant production records; audited reconciliation</w:t>
            </w:r>
          </w:p>
        </w:tc>
      </w:tr>
      <w:tr>
        <w:tc>
          <w:tcPr>
            <w:tcW w:type="dxa" w:w="27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Other CUSMA-origin content (Canadian, Mexican)</w:t>
            </w:r>
          </w:p>
        </w:tc>
        <w:tc>
          <w:tcPr>
            <w:tcW w:type="dxa" w:w="17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75%</w:t>
            </w:r>
          </w:p>
        </w:tc>
        <w:tc>
          <w:tcPr>
            <w:tcW w:type="dxa" w:w="48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Same package; roll-up calculation sheet for core parts</w:t>
            </w:r>
          </w:p>
        </w:tc>
      </w:tr>
      <w:tr>
        <w:tc>
          <w:tcPr>
            <w:tcW w:type="dxa" w:w="27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Non-originating content</w:t>
            </w:r>
          </w:p>
        </w:tc>
        <w:tc>
          <w:tcPr>
            <w:tcW w:type="dxa" w:w="17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0%</w:t>
            </w:r>
          </w:p>
        </w:tc>
        <w:tc>
          <w:tcPr>
            <w:tcW w:type="dxa" w:w="48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Declared and audited through Annex K</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C.4. Parts. Auto parts qualifying as Originating Goods enter the United States free of the Section 232 parts tariff; equivalent interim treatment extends to medium- and heavy-duty truck parts on the same schedule. Knock-down kits and parts compilations follow existing customs guidance.</w:t>
      </w:r>
    </w:p>
    <w:p>
      <w:pPr>
        <w:spacing w:after="160" w:line="300"/>
        <w:ind w:firstLine="431"/>
        <w:jc w:val="both"/>
      </w:pPr>
      <w:r>
        <w:rPr>
          <w:rFonts w:ascii="Georgia" w:cs="Georgia" w:eastAsia="SimSun" w:hAnsi="Georgia"/>
          <w:color w:val="1F2A36"/>
          <w:sz w:val="22"/>
          <w:szCs w:val="22"/>
        </w:rPr>
        <w:t xml:space="preserve">C.5. EV and battery eligibility. Canadian-assembled vehicles and Canadian-sourced critical minerals receive eligibility in United States incentive programs to the fullest extent of governing statute; the joint pathway report (covering administrative guidance, rulemaking, and any legislative steps under Annex U) delivers at each Consolidation Review. Canada's incentive programs treat United States-assembled vehicles equivalently.</w:t>
      </w:r>
    </w:p>
    <w:p>
      <w:pPr>
        <w:spacing w:after="160" w:line="300"/>
        <w:ind w:firstLine="431"/>
        <w:jc w:val="both"/>
      </w:pPr>
      <w:r>
        <w:rPr>
          <w:rFonts w:ascii="Georgia" w:cs="Georgia" w:eastAsia="SimSun" w:hAnsi="Georgia"/>
          <w:color w:val="1F2A36"/>
          <w:sz w:val="22"/>
          <w:szCs w:val="22"/>
        </w:rPr>
        <w:t xml:space="preserve">C.6. Auto Origin Technical Lane. Mandate: documentation standards, audit standards, roll-up methodology implementation consistent with the Chapter 31 panel ruling, EV battery origin accounting, and software value treatment. Cadence: every 14 Calendar Days. Deliverables: a consolidated technical report at each Consolidation Review, and by the second review at least two permanent-rule options (continental-content; weighted-content) with plant-level impact modeling for both countries.</w:t>
      </w:r>
    </w:p>
    <w:p>
      <w:pPr>
        <w:spacing w:after="160" w:line="300"/>
        <w:ind w:firstLine="431"/>
        <w:jc w:val="both"/>
      </w:pPr>
      <w:r>
        <w:rPr>
          <w:rFonts w:ascii="Georgia" w:cs="Georgia" w:eastAsia="SimSun" w:hAnsi="Georgia"/>
          <w:color w:val="1F2A36"/>
          <w:sz w:val="22"/>
          <w:szCs w:val="22"/>
        </w:rPr>
        <w:t xml:space="preserve">C.7. Components Investment Track. Eligible projects add North American capacity in battery materials and cells, power electronics, semiconductors, motors, sensors, and selected castings and forgings. Scoring uses actual sourcing, utilization, payroll, capital expenditure, and shipment data. Announcements carry zero credit.</w:t>
      </w:r>
    </w:p>
    <w:p>
      <w:pPr>
        <w:pStyle w:val="Heading1"/>
        <w:pageBreakBefore/>
        <w:spacing w:after="200" w:before="360"/>
      </w:pPr>
      <w:r>
        <w:rPr>
          <w:rFonts w:ascii="Georgia" w:cs="Georgia" w:eastAsia="SimSun" w:hAnsi="Georgia"/>
          <w:b/>
          <w:bCs/>
          <w:color w:val="35586B"/>
          <w:sz w:val="32"/>
          <w:szCs w:val="32"/>
        </w:rPr>
        <w:t xml:space="preserve">Annex D. Softwood Lumber Schedule</w:t>
      </w:r>
    </w:p>
    <w:p>
      <w:pPr>
        <w:spacing w:after="160" w:line="300"/>
        <w:ind w:firstLine="431"/>
        <w:jc w:val="both"/>
      </w:pPr>
      <w:r>
        <w:rPr>
          <w:rFonts w:ascii="Georgia" w:cs="Georgia" w:eastAsia="SimSun" w:hAnsi="Georgia"/>
          <w:color w:val="1F2A36"/>
          <w:sz w:val="22"/>
          <w:szCs w:val="22"/>
        </w:rPr>
        <w:t xml:space="preserve">D.1. Immediate measures. At Layer One the United States, through CBP, shall suspend collection of the 10 percent Section 232 timber duty on Canadian softwood lumber of heading 4407 and record the suspension in the Registry. The suspension continues on the Rolling Horizon while the Module holds Green or Amber status. Derivative wood products, including upholstered wooden furniture of subheading 9401.61, kitchen cabinets of subheading 9403.40, and vanities, receive the same suspension, and any scheduled rate increases on those products are held in abeyance pending conversion to the band structure at the first Consolidation Review.</w:t>
      </w:r>
    </w:p>
    <w:p>
      <w:pPr>
        <w:spacing w:after="160" w:line="300"/>
        <w:ind w:firstLine="431"/>
        <w:jc w:val="both"/>
      </w:pPr>
      <w:r>
        <w:rPr>
          <w:rFonts w:ascii="Georgia" w:cs="Georgia" w:eastAsia="SimSun" w:hAnsi="Georgia"/>
          <w:color w:val="1F2A36"/>
          <w:sz w:val="22"/>
          <w:szCs w:val="22"/>
        </w:rPr>
        <w:t xml:space="preserve">D.2. Managed-trade band. At Layer Three, upon Verification of the provincial stumpage transparency template, the existing anti-dumping and countervailing duty orders (A-122-857; C-122-858) convert to a three-tier band for the bridge: (a) Tier A, zero cash deposit for volumes up to V(L) = L(0) x (1.02)^Y', where L(0) equals the arithmetic mean of 2022-2024 Canadian softwood lumber shipments to the United States and Y' equals complete calendar years elapsed since 2026; (b) Tier B, a deposit rate equal to one-half of the prevailing all-others combined rate for volumes between V(L) and 1.10 x V(L); (c) Tier C, the prevailing order rates above 1.10 x V(L). Tier volumes adjust at each Consolidation Review against housing-start and demand indicators and shall not shrink while the Module holds Green status.</w:t>
      </w:r>
    </w:p>
    <w:p>
      <w:pPr>
        <w:spacing w:after="160" w:line="300"/>
        <w:ind w:firstLine="431"/>
        <w:jc w:val="both"/>
      </w:pPr>
      <w:r>
        <w:rPr>
          <w:rFonts w:ascii="Georgia" w:cs="Georgia" w:eastAsia="SimSun" w:hAnsi="Georgia"/>
          <w:color w:val="1F2A36"/>
          <w:sz w:val="22"/>
          <w:szCs w:val="22"/>
        </w:rPr>
        <w:t xml:space="preserve">D.3. Canadian pairing. Each participating province shall submit certified stumpage auction results and pricing data to the Secretariat within 15 Calendar Days of each provincial auction or pricing update, using the common transparency template, with the full template published within 90 Calendar Days of entry into force and quarterly updates thereafter. The data is protected information under Article 27.4 but is fully accessible to United States investigating authorities in real time, accelerating administrative reviews and reducing litigation cost without any change to provincial stumpage policy. Canada shall maintain its export-charge and quota architecture at existing levels during the bridge. The joint lumber technical cell, co-chaired by the United States Department of Commerce and Global Affairs Canada, shall meet monthly and resolve measurement, grading, and remeasurement disputes before they mature into trade-remedy filings.</w:t>
      </w:r>
    </w:p>
    <w:p>
      <w:pPr>
        <w:spacing w:after="160" w:line="300"/>
        <w:ind w:firstLine="431"/>
        <w:jc w:val="both"/>
      </w:pPr>
      <w:r>
        <w:rPr>
          <w:rFonts w:ascii="Georgia" w:cs="Georgia" w:eastAsia="SimSun" w:hAnsi="Georgia"/>
          <w:color w:val="1F2A36"/>
          <w:sz w:val="22"/>
          <w:szCs w:val="22"/>
        </w:rPr>
        <w:t xml:space="preserve">D.4. Pending proceedings. Administrative reviews and CUSMA Chapter 10 challenges proceed under domestic and CUSMA law. Deposit rates set under the band prevail for covered shipments during the bridge, and deposits collected above the band rate receive refund treatment at the next completed review, with interest under domestic law. Neither Party's legal position on subsidization or dumping is prejudiced.</w:t>
      </w:r>
    </w:p>
    <w:p>
      <w:pPr>
        <w:pStyle w:val="Heading1"/>
        <w:pageBreakBefore/>
        <w:spacing w:after="200" w:before="360"/>
      </w:pPr>
      <w:r>
        <w:rPr>
          <w:rFonts w:ascii="Georgia" w:cs="Georgia" w:eastAsia="SimSun" w:hAnsi="Georgia"/>
          <w:b/>
          <w:bCs/>
          <w:color w:val="35586B"/>
          <w:sz w:val="32"/>
          <w:szCs w:val="32"/>
        </w:rPr>
        <w:t xml:space="preserve">Annex E. Dairy TRQ Transparency and Utilization Protocol</w:t>
      </w:r>
    </w:p>
    <w:p>
      <w:pPr>
        <w:spacing w:after="160" w:line="300"/>
        <w:ind w:firstLine="431"/>
        <w:jc w:val="both"/>
      </w:pPr>
      <w:r>
        <w:rPr>
          <w:rFonts w:ascii="Georgia" w:cs="Georgia" w:eastAsia="SimSun" w:hAnsi="Georgia"/>
          <w:color w:val="1F2A36"/>
          <w:sz w:val="22"/>
          <w:szCs w:val="22"/>
        </w:rPr>
        <w:t xml:space="preserve">E.1. Publication. Global Affairs Canada shall publish, within 30 Calendar Days of entry into force and monthly thereafter, utilization data for every CUSMA dairy tariff-rate quota under the Tariff Schedule of Canada (CUSMA Annex 2-B, Appendix: Tariff Rate Quotas): allocated volume, filled volume, fill rate by allocation-holder class, and reallocation pool balance. The United States Department of Agriculture shall publish equivalent data for United States dairy TRQs and export programs affecting the Canadian market on the same calendar.</w:t>
      </w:r>
    </w:p>
    <w:p>
      <w:pPr>
        <w:spacing w:after="160" w:line="300"/>
        <w:ind w:firstLine="431"/>
        <w:jc w:val="both"/>
      </w:pPr>
      <w:r>
        <w:rPr>
          <w:rFonts w:ascii="Georgia" w:cs="Georgia" w:eastAsia="SimSun" w:hAnsi="Georgia"/>
          <w:color w:val="1F2A36"/>
          <w:sz w:val="22"/>
          <w:szCs w:val="22"/>
        </w:rPr>
        <w:t xml:space="preserve">E.2. Utilization Rule (statutory text for the implementing notice). An allocation holder that has utilized less than 70 percent of its allocated share of a dairy tariff-rate quota, measured by kilograms of product actually imported under the allocation as of the midpoint of the quota year (August 1 for milk-year quotas; January 1 for calendar-year quotas), shall forfeit the unutilized portion of that allocation for the remainder of the quota year. Forfeited volumes shall be credited to the Reallocation Pool established under paragraph E.3 within 10 Business Days of the midpoint determination. Utilization is measured net of volumes in customs bond or in transit under a bill of lading dated before the midpoint. A holder demonstrating force majeure under Article 35.2 retains its allocation pro tanto.</w:t>
      </w:r>
    </w:p>
    <w:p>
      <w:pPr>
        <w:spacing w:after="160" w:line="300"/>
        <w:ind w:firstLine="431"/>
        <w:jc w:val="both"/>
      </w:pPr>
      <w:r>
        <w:rPr>
          <w:rFonts w:ascii="Georgia" w:cs="Georgia" w:eastAsia="SimSun" w:hAnsi="Georgia"/>
          <w:color w:val="1F2A36"/>
          <w:sz w:val="22"/>
          <w:szCs w:val="22"/>
        </w:rPr>
        <w:t xml:space="preserve">E.3. Reallocation Pool. Global Affairs Canada shall maintain a Reallocation Pool for each dairy TRQ. Within 10 Business Days of any forfeiture crediting, the Pool shall open to applications from qualified retailers, distributors, food-service importers, and processors. Allocations from the Pool are granted pro rata to eligible applicants against demonstrated purchase orders, within 15 Business Days of the Pool closing. Pool allocations are non-transferable and expire at the end of the quota year. The United States receives the identical mechanism, mutatis mutandis, for its own TRQs.</w:t>
      </w:r>
    </w:p>
    <w:p>
      <w:pPr>
        <w:spacing w:after="160" w:line="300"/>
        <w:ind w:firstLine="431"/>
        <w:jc w:val="both"/>
      </w:pPr>
      <w:r>
        <w:rPr>
          <w:rFonts w:ascii="Georgia" w:cs="Georgia" w:eastAsia="SimSun" w:hAnsi="Georgia"/>
          <w:color w:val="1F2A36"/>
          <w:sz w:val="22"/>
          <w:szCs w:val="22"/>
        </w:rPr>
        <w:t xml:space="preserve">E.4. Eligibility expansion. Retailer and food-service eligibility expands within the existing CUSMA allocation process on a published calendar, as an allocation-class adjustment to the licensing system, not a structural change to it.</w:t>
      </w:r>
    </w:p>
    <w:p>
      <w:pPr>
        <w:spacing w:after="160" w:line="300"/>
        <w:ind w:firstLine="431"/>
        <w:jc w:val="both"/>
      </w:pPr>
      <w:r>
        <w:rPr>
          <w:rFonts w:ascii="Georgia" w:cs="Georgia" w:eastAsia="SimSun" w:hAnsi="Georgia"/>
          <w:color w:val="1F2A36"/>
          <w:sz w:val="22"/>
          <w:szCs w:val="22"/>
        </w:rPr>
        <w:t xml:space="preserve">E.5. Protein-ingredient channel closure. Within 60 Calendar Days, CBSA shall issue customs classification guidance, and CFIA shall issue complementary compositional standards, providing that milk protein concentrates and isolates, including products of subheadings 3502.20 (milk albumin) and 0404.90 (products consisting of natural milk constituents) with a milk protein content of 85 percent or greater by weight on a dry matter basis, are classified and administered consistently with the dairy TRQ architecture, such that they do not enter in volumes that circumvent the applicable TRQs. Existing supply contracts executed before the date of entry into force of this Accord receive a 90-calendar-day transition window, during which prior classification treatment continues for bona fide contracted volumes, after which the new guidance applies to all entries.</w:t>
      </w:r>
    </w:p>
    <w:p>
      <w:pPr>
        <w:spacing w:after="160" w:line="300"/>
        <w:ind w:firstLine="431"/>
        <w:jc w:val="both"/>
      </w:pPr>
      <w:r>
        <w:rPr>
          <w:rFonts w:ascii="Georgia" w:cs="Georgia" w:eastAsia="SimSun" w:hAnsi="Georgia"/>
          <w:color w:val="1F2A36"/>
          <w:sz w:val="22"/>
          <w:szCs w:val="22"/>
        </w:rPr>
        <w:t xml:space="preserve">E.6. Quota allocation study: binding recommendations with opt-out. A joint study of allocation design, including direct retailer eligibility, reports at the second Consolidation Review. The study's recommendations are binding on the Parties as scheduled commitments unless Canada files a detailed written opt-out, with specific justification grounded in supply-management integrity, market-stability evidence, or producer-impact analysis, within 90 Calendar Days of the report. The United States may challenge the sufficiency of the justification before a Trade Verification Panel, which shall determine within 30 Calendar Days whether the opt-out is justified. An opt-out the Panel finds unjustified constitutes a Tier 2 Event in this Module, and the affected recommendation proceeds unless the Parties agree on a modified implementation. No recommendation may compel a structural change to supply management; Annex S prevails in any conflict.</w:t>
      </w:r>
    </w:p>
    <w:p>
      <w:pPr>
        <w:spacing w:after="160" w:line="300"/>
        <w:ind w:firstLine="431"/>
        <w:jc w:val="both"/>
      </w:pPr>
      <w:r>
        <w:rPr>
          <w:rFonts w:ascii="Georgia" w:cs="Georgia" w:eastAsia="SimSun" w:hAnsi="Georgia"/>
          <w:color w:val="1F2A36"/>
          <w:sz w:val="22"/>
          <w:szCs w:val="22"/>
        </w:rPr>
        <w:t xml:space="preserve">E.6A. Monthly rolling reallocation. In addition to the midpoint Utilization Rule, the Reallocation Pool shall open every month, on a rolling 30-calendar-day window, for any allocated volume recorded as underfilled for 60 consecutive Calendar Days. Volumes credited to the Pool under this paragraph are reallocated within 10 Business Days of the Pool's monthly closing, using the pro rata procedure of paragraph E.3. Monthly reallocation does not alter quota volumes, over-quota tariffs, or the supply-management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3120"/>
      </w:tblGrid>
      <w:tr>
        <w:trPr>
          <w:tblHeader/>
        </w:trPr>
        <w:tc>
          <w:tcPr>
            <w:tcW w:type="dxa" w:w="208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Checkpoint</w:t>
            </w:r>
          </w:p>
        </w:tc>
        <w:tc>
          <w:tcPr>
            <w:tcW w:type="dxa" w:w="41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Metric</w:t>
            </w:r>
          </w:p>
        </w:tc>
        <w:tc>
          <w:tcPr>
            <w:tcW w:type="dxa" w:w="312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Consequence</w:t>
            </w:r>
          </w:p>
        </w:tc>
      </w:tr>
      <w:tr>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15</w:t>
            </w:r>
          </w:p>
        </w:tc>
        <w:tc>
          <w:tcPr>
            <w:tcW w:type="dxa" w:w="4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Eligibility notice active; Reallocation Pool open</w:t>
            </w:r>
          </w:p>
        </w:tc>
        <w:tc>
          <w:tcPr>
            <w:tcW w:type="dxa" w:w="31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Module enters Amber-to-Green track</w:t>
            </w:r>
          </w:p>
        </w:tc>
      </w:tr>
      <w:tr>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30</w:t>
            </w:r>
          </w:p>
        </w:tc>
        <w:tc>
          <w:tcPr>
            <w:tcW w:type="dxa" w:w="4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First monthly utilization report published</w:t>
            </w:r>
          </w:p>
        </w:tc>
        <w:tc>
          <w:tcPr>
            <w:tcW w:type="dxa" w:w="31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Transparency milestone verified</w:t>
            </w:r>
          </w:p>
        </w:tc>
      </w:tr>
      <w:tr>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60</w:t>
            </w:r>
          </w:p>
        </w:tc>
        <w:tc>
          <w:tcPr>
            <w:tcW w:type="dxa" w:w="4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Underfilled entitlements reallocated</w:t>
            </w:r>
          </w:p>
        </w:tc>
        <w:tc>
          <w:tcPr>
            <w:tcW w:type="dxa" w:w="31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Utilization Rule verified</w:t>
            </w:r>
          </w:p>
        </w:tc>
      </w:tr>
      <w:tr>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120</w:t>
            </w:r>
          </w:p>
        </w:tc>
        <w:tc>
          <w:tcPr>
            <w:tcW w:type="dxa" w:w="4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First quota-year midpoint review</w:t>
            </w:r>
          </w:p>
        </w:tc>
        <w:tc>
          <w:tcPr>
            <w:tcW w:type="dxa" w:w="31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CUSMA review report on utilization and producer impact</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E.7. Safeguards. A Verified market-disruption finding slows the next reallocation tranche by up to 25 percent; a second Verified finding within 30 Calendar Days pauses new Pool allocations in the affected product line for 7 Calendar Days while the joint dairy technical cell recalibrates. Earn-Back follows Article 34.6.</w:t>
      </w:r>
    </w:p>
    <w:p>
      <w:pPr>
        <w:spacing w:after="160" w:line="300"/>
        <w:ind w:firstLine="431"/>
        <w:jc w:val="both"/>
      </w:pPr>
      <w:r>
        <w:rPr>
          <w:rFonts w:ascii="Georgia" w:cs="Georgia" w:eastAsia="SimSun" w:hAnsi="Georgia"/>
          <w:color w:val="1F2A36"/>
          <w:sz w:val="22"/>
          <w:szCs w:val="22"/>
        </w:rPr>
        <w:t xml:space="preserve">E.8. Trusted Exporter fast-lane. United States dairy exporters with a Verified compliance record of twelve consecutive months free of any Tier 2 or Tier 3 event in this Module qualify for the Trusted Exporter fast-lane: customs clearance of covered dairy shipments within 4 hours of a complete electronic filing through ACE and CARM, and a 50 percent reduction in routine inspection frequency relative to the published baseline. Fast-lane status is module-specific, publishes in the Registry, suspends automatically upon a Level 4 anomaly event under Article 29.1, and restores under the Earn-Back path of Article 34.6. CBSA administers an equivalent fast-lane for Canadian exporters into the United States on identical terms.</w:t>
      </w:r>
    </w:p>
    <w:p>
      <w:pPr>
        <w:spacing w:after="160" w:line="300"/>
        <w:ind w:firstLine="431"/>
        <w:jc w:val="both"/>
      </w:pPr>
      <w:r>
        <w:rPr>
          <w:rFonts w:ascii="Georgia" w:cs="Georgia" w:eastAsia="SimSun" w:hAnsi="Georgia"/>
          <w:color w:val="1F2A36"/>
          <w:sz w:val="22"/>
          <w:szCs w:val="22"/>
        </w:rPr>
        <w:t xml:space="preserve">E.9. Joint Ingredient Transparency Initiative. Canada shall publish in the Registry, within 15 Calendar Days of each month-end, anonymized aggregate data on domestic production, imports, and inventories of milk protein concentrates, isolates, and casein (subheadings 3502.20 and 0404.90). The data is aggregate and non-commercial; it identifies no firm and no contract. The United States shall publish equivalent aggregate data for its own production, imports, and inventories of the same products on the same calendar. The Initiative is informational only and does not alter production, pricing, or TRQ administration.</w:t>
      </w:r>
    </w:p>
    <w:p>
      <w:pPr>
        <w:pStyle w:val="Heading1"/>
        <w:pageBreakBefore/>
        <w:spacing w:after="200" w:before="360"/>
      </w:pPr>
      <w:r>
        <w:rPr>
          <w:rFonts w:ascii="Georgia" w:cs="Georgia" w:eastAsia="SimSun" w:hAnsi="Georgia"/>
          <w:b/>
          <w:bCs/>
          <w:color w:val="35586B"/>
          <w:sz w:val="32"/>
          <w:szCs w:val="32"/>
        </w:rPr>
        <w:t xml:space="preserve">Annex F. Agriculture and SPS Work Program</w:t>
      </w:r>
    </w:p>
    <w:p>
      <w:pPr>
        <w:spacing w:after="160" w:line="300"/>
        <w:ind w:firstLine="431"/>
        <w:jc w:val="both"/>
      </w:pPr>
      <w:r>
        <w:rPr>
          <w:rFonts w:ascii="Georgia" w:cs="Georgia" w:eastAsia="SimSun" w:hAnsi="Georgia"/>
          <w:color w:val="1F2A36"/>
          <w:sz w:val="22"/>
          <w:szCs w:val="22"/>
        </w:rPr>
        <w:t xml:space="preserve">F.1. Service standards. Seed and grain variety registration: CFIA and the competent United States authorities shall each issue a preliminary completeness determination within 60 Calendar Days of an application, and a target final decision within 18 months, with queue positions published quarterly. These standards apply identically to Canadian applicants in United States systems and United States applicants in Canadian systems. Consistent with CUSMA Chapter 9 (Sanitary and Phytosanitary Measures), nothing in this Annex limits either Party's right to set its appropriate level of protection.</w:t>
      </w:r>
    </w:p>
    <w:p>
      <w:pPr>
        <w:spacing w:after="160" w:line="300"/>
        <w:ind w:firstLine="431"/>
        <w:jc w:val="both"/>
      </w:pPr>
      <w:r>
        <w:rPr>
          <w:rFonts w:ascii="Georgia" w:cs="Georgia" w:eastAsia="SimSun" w:hAnsi="Georgia"/>
          <w:color w:val="1F2A36"/>
          <w:sz w:val="22"/>
          <w:szCs w:val="22"/>
        </w:rPr>
        <w:t xml:space="preserve">F.2. Pre-clearance lanes. Fresh fruit and vegetable trade uses risk-based pre-clearance: Verified low-risk shipment histories reduce inspection frequency on a published schedule, applied symmetrically. Border hold decisions carry written reasons and a 48-hour technical consultation window.</w:t>
      </w:r>
    </w:p>
    <w:p>
      <w:pPr>
        <w:spacing w:after="160" w:line="300"/>
        <w:ind w:firstLine="431"/>
        <w:jc w:val="both"/>
      </w:pPr>
      <w:r>
        <w:rPr>
          <w:rFonts w:ascii="Georgia" w:cs="Georgia" w:eastAsia="SimSun" w:hAnsi="Georgia"/>
          <w:color w:val="1F2A36"/>
          <w:sz w:val="22"/>
          <w:szCs w:val="22"/>
        </w:rPr>
        <w:t xml:space="preserve">F.3. SPS transparency. Each Party shall provide 30 Calendar Days' technical consultation before any new SPS measure affecting the other Party's exports takes effect, except emergency measures against an imminent pest or disease risk, which notify within 72 hours and consult retroactively.</w:t>
      </w:r>
    </w:p>
    <w:p>
      <w:pPr>
        <w:spacing w:after="160" w:line="300"/>
        <w:ind w:firstLine="431"/>
        <w:jc w:val="both"/>
      </w:pPr>
      <w:r>
        <w:rPr>
          <w:rFonts w:ascii="Georgia" w:cs="Georgia" w:eastAsia="SimSun" w:hAnsi="Georgia"/>
          <w:color w:val="1F2A36"/>
          <w:sz w:val="22"/>
          <w:szCs w:val="22"/>
        </w:rPr>
        <w:t xml:space="preserve">F.4. Equivalence review. An annual joint equivalence review examines inspection systems, residue standards, and approval processes, with mutual recognition agreements pursued where the record supports them. The review reports to the Consolidation Review.</w:t>
      </w:r>
    </w:p>
    <w:p>
      <w:pPr>
        <w:spacing w:after="160" w:line="300"/>
        <w:ind w:firstLine="431"/>
        <w:jc w:val="both"/>
      </w:pPr>
      <w:r>
        <w:rPr>
          <w:rFonts w:ascii="Georgia" w:cs="Georgia" w:eastAsia="SimSun" w:hAnsi="Georgia"/>
          <w:color w:val="1F2A36"/>
          <w:sz w:val="22"/>
          <w:szCs w:val="22"/>
        </w:rPr>
        <w:t xml:space="preserve">F.5. Poultry and eggs. Supply management for poultry and eggs is preserved on the same terms as dairy under Article 13. TRQ administration for these sectors joins the Annex E protocol at the second Consolidation Review.</w:t>
      </w:r>
    </w:p>
    <w:p>
      <w:pPr>
        <w:pStyle w:val="Heading1"/>
        <w:pageBreakBefore/>
        <w:spacing w:after="200" w:before="360"/>
      </w:pPr>
      <w:r>
        <w:rPr>
          <w:rFonts w:ascii="Georgia" w:cs="Georgia" w:eastAsia="SimSun" w:hAnsi="Georgia"/>
          <w:b/>
          <w:bCs/>
          <w:color w:val="35586B"/>
          <w:sz w:val="32"/>
          <w:szCs w:val="32"/>
        </w:rPr>
        <w:t xml:space="preserve">Annex G. Alcohol Market Normalization Schedule</w:t>
      </w:r>
    </w:p>
    <w:p>
      <w:pPr>
        <w:spacing w:after="160" w:line="300"/>
        <w:ind w:firstLine="431"/>
        <w:jc w:val="both"/>
      </w:pPr>
      <w:r>
        <w:rPr>
          <w:rFonts w:ascii="Georgia" w:cs="Georgia" w:eastAsia="SimSun" w:hAnsi="Georgia"/>
          <w:color w:val="1F2A36"/>
          <w:sz w:val="22"/>
          <w:szCs w:val="22"/>
        </w:rPr>
        <w:t xml:space="preserve">G.1. Calendar. Day 1: the Federal-Provincial Implementation Table opens and records participating jurisdictions. Day 3: participating liquor boards publish United States supplier re-entry contacts. Day 7: standard listing and ordering eligibility returns for covered United States suppliers of wine (heading 2204), beer (heading 2203), cider (subheading 2206.00), and spirits (headings 2208). Day 15: boards publish non-discrimination guidance and the first re-entry tender calendar.</w:t>
      </w:r>
    </w:p>
    <w:p>
      <w:pPr>
        <w:spacing w:after="160" w:line="300"/>
        <w:ind w:firstLine="431"/>
        <w:jc w:val="both"/>
      </w:pPr>
      <w:r>
        <w:rPr>
          <w:rFonts w:ascii="Georgia" w:cs="Georgia" w:eastAsia="SimSun" w:hAnsi="Georgia"/>
          <w:color w:val="1F2A36"/>
          <w:sz w:val="22"/>
          <w:szCs w:val="22"/>
        </w:rPr>
        <w:t xml:space="preserve">G.2. Federal-Provincial Implementation Table: template. The Table is co-chaired by Global Affairs Canada and a designate of the provincial liquor boards' association. For each province and territory the Registry records, on the standard template: (1) jurisdiction; (2) liquor authority; (3) participation status (participating / conditional / non-participating); (4) re-entry contact and calendar publication date; (5) SKUs restored to eligibility; (6) reactivated supplier accounts; (7) aggregate order value (reported in aggregate only); (8) non-discrimination guidance publication date; and (9) next milestone date. The template updates at Days 7, 15, 30, 60, and 90 and quarterly thereafter.</w:t>
      </w:r>
    </w:p>
    <w:p>
      <w:pPr>
        <w:spacing w:after="160" w:line="300"/>
        <w:ind w:firstLine="431"/>
        <w:jc w:val="both"/>
      </w:pPr>
      <w:r>
        <w:rPr>
          <w:rFonts w:ascii="Georgia" w:cs="Georgia" w:eastAsia="SimSun" w:hAnsi="Georgia"/>
          <w:color w:val="1F2A36"/>
          <w:sz w:val="22"/>
          <w:szCs w:val="22"/>
        </w:rPr>
        <w:t xml:space="preserve">G.3. Re-entry lane. Products that held active listings before retaliatory delisting receive a shortened administrative reactivation process, using prior compliance records. Each participating board publishes a re-entry calendar and a single point of contact. Standard commercial criteria continue to govern pricing, turnover, packaging, and compliance.</w:t>
      </w:r>
    </w:p>
    <w:p>
      <w:pPr>
        <w:spacing w:after="160" w:line="300"/>
        <w:ind w:firstLine="431"/>
        <w:jc w:val="both"/>
      </w:pPr>
      <w:r>
        <w:rPr>
          <w:rFonts w:ascii="Georgia" w:cs="Georgia" w:eastAsia="SimSun" w:hAnsi="Georgia"/>
          <w:color w:val="1F2A36"/>
          <w:sz w:val="22"/>
          <w:szCs w:val="22"/>
        </w:rPr>
        <w:t xml:space="preserve">G.4. Preserved authority. Provincial authority over age limits, health rules, retail models, markups, distribution, responsible-service rules, and product standards is absolute. The Module creates no guaranteed shelf space, no below-cost pricing rule, and no federal override of provincial retail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Coverage level</w:t>
            </w:r>
          </w:p>
        </w:tc>
        <w:tc>
          <w:tcPr>
            <w:tcW w:type="dxa" w:w="208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Status</w:t>
            </w:r>
          </w:p>
        </w:tc>
        <w:tc>
          <w:tcPr>
            <w:tcW w:type="dxa" w:w="41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Effect</w:t>
            </w:r>
          </w:p>
        </w:tc>
      </w:tr>
      <w:tr>
        <w:tc>
          <w:tcPr>
            <w:tcW w:type="dxa" w:w="31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Provinces representing at least 75% of national beverage-alcohol retail value restore neutral access</w:t>
            </w:r>
          </w:p>
        </w:tc>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Green</w:t>
            </w:r>
          </w:p>
        </w:tc>
        <w:tc>
          <w:tcPr>
            <w:tcW w:type="dxa" w:w="4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Full module benefit; paired U.S. relief confirmed</w:t>
            </w:r>
          </w:p>
        </w:tc>
      </w:tr>
      <w:tr>
        <w:tc>
          <w:tcPr>
            <w:tcW w:type="dxa" w:w="31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50% to 75% coverage</w:t>
            </w:r>
          </w:p>
        </w:tc>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Amber</w:t>
            </w:r>
          </w:p>
        </w:tc>
        <w:tc>
          <w:tcPr>
            <w:tcW w:type="dxa" w:w="4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Proportionate continuation; Substitute Compliance Plan option</w:t>
            </w:r>
          </w:p>
        </w:tc>
      </w:tr>
      <w:tr>
        <w:tc>
          <w:tcPr>
            <w:tcW w:type="dxa" w:w="312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Below 50% coverage</w:t>
            </w:r>
          </w:p>
        </w:tc>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Technical consultation</w:t>
            </w:r>
          </w:p>
        </w:tc>
        <w:tc>
          <w:tcPr>
            <w:tcW w:type="dxa" w:w="41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Substitute Compliance Plan mandatory within 30 days</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G.5. Substitute Compliance Plan. If provincial coverage falls below the Amber threshold (50 percent of national beverage-alcohol retail value), the Government of Canada shall submit a Substitute Compliance Plan to the Joint Secretariat within 30 Calendar Days. The Plan shall identify: (a) the non-participating jurisdictions and the reasons recorded; (b) substitute measures of comparable market-opening value, including expansion of the federal procurement lane under Annex J, expedited re-entry facilitation in participating provinces, or additional federal purchasing channels open to United States suppliers; and (c) a dated schedule for restoring Amber coverage. The Plan takes effect only upon joint written approval by the United States Trade Representative and the Canadian Minister responsible for international trade. If the two officials do not approve or reject the Plan within 30 Calendar Days of filing, the matter escalates automatically to a Trade Verification Panel, which shall determine within 30 Calendar Days whether the Plan delivers comparable market-opening value; the Panel's determination controls. Filing and good-faith execution of an approved Plan maintains the Module in Amber status; failure to file within 30 Calendar Days enters Tier 1 review, graduating to Tier 2 only if the deficiency persists 30 Calendar Days beyond the filing deadline.</w:t>
      </w:r>
    </w:p>
    <w:p>
      <w:pPr>
        <w:spacing w:after="160" w:line="300"/>
        <w:ind w:firstLine="431"/>
        <w:jc w:val="both"/>
      </w:pPr>
      <w:r>
        <w:rPr>
          <w:rFonts w:ascii="Georgia" w:cs="Georgia" w:eastAsia="SimSun" w:hAnsi="Georgia"/>
          <w:color w:val="1F2A36"/>
          <w:sz w:val="22"/>
          <w:szCs w:val="22"/>
        </w:rPr>
        <w:t xml:space="preserve">G.6. Conditional restoration. Neutral access holds while United States tariff treatment remains at Part II levels. A Verified re-escalation in a related Module permits proportionate re-listing pauses through Cothrom treatment, confined to the alcohol Module unless the Panel finds direct cross-module conduct under Article 34.5.</w:t>
      </w:r>
    </w:p>
    <w:p>
      <w:pPr>
        <w:spacing w:after="160" w:line="300"/>
        <w:ind w:firstLine="431"/>
        <w:jc w:val="both"/>
      </w:pPr>
      <w:r>
        <w:rPr>
          <w:rFonts w:ascii="Georgia" w:cs="Georgia" w:eastAsia="SimSun" w:hAnsi="Georgia"/>
          <w:color w:val="1F2A36"/>
          <w:sz w:val="22"/>
          <w:szCs w:val="22"/>
        </w:rPr>
        <w:t xml:space="preserve">G.7. Measurement. Day 30 report: provincial coverage, SKUs restored to eligibility, reactivated supplier accounts, aggregate order value. Day 60: tender participation and shipment flow. Day 90: status recommendation for the first Consolidation Review. The Module measures access to process, not forced commercial success.</w:t>
      </w:r>
    </w:p>
    <w:p>
      <w:pPr>
        <w:pStyle w:val="Heading1"/>
        <w:pageBreakBefore/>
        <w:spacing w:after="200" w:before="360"/>
      </w:pPr>
      <w:r>
        <w:rPr>
          <w:rFonts w:ascii="Georgia" w:cs="Georgia" w:eastAsia="SimSun" w:hAnsi="Georgia"/>
          <w:b/>
          <w:bCs/>
          <w:color w:val="35586B"/>
          <w:sz w:val="32"/>
          <w:szCs w:val="32"/>
        </w:rPr>
        <w:t xml:space="preserve">Annex H. Digital and Cultural Schedule</w:t>
      </w:r>
    </w:p>
    <w:p>
      <w:pPr>
        <w:spacing w:after="160" w:line="300"/>
        <w:ind w:firstLine="431"/>
        <w:jc w:val="both"/>
      </w:pPr>
      <w:r>
        <w:rPr>
          <w:rFonts w:ascii="Georgia" w:cs="Georgia" w:eastAsia="SimSun" w:hAnsi="Georgia"/>
          <w:color w:val="1F2A36"/>
          <w:sz w:val="22"/>
          <w:szCs w:val="22"/>
        </w:rPr>
        <w:t xml:space="preserve">H.1. DST confirmation. Canada records the rescission of the Digital Services Tax as continuing through the bridge, and the Registry logs the confirmation at entry into force. The Parties jointly support multilateral digital-tax processes.</w:t>
      </w:r>
    </w:p>
    <w:p>
      <w:pPr>
        <w:spacing w:after="160" w:line="300"/>
        <w:ind w:firstLine="431"/>
        <w:jc w:val="both"/>
      </w:pPr>
      <w:r>
        <w:rPr>
          <w:rFonts w:ascii="Georgia" w:cs="Georgia" w:eastAsia="SimSun" w:hAnsi="Georgia"/>
          <w:color w:val="1F2A36"/>
          <w:sz w:val="22"/>
          <w:szCs w:val="22"/>
        </w:rPr>
        <w:t xml:space="preserve">H.2. Discoverability withdrawal. The United States records the permanent withdrawal, for the Accord Term, of trade objections to French-language and Canadian-content discoverability rules under the Online Streaming Act and related CRTC directions. The entry is flagged as a No-Fade commitment: it does not lapse by calendar and may be revisited only through the amendment procedure of Article 44.</w:t>
      </w:r>
    </w:p>
    <w:p>
      <w:pPr>
        <w:spacing w:after="160" w:line="300"/>
        <w:ind w:firstLine="431"/>
        <w:jc w:val="both"/>
      </w:pPr>
      <w:r>
        <w:rPr>
          <w:rFonts w:ascii="Georgia" w:cs="Georgia" w:eastAsia="SimSun" w:hAnsi="Georgia"/>
          <w:color w:val="1F2A36"/>
          <w:sz w:val="22"/>
          <w:szCs w:val="22"/>
        </w:rPr>
        <w:t xml:space="preserve">H.3. Streaming and news consultation. The digital dialogue, co-chaired by USTR and Canadian Heritage with CRTC participation, meets within 30 Calendar Days and quarterly thereafter. Agenda: Online Streaming Act implementation, Online News Act administration, unintended trade impacts, and platform-compliance interoperability. Consultation outcomes publish in non-confidential summary form. Consultation is a process commitment; it carries no veto.</w:t>
      </w:r>
    </w:p>
    <w:p>
      <w:pPr>
        <w:spacing w:after="160" w:line="300"/>
        <w:ind w:firstLine="431"/>
        <w:jc w:val="both"/>
      </w:pPr>
      <w:r>
        <w:rPr>
          <w:rFonts w:ascii="Georgia" w:cs="Georgia" w:eastAsia="SimSun" w:hAnsi="Georgia"/>
          <w:color w:val="1F2A36"/>
          <w:sz w:val="22"/>
          <w:szCs w:val="22"/>
        </w:rPr>
        <w:t xml:space="preserve">H.4. Digital reciprocity schedule. Canadian digital services, cloud, and AI firms receive United States market treatment no less favorable than United States firms receive in Canada, and vice versa, consistent with CUSMA Chapter 19 (Digital Trade). The metrics of Annex T track procurement eligibility, licensing outcomes, and regulatory decisions by nationality.</w:t>
      </w:r>
    </w:p>
    <w:p>
      <w:pPr>
        <w:spacing w:after="160" w:line="300"/>
        <w:ind w:firstLine="431"/>
        <w:jc w:val="both"/>
      </w:pPr>
      <w:r>
        <w:rPr>
          <w:rFonts w:ascii="Georgia" w:cs="Georgia" w:eastAsia="SimSun" w:hAnsi="Georgia"/>
          <w:color w:val="1F2A36"/>
          <w:sz w:val="22"/>
          <w:szCs w:val="22"/>
        </w:rPr>
        <w:t xml:space="preserve">H.5. AI and cybersecurity work program. Deliverables: shared AI-safety evaluation terminology by the second Consolidation Review; a joint cybersecurity incident-notification protocol for cross-border digital infrastructure by the third; cloud-reciprocity assessment annually thereafter.</w:t>
      </w:r>
    </w:p>
    <w:p>
      <w:pPr>
        <w:spacing w:after="160" w:line="300"/>
        <w:ind w:firstLine="431"/>
        <w:jc w:val="both"/>
      </w:pPr>
      <w:r>
        <w:rPr>
          <w:rFonts w:ascii="Georgia" w:cs="Georgia" w:eastAsia="SimSun" w:hAnsi="Georgia"/>
          <w:color w:val="1F2A36"/>
          <w:sz w:val="22"/>
          <w:szCs w:val="22"/>
        </w:rPr>
        <w:t xml:space="preserve">H.6. Cultural exemption and data governance. The cultural industries exemption of CUSMA Article 32.6 applies to this Accord in full and symmetrically. Each Party's privacy, data-localization, lawful-access, and platform-regulation law remains untouched. Cross-border commercial data flows continue under existing frameworks; disputes route to the digital dialogue before any trade consequence.</w:t>
      </w:r>
    </w:p>
    <w:p>
      <w:pPr>
        <w:pStyle w:val="Heading1"/>
        <w:pageBreakBefore/>
        <w:spacing w:after="200" w:before="360"/>
      </w:pPr>
      <w:r>
        <w:rPr>
          <w:rFonts w:ascii="Georgia" w:cs="Georgia" w:eastAsia="SimSun" w:hAnsi="Georgia"/>
          <w:b/>
          <w:bCs/>
          <w:color w:val="35586B"/>
          <w:sz w:val="32"/>
          <w:szCs w:val="32"/>
        </w:rPr>
        <w:t xml:space="preserve">Annex I. Critical Minerals and Energy Corridor</w:t>
      </w:r>
    </w:p>
    <w:p>
      <w:pPr>
        <w:spacing w:after="160" w:line="300"/>
        <w:ind w:firstLine="431"/>
        <w:jc w:val="both"/>
      </w:pPr>
      <w:r>
        <w:rPr>
          <w:rFonts w:ascii="Georgia" w:cs="Georgia" w:eastAsia="SimSun" w:hAnsi="Georgia"/>
          <w:color w:val="1F2A36"/>
          <w:sz w:val="22"/>
          <w:szCs w:val="22"/>
        </w:rPr>
        <w:t xml:space="preserve">I.1. Minerals corridor. Registered Canadian producers of lithium, nickel, cobalt, graphite, rare earth elements, uranium, potash, and aluminum receive a guaranteed commercial access lane: no discriminatory tariffs or quotas on Corridor-Registered Shipments during the bridge; chain-of-custody records from mine or processor to border under Annex K.4; and recognition of corridor supply as trusted North American supply in United States economic-security programs. The corridor applies, mutatis mutandis, to registered United States producers selling into Canada.</w:t>
      </w:r>
    </w:p>
    <w:p>
      <w:pPr>
        <w:spacing w:after="160" w:line="300"/>
        <w:ind w:firstLine="431"/>
        <w:jc w:val="both"/>
      </w:pPr>
      <w:r>
        <w:rPr>
          <w:rFonts w:ascii="Georgia" w:cs="Georgia" w:eastAsia="SimSun" w:hAnsi="Georgia"/>
          <w:color w:val="1F2A36"/>
          <w:sz w:val="22"/>
          <w:szCs w:val="22"/>
        </w:rPr>
        <w:t xml:space="preserve">I.2. Commercial Pricing Clause. All transactions within the corridor shall be priced at arm's-length commercial terms referenced to prevailing North American market benchmarks, including, as applicable to the product: NYMEX or COMEX settlement prices for exchange-traded metals; S&amp;P Global Platts or equivalent published assessments for non-exchange-traded minerals and electricity; and published rail and port tariffs for logistics. Below-cost pricing, disguised subsidization through pricing, and administratively imposed price caps are prohibited within the corridor. Alleged pricing violations resolve through the Annex O procedures, with confidential treatment of contract terms under Article 27.4.</w:t>
      </w:r>
    </w:p>
    <w:p>
      <w:pPr>
        <w:spacing w:after="160" w:line="300"/>
        <w:ind w:firstLine="431"/>
        <w:jc w:val="both"/>
      </w:pPr>
      <w:r>
        <w:rPr>
          <w:rFonts w:ascii="Georgia" w:cs="Georgia" w:eastAsia="SimSun" w:hAnsi="Georgia"/>
          <w:color w:val="1F2A36"/>
          <w:sz w:val="22"/>
          <w:szCs w:val="22"/>
        </w:rPr>
        <w:t xml:space="preserve">I.3. Exclusions. The corridor excludes price caps, rights of first refusal, exclusivity, and any limit on sales to third markets. Diversification is a protected right recorded at entry into force.</w:t>
      </w:r>
    </w:p>
    <w:p>
      <w:pPr>
        <w:spacing w:after="160" w:line="300"/>
        <w:ind w:firstLine="431"/>
        <w:jc w:val="both"/>
      </w:pPr>
      <w:r>
        <w:rPr>
          <w:rFonts w:ascii="Georgia" w:cs="Georgia" w:eastAsia="SimSun" w:hAnsi="Georgia"/>
          <w:color w:val="1F2A36"/>
          <w:sz w:val="22"/>
          <w:szCs w:val="22"/>
        </w:rPr>
        <w:t xml:space="preserve">I.4. Security dialogue. The Critical Minerals Security Dialogue, co-chaired by the United States Department of Commerce and Natural Resources Canada, addresses emergency coordination, joint stockpile feasibility, and co-financing on commercial terms. It meets at Day 45 and quarterly thereafter. It makes no binding supply commitment.</w:t>
      </w:r>
    </w:p>
    <w:p>
      <w:pPr>
        <w:spacing w:after="160" w:line="300"/>
        <w:ind w:firstLine="431"/>
        <w:jc w:val="both"/>
      </w:pPr>
      <w:r>
        <w:rPr>
          <w:rFonts w:ascii="Georgia" w:cs="Georgia" w:eastAsia="SimSun" w:hAnsi="Georgia"/>
          <w:color w:val="1F2A36"/>
          <w:sz w:val="22"/>
          <w:szCs w:val="22"/>
        </w:rPr>
        <w:t xml:space="preserve">I.5. Energy corridor. Project intake opens Day 10. Utilities and system operators screen proposals for location, load, transmission access, generation source, and reliability. By Day 30 the Parties publish a non-confidential list of qualified concepts. By Day 60 qualified projects identify interconnection paths, site control, and sponsors. Projects that finance new generation, storage, transmission, or demand response receive higher infrastructure scores than projects reallocating existing constrained supply.</w:t>
      </w:r>
    </w:p>
    <w:p>
      <w:pPr>
        <w:spacing w:after="160" w:line="300"/>
        <w:ind w:firstLine="431"/>
        <w:jc w:val="both"/>
      </w:pPr>
      <w:r>
        <w:rPr>
          <w:rFonts w:ascii="Georgia" w:cs="Georgia" w:eastAsia="SimSun" w:hAnsi="Georgia"/>
          <w:color w:val="1F2A36"/>
          <w:sz w:val="22"/>
          <w:szCs w:val="22"/>
        </w:rPr>
        <w:t xml:space="preserve">I.6. Reliability first. Every corridor project carries a reliability certificate from the competent system operator (including, as applicable, the United States balancing authority or the Canadian provincial system operator) identifying peak-demand treatment, curtailment logic, reserve margins, transmission constraints, and the project's contribution to new capacity. Household, farm, hospital, industrial, and public-service reliability priorities are never displaced.</w:t>
      </w:r>
    </w:p>
    <w:p>
      <w:pPr>
        <w:spacing w:after="160" w:line="300"/>
        <w:ind w:firstLine="431"/>
        <w:jc w:val="both"/>
      </w:pPr>
      <w:r>
        <w:rPr>
          <w:rFonts w:ascii="Georgia" w:cs="Georgia" w:eastAsia="SimSun" w:hAnsi="Georgia"/>
          <w:color w:val="1F2A36"/>
          <w:sz w:val="22"/>
          <w:szCs w:val="22"/>
        </w:rPr>
        <w:t xml:space="preserve">I.7. Alberta-Montana and provincial-state lanes. A joint technical lane publishes congestion, pricing, and curtailment data for cross-border electricity trade and resolves access complaints on the record. The lane applies identically in both directions and reports to each Consolidation Review.</w:t>
      </w:r>
    </w:p>
    <w:p>
      <w:pPr>
        <w:spacing w:after="160" w:line="300"/>
        <w:ind w:firstLine="431"/>
        <w:jc w:val="both"/>
      </w:pPr>
      <w:r>
        <w:rPr>
          <w:rFonts w:ascii="Georgia" w:cs="Georgia" w:eastAsia="SimSun" w:hAnsi="Georgia"/>
          <w:color w:val="1F2A36"/>
          <w:sz w:val="22"/>
          <w:szCs w:val="22"/>
        </w:rPr>
        <w:t xml:space="preserve">I.8. Potash continuity. Existing potash trade flows (heading 3104) receive trusted-input treatment: no new emergency duties on registered corridor volumes, a priority documentation lane during spring and fall application peaks, and a quarterly dashboard of contracted volume, delivered volume, and border dwell time. Prices remain commercial and confidential under paragraph I.2.</w:t>
      </w:r>
    </w:p>
    <w:p>
      <w:pPr>
        <w:pStyle w:val="Heading1"/>
        <w:pageBreakBefore/>
        <w:spacing w:after="200" w:before="360"/>
      </w:pPr>
      <w:r>
        <w:rPr>
          <w:rFonts w:ascii="Georgia" w:cs="Georgia" w:eastAsia="SimSun" w:hAnsi="Georgia"/>
          <w:b/>
          <w:bCs/>
          <w:color w:val="35586B"/>
          <w:sz w:val="32"/>
          <w:szCs w:val="32"/>
        </w:rPr>
        <w:t xml:space="preserve">Annex J. Procurement Reciprocity Schedule</w:t>
      </w:r>
    </w:p>
    <w:p>
      <w:pPr>
        <w:spacing w:after="160" w:line="300"/>
        <w:ind w:firstLine="431"/>
        <w:jc w:val="both"/>
      </w:pPr>
      <w:r>
        <w:rPr>
          <w:rFonts w:ascii="Georgia" w:cs="Georgia" w:eastAsia="SimSun" w:hAnsi="Georgia"/>
          <w:color w:val="1F2A36"/>
          <w:sz w:val="22"/>
          <w:szCs w:val="22"/>
        </w:rPr>
        <w:t xml:space="preserve">J.1. Test lane scope. Canada, through Public Services and Procurement Canada, opens selected federal competitions in emergency response, grid equipment, digital infrastructure, and border facilities to United States suppliers on national treatment. The United States, through the General Services Administration and the Federal Acquisition Regulatory Council, opens equivalent federal competitions in infrastructure and emergency response to Canadian suppliers on identical terms. The planning envelope for the first four quarters publishes in the Registry at Day 30.</w:t>
      </w:r>
    </w:p>
    <w:p>
      <w:pPr>
        <w:spacing w:after="160" w:line="300"/>
        <w:ind w:firstLine="431"/>
        <w:jc w:val="both"/>
      </w:pPr>
      <w:r>
        <w:rPr>
          <w:rFonts w:ascii="Georgia" w:cs="Georgia" w:eastAsia="SimSun" w:hAnsi="Georgia"/>
          <w:color w:val="1F2A36"/>
          <w:sz w:val="22"/>
          <w:szCs w:val="22"/>
        </w:rPr>
        <w:t xml:space="preserve">J.2. Publication. Covered solicitations, eligibility rules, award decisions, and any domestic-content conditions publish in the Registry. Procurement value enters the Accord score only at award or framework execution, never at announcement.</w:t>
      </w:r>
    </w:p>
    <w:p>
      <w:pPr>
        <w:spacing w:after="160" w:line="300"/>
        <w:ind w:firstLine="431"/>
        <w:jc w:val="both"/>
      </w:pPr>
      <w:r>
        <w:rPr>
          <w:rFonts w:ascii="Georgia" w:cs="Georgia" w:eastAsia="SimSun" w:hAnsi="Georgia"/>
          <w:color w:val="1F2A36"/>
          <w:sz w:val="22"/>
          <w:szCs w:val="22"/>
        </w:rPr>
        <w:t xml:space="preserve">J.3. Sub-federal opt-in. Provinces and states may join the reciprocity lane voluntarily, by written implementation notice in the Registry. Non-participation carries no consequence. Provincial Buy Canadian measures and state and federal Buy American or Build America requirements otherwise remain untouched during the bridge.</w:t>
      </w:r>
    </w:p>
    <w:p>
      <w:pPr>
        <w:spacing w:after="160" w:line="300"/>
        <w:ind w:firstLine="431"/>
        <w:jc w:val="both"/>
      </w:pPr>
      <w:r>
        <w:rPr>
          <w:rFonts w:ascii="Georgia" w:cs="Georgia" w:eastAsia="SimSun" w:hAnsi="Georgia"/>
          <w:color w:val="1F2A36"/>
          <w:sz w:val="22"/>
          <w:szCs w:val="22"/>
        </w:rPr>
        <w:t xml:space="preserve">J.4. Wildfire Procurement Window: solicitation rules. (a) Scope and envelope: Canada opens an accelerated window for qualifying United States-made wildfire response vehicles and equipment, with a planning envelope of up to C$750 million in competitions and framework agreements over three years; the first 120-day period publishes the initial solicitation pipeline. Eligible categories: wildland engines, water tenders, command vehicles, tracked support vehicles, pumps, hose systems, mobile communications, protective equipment, portable water systems, remote sensing equipment, and maintenance packages. (b) Standards sufficiency: where a Canadian tender references wildland-fire apparatus or equipment standards, current certification of the offered equipment to the applicable United States National Fire Protection Association (NFPA) standards, including NFPA 1906 (wildland fire apparatus) and NFPA 1971/1970 (protective ensembles), is deemed sufficient proof of compliance with the technical requirements of the tender, subject only to Canadian official-language labeling, safety markings required by law, and any vehicle-registration requirements of general application. (c) Procedure: solicitations publish for not fewer than 21 Calendar Days; evaluation criteria are disclosed at publication and weighted on price, performance, lifecycle cost, interoperability, delivery, and in-Canada service capacity; debriefings are available to unsuccessful bidders within 10 Business Days of request; awards publish in the Registry within 5 Business Days of execution. (d) Competition: suppliers compete on the disclosed criteria; Canadian firms retain full competition rights; the envelope is available opportunity, not guaranteed awards. (e) Reciprocity: the United States applies the same sufficiency rule, mutatis mutandis, recognizing applicable Canadian Standards Association and Underwriters Laboratories of Canada certifications in covered federal competitions.</w:t>
      </w:r>
    </w:p>
    <w:p>
      <w:pPr>
        <w:spacing w:after="160" w:line="300"/>
        <w:ind w:firstLine="431"/>
        <w:jc w:val="both"/>
      </w:pPr>
      <w:r>
        <w:rPr>
          <w:rFonts w:ascii="Georgia" w:cs="Georgia" w:eastAsia="SimSun" w:hAnsi="Georgia"/>
          <w:color w:val="1F2A36"/>
          <w:sz w:val="22"/>
          <w:szCs w:val="22"/>
        </w:rPr>
        <w:t xml:space="preserve">J.5. Mutual-aid equipment register. Registered emergency equipment crosses the border under expedited customs documentation during an activated wildfire or flood emergency, subject to safety and emergency-management authority, in both directions. CBP and CBSA shall publish the expedited documentation procedure within 20 Business Days of entry into force.</w:t>
      </w:r>
    </w:p>
    <w:p>
      <w:pPr>
        <w:spacing w:after="160" w:line="300"/>
        <w:ind w:firstLine="431"/>
        <w:jc w:val="both"/>
      </w:pPr>
      <w:r>
        <w:rPr>
          <w:rFonts w:ascii="Georgia" w:cs="Georgia" w:eastAsia="SimSun" w:hAnsi="Georgia"/>
          <w:color w:val="1F2A36"/>
          <w:sz w:val="22"/>
          <w:szCs w:val="22"/>
        </w:rPr>
        <w:t xml:space="preserve">J.6. Metrics. Open opportunity value, qualified bidders by nationality, award value by nationality, delivery progress, and after-sales service capacity. The metrics publish at each Consolidation Review under Annex T.</w:t>
      </w:r>
    </w:p>
    <w:p>
      <w:pPr>
        <w:pStyle w:val="Heading1"/>
        <w:pageBreakBefore/>
        <w:spacing w:after="200" w:before="360"/>
      </w:pPr>
      <w:r>
        <w:rPr>
          <w:rFonts w:ascii="Georgia" w:cs="Georgia" w:eastAsia="SimSun" w:hAnsi="Georgia"/>
          <w:b/>
          <w:bCs/>
          <w:color w:val="35586B"/>
          <w:sz w:val="32"/>
          <w:szCs w:val="32"/>
        </w:rPr>
        <w:t xml:space="preserve">Annex K. Origin Integrity and Anti-Circumvention Protocol</w:t>
      </w:r>
    </w:p>
    <w:p>
      <w:pPr>
        <w:spacing w:after="160" w:line="300"/>
        <w:ind w:firstLine="431"/>
        <w:jc w:val="both"/>
      </w:pPr>
      <w:r>
        <w:rPr>
          <w:rFonts w:ascii="Georgia" w:cs="Georgia" w:eastAsia="SimSun" w:hAnsi="Georgia"/>
          <w:color w:val="1F2A36"/>
          <w:sz w:val="22"/>
          <w:szCs w:val="22"/>
        </w:rPr>
        <w:t xml:space="preserve">K.1. Trusted Origin Registry. The Parties establish a Trusted Origin Registry for voluntary pre-verification of exporters in designated strategic sectors: steel, aluminum, autos and parts, batteries, critical minerals, electrical equipment, selected electronics, and forced-labour-sensitive goods. Participants submit facility, production, sourcing, and chain-of-custody data to CBP or CBSA, as applicable. Verified participants receive faster origin review and lower documentary friction. The registry begins with aluminum, steel, and potash and expands to auto components at the Day 30 review.</w:t>
      </w:r>
    </w:p>
    <w:p>
      <w:pPr>
        <w:spacing w:after="160" w:line="300"/>
        <w:ind w:firstLine="431"/>
        <w:jc w:val="both"/>
      </w:pPr>
      <w:r>
        <w:rPr>
          <w:rFonts w:ascii="Georgia" w:cs="Georgia" w:eastAsia="SimSun" w:hAnsi="Georgia"/>
          <w:color w:val="1F2A36"/>
          <w:sz w:val="22"/>
          <w:szCs w:val="22"/>
        </w:rPr>
        <w:t xml:space="preserve">K.2. Three-part free-riding test. Suspected non-party free-riding is assessed on physical transformation, economic substance, and traceable input origin. A shipment fails only where evidence shows the claimed North American transformation lacks material production substance or records conceal disqualifying origin. Foreign ownership alone does not fail the test; lawful imported inputs alone do not fail the test.</w:t>
      </w:r>
    </w:p>
    <w:p>
      <w:pPr>
        <w:spacing w:after="160" w:line="300"/>
        <w:ind w:firstLine="431"/>
        <w:jc w:val="both"/>
      </w:pPr>
      <w:r>
        <w:rPr>
          <w:rFonts w:ascii="Georgia" w:cs="Georgia" w:eastAsia="SimSun" w:hAnsi="Georgia"/>
          <w:color w:val="1F2A36"/>
          <w:sz w:val="22"/>
          <w:szCs w:val="22"/>
        </w:rPr>
        <w:t xml:space="preserve">K.3. Proportionality. A failed test affects the implicated shipment, exporter, or product lane first. Wider sector consequences require a Verified pattern. Legitimate producers are protected from collective punishment.</w:t>
      </w:r>
    </w:p>
    <w:p>
      <w:pPr>
        <w:spacing w:after="160" w:line="300"/>
        <w:ind w:firstLine="431"/>
        <w:jc w:val="both"/>
      </w:pPr>
      <w:r>
        <w:rPr>
          <w:rFonts w:ascii="Georgia" w:cs="Georgia" w:eastAsia="SimSun" w:hAnsi="Georgia"/>
          <w:color w:val="1F2A36"/>
          <w:sz w:val="22"/>
          <w:szCs w:val="22"/>
        </w:rPr>
        <w:t xml:space="preserve">K.4. Traceability standards. Aluminum: smelt-and-cast records and production batch identifiers. Steel: melt-and-manufacture records, consistent with CUSMA Article 4.10 principles. Minerals: mine-to-border chain of custody. Auto content: producer records aligned with the Annex C.3 worksheet. Attestations carry audit rights and false-statement consequences under domestic law. Chain-of-custody data submitted under this paragraph is protected information under the Classified Information Protocol of Article 27.4.</w:t>
      </w:r>
    </w:p>
    <w:p>
      <w:pPr>
        <w:spacing w:after="160" w:line="300"/>
        <w:ind w:firstLine="431"/>
        <w:jc w:val="both"/>
      </w:pPr>
      <w:r>
        <w:rPr>
          <w:rFonts w:ascii="Georgia" w:cs="Georgia" w:eastAsia="SimSun" w:hAnsi="Georgia"/>
          <w:color w:val="1F2A36"/>
          <w:sz w:val="22"/>
          <w:szCs w:val="22"/>
        </w:rPr>
        <w:t xml:space="preserve">K.5. Anomaly handling. Customs authorities compare declared origin against capacity, shipment history, and anomaly flags. Suspicious shipments enter technical review without blocking unrelated corridor shipments. A Verified deliberate transshipment places the implicated exporter or lane in Orange or Red status and, at Tier 3, suspends that exporter's corridor privileges with an Earn-Back path under Article 34.3.</w:t>
      </w:r>
    </w:p>
    <w:p>
      <w:pPr>
        <w:spacing w:after="160" w:line="300"/>
        <w:ind w:firstLine="431"/>
        <w:jc w:val="both"/>
      </w:pPr>
      <w:r>
        <w:rPr>
          <w:rFonts w:ascii="Georgia" w:cs="Georgia" w:eastAsia="SimSun" w:hAnsi="Georgia"/>
          <w:color w:val="1F2A36"/>
          <w:sz w:val="22"/>
          <w:szCs w:val="22"/>
        </w:rPr>
        <w:t xml:space="preserve">K.6. Strategic supplier recognition. Verified Canadian potash, primary aluminum, corridor electricity, and critical-mineral inputs are recorded as strategic North American supply; qualifying United States fire equipment, grid equipment, and digital infrastructure are recorded as trusted procurement sources. Recognition creates a presumption of economic-security benefit without displacing ordinary customs, safety, sanctions, procurement, or national-security review.</w:t>
      </w:r>
    </w:p>
    <w:p>
      <w:pPr>
        <w:pStyle w:val="Heading1"/>
        <w:pageBreakBefore/>
        <w:spacing w:after="200" w:before="360"/>
      </w:pPr>
      <w:r>
        <w:rPr>
          <w:rFonts w:ascii="Georgia" w:cs="Georgia" w:eastAsia="SimSun" w:hAnsi="Georgia"/>
          <w:b/>
          <w:bCs/>
          <w:color w:val="35586B"/>
          <w:sz w:val="32"/>
          <w:szCs w:val="32"/>
        </w:rPr>
        <w:t xml:space="preserve">Annex L. Forced-Labour and Labour Cooperation Protocol</w:t>
      </w:r>
    </w:p>
    <w:p>
      <w:pPr>
        <w:spacing w:after="160" w:line="300"/>
        <w:ind w:firstLine="431"/>
        <w:jc w:val="both"/>
      </w:pPr>
      <w:r>
        <w:rPr>
          <w:rFonts w:ascii="Georgia" w:cs="Georgia" w:eastAsia="SimSun" w:hAnsi="Georgia"/>
          <w:color w:val="1F2A36"/>
          <w:sz w:val="22"/>
          <w:szCs w:val="22"/>
        </w:rPr>
        <w:t xml:space="preserve">L.1. Evidence sharing. The United States, through CBP, shares admissible supply-chain information through designated channels; Canada, through CBSA, shares enforcement outcomes and risk assessments on the same standard. The common evidentiary template separates allegations, intelligence leads, public-source indicators, and verified findings, and no import restriction rests on an unverified allegation.</w:t>
      </w:r>
    </w:p>
    <w:p>
      <w:pPr>
        <w:spacing w:after="160" w:line="300"/>
        <w:ind w:firstLine="431"/>
        <w:jc w:val="both"/>
      </w:pPr>
      <w:r>
        <w:rPr>
          <w:rFonts w:ascii="Georgia" w:cs="Georgia" w:eastAsia="SimSun" w:hAnsi="Georgia"/>
          <w:color w:val="1F2A36"/>
          <w:sz w:val="22"/>
          <w:szCs w:val="22"/>
        </w:rPr>
        <w:t xml:space="preserve">L.2. Due diligence. Importer due-diligence programs in both countries follow published guidance: supply-chain mapping, high-risk sector lists, and remediation pathways. Small and medium enterprises receive compliance toolkits and a twelve-month familiarization period.</w:t>
      </w:r>
    </w:p>
    <w:p>
      <w:pPr>
        <w:spacing w:after="160" w:line="300"/>
        <w:ind w:firstLine="431"/>
        <w:jc w:val="both"/>
      </w:pPr>
      <w:r>
        <w:rPr>
          <w:rFonts w:ascii="Georgia" w:cs="Georgia" w:eastAsia="SimSun" w:hAnsi="Georgia"/>
          <w:color w:val="1F2A36"/>
          <w:sz w:val="22"/>
          <w:szCs w:val="22"/>
        </w:rPr>
        <w:t xml:space="preserve">L.3. Targeting. Enforcement is risk-based and origin-neutral. Deliberate use of forced-labour procedures as disguised nationality discrimination enters Cothrom governance review in the affected Module, with the burden on the challenging Party to show pattern evidence.</w:t>
      </w:r>
    </w:p>
    <w:p>
      <w:pPr>
        <w:spacing w:after="160" w:line="300"/>
        <w:ind w:firstLine="431"/>
        <w:jc w:val="both"/>
      </w:pPr>
      <w:r>
        <w:rPr>
          <w:rFonts w:ascii="Georgia" w:cs="Georgia" w:eastAsia="SimSun" w:hAnsi="Georgia"/>
          <w:color w:val="1F2A36"/>
          <w:sz w:val="22"/>
          <w:szCs w:val="22"/>
        </w:rPr>
        <w:t xml:space="preserve">L.4. Reporting. Each Party publishes a semi-annual enforcement report: detentions, releases, verified findings, remediation outcomes, and average resolution times. Reports feed the dispute-resolution-effectiveness metric of Annex T.</w:t>
      </w:r>
    </w:p>
    <w:p>
      <w:pPr>
        <w:spacing w:after="160" w:line="300"/>
        <w:ind w:firstLine="431"/>
        <w:jc w:val="both"/>
      </w:pPr>
      <w:r>
        <w:rPr>
          <w:rFonts w:ascii="Georgia" w:cs="Georgia" w:eastAsia="SimSun" w:hAnsi="Georgia"/>
          <w:color w:val="1F2A36"/>
          <w:sz w:val="22"/>
          <w:szCs w:val="22"/>
        </w:rPr>
        <w:t xml:space="preserve">L.5. Rapid-response coordination. Facility-level labour complaints affecting integrated supply chains use the timelines of the CUSMA Chapter 31 Annex 31-A rapid-response mechanism, applied symmetrically, with a joint liaison desk inside the Secretariat for cross-border evidence handling.</w:t>
      </w:r>
    </w:p>
    <w:p>
      <w:pPr>
        <w:pStyle w:val="Heading1"/>
        <w:pageBreakBefore/>
        <w:spacing w:after="200" w:before="360"/>
      </w:pPr>
      <w:r>
        <w:rPr>
          <w:rFonts w:ascii="Georgia" w:cs="Georgia" w:eastAsia="SimSun" w:hAnsi="Georgia"/>
          <w:b/>
          <w:bCs/>
          <w:color w:val="35586B"/>
          <w:sz w:val="32"/>
          <w:szCs w:val="32"/>
        </w:rPr>
        <w:t xml:space="preserve">Annex M. Cothrom Evidence Standards and Claim Template</w:t>
      </w:r>
    </w:p>
    <w:p>
      <w:pPr>
        <w:spacing w:after="160" w:line="300"/>
        <w:ind w:firstLine="431"/>
        <w:jc w:val="both"/>
      </w:pPr>
      <w:r>
        <w:rPr>
          <w:rFonts w:ascii="Georgia" w:cs="Georgia" w:eastAsia="SimSun" w:hAnsi="Georgia"/>
          <w:color w:val="1F2A36"/>
          <w:sz w:val="22"/>
          <w:szCs w:val="22"/>
        </w:rPr>
        <w:t xml:space="preserve">M.1. Claim package fields. Every claim package contains: (1) obligation identifier; (2) performance period; (3) responsible Competent Authority; (4) objective evidence; (5) commercial effect; (6) confidential attachments, submitted under Article 27.4; (7) requested status. Incomplete packages return for correction without adverse finding during the original submission window.</w:t>
      </w:r>
    </w:p>
    <w:p>
      <w:pPr>
        <w:spacing w:after="160" w:line="300"/>
        <w:ind w:firstLine="431"/>
        <w:jc w:val="both"/>
      </w:pPr>
      <w:r>
        <w:rPr>
          <w:rFonts w:ascii="Georgia" w:cs="Georgia" w:eastAsia="SimSun" w:hAnsi="Georgia"/>
          <w:color w:val="1F2A36"/>
          <w:sz w:val="22"/>
          <w:szCs w:val="22"/>
        </w:rPr>
        <w:t xml:space="preserve">M.2. Evidence hierarchy. Customs measures: official tariff instructions, ACE and CARM implementation records, entry summaries, rate-treatment records. Procurement: solicitation texts, bid lists, award notices, contract execution records. Dairy and alcohol: allocation records, listing decisions, shipment data. Energy and minerals: utility filings, regulatory approvals, executed contracts, construction milestones. Autos: certification records, Annex C.3 worksheets, plant-level sourcing data.</w:t>
      </w:r>
    </w:p>
    <w:p>
      <w:pPr>
        <w:spacing w:after="160" w:line="300"/>
        <w:ind w:firstLine="431"/>
        <w:jc w:val="both"/>
      </w:pPr>
      <w:r>
        <w:rPr>
          <w:rFonts w:ascii="Georgia" w:cs="Georgia" w:eastAsia="SimSun" w:hAnsi="Georgia"/>
          <w:color w:val="1F2A36"/>
          <w:sz w:val="22"/>
          <w:szCs w:val="22"/>
        </w:rPr>
        <w:t xml:space="preserve">M.3. Confirmation levels. Confirmed: 100 percent alignment with the Golden Record; challenger cost multiplier 1.5. Substantially Confirmed: 90 to 99 percent alignment. Partially Confirmed: 50 to 89 percent; standard challenge cost. Unconfirmed: below 50 percent; challenge cost multiplier 0.5.</w:t>
      </w:r>
    </w:p>
    <w:p>
      <w:pPr>
        <w:spacing w:after="160" w:line="300"/>
        <w:ind w:firstLine="431"/>
        <w:jc w:val="both"/>
      </w:pPr>
      <w:r>
        <w:rPr>
          <w:rFonts w:ascii="Georgia" w:cs="Georgia" w:eastAsia="SimSun" w:hAnsi="Georgia"/>
          <w:color w:val="1F2A36"/>
          <w:sz w:val="22"/>
          <w:szCs w:val="22"/>
        </w:rPr>
        <w:t xml:space="preserve">M.4. Challenge package fields: the disputed field, counter-evidence, alternative interpretation, and requested correction. The Trade Verification Panel receives the identical record from both Parties.</w:t>
      </w:r>
    </w:p>
    <w:p>
      <w:pPr>
        <w:spacing w:after="160" w:line="300"/>
        <w:ind w:firstLine="431"/>
        <w:jc w:val="both"/>
      </w:pPr>
      <w:r>
        <w:rPr>
          <w:rFonts w:ascii="Georgia" w:cs="Georgia" w:eastAsia="SimSun" w:hAnsi="Georgia"/>
          <w:color w:val="1F2A36"/>
          <w:sz w:val="22"/>
          <w:szCs w:val="22"/>
        </w:rPr>
        <w:t xml:space="preserve">M.5. Data-quality thresholds. Format compliance alerts and integrity alerts log automatically. Three or more consecutive alerts within 72 hours constitute persistent failure and enter Tier 1 review. Forty-eight consecutive hours of unavailable verification-relevant data, certified not to result from equipment failure or maintenance, trigger the automatic suspension of Article 29.3 for the affected facility or program only.</w:t>
      </w:r>
    </w:p>
    <w:p>
      <w:pPr>
        <w:spacing w:after="160" w:line="300"/>
        <w:ind w:firstLine="431"/>
        <w:jc w:val="both"/>
      </w:pPr>
      <w:r>
        <w:rPr>
          <w:rFonts w:ascii="Georgia" w:cs="Georgia" w:eastAsia="SimSun" w:hAnsi="Georgia"/>
          <w:color w:val="1F2A36"/>
          <w:sz w:val="22"/>
          <w:szCs w:val="22"/>
        </w:rPr>
        <w:t xml:space="preserve">M.6. Audit. Either Party may request an independent forensic audit of any Registry segment under Article 27.5. The auditor is drawn from the pre-accredited pool, completes within 30 Calendar Days, and the requesting Party bears the cost unless material manipulation is found, in which case the manipulating Party bears all costs.</w:t>
      </w:r>
    </w:p>
    <w:p>
      <w:pPr>
        <w:pStyle w:val="Heading1"/>
        <w:pageBreakBefore/>
        <w:spacing w:after="200" w:before="360"/>
      </w:pPr>
      <w:r>
        <w:rPr>
          <w:rFonts w:ascii="Georgia" w:cs="Georgia" w:eastAsia="SimSun" w:hAnsi="Georgia"/>
          <w:b/>
          <w:bCs/>
          <w:color w:val="35586B"/>
          <w:sz w:val="32"/>
          <w:szCs w:val="32"/>
        </w:rPr>
        <w:t xml:space="preserve">Annex N. Module Status Dashboard</w:t>
      </w:r>
    </w:p>
    <w:p>
      <w:pPr>
        <w:spacing w:after="160" w:line="300"/>
        <w:ind w:firstLine="431"/>
        <w:jc w:val="both"/>
      </w:pPr>
      <w:r>
        <w:rPr>
          <w:rFonts w:ascii="Georgia" w:cs="Georgia" w:eastAsia="SimSun" w:hAnsi="Georgia"/>
          <w:color w:val="1F2A36"/>
          <w:sz w:val="22"/>
          <w:szCs w:val="22"/>
        </w:rPr>
        <w:t xml:space="preserve">N.1. Zone definitions and default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Status</w:t>
            </w:r>
          </w:p>
        </w:tc>
        <w:tc>
          <w:tcPr>
            <w:tcW w:type="dxa" w:w="39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Meaning</w:t>
            </w:r>
          </w:p>
        </w:tc>
        <w:tc>
          <w:tcPr>
            <w:tcW w:type="dxa" w:w="39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Default response</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Green</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Verified performance at 90% or greater; no unresolved material challenge</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Full module benefit; eligible for consolidation toward durable arrangements</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Amber</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70-89% performance or active technical correction</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Benefit preserved; targeted correction plan</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Orange</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50-69% performance or unresolved Tier 2 Event</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Proportionate Module Step-Back after consultation</w:t>
            </w:r>
          </w:p>
        </w:tc>
      </w:tr>
      <w:tr>
        <w:tc>
          <w:tcPr>
            <w:tcW w:type="dxa" w:w="15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Red</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Below 50% performance or active Tier 3 Event</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Higher Module Step-Back plus Earn-Back plan</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N.2. Zone status informs review and progression. It never by itself triggers tariff restoration or cross-module consequence; consequences flow only through the tier rules of Article 34.</w:t>
      </w:r>
    </w:p>
    <w:p>
      <w:pPr>
        <w:spacing w:after="160" w:line="300"/>
        <w:ind w:firstLine="431"/>
        <w:jc w:val="both"/>
      </w:pPr>
      <w:r>
        <w:rPr>
          <w:rFonts w:ascii="Georgia" w:cs="Georgia" w:eastAsia="SimSun" w:hAnsi="Georgia"/>
          <w:color w:val="1F2A36"/>
          <w:sz w:val="22"/>
          <w:szCs w:val="22"/>
        </w:rPr>
        <w:t xml:space="preserve">N.3. Dashboard fields: Module status, next milestone, last evidence update, active challenge count, frivolous-objection rate by Party, Earn-Back clock, and credit balances. The public view excludes protected information under Article 27.4.</w:t>
      </w:r>
    </w:p>
    <w:p>
      <w:pPr>
        <w:spacing w:after="160" w:line="300"/>
        <w:ind w:firstLine="431"/>
        <w:jc w:val="both"/>
      </w:pPr>
      <w:r>
        <w:rPr>
          <w:rFonts w:ascii="Georgia" w:cs="Georgia" w:eastAsia="SimSun" w:hAnsi="Georgia"/>
          <w:color w:val="1F2A36"/>
          <w:sz w:val="22"/>
          <w:szCs w:val="22"/>
        </w:rPr>
        <w:t xml:space="preserve">N.4. Publication cadence: the dashboard updates continuously; a consolidated snapshot publishes at each Consolidation Review and at Days 15, 30, 60, and 90 during the first two layers.</w:t>
      </w:r>
    </w:p>
    <w:p>
      <w:pPr>
        <w:pStyle w:val="Heading1"/>
        <w:pageBreakBefore/>
        <w:spacing w:after="200" w:before="360"/>
      </w:pPr>
      <w:r>
        <w:rPr>
          <w:rFonts w:ascii="Georgia" w:cs="Georgia" w:eastAsia="SimSun" w:hAnsi="Georgia"/>
          <w:b/>
          <w:bCs/>
          <w:color w:val="35586B"/>
          <w:sz w:val="32"/>
          <w:szCs w:val="32"/>
        </w:rPr>
        <w:t xml:space="preserve">Annex O. Dispute Panel Roster and Rules of Procedure</w:t>
      </w:r>
    </w:p>
    <w:p>
      <w:pPr>
        <w:spacing w:after="160" w:line="300"/>
        <w:ind w:firstLine="431"/>
        <w:jc w:val="both"/>
      </w:pPr>
      <w:r>
        <w:rPr>
          <w:rFonts w:ascii="Georgia" w:cs="Georgia" w:eastAsia="SimSun" w:hAnsi="Georgia"/>
          <w:color w:val="1F2A36"/>
          <w:sz w:val="22"/>
          <w:szCs w:val="22"/>
        </w:rPr>
        <w:t xml:space="preserve">O.1. Rosters. The Parties maintain three standing rosters: a Canadian roster of fifteen members, a United States roster of fifteen members, and a neutral roster of ten non-party members jointly approved. Members serve staggered five-year terms renewable by the appointing side, and vacancies shall be filled within 30 Calendar Days. Roster composition publishes in the Registry in real time. Members demonstrate expertise in international trade law, customs administration, or the relevant sector, and disclose all conflicts; a member with a direct conflict in a matter steps aside, and the replacement follows the same selection method.</w:t>
      </w:r>
    </w:p>
    <w:p>
      <w:pPr>
        <w:spacing w:after="160" w:line="300"/>
        <w:ind w:firstLine="431"/>
        <w:jc w:val="both"/>
      </w:pPr>
      <w:r>
        <w:rPr>
          <w:rFonts w:ascii="Georgia" w:cs="Georgia" w:eastAsia="SimSun" w:hAnsi="Georgia"/>
          <w:color w:val="1F2A36"/>
          <w:sz w:val="22"/>
          <w:szCs w:val="22"/>
        </w:rPr>
        <w:t xml:space="preserve">O.2. Formation. Upon a panel request under Article 36, each Party shall select one panelist within 10 Calendar Days; the chair is drawn from the neutral roster within 5 Calendar Days thereafter. The panel is deemed formed on the date the chair is drawn, and the 75-calendar-day report clock runs from formation.</w:t>
      </w:r>
    </w:p>
    <w:p>
      <w:pPr>
        <w:spacing w:after="160" w:line="300"/>
        <w:ind w:firstLine="431"/>
        <w:jc w:val="both"/>
      </w:pPr>
      <w:r>
        <w:rPr>
          <w:rFonts w:ascii="Georgia" w:cs="Georgia" w:eastAsia="SimSun" w:hAnsi="Georgia"/>
          <w:color w:val="1F2A36"/>
          <w:sz w:val="22"/>
          <w:szCs w:val="22"/>
        </w:rPr>
        <w:t xml:space="preserve">O.3. Drawing by lot: exact mechanism. The Secretariat maintains the neutral roster as an ordered electronic list in the Registry. On the drawing date, the Secretariat generates a random seed by hashing the concatenation of: (a) the Registry block hash of the panel request; (b) the most recent daily closing value of the S&amp;P/TSX Composite Index; and (c) the most recent daily closing value of the S&amp;P 500 Index. The seed selects the chair by modulo arithmetic over the number of eligible neutral roster members. The drawing executes automatically at 12:00 Eastern Time on the fifth Calendar Day after panelist selection, is witnessed by both co-chairs or their designates by video link, and the seed, inputs, and result publish in the Registry. Where a selected member declines or is conflicted, the procedure repeats with the remaining eligible members.</w:t>
      </w:r>
    </w:p>
    <w:p>
      <w:pPr>
        <w:spacing w:after="160" w:line="300"/>
        <w:ind w:firstLine="431"/>
        <w:jc w:val="both"/>
      </w:pPr>
      <w:r>
        <w:rPr>
          <w:rFonts w:ascii="Georgia" w:cs="Georgia" w:eastAsia="SimSun" w:hAnsi="Georgia"/>
          <w:color w:val="1F2A36"/>
          <w:sz w:val="22"/>
          <w:szCs w:val="22"/>
        </w:rPr>
        <w:t xml:space="preserve">O.4. Written submissions. The complaining Party files an initial written submission within 21 Calendar Days of formation; the responding Party files within 21 Calendar Days thereafter; each Party may file one rebuttal within 10 Calendar Days of the prior submission. Word limits: initial submissions shall not exceed 5,000 words; rebuttals shall not exceed 2,500 words; annexes and evidence exhibits are excluded from the word count. Submissions file through the Registry and are served simultaneously on the other Party.</w:t>
      </w:r>
    </w:p>
    <w:p>
      <w:pPr>
        <w:spacing w:after="160" w:line="300"/>
        <w:ind w:firstLine="431"/>
        <w:jc w:val="both"/>
      </w:pPr>
      <w:r>
        <w:rPr>
          <w:rFonts w:ascii="Georgia" w:cs="Georgia" w:eastAsia="SimSun" w:hAnsi="Georgia"/>
          <w:color w:val="1F2A36"/>
          <w:sz w:val="22"/>
          <w:szCs w:val="22"/>
        </w:rPr>
        <w:t xml:space="preserve">O.5. Hearings. The panel convenes a hearing within 45 Calendar Days of formation, in person alternating between Ottawa and Washington or by secure video link at the chair's direction. Each Party receives up to 3 hours of principal argument and 1 hour of rebuttal. Hearings are public unless a Party designates confidential information under Article 27.4; confidential sessions are closed and transcripts are redacted before publication.</w:t>
      </w:r>
    </w:p>
    <w:p>
      <w:pPr>
        <w:spacing w:after="160" w:line="300"/>
        <w:ind w:firstLine="431"/>
        <w:jc w:val="both"/>
      </w:pPr>
      <w:r>
        <w:rPr>
          <w:rFonts w:ascii="Georgia" w:cs="Georgia" w:eastAsia="SimSun" w:hAnsi="Georgia"/>
          <w:color w:val="1F2A36"/>
          <w:sz w:val="22"/>
          <w:szCs w:val="22"/>
        </w:rPr>
        <w:t xml:space="preserve">O.6. Standard of review. Questions of law and of treaty interpretation are reviewed de novo. Findings of fact by the Secretariat or a Competent Authority are reviewed for clear error, and are disturbed only where the record contains no objective evidence capable of supporting them. Data-fidelity determinations of the neutral technical panel under Article 29.2 are final and not reviewable.</w:t>
      </w:r>
    </w:p>
    <w:p>
      <w:pPr>
        <w:spacing w:after="160" w:line="300"/>
        <w:ind w:firstLine="431"/>
        <w:jc w:val="both"/>
      </w:pPr>
      <w:r>
        <w:rPr>
          <w:rFonts w:ascii="Georgia" w:cs="Georgia" w:eastAsia="SimSun" w:hAnsi="Georgia"/>
          <w:color w:val="1F2A36"/>
          <w:sz w:val="22"/>
          <w:szCs w:val="22"/>
        </w:rPr>
        <w:t xml:space="preserve">O.7. Report and remedies. The panel issues its report within 75 Calendar Days of formation (30 Calendar Days on the Article 38 fast track). Where a violation is found, the report: (a) identifies the inconsistent measure with specificity; (b) fixes the 45-calendar-day conformity period; (c) where suspension of benefits is authorized, calibrates the suspension to the value of the non-conformity, confines it to the affected Module unless the Article 34.5 cross-module test is met, and specifies the Earn-Back path in the report itself; and (d) publishes within 10 Calendar Days with confidential annexes redacted.</w:t>
      </w:r>
    </w:p>
    <w:p>
      <w:pPr>
        <w:spacing w:after="160" w:line="300"/>
        <w:ind w:firstLine="431"/>
        <w:jc w:val="both"/>
      </w:pPr>
      <w:r>
        <w:rPr>
          <w:rFonts w:ascii="Georgia" w:cs="Georgia" w:eastAsia="SimSun" w:hAnsi="Georgia"/>
          <w:color w:val="1F2A36"/>
          <w:sz w:val="22"/>
          <w:szCs w:val="22"/>
        </w:rPr>
        <w:t xml:space="preserve">O.8. Interim relief. On a showing of imminent commercial harm, a panel may order interim preservation measures, including suspension of collection of a contested duty pending the report, where the balance of harms favors relief. An interim order issues within 10 Calendar Days of the motion and remains in force until the report.</w:t>
      </w:r>
    </w:p>
    <w:p>
      <w:pPr>
        <w:pStyle w:val="Heading1"/>
        <w:pageBreakBefore/>
        <w:spacing w:after="200" w:before="360"/>
      </w:pPr>
      <w:r>
        <w:rPr>
          <w:rFonts w:ascii="Georgia" w:cs="Georgia" w:eastAsia="SimSun" w:hAnsi="Georgia"/>
          <w:b/>
          <w:bCs/>
          <w:color w:val="35586B"/>
          <w:sz w:val="32"/>
          <w:szCs w:val="32"/>
        </w:rPr>
        <w:t xml:space="preserve">Annex P. Rolling Horizon Review Calendar</w:t>
      </w:r>
    </w:p>
    <w:p>
      <w:pPr>
        <w:spacing w:after="160" w:line="300"/>
        <w:ind w:firstLine="431"/>
        <w:jc w:val="both"/>
      </w:pPr>
      <w:r>
        <w:rPr>
          <w:rFonts w:ascii="Georgia" w:cs="Georgia" w:eastAsia="SimSun" w:hAnsi="Georgia"/>
          <w:color w:val="1F2A36"/>
          <w:sz w:val="22"/>
          <w:szCs w:val="22"/>
        </w:rPr>
        <w:t xml:space="preserve">P.1. Calendar. Consolidation Reviews occur at Day 120, Day 210, Day 300, and quarterly thereafter, on dates published twelve months ahead in the Registry. Special reviews convene within 14 Calendar Days of a joint co-chair request or an uncured Tier 3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Review</w:t>
            </w:r>
          </w:p>
        </w:tc>
        <w:tc>
          <w:tcPr>
            <w:tcW w:type="dxa" w:w="208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Timing</w:t>
            </w:r>
          </w:p>
        </w:tc>
        <w:tc>
          <w:tcPr>
            <w:tcW w:type="dxa" w:w="52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Core business</w:t>
            </w:r>
          </w:p>
        </w:tc>
      </w:tr>
      <w:tr>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First Consolidation Review</w:t>
            </w:r>
          </w:p>
        </w:tc>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120</w:t>
            </w:r>
          </w:p>
        </w:tc>
        <w:tc>
          <w:tcPr>
            <w:tcW w:type="dxa" w:w="52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Scorecard; Green Module consolidation list; metals Stage Three confirmation; auto band confirmation</w:t>
            </w:r>
          </w:p>
        </w:tc>
      </w:tr>
      <w:tr>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Second Consolidation Review</w:t>
            </w:r>
          </w:p>
        </w:tc>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210</w:t>
            </w:r>
          </w:p>
        </w:tc>
        <w:tc>
          <w:tcPr>
            <w:tcW w:type="dxa" w:w="52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Dairy allocation study; permanent auto-rule options; AI-safety terminology deliverable</w:t>
            </w:r>
          </w:p>
        </w:tc>
      </w:tr>
      <w:tr>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Third Consolidation Review</w:t>
            </w:r>
          </w:p>
        </w:tc>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Day 300</w:t>
            </w:r>
          </w:p>
        </w:tc>
        <w:tc>
          <w:tcPr>
            <w:tcW w:type="dxa" w:w="52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Cybersecurity protocol deliverable; procurement lane expansion decision; lumber band adjustment</w:t>
            </w:r>
          </w:p>
        </w:tc>
      </w:tr>
      <w:tr>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Quarterly thereafter</w:t>
            </w:r>
          </w:p>
        </w:tc>
        <w:tc>
          <w:tcPr>
            <w:tcW w:type="dxa" w:w="208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Rolling</w:t>
            </w:r>
          </w:p>
        </w:tc>
        <w:tc>
          <w:tcPr>
            <w:tcW w:type="dxa" w:w="52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Horizon extension; Module consolidation; new-module admission by consent</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P.2. Horizon mechanics. At each review the twelve-month Rolling Horizon extends forward one quarter automatically for every Module in Green or Amber status. No signature, order, or confirmation is needed for extension; extension is the default state of the architecture. A review missed for any reason activates the Automatic Extension of Article 40.4.</w:t>
      </w:r>
    </w:p>
    <w:p>
      <w:pPr>
        <w:spacing w:after="160" w:line="300"/>
        <w:ind w:firstLine="431"/>
        <w:jc w:val="both"/>
      </w:pPr>
      <w:r>
        <w:rPr>
          <w:rFonts w:ascii="Georgia" w:cs="Georgia" w:eastAsia="SimSun" w:hAnsi="Georgia"/>
          <w:color w:val="1F2A36"/>
          <w:sz w:val="22"/>
          <w:szCs w:val="22"/>
        </w:rPr>
        <w:t xml:space="preserve">P.3. Review inputs. The Annex T scorecard, the Annex N dashboard snapshot, panel and verification statistics, and any Party-submitted position papers. Reviews close with a joint communique recording consolidations, corrections, and admissions.</w:t>
      </w:r>
    </w:p>
    <w:p>
      <w:pPr>
        <w:spacing w:after="160" w:line="300"/>
        <w:ind w:firstLine="431"/>
        <w:jc w:val="both"/>
      </w:pPr>
      <w:r>
        <w:rPr>
          <w:rFonts w:ascii="Georgia" w:cs="Georgia" w:eastAsia="SimSun" w:hAnsi="Georgia"/>
          <w:color w:val="1F2A36"/>
          <w:sz w:val="22"/>
          <w:szCs w:val="22"/>
        </w:rPr>
        <w:t xml:space="preserve">P.4. No leverage rule. A review cannot be conditioned, delayed, or traded. Review dates are fixed administrative events; absence of agreement on new business never disturbs existing benefits.</w:t>
      </w:r>
    </w:p>
    <w:p>
      <w:pPr>
        <w:pStyle w:val="Heading1"/>
        <w:pageBreakBefore/>
        <w:spacing w:after="200" w:before="360"/>
      </w:pPr>
      <w:r>
        <w:rPr>
          <w:rFonts w:ascii="Georgia" w:cs="Georgia" w:eastAsia="SimSun" w:hAnsi="Georgia"/>
          <w:b/>
          <w:bCs/>
          <w:color w:val="35586B"/>
          <w:sz w:val="32"/>
          <w:szCs w:val="32"/>
        </w:rPr>
        <w:t xml:space="preserve">Annex Q. Failure Scenarios and Responses</w:t>
      </w:r>
    </w:p>
    <w:p>
      <w:pPr>
        <w:spacing w:after="160" w:line="300"/>
        <w:ind w:firstLine="431"/>
        <w:jc w:val="both"/>
      </w:pPr>
      <w:r>
        <w:rPr>
          <w:rFonts w:ascii="Georgia" w:cs="Georgia" w:eastAsia="SimSun" w:hAnsi="Georgia"/>
          <w:color w:val="1F2A36"/>
          <w:sz w:val="22"/>
          <w:szCs w:val="22"/>
        </w:rPr>
        <w:t xml:space="preserve">Q.1. One major province delays United States alcohol re-entry. If national coverage holds above the Green threshold, the Module continues Green; between thresholds it holds Amber and the implementation table pursues substitute coverage; below the Amber threshold the Substitute Compliance Plan rule of Annex G.5 governs. Other Modules are unaffected.</w:t>
      </w:r>
    </w:p>
    <w:p>
      <w:pPr>
        <w:spacing w:after="160" w:line="300"/>
        <w:ind w:firstLine="431"/>
        <w:jc w:val="both"/>
      </w:pPr>
      <w:r>
        <w:rPr>
          <w:rFonts w:ascii="Georgia" w:cs="Georgia" w:eastAsia="SimSun" w:hAnsi="Georgia"/>
          <w:color w:val="1F2A36"/>
          <w:sz w:val="22"/>
          <w:szCs w:val="22"/>
        </w:rPr>
        <w:t xml:space="preserve">Q.2. Customs systems charge a withdrawn rate on isolated entries. Tier 1 activates; CBP or CBSA corrects coding and issues refunds under Article 6.3 or 7.3; the event does not reactivate any paired measure. Three identical events in 30 Calendar Days enter pattern review.</w:t>
      </w:r>
    </w:p>
    <w:p>
      <w:pPr>
        <w:spacing w:after="160" w:line="300"/>
        <w:ind w:firstLine="431"/>
        <w:jc w:val="both"/>
      </w:pPr>
      <w:r>
        <w:rPr>
          <w:rFonts w:ascii="Georgia" w:cs="Georgia" w:eastAsia="SimSun" w:hAnsi="Georgia"/>
          <w:color w:val="1F2A36"/>
          <w:sz w:val="22"/>
          <w:szCs w:val="22"/>
        </w:rPr>
        <w:t xml:space="preserve">Q.3. An exporter falsifies smelt-and-cast origin. The implicated exporter enters Tier 3 review; other Verified exporters remain Green absent a demonstrated pattern; the falsifier's corridor privileges suspend with a defined Earn-Back path.</w:t>
      </w:r>
    </w:p>
    <w:p>
      <w:pPr>
        <w:spacing w:after="160" w:line="300"/>
        <w:ind w:firstLine="431"/>
        <w:jc w:val="both"/>
      </w:pPr>
      <w:r>
        <w:rPr>
          <w:rFonts w:ascii="Georgia" w:cs="Georgia" w:eastAsia="SimSun" w:hAnsi="Georgia"/>
          <w:color w:val="1F2A36"/>
          <w:sz w:val="22"/>
          <w:szCs w:val="22"/>
        </w:rPr>
        <w:t xml:space="preserve">Q.4. A dairy reallocation tranche underfills due to weak demand. The protocol treats low demand differently from obstruction: the tranche recalibrates, and no adverse status attaches.</w:t>
      </w:r>
    </w:p>
    <w:p>
      <w:pPr>
        <w:spacing w:after="160" w:line="300"/>
        <w:ind w:firstLine="431"/>
        <w:jc w:val="both"/>
      </w:pPr>
      <w:r>
        <w:rPr>
          <w:rFonts w:ascii="Georgia" w:cs="Georgia" w:eastAsia="SimSun" w:hAnsi="Georgia"/>
          <w:color w:val="1F2A36"/>
          <w:sz w:val="22"/>
          <w:szCs w:val="22"/>
        </w:rPr>
        <w:t xml:space="preserve">Q.5. A corridor energy project collapses for financing reasons after accurate disclosure. The project loses prospective investment credit; no breach arises.</w:t>
      </w:r>
    </w:p>
    <w:p>
      <w:pPr>
        <w:spacing w:after="160" w:line="300"/>
        <w:ind w:firstLine="431"/>
        <w:jc w:val="both"/>
      </w:pPr>
      <w:r>
        <w:rPr>
          <w:rFonts w:ascii="Georgia" w:cs="Georgia" w:eastAsia="SimSun" w:hAnsi="Georgia"/>
          <w:color w:val="1F2A36"/>
          <w:sz w:val="22"/>
          <w:szCs w:val="22"/>
        </w:rPr>
        <w:t xml:space="preserve">Q.6. A new executive order attempts to reimpose a covered tariff. The order follows the Article 24.3 sequence: notice, consultation, expedited Panel review within 30 Calendar Days. Collection suspends pending review where the panel grants interim relief under Annex O.8. The paired Canadian measure remains in abeyance during the sequence.</w:t>
      </w:r>
    </w:p>
    <w:p>
      <w:pPr>
        <w:spacing w:after="160" w:line="300"/>
        <w:ind w:firstLine="431"/>
        <w:jc w:val="both"/>
      </w:pPr>
      <w:r>
        <w:rPr>
          <w:rFonts w:ascii="Georgia" w:cs="Georgia" w:eastAsia="SimSun" w:hAnsi="Georgia"/>
          <w:color w:val="1F2A36"/>
          <w:sz w:val="22"/>
          <w:szCs w:val="22"/>
        </w:rPr>
        <w:t xml:space="preserve">Q.7. A Party floods a Module with challenges. The Article 32 ladder narrows hold windows and, at the fourth failed challenge in 30 Calendar Days, establishes the 7-day presumption in favor of Secretariat findings.</w:t>
      </w:r>
    </w:p>
    <w:p>
      <w:pPr>
        <w:spacing w:after="160" w:line="300"/>
        <w:ind w:firstLine="431"/>
        <w:jc w:val="both"/>
      </w:pPr>
      <w:r>
        <w:rPr>
          <w:rFonts w:ascii="Georgia" w:cs="Georgia" w:eastAsia="SimSun" w:hAnsi="Georgia"/>
          <w:color w:val="1F2A36"/>
          <w:sz w:val="22"/>
          <w:szCs w:val="22"/>
        </w:rPr>
        <w:t xml:space="preserve">Q.8. A review date arrives during a domestic transition. The review proceeds on the record; the transitioning Party may activate the single 7-day operational pause of Article 35.3 for the affected Module without disturbing the horizon; if the review is not held, Article 40.4 extends the horizon automatically.</w:t>
      </w:r>
    </w:p>
    <w:p>
      <w:pPr>
        <w:pStyle w:val="Heading1"/>
        <w:pageBreakBefore/>
        <w:spacing w:after="200" w:before="360"/>
      </w:pPr>
      <w:r>
        <w:rPr>
          <w:rFonts w:ascii="Georgia" w:cs="Georgia" w:eastAsia="SimSun" w:hAnsi="Georgia"/>
          <w:b/>
          <w:bCs/>
          <w:color w:val="35586B"/>
          <w:sz w:val="32"/>
          <w:szCs w:val="32"/>
        </w:rPr>
        <w:t xml:space="preserve">Annex R. Negotiator Fallback Ladder</w:t>
      </w:r>
    </w:p>
    <w:p>
      <w:pPr>
        <w:spacing w:after="160" w:line="300"/>
        <w:ind w:firstLine="431"/>
        <w:jc w:val="both"/>
      </w:pPr>
      <w:r>
        <w:rPr>
          <w:rFonts w:ascii="Georgia" w:cs="Georgia" w:eastAsia="SimSun" w:hAnsi="Georgia"/>
          <w:color w:val="1F2A36"/>
          <w:sz w:val="22"/>
          <w:szCs w:val="22"/>
        </w:rPr>
        <w:t xml:space="preserve">R.1. If full withdrawal of the August duties is unavailable at signature, the Parties execute a product-line withdrawal covering the most exposed sectors plus a binding no-expansion rule during the first fifteen days, with the residual lines entering the first Consolidation Review as scheduled business.</w:t>
      </w:r>
    </w:p>
    <w:p>
      <w:pPr>
        <w:spacing w:after="160" w:line="300"/>
        <w:ind w:firstLine="431"/>
        <w:jc w:val="both"/>
      </w:pPr>
      <w:r>
        <w:rPr>
          <w:rFonts w:ascii="Georgia" w:cs="Georgia" w:eastAsia="SimSun" w:hAnsi="Georgia"/>
          <w:color w:val="1F2A36"/>
          <w:sz w:val="22"/>
          <w:szCs w:val="22"/>
        </w:rPr>
        <w:t xml:space="preserve">R.2. If the 10 percent Stage Two metals rate is unavailable, the Parties adopt the tariff-rate quota alternative of Annex B.3 with a zero or low in-quota rate inside commercially meaningful volume, expanding on Verified origin performance.</w:t>
      </w:r>
    </w:p>
    <w:p>
      <w:pPr>
        <w:spacing w:after="160" w:line="300"/>
        <w:ind w:firstLine="431"/>
        <w:jc w:val="both"/>
      </w:pPr>
      <w:r>
        <w:rPr>
          <w:rFonts w:ascii="Georgia" w:cs="Georgia" w:eastAsia="SimSun" w:hAnsi="Georgia"/>
          <w:color w:val="1F2A36"/>
          <w:sz w:val="22"/>
          <w:szCs w:val="22"/>
        </w:rPr>
        <w:t xml:space="preserve">R.3. If the 75 percent deduction credit for non-United States CUSMA content is unavailable, the interim credit sets at 60 percent with an automatic Day 60 review, never zero credit for Canadian content.</w:t>
      </w:r>
    </w:p>
    <w:p>
      <w:pPr>
        <w:spacing w:after="160" w:line="300"/>
        <w:ind w:firstLine="431"/>
        <w:jc w:val="both"/>
      </w:pPr>
      <w:r>
        <w:rPr>
          <w:rFonts w:ascii="Georgia" w:cs="Georgia" w:eastAsia="SimSun" w:hAnsi="Georgia"/>
          <w:color w:val="1F2A36"/>
          <w:sz w:val="22"/>
          <w:szCs w:val="22"/>
        </w:rPr>
        <w:t xml:space="preserve">R.4. If heavy-truck inclusion fails politically, the fallback is a staged inclusion: medium-duty at Day 30, heavy-duty at Day 90, with the pairing principle intact. Exclusion without a schedule is not a fallback; it reproduces the August defect.</w:t>
      </w:r>
    </w:p>
    <w:p>
      <w:pPr>
        <w:spacing w:after="160" w:line="300"/>
        <w:ind w:firstLine="431"/>
        <w:jc w:val="both"/>
      </w:pPr>
      <w:r>
        <w:rPr>
          <w:rFonts w:ascii="Georgia" w:cs="Georgia" w:eastAsia="SimSun" w:hAnsi="Georgia"/>
          <w:color w:val="1F2A36"/>
          <w:sz w:val="22"/>
          <w:szCs w:val="22"/>
        </w:rPr>
        <w:t xml:space="preserve">R.5. If provincial alcohol coverage stays below the Green threshold, Canada executes the Annex G.5 Substitute Compliance Plan, increasing re-entry facilitation in participating provinces and expanding the federal procurement lane, rather than coercing non-participating provinces.</w:t>
      </w:r>
    </w:p>
    <w:p>
      <w:pPr>
        <w:spacing w:after="160" w:line="300"/>
        <w:ind w:firstLine="431"/>
        <w:jc w:val="both"/>
      </w:pPr>
      <w:r>
        <w:rPr>
          <w:rFonts w:ascii="Georgia" w:cs="Georgia" w:eastAsia="SimSun" w:hAnsi="Georgia"/>
          <w:color w:val="1F2A36"/>
          <w:sz w:val="22"/>
          <w:szCs w:val="22"/>
        </w:rPr>
        <w:t xml:space="preserve">R.6. If dairy reallocation volumes prove politically unavailable, the protocol operates through reallocated underused quota and product-specific supplementary permits before any volume increase.</w:t>
      </w:r>
    </w:p>
    <w:p>
      <w:pPr>
        <w:spacing w:after="160" w:line="300"/>
        <w:ind w:firstLine="431"/>
        <w:jc w:val="both"/>
      </w:pPr>
      <w:r>
        <w:rPr>
          <w:rFonts w:ascii="Georgia" w:cs="Georgia" w:eastAsia="SimSun" w:hAnsi="Georgia"/>
          <w:color w:val="1F2A36"/>
          <w:sz w:val="22"/>
          <w:szCs w:val="22"/>
        </w:rPr>
        <w:t xml:space="preserve">R.7. Every fallback preserves the architecture: pairing, verification, Module Firewall, Rolling Horizon, and No-Fade. Numbers flex; structure does not.</w:t>
      </w:r>
    </w:p>
    <w:p>
      <w:pPr>
        <w:pStyle w:val="Heading1"/>
        <w:pageBreakBefore/>
        <w:spacing w:after="200" w:before="360"/>
      </w:pPr>
      <w:r>
        <w:rPr>
          <w:rFonts w:ascii="Georgia" w:cs="Georgia" w:eastAsia="SimSun" w:hAnsi="Georgia"/>
          <w:b/>
          <w:bCs/>
          <w:color w:val="35586B"/>
          <w:sz w:val="32"/>
          <w:szCs w:val="32"/>
        </w:rPr>
        <w:t xml:space="preserve">Annex S. Red Lines Preserved (Both Parties)</w:t>
      </w:r>
    </w:p>
    <w:p>
      <w:pPr>
        <w:spacing w:after="160" w:line="300"/>
        <w:ind w:firstLine="431"/>
        <w:jc w:val="both"/>
      </w:pPr>
      <w:r>
        <w:rPr>
          <w:rFonts w:ascii="Georgia" w:cs="Georgia" w:eastAsia="SimSun" w:hAnsi="Georgia"/>
          <w:color w:val="1F2A36"/>
          <w:sz w:val="22"/>
          <w:szCs w:val="22"/>
        </w:rPr>
        <w:t xml:space="preserve">S.1. Canadian red lines. The Accord does not abolish or structurally alter dairy, poultry, or egg supply management. It grants no right of first refusal, exclusivity, or price cap over Canadian resources. It imposes no restriction on Canada's third-party trade agreements, no limit on French-language or cultural protections, no federal override of provincial jurisdiction over alcohol, procurement, or energy, no forced alignment with United States industrial or subsidy policy, no relocation of automotive manufacturing, and no below-market commodity or electricity pricing.</w:t>
      </w:r>
    </w:p>
    <w:p>
      <w:pPr>
        <w:spacing w:after="160" w:line="300"/>
        <w:ind w:firstLine="431"/>
        <w:jc w:val="both"/>
      </w:pPr>
      <w:r>
        <w:rPr>
          <w:rFonts w:ascii="Georgia" w:cs="Georgia" w:eastAsia="SimSun" w:hAnsi="Georgia"/>
          <w:color w:val="1F2A36"/>
          <w:sz w:val="22"/>
          <w:szCs w:val="22"/>
        </w:rPr>
        <w:t xml:space="preserve">S.2. United States red lines. The Accord does not eliminate Buy American or Buy Canadian policies outside the scheduled test lane. It does not constrain either Party's domestic trade-remedy statutes as such; it disciplines their bilateral application. It does not compel any security commitment, any defense procurement decision, or any change to immigration or border-security law. It does not create supranational authority over either Party's regulators, courts, or legislatures.</w:t>
      </w:r>
    </w:p>
    <w:p>
      <w:pPr>
        <w:spacing w:after="160" w:line="300"/>
        <w:ind w:firstLine="431"/>
        <w:jc w:val="both"/>
      </w:pPr>
      <w:r>
        <w:rPr>
          <w:rFonts w:ascii="Georgia" w:cs="Georgia" w:eastAsia="SimSun" w:hAnsi="Georgia"/>
          <w:color w:val="1F2A36"/>
          <w:sz w:val="22"/>
          <w:szCs w:val="22"/>
        </w:rPr>
        <w:t xml:space="preserve">S.3. Shared exclusions. The framework architecture excludes: sunset clauses in any form; veto rights over third-party agreements; unilateral amendment; panel blocking; retroactive disturbance of vested commercial rights; and collective punishment of compliant producers for another's violation.</w:t>
      </w:r>
    </w:p>
    <w:p>
      <w:pPr>
        <w:spacing w:after="160" w:line="300"/>
        <w:ind w:firstLine="431"/>
        <w:jc w:val="both"/>
      </w:pPr>
      <w:r>
        <w:rPr>
          <w:rFonts w:ascii="Georgia" w:cs="Georgia" w:eastAsia="SimSun" w:hAnsi="Georgia"/>
          <w:color w:val="1F2A36"/>
          <w:sz w:val="22"/>
          <w:szCs w:val="22"/>
        </w:rPr>
        <w:t xml:space="preserve">S.4. Supremacy of this Annex. In any conflict between this Annex and any other provision of this Accord, including any Annex, this Annex prevails.</w:t>
      </w:r>
    </w:p>
    <w:p>
      <w:pPr>
        <w:pStyle w:val="Heading1"/>
        <w:pageBreakBefore/>
        <w:spacing w:after="200" w:before="360"/>
      </w:pPr>
      <w:r>
        <w:rPr>
          <w:rFonts w:ascii="Georgia" w:cs="Georgia" w:eastAsia="SimSun" w:hAnsi="Georgia"/>
          <w:b/>
          <w:bCs/>
          <w:color w:val="35586B"/>
          <w:sz w:val="32"/>
          <w:szCs w:val="32"/>
        </w:rPr>
        <w:t xml:space="preserve">Annex T. Measurable Benefits Dashboard: Formulas and Benchmarks</w:t>
      </w:r>
    </w:p>
    <w:p>
      <w:pPr>
        <w:spacing w:after="160" w:line="300"/>
        <w:ind w:firstLine="431"/>
        <w:jc w:val="both"/>
      </w:pPr>
      <w:r>
        <w:rPr>
          <w:rFonts w:ascii="Georgia" w:cs="Georgia" w:eastAsia="SimSun" w:hAnsi="Georgia"/>
          <w:color w:val="1F2A36"/>
          <w:sz w:val="22"/>
          <w:szCs w:val="22"/>
        </w:rPr>
        <w:t xml:space="preserve">T.1. The Accord measures itself. The scorecard at each Consolidation Review reports, for both directions of trade, the following metrics, each computed by the Secretariat from Registry data within 10 Business Days of the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3900"/>
        <w:gridCol w:w="2600"/>
      </w:tblGrid>
      <w:tr>
        <w:trPr>
          <w:tblHeader/>
        </w:trPr>
        <w:tc>
          <w:tcPr>
            <w:tcW w:type="dxa" w:w="286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Metric</w:t>
            </w:r>
          </w:p>
        </w:tc>
        <w:tc>
          <w:tcPr>
            <w:tcW w:type="dxa" w:w="39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Formula</w:t>
            </w:r>
          </w:p>
        </w:tc>
        <w:tc>
          <w:tcPr>
            <w:tcW w:type="dxa" w:w="2600"/>
            <w:shd w:fill="EEF3F6" w:val="clear"/>
            <w:tcMar>
              <w:top w:type="dxa" w:w="100"/>
              <w:left w:type="dxa" w:w="120"/>
              <w:bottom w:type="dxa" w:w="100"/>
              <w:right w:type="dxa" w:w="120"/>
            </w:tcMar>
          </w:tcPr>
          <w:p>
            <w:pPr>
              <w:spacing w:after="40" w:line="260"/>
            </w:pPr>
            <w:r>
              <w:rPr>
                <w:rFonts w:ascii="Georgia" w:cs="Georgia" w:eastAsia="SimSun" w:hAnsi="Georgia"/>
                <w:b/>
                <w:bCs/>
                <w:color w:val="1F2A36"/>
                <w:sz w:val="19"/>
                <w:szCs w:val="19"/>
              </w:rPr>
              <w:t xml:space="preserve">Source</w:t>
            </w:r>
          </w:p>
        </w:tc>
      </w:tr>
      <w:tr>
        <w:tc>
          <w:tcPr>
            <w:tcW w:type="dxa" w:w="2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Tariff Compliance Rate</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(Tariff lines implemented on schedule / total tariff lines in Annex A) x 100</w:t>
            </w:r>
          </w:p>
        </w:tc>
        <w:tc>
          <w:tcPr>
            <w:tcW w:type="dxa" w:w="26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ACE/CARM records; Registry</w:t>
            </w:r>
          </w:p>
        </w:tc>
      </w:tr>
      <w:tr>
        <w:tc>
          <w:tcPr>
            <w:tcW w:type="dxa" w:w="2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Refund Timeliness</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(Refunds completed within 20 Business Days / total refund claims) x 100</w:t>
            </w:r>
          </w:p>
        </w:tc>
        <w:tc>
          <w:tcPr>
            <w:tcW w:type="dxa" w:w="26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CBP/CBSA refund ledgers</w:t>
            </w:r>
          </w:p>
        </w:tc>
      </w:tr>
      <w:tr>
        <w:tc>
          <w:tcPr>
            <w:tcW w:type="dxa" w:w="2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Dairy Fill Rate</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(Volume imported under each TRQ / allocated volume) x 100, reported by holder class</w:t>
            </w:r>
          </w:p>
        </w:tc>
        <w:tc>
          <w:tcPr>
            <w:tcW w:type="dxa" w:w="26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Annex E.1 publications</w:t>
            </w:r>
          </w:p>
        </w:tc>
      </w:tr>
      <w:tr>
        <w:tc>
          <w:tcPr>
            <w:tcW w:type="dxa" w:w="2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Procurement Parity</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Award value to other-Party suppliers as a percentage of total eligible bid value in covered competitions</w:t>
            </w:r>
          </w:p>
        </w:tc>
        <w:tc>
          <w:tcPr>
            <w:tcW w:type="dxa" w:w="26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Annex J.6 records</w:t>
            </w:r>
          </w:p>
        </w:tc>
      </w:tr>
      <w:tr>
        <w:tc>
          <w:tcPr>
            <w:tcW w:type="dxa" w:w="2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Panel Timeline Compliance</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(Panels reporting within the Article 36 or Annex O deadline / total panels) x 100</w:t>
            </w:r>
          </w:p>
        </w:tc>
        <w:tc>
          <w:tcPr>
            <w:tcW w:type="dxa" w:w="26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Secretariat statistics</w:t>
            </w:r>
          </w:p>
        </w:tc>
      </w:tr>
      <w:tr>
        <w:tc>
          <w:tcPr>
            <w:tcW w:type="dxa" w:w="2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Challenge Integrity</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Upheld-challenge rate and frivolous-challenge rate, by Party</w:t>
            </w:r>
          </w:p>
        </w:tc>
        <w:tc>
          <w:tcPr>
            <w:tcW w:type="dxa" w:w="26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Registry challenge log</w:t>
            </w:r>
          </w:p>
        </w:tc>
      </w:tr>
      <w:tr>
        <w:tc>
          <w:tcPr>
            <w:tcW w:type="dxa" w:w="2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Corridor Throughput</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Registered corridor shipments (tonnage, GWh, value) per quarter, against baseline</w:t>
            </w:r>
          </w:p>
        </w:tc>
        <w:tc>
          <w:tcPr>
            <w:tcW w:type="dxa" w:w="26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Annexes B, I, K records</w:t>
            </w:r>
          </w:p>
        </w:tc>
      </w:tr>
      <w:tr>
        <w:tc>
          <w:tcPr>
            <w:tcW w:type="dxa" w:w="286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Border Dwell Time</w:t>
            </w:r>
          </w:p>
        </w:tc>
        <w:tc>
          <w:tcPr>
            <w:tcW w:type="dxa" w:w="39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Mean and 90th-percentile processing time for corridor and pre-clearance shipments</w:t>
            </w:r>
          </w:p>
        </w:tc>
        <w:tc>
          <w:tcPr>
            <w:tcW w:type="dxa" w:w="2600"/>
            <w:tcMar>
              <w:top w:type="dxa" w:w="100"/>
              <w:left w:type="dxa" w:w="120"/>
              <w:bottom w:type="dxa" w:w="100"/>
              <w:right w:type="dxa" w:w="120"/>
            </w:tcMar>
          </w:tcPr>
          <w:p>
            <w:pPr>
              <w:spacing w:after="40" w:line="260"/>
            </w:pPr>
            <w:r>
              <w:rPr>
                <w:rFonts w:ascii="Georgia" w:cs="Georgia" w:eastAsia="SimSun" w:hAnsi="Georgia"/>
                <w:color w:val="1F2A36"/>
                <w:sz w:val="19"/>
                <w:szCs w:val="19"/>
              </w:rPr>
              <w:t xml:space="preserve">CBP/CBSA timestamps</w:t>
            </w:r>
          </w:p>
        </w:tc>
      </w:tr>
    </w:tbl>
    <w:p>
      <w:pPr>
        <w:spacing w:after="120"/>
      </w:pPr>
      <w:r>
        <w:rPr>
          <w:rFonts w:ascii="Georgia" w:cs="Georgia" w:eastAsia="SimSun" w:hAnsi="Georgia"/>
          <w:color w:val="1F2A36"/>
          <w:sz w:val="22"/>
          <w:szCs w:val="22"/>
        </w:rPr>
        <w:t xml:space="preserve"/>
      </w:r>
    </w:p>
    <w:p>
      <w:pPr>
        <w:spacing w:after="160" w:line="300"/>
        <w:ind w:firstLine="431"/>
        <w:jc w:val="both"/>
      </w:pPr>
      <w:r>
        <w:rPr>
          <w:rFonts w:ascii="Georgia" w:cs="Georgia" w:eastAsia="SimSun" w:hAnsi="Georgia"/>
          <w:color w:val="1F2A36"/>
          <w:sz w:val="22"/>
          <w:szCs w:val="22"/>
        </w:rPr>
        <w:t xml:space="preserve">T.2. Benchmarks. Layer One targets: 100 percent of Paired Actions effective within 72 hours of their scheduled date; zero unresolved Tier 2 Events older than 30 Calendar Days. Layer Three targets: metals at 10 percent; autos at 10 percent; dairy fill rates above 85 percent on reallocated entitlements; alcohol coverage at or above the Green threshold. First-year targets: corridor-registered minerals and energy shipments growing quarter over quarter; Procurement Parity within 20 percent of parity, measured as award share against share of eligible bids.</w:t>
      </w:r>
    </w:p>
    <w:p>
      <w:pPr>
        <w:spacing w:after="160" w:line="300"/>
        <w:ind w:firstLine="431"/>
        <w:jc w:val="both"/>
      </w:pPr>
      <w:r>
        <w:rPr>
          <w:rFonts w:ascii="Georgia" w:cs="Georgia" w:eastAsia="SimSun" w:hAnsi="Georgia"/>
          <w:color w:val="1F2A36"/>
          <w:sz w:val="22"/>
          <w:szCs w:val="22"/>
        </w:rPr>
        <w:t xml:space="preserve">T.3. Transparency. The non-confidential scorecard publishes within 10 Calendar Days of each review. Protected information remains in the enclave under Article 27.4.</w:t>
      </w:r>
    </w:p>
    <w:p>
      <w:pPr>
        <w:spacing w:after="160" w:line="300"/>
        <w:ind w:firstLine="431"/>
        <w:jc w:val="both"/>
      </w:pPr>
      <w:r>
        <w:rPr>
          <w:rFonts w:ascii="Georgia" w:cs="Georgia" w:eastAsia="SimSun" w:hAnsi="Georgia"/>
          <w:color w:val="1F2A36"/>
          <w:sz w:val="22"/>
          <w:szCs w:val="22"/>
        </w:rPr>
        <w:t xml:space="preserve">T.4. Use. Metrics inform consolidation and correction decisions. They are never a trigger for automatic consequence; consequences flow only through Part V.</w:t>
      </w:r>
    </w:p>
    <w:p>
      <w:pPr>
        <w:pStyle w:val="Heading1"/>
        <w:pageBreakBefore/>
        <w:spacing w:after="200" w:before="360"/>
      </w:pPr>
      <w:r>
        <w:rPr>
          <w:rFonts w:ascii="Georgia" w:cs="Georgia" w:eastAsia="SimSun" w:hAnsi="Georgia"/>
          <w:b/>
          <w:bCs/>
          <w:color w:val="35586B"/>
          <w:sz w:val="32"/>
          <w:szCs w:val="32"/>
        </w:rPr>
        <w:t xml:space="preserve">Annex U. Domestic Implementing Instruments Checklist</w:t>
      </w:r>
    </w:p>
    <w:p>
      <w:pPr>
        <w:spacing w:after="160" w:line="300"/>
        <w:ind w:firstLine="431"/>
        <w:jc w:val="both"/>
      </w:pPr>
      <w:r>
        <w:rPr>
          <w:rFonts w:ascii="Georgia" w:cs="Georgia" w:eastAsia="SimSun" w:hAnsi="Georgia"/>
          <w:color w:val="1F2A36"/>
          <w:sz w:val="22"/>
          <w:szCs w:val="22"/>
        </w:rPr>
        <w:t xml:space="preserve">U.1. Purpose. This Annex identifies, for each Party, the domestic instruments through which the Accord is executed, consistent with Article 5.2 and Article 46.4. Listing an instrument does not concede that legislative action is legally required where existing executive or administrative authority suffices.</w:t>
      </w:r>
    </w:p>
    <w:p>
      <w:pPr>
        <w:spacing w:after="160" w:line="300"/>
        <w:ind w:firstLine="431"/>
        <w:jc w:val="both"/>
      </w:pPr>
      <w:r>
        <w:rPr>
          <w:rFonts w:ascii="Georgia" w:cs="Georgia" w:eastAsia="SimSun" w:hAnsi="Georgia"/>
          <w:color w:val="1F2A36"/>
          <w:sz w:val="22"/>
          <w:szCs w:val="22"/>
        </w:rPr>
        <w:t xml:space="preserve">U.2. United States instruments. (a) Presidential Proclamation superseding the Proclamation of July 20, 2026 and withdrawing the August 22 duties (Article 6). (b) USTR Federal Register notice terminating the tariff action; CBP CSMS implementation and refund instructions (Articles 6.1, 6.3). (c) Presidential Proclamations or Department of Commerce modifications adjusting Section 232 rates for steel, aluminum, copper, autos, and timber to the Annex B, C, and D schedules. (d) Executive order or interagency memorandum establishing the United States half of the Secretariat, the Registry interface, and roster appointments (Articles 26, 27, 31). (e) GSA/FAR Council deviations or interim rules opening the federal procurement test lane (Annex J.1). (f) Department of Agriculture transparency publications (Annex E.1). (g) Where a measure exceeds existing authority, including any permanent change to statutory EV-credit eligibility (Annex C.5) or permanent Section 232 modification, the Administration shall table legislative language with Congress within 90 Calendar Days of signature and report progress at each Consolidation Review; pendency does not delay measures executable under existing authority.</w:t>
      </w:r>
    </w:p>
    <w:p>
      <w:pPr>
        <w:spacing w:after="160" w:line="300"/>
        <w:ind w:firstLine="431"/>
        <w:jc w:val="both"/>
      </w:pPr>
      <w:r>
        <w:rPr>
          <w:rFonts w:ascii="Georgia" w:cs="Georgia" w:eastAsia="SimSun" w:hAnsi="Georgia"/>
          <w:color w:val="1F2A36"/>
          <w:sz w:val="22"/>
          <w:szCs w:val="22"/>
        </w:rPr>
        <w:t xml:space="preserve">U.3. Canadian instruments. (a) Orders in Council under section 53 of the Customs Tariff: abeyance of the United States Surtax Order (September 2026) (Article 7.1), staged unwinding of the steel, aluminum, and motor vehicle surtax orders (Articles 8.3, 9.4), and conversion of remission orders into standing exemptions (Article 11.2). (b) CBSA Customs Notices implementing CARM changes and refund procedures (Articles 7.1, 7.3). (c) Global Affairs Canada notices establishing the dairy Utilization Rule, Reallocation Pool, and eligibility adjustments (Annex E.2-E.4). (d) CBSA classification guidance and CFIA compositional standards closing the protein-ingredient channel (Annex E.5). (e) Federal implementation directives establishing the Secretariat half, Registry interface, and roster appointments. (f) PSPC solicitation policy instruments for the procurement test lane and Wildfire Procurement Window (Annex J). (g) Provincial implementation notices under Annexes G and J.3, executed voluntarily by participating provinces. (h) Parliamentary notification consistent with the standing practice for executive trade instruments; where a measure requires legislative amendment, the Government shall table the legislation within 90 Calendar Days of signature and report progress at each Consolidation Review.</w:t>
      </w:r>
    </w:p>
    <w:p>
      <w:pPr>
        <w:spacing w:after="160" w:line="300"/>
        <w:ind w:firstLine="431"/>
        <w:jc w:val="both"/>
      </w:pPr>
      <w:r>
        <w:rPr>
          <w:rFonts w:ascii="Georgia" w:cs="Georgia" w:eastAsia="SimSun" w:hAnsi="Georgia"/>
          <w:color w:val="1F2A36"/>
          <w:sz w:val="22"/>
          <w:szCs w:val="22"/>
        </w:rPr>
        <w:t xml:space="preserve">U.4. Tracking. The Secretariat maintains a checklist entry for every instrument in this Annex, recording tabled date, effective date, and responsible Competent Authority. An instrument delayed beyond its scheduled date enters Tier 1 review; persistent delay beyond 60 Calendar Days enters Tier 2 review in the affected Module only.</w:t>
      </w:r>
    </w:p>
    <w:p>
      <w:pPr>
        <w:pStyle w:val="Heading1"/>
        <w:pageBreakBefore/>
        <w:spacing w:after="200" w:before="360"/>
      </w:pPr>
      <w:r>
        <w:rPr>
          <w:rFonts w:ascii="Georgia" w:cs="Georgia" w:eastAsia="SimSun" w:hAnsi="Georgia"/>
          <w:b/>
          <w:bCs/>
          <w:color w:val="35586B"/>
          <w:sz w:val="32"/>
          <w:szCs w:val="32"/>
        </w:rPr>
        <w:t xml:space="preserve">Annex V. Research Basis and Source Notes</w:t>
      </w:r>
    </w:p>
    <w:p>
      <w:pPr>
        <w:spacing w:after="160" w:line="300"/>
        <w:ind w:firstLine="431"/>
        <w:jc w:val="both"/>
      </w:pPr>
      <w:r>
        <w:rPr>
          <w:rFonts w:ascii="Georgia" w:cs="Georgia" w:eastAsia="SimSun" w:hAnsi="Georgia"/>
          <w:color w:val="1F2A36"/>
          <w:sz w:val="22"/>
          <w:szCs w:val="22"/>
        </w:rPr>
        <w:t xml:space="preserve">V.1. Situation assessment. The baseline in Article 1 reflects public reporting and official materials available through September 8, 2026, including: the United States proclamations of July 20, 2026 imposing additional duties effective August 22, 2026; the Canadian orders imposing counter-tariffs on approximately C$27.6 billion of United States goods effective September 8, 2026; the February 2026 Supreme Court decision invalidating IEEPA-based tariffs and the subsequent Section 122 temporary surcharge; the June 2025 increase of Section 232 steel and aluminum tariffs to 50 percent (Proclamation 10947); the March 2025 automobile measures (Proclamation 10908); the September 2025 Section 232 measures on timber, lumber, furniture, cabinets, and vanities (Proclamation 10976); and the September 2025 Canadian order removing the Phase 1 and miscellaneous consumer-goods retaliation while preserving steel, aluminum, and auto countermeasures.</w:t>
      </w:r>
    </w:p>
    <w:p>
      <w:pPr>
        <w:spacing w:after="160" w:line="300"/>
        <w:ind w:firstLine="431"/>
        <w:jc w:val="both"/>
      </w:pPr>
      <w:r>
        <w:rPr>
          <w:rFonts w:ascii="Georgia" w:cs="Georgia" w:eastAsia="SimSun" w:hAnsi="Georgia"/>
          <w:color w:val="1F2A36"/>
          <w:sz w:val="22"/>
          <w:szCs w:val="22"/>
        </w:rPr>
        <w:t xml:space="preserve">V.2. Negotiation record. The four-point account of the August 21 breakdown (medium- and heavy-duty truck exclusion; third-party trade restrictions; language and culture; asymmetric treatment of retaliation) reflects statements by the Prime Minister of Canada on August 22, 2026, subsequent reporting on the negotiation record, and the August 28, 2026 interview with Canada's chief negotiator describing the final-session disputes over French discoverability and future trade agreements.</w:t>
      </w:r>
    </w:p>
    <w:p>
      <w:pPr>
        <w:spacing w:after="160" w:line="300"/>
        <w:ind w:firstLine="431"/>
        <w:jc w:val="both"/>
      </w:pPr>
      <w:r>
        <w:rPr>
          <w:rFonts w:ascii="Georgia" w:cs="Georgia" w:eastAsia="SimSun" w:hAnsi="Georgia"/>
          <w:color w:val="1F2A36"/>
          <w:sz w:val="22"/>
          <w:szCs w:val="22"/>
        </w:rPr>
        <w:t xml:space="preserve">V.3. Sector data. Critical minerals figures reflect the reported US$28.8 billion in 2025 Canadian exports to the United States. Electricity trade figures reflect Canadian Energy Regulator reporting of approximately C$3.3 billion in 2025 exports. Potash supply shares reflect Government of Saskatchewan and Natural Resources Canada materials. Softwood lumber duty levels reflect the combined anti-dumping (A-122-857), countervailing (C-122-858), and Section 232 burdens reported through 2026.</w:t>
      </w:r>
    </w:p>
    <w:p>
      <w:pPr>
        <w:spacing w:after="160" w:line="300"/>
        <w:ind w:firstLine="431"/>
        <w:jc w:val="both"/>
      </w:pPr>
      <w:r>
        <w:rPr>
          <w:rFonts w:ascii="Georgia" w:cs="Georgia" w:eastAsia="SimSun" w:hAnsi="Georgia"/>
          <w:color w:val="1F2A36"/>
          <w:sz w:val="22"/>
          <w:szCs w:val="22"/>
        </w:rPr>
        <w:t xml:space="preserve">V.4. Drafting basis. The architecture draws on the symmetric balance framework of the Carney interim materials (modules, pairing rule, and red lines), the operational mechanisms of the Great Lakes Gateway Interim Trade Accord (layered timeline, registry, corridor structures, fallback ladder), and The Cothrom Verification Method, Version 1.0 (data standards, confirmation levels, challenge control, step-back tiers, firewalls, and earn-back). The durability architecture replaces sunset and extension mechanics with the Rolling Horizon and No-Fade Principle specified in Part VII. These materials inform structure and negotiating options; nothing in this Accord asserts an official government position unless an independently cited public source supports the point.</w:t>
      </w:r>
    </w:p>
    <w:p>
      <w:pPr>
        <w:pStyle w:val="Heading1"/>
        <w:pageBreakBefore/>
        <w:spacing w:after="200" w:before="360"/>
      </w:pPr>
      <w:r>
        <w:rPr>
          <w:rFonts w:ascii="Georgia" w:cs="Georgia" w:eastAsia="SimSun" w:hAnsi="Georgia"/>
          <w:b/>
          <w:bCs/>
          <w:color w:val="35586B"/>
          <w:sz w:val="32"/>
          <w:szCs w:val="32"/>
        </w:rPr>
        <w:t xml:space="preserve">Annex W. Signature and Political Confirmation</w:t>
      </w:r>
    </w:p>
    <w:p>
      <w:pPr>
        <w:spacing w:after="160" w:line="300"/>
        <w:ind w:firstLine="431"/>
        <w:jc w:val="both"/>
      </w:pPr>
      <w:r>
        <w:rPr>
          <w:rFonts w:ascii="Georgia" w:cs="Georgia" w:eastAsia="SimSun" w:hAnsi="Georgia"/>
          <w:color w:val="1F2A36"/>
          <w:sz w:val="22"/>
          <w:szCs w:val="22"/>
        </w:rPr>
        <w:t xml:space="preserve">The undersigned representatives record political agreement on the Silver Line Bridge Accord and direct their respective implementation teams to prepare the domestic instruments identified in the Reciprocal Action Matrix and Annex U. Each domestic instrument takes effect through the authority and process of the issuing jurisdiction. The representatives record the shared objectives of withdrawing the current tariff exchange, restoring predictable bilateral trade, verifying performance through the Cothrom architecture, and building, on a rolling horizon and without sunset, toward a modernized continental framework.</w:t>
      </w:r>
    </w:p>
    <w:p>
      <w:pPr>
        <w:spacing w:after="160" w:line="300"/>
        <w:ind w:firstLine="431"/>
        <w:jc w:val="both"/>
      </w:pPr>
      <w:r>
        <w:rPr>
          <w:rFonts w:ascii="Georgia" w:cs="Georgia" w:eastAsia="SimSun" w:hAnsi="Georgia"/>
          <w:color w:val="1F2A36"/>
          <w:sz w:val="22"/>
          <w:szCs w:val="22"/>
        </w:rPr>
        <w:t xml:space="preserve">Signed at ____________________ on ____________________, 2026, in duplicate, in the English and French languages, both texts being equally authentic. One original is deposited with the United States Department of State and one with Global Affairs Canada under Article 46.1.</w:t>
      </w:r>
    </w:p>
    <w:p>
      <w:pPr>
        <w:spacing w:after="160" w:line="300"/>
        <w:ind w:firstLine="431"/>
        <w:jc w:val="both"/>
      </w:pPr>
      <w:r>
        <w:rPr>
          <w:rFonts w:ascii="Georgia" w:cs="Georgia" w:eastAsia="SimSun" w:hAnsi="Georgia"/>
          <w:color w:val="1F2A36"/>
          <w:sz w:val="22"/>
          <w:szCs w:val="22"/>
        </w:rPr>
        <w:t xml:space="preserve">For Canada: ____________________________________</w:t>
      </w:r>
    </w:p>
    <w:p>
      <w:pPr>
        <w:spacing w:after="160" w:line="300"/>
        <w:ind w:firstLine="431"/>
        <w:jc w:val="both"/>
      </w:pPr>
      <w:r>
        <w:rPr>
          <w:rFonts w:ascii="Georgia" w:cs="Georgia" w:eastAsia="SimSun" w:hAnsi="Georgia"/>
          <w:color w:val="1F2A36"/>
          <w:sz w:val="22"/>
          <w:szCs w:val="22"/>
        </w:rPr>
        <w:t xml:space="preserve">For the United States of America: 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00"/>
      <w:jc w:val="center"/>
    </w:pPr>
    <w:r>
      <w:rPr>
        <w:rFonts w:ascii="Georgia" w:cs="Georgia" w:eastAsia="SimSun" w:hAnsi="Georgia"/>
        <w:color w:val="3558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line="300"/>
      <w:jc w:val="center"/>
    </w:pPr>
    <w:r>
      <w:rPr>
        <w:rFonts w:ascii="Georgia" w:cs="Georgia" w:eastAsia="SimSun" w:hAnsi="Georgia"/>
        <w:color w:val="35586B"/>
        <w:sz w:val="16"/>
        <w:szCs w:val="16"/>
      </w:rPr>
      <w:t xml:space="preserve">The Silver Line Bridge Accord - Canada - United States Interim Trade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2026-09-08T01:39:30.867Z</dcterms:created>
  <dcterms:modified xsi:type="dcterms:W3CDTF">2026-09-08T01:39:30.867Z</dcterms:modified>
</cp:coreProperties>
</file>

<file path=docProps/custom.xml><?xml version="1.0" encoding="utf-8"?>
<Properties xmlns="http://schemas.openxmlformats.org/officeDocument/2006/custom-properties" xmlns:vt="http://schemas.openxmlformats.org/officeDocument/2006/docPropsVTypes"/>
</file>