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0"/>
        <w:jc w:val="center"/>
      </w:pPr>
      <w:r>
        <w:rPr>
          <w:rFonts w:ascii="Calibri" w:hAnsi="Calibri"/>
          <w:sz w:val="20"/>
        </w:rPr>
        <w:t xml:space="preserve"/>
      </w:r>
    </w:p>
    <w:p>
      <w:pPr>
        <w:spacing w:before="0" w:after="300"/>
        <w:jc w:val="center"/>
      </w:pPr>
      <w:r>
        <w:rPr>
          <w:rFonts w:ascii="Calibri" w:hAnsi="Calibri"/>
          <w:b/>
          <w:color w:val="37474F"/>
          <w:spacing w:val="60"/>
          <w:sz w:val="44"/>
        </w:rPr>
        <w:t xml:space="preserve">UNITED STATES AND MEXICO INTERIM TRADE ELIMINATION, STABILIZATION, AND MODERNIZATION AGREEMENT</w:t>
      </w:r>
    </w:p>
    <w:p>
      <w:pPr>
        <w:spacing w:before="0" w:after="520"/>
        <w:jc w:val="center"/>
      </w:pPr>
      <w:r>
        <w:rPr>
          <w:rFonts w:ascii="Calibri" w:hAnsi="Calibri"/>
          <w:i/>
          <w:color w:val="546E7A"/>
          <w:sz w:val="27"/>
        </w:rPr>
        <w:t xml:space="preserve">An Interim Framework for the Elimination of Emergency Tariffs, the Stabilization of Bilateral Trade, and Sectoral Modernization</w:t>
      </w:r>
    </w:p>
    <w:p>
      <w:pPr>
        <w:pBdr>
          <w:bottom w:val="single" w:sz="6" w:space="1" w:color="78909C"/>
        </w:pBdr>
        <w:spacing w:before="0" w:after="520"/>
        <w:ind w:left="2400" w:right="2400"/>
        <w:jc w:val="center"/>
      </w:pPr>
      <w:r>
        <w:rPr>
          <w:rFonts w:ascii="Calibri" w:hAnsi="Calibri"/>
          <w:sz w:val="20"/>
        </w:rPr>
        <w:t xml:space="preserve"/>
      </w:r>
    </w:p>
    <w:p>
      <w:pPr>
        <w:spacing w:before="0" w:after="160"/>
        <w:jc w:val="center"/>
      </w:pPr>
      <w:r>
        <w:rPr>
          <w:rFonts w:ascii="Calibri" w:hAnsi="Calibri"/>
          <w:sz w:val="24"/>
        </w:rPr>
        <w:t xml:space="preserve">Version 1.4  ·  September 2026</w:t>
      </w:r>
    </w:p>
    <w:p>
      <w:pPr>
        <w:spacing w:before="0" w:after="160"/>
        <w:jc w:val="center"/>
      </w:pPr>
      <w:r>
        <w:rPr>
          <w:rFonts w:ascii="Calibri" w:hAnsi="Calibri"/>
          <w:b/>
          <w:color w:val="546E7A"/>
          <w:sz w:val="22"/>
        </w:rPr>
        <w:t xml:space="preserve">NEGOTIATION DRAFT. NOT ADOPTED. NOT SIGNED. NOT APPROVED. NOT AGREED.</w:t>
      </w:r>
    </w:p>
    <w:p>
      <w:pPr>
        <w:spacing w:before="1400" w:after="0"/>
        <w:jc w:val="center"/>
      </w:pPr>
      <w:r>
        <w:rPr>
          <w:rFonts w:ascii="Calibri" w:hAnsi="Calibri"/>
          <w:sz w:val="20"/>
        </w:rPr>
        <w:t xml:space="preserve"/>
      </w:r>
    </w:p>
    <w:p>
      <w:pPr>
        <w:spacing w:before="0" w:after="160"/>
        <w:jc w:val="center"/>
      </w:pPr>
      <w:r>
        <w:rPr>
          <w:rFonts w:ascii="Calibri" w:hAnsi="Calibri"/>
          <w:i/>
          <w:color w:val="78909C"/>
          <w:sz w:val="20"/>
        </w:rPr>
        <w:t xml:space="preserve">A bridge instrument supporting the USMCA/T-MEC joint-review process under Article 34.7</w:t>
      </w:r>
    </w:p>
    <w:p>
      <w:pPr>
        <w:spacing w:before="0" w:after="160"/>
        <w:jc w:val="center"/>
      </w:pPr>
      <w:r>
        <w:rPr>
          <w:rFonts w:ascii="Calibri" w:hAnsi="Calibri"/>
          <w:b/>
          <w:color w:val="37474F"/>
          <w:sz w:val="22"/>
        </w:rPr>
        <w:t xml:space="preserve">The United States of America  ·  The United Mexican States</w:t>
      </w:r>
    </w:p>
    <w:p>
      <w:pPr>
        <w:spacing w:before="0" w:after="160"/>
        <w:jc w:val="center"/>
      </w:pPr>
      <w:r>
        <w:rPr>
          <w:rFonts w:ascii="Calibri" w:hAnsi="Calibri"/>
          <w:color w:val="546E7A"/>
          <w:sz w:val="20"/>
        </w:rPr>
        <w:t xml:space="preserve">Office of the United States Trade Representative  ·  Secretaría de Economía</w:t>
      </w:r>
    </w:p>
    <w:p>
      <w:pPr>
        <w:spacing w:before="0" w:after="400"/>
        <w:jc w:val="center"/>
      </w:pPr>
      <w:r>
        <w:rPr>
          <w:rFonts w:ascii="Calibri" w:hAnsi="Calibri"/>
          <w:color w:val="546E7A"/>
          <w:sz w:val="20"/>
        </w:rPr>
        <w:t xml:space="preserve">Customs administration: U.S. Customs and Border Protection  ·  Agencia Nacional de Aduanas de México (ANAM)</w:t>
      </w:r>
    </w:p>
    <w:p>
      <w:pPr>
        <w:spacing w:before="0" w:after="120"/>
        <w:jc w:val="center"/>
      </w:pPr>
      <w:r>
        <w:rPr>
          <w:rFonts w:ascii="Calibri" w:hAnsi="Calibri"/>
          <w:i/>
          <w:color w:val="78909C"/>
          <w:sz w:val="18"/>
        </w:rPr>
        <w:t xml:space="preserve">Draft date: September 7, 2026. This text is a negotiation draft for consideration through the Parties’ respective internal procedures. It creates no rights or obligations unless duly concluded and brought into force, and it does not imply governmental approval, acceptance, signature, ratification, endorsement, or agreement.</w:t>
      </w:r>
    </w:p>
    <w:p>
      <w:pPr>
        <w:spacing w:before="0" w:after="120"/>
        <w:jc w:val="center"/>
      </w:pPr>
      <w:r>
        <w:rPr>
          <w:rFonts w:ascii="Calibri" w:hAnsi="Calibri"/>
          <w:i/>
          <w:color w:val="78909C"/>
          <w:sz w:val="18"/>
        </w:rPr>
        <w:t xml:space="preserve">Status rule: tariff elimination and other obligations stated with “shall” or “shall not” become operative only upon entry into force. Temporary stabilization machinery is time-limited; permanent outcomes survive only where this Agreement expressly provides.</w:t>
      </w:r>
    </w:p>
    <w:p>
      <w:pPr>
        <w:spacing w:before="0" w:after="120"/>
        <w:jc w:val="center"/>
      </w:pPr>
      <w:r>
        <w:rPr>
          <w:rFonts w:ascii="Calibri" w:hAnsi="Calibri"/>
          <w:i/>
          <w:color w:val="78909C"/>
          <w:sz w:val="18"/>
        </w:rPr>
        <w:t xml:space="preserve">Interpretation rule: recitals, roadmaps, working-group outputs, audit records, verification records, and model forms do not create governmental findings or independent legal obligations unless expressly incorporated into an adopted instrument.</w:t>
      </w:r>
    </w:p>
    <w:p>
      <w:pPr>
        <w:sectPr>
          <w:type w:val="nextPage"/>
          <w:pgSz w:w="12240" w:h="15840"/>
          <w:pgMar w:top="1440" w:right="1440" w:bottom="1440" w:left="1440" w:header="708" w:footer="708" w:gutter="0"/>
          <w:pgBorders w:offsetFrom="page">
            <w:top w:val="single" w:sz="4" w:space="24" w:color="B0BEC5"/>
            <w:left w:val="single" w:sz="4" w:space="24" w:color="B0BEC5"/>
            <w:bottom w:val="single" w:sz="4" w:space="24" w:color="B0BEC5"/>
            <w:right w:val="single" w:sz="4" w:space="24" w:color="B0BEC5"/>
          </w:pgBorders>
        </w:sectPr>
      </w:pPr>
    </w:p>
    <w:p>
      <w:pPr>
        <w:spacing w:before="0" w:after="360"/>
      </w:pPr>
      <w:r>
        <w:rPr>
          <w:rFonts w:ascii="Calibri" w:hAnsi="Calibri"/>
          <w:b/>
          <w:caps/>
          <w:color w:val="37474F"/>
          <w:sz w:val="32"/>
        </w:rPr>
        <w:t xml:space="preserve">TABLE OF CONTENTS</w:t>
      </w:r>
    </w:p>
    <w:p>
      <w:r>
        <w:fldChar w:fldCharType="begin"/>
      </w:r>
      <w:r>
        <w:instrText xml:space="preserve"> TOC \o "1-2" \h \z \u </w:instrText>
      </w:r>
      <w:r>
        <w:fldChar w:fldCharType="separate"/>
      </w:r>
    </w:p>
    <w:p>
      <w:pPr>
        <w:pStyle w:val="TOC1"/>
      </w:pPr>
      <w:hyperlink w:anchor="_Toc236229900">
        <w:r>
          <w:rPr>
            <w:rStyle w:val="Hyperlink"/>
            <w:rFonts w:ascii="Calibri" w:hAnsi="Calibri"/>
            <w:b/>
            <w:color w:val="37474F"/>
            <w:sz w:val="21"/>
          </w:rPr>
          <w:t xml:space="preserve">Preamble</w:t>
        </w:r>
        <w:r>
          <w:tab/>
        </w:r>
        <w:fldSimple w:instr=" PAGEREF _Toc236229900 \h ">
          <w:r>
            <w:t>6</w:t>
          </w:r>
        </w:fldSimple>
      </w:hyperlink>
    </w:p>
    <w:p>
      <w:pPr>
        <w:pStyle w:val="TOC1"/>
      </w:pPr>
      <w:hyperlink w:anchor="_Toc236229901">
        <w:r>
          <w:rPr>
            <w:rStyle w:val="Hyperlink"/>
            <w:rFonts w:ascii="Calibri" w:hAnsi="Calibri"/>
            <w:b/>
            <w:color w:val="37474F"/>
            <w:sz w:val="21"/>
          </w:rPr>
          <w:t xml:space="preserve">Part One: Initial Provisions, Definitions, and Status Controls</w:t>
        </w:r>
        <w:r>
          <w:tab/>
        </w:r>
        <w:fldSimple w:instr=" PAGEREF _Toc236229901 \h ">
          <w:r>
            <w:t>7</w:t>
          </w:r>
        </w:fldSimple>
      </w:hyperlink>
    </w:p>
    <w:p>
      <w:pPr>
        <w:pStyle w:val="TOC2"/>
      </w:pPr>
      <w:hyperlink w:anchor="_Toc236229902">
        <w:r>
          <w:rPr>
            <w:rStyle w:val="Hyperlink"/>
            <w:rFonts w:ascii="Calibri" w:hAnsi="Calibri"/>
            <w:color w:val="212121"/>
            <w:sz w:val="20"/>
          </w:rPr>
          <w:t xml:space="preserve">Article 1.1 Establishment and Purpose</w:t>
        </w:r>
        <w:r>
          <w:tab/>
        </w:r>
        <w:fldSimple w:instr=" PAGEREF _Toc236229902 \h ">
          <w:r>
            <w:t>7</w:t>
          </w:r>
        </w:fldSimple>
      </w:hyperlink>
    </w:p>
    <w:p>
      <w:pPr>
        <w:pStyle w:val="TOC2"/>
      </w:pPr>
      <w:hyperlink w:anchor="_Toc236229903">
        <w:r>
          <w:rPr>
            <w:rStyle w:val="Hyperlink"/>
            <w:rFonts w:ascii="Calibri" w:hAnsi="Calibri"/>
            <w:color w:val="212121"/>
            <w:sz w:val="20"/>
          </w:rPr>
          <w:t xml:space="preserve">Article 1.2 Relationship to the USMCA and T-MEC</w:t>
        </w:r>
        <w:r>
          <w:tab/>
        </w:r>
        <w:fldSimple w:instr=" PAGEREF _Toc236229903 \h ">
          <w:r>
            <w:t>7</w:t>
          </w:r>
        </w:fldSimple>
      </w:hyperlink>
    </w:p>
    <w:p>
      <w:pPr>
        <w:pStyle w:val="TOC2"/>
      </w:pPr>
      <w:hyperlink w:anchor="_Toc236229904">
        <w:r>
          <w:rPr>
            <w:rStyle w:val="Hyperlink"/>
            <w:rFonts w:ascii="Calibri" w:hAnsi="Calibri"/>
            <w:color w:val="212121"/>
            <w:sz w:val="20"/>
          </w:rPr>
          <w:t xml:space="preserve">Article 1.3 Scope</w:t>
        </w:r>
        <w:r>
          <w:tab/>
        </w:r>
        <w:fldSimple w:instr=" PAGEREF _Toc236229904 \h ">
          <w:r>
            <w:t>7</w:t>
          </w:r>
        </w:fldSimple>
      </w:hyperlink>
    </w:p>
    <w:p>
      <w:pPr>
        <w:pStyle w:val="TOC2"/>
      </w:pPr>
      <w:hyperlink w:anchor="_Toc236229905">
        <w:r>
          <w:rPr>
            <w:rStyle w:val="Hyperlink"/>
            <w:rFonts w:ascii="Calibri" w:hAnsi="Calibri"/>
            <w:color w:val="212121"/>
            <w:sz w:val="20"/>
          </w:rPr>
          <w:t xml:space="preserve">Article 1.4 Definitions</w:t>
        </w:r>
        <w:r>
          <w:tab/>
        </w:r>
        <w:fldSimple w:instr=" PAGEREF _Toc236229905 \h ">
          <w:r>
            <w:t>7</w:t>
          </w:r>
        </w:fldSimple>
      </w:hyperlink>
    </w:p>
    <w:p>
      <w:pPr>
        <w:pStyle w:val="TOC2"/>
      </w:pPr>
      <w:hyperlink w:anchor="_Toc236229906">
        <w:r>
          <w:rPr>
            <w:rStyle w:val="Hyperlink"/>
            <w:rFonts w:ascii="Calibri" w:hAnsi="Calibri"/>
            <w:color w:val="212121"/>
            <w:sz w:val="20"/>
          </w:rPr>
          <w:t xml:space="preserve">Article 1.5 Interpretation and Evidence Discipline</w:t>
        </w:r>
        <w:r>
          <w:tab/>
        </w:r>
        <w:fldSimple w:instr=" PAGEREF _Toc236229906 \h ">
          <w:r>
            <w:t>8</w:t>
          </w:r>
        </w:fldSimple>
      </w:hyperlink>
    </w:p>
    <w:p>
      <w:pPr>
        <w:pStyle w:val="TOC2"/>
      </w:pPr>
      <w:hyperlink w:anchor="_Toc236229907">
        <w:r>
          <w:rPr>
            <w:rStyle w:val="Hyperlink"/>
            <w:rFonts w:ascii="Calibri" w:hAnsi="Calibri"/>
            <w:color w:val="212121"/>
            <w:sz w:val="20"/>
          </w:rPr>
          <w:t xml:space="preserve">Article 1.6 Non-Prejudice and No False Status</w:t>
        </w:r>
        <w:r>
          <w:tab/>
        </w:r>
        <w:fldSimple w:instr=" PAGEREF _Toc236229907 \h ">
          <w:r>
            <w:t>9</w:t>
          </w:r>
        </w:fldSimple>
      </w:hyperlink>
    </w:p>
    <w:p>
      <w:pPr>
        <w:pStyle w:val="TOC2"/>
      </w:pPr>
      <w:hyperlink w:anchor="_Toc236229908">
        <w:r>
          <w:rPr>
            <w:rStyle w:val="Hyperlink"/>
            <w:rFonts w:ascii="Calibri" w:hAnsi="Calibri"/>
            <w:color w:val="212121"/>
            <w:sz w:val="20"/>
          </w:rPr>
          <w:t xml:space="preserve">Article 1.7 Permanent and Temporary Outcomes</w:t>
        </w:r>
        <w:r>
          <w:tab/>
        </w:r>
        <w:fldSimple w:instr=" PAGEREF _Toc236229908 \h ">
          <w:r>
            <w:t>9</w:t>
          </w:r>
        </w:fldSimple>
      </w:hyperlink>
    </w:p>
    <w:p>
      <w:pPr>
        <w:pStyle w:val="TOC1"/>
      </w:pPr>
      <w:hyperlink w:anchor="_Toc236229909">
        <w:r>
          <w:rPr>
            <w:rStyle w:val="Hyperlink"/>
            <w:rFonts w:ascii="Calibri" w:hAnsi="Calibri"/>
            <w:b/>
            <w:color w:val="37474F"/>
            <w:sz w:val="21"/>
          </w:rPr>
          <w:t xml:space="preserve">Part Two: Tariff Elimination and Trade Restoration</w:t>
        </w:r>
        <w:r>
          <w:tab/>
        </w:r>
        <w:fldSimple w:instr=" PAGEREF _Toc236229909 \h ">
          <w:r>
            <w:t>10</w:t>
          </w:r>
        </w:fldSimple>
      </w:hyperlink>
    </w:p>
    <w:p>
      <w:pPr>
        <w:pStyle w:val="TOC2"/>
      </w:pPr>
      <w:hyperlink w:anchor="_Toc236229910">
        <w:r>
          <w:rPr>
            <w:rStyle w:val="Hyperlink"/>
            <w:rFonts w:ascii="Calibri" w:hAnsi="Calibri"/>
            <w:color w:val="212121"/>
            <w:sz w:val="20"/>
          </w:rPr>
          <w:t xml:space="preserve">Article 2.1 Elimination of Covered Emergency Tariff Measures</w:t>
        </w:r>
        <w:r>
          <w:tab/>
        </w:r>
        <w:fldSimple w:instr=" PAGEREF _Toc236229910 \h ">
          <w:r>
            <w:t>10</w:t>
          </w:r>
        </w:fldSimple>
      </w:hyperlink>
    </w:p>
    <w:p>
      <w:pPr>
        <w:pStyle w:val="TOC2"/>
      </w:pPr>
      <w:hyperlink w:anchor="_Toc236229911">
        <w:r>
          <w:rPr>
            <w:rStyle w:val="Hyperlink"/>
            <w:rFonts w:ascii="Calibri" w:hAnsi="Calibri"/>
            <w:color w:val="212121"/>
            <w:sz w:val="20"/>
          </w:rPr>
          <w:t xml:space="preserve">Article 2.2 Covered Emergency Tariff Measures</w:t>
        </w:r>
        <w:r>
          <w:tab/>
        </w:r>
        <w:fldSimple w:instr=" PAGEREF _Toc236229911 \h ">
          <w:r>
            <w:t>10</w:t>
          </w:r>
        </w:fldSimple>
      </w:hyperlink>
    </w:p>
    <w:p>
      <w:pPr>
        <w:pStyle w:val="TOC2"/>
      </w:pPr>
      <w:hyperlink w:anchor="_Toc236229912">
        <w:r>
          <w:rPr>
            <w:rStyle w:val="Hyperlink"/>
            <w:rFonts w:ascii="Calibri" w:hAnsi="Calibri"/>
            <w:color w:val="212121"/>
            <w:sz w:val="20"/>
          </w:rPr>
          <w:t xml:space="preserve">Article 2.3 Standstill and Elimination Firewall</w:t>
        </w:r>
        <w:r>
          <w:tab/>
        </w:r>
        <w:fldSimple w:instr=" PAGEREF _Toc236229912 \h ">
          <w:r>
            <w:t>10</w:t>
          </w:r>
        </w:fldSimple>
      </w:hyperlink>
    </w:p>
    <w:p>
      <w:pPr>
        <w:pStyle w:val="TOC2"/>
      </w:pPr>
      <w:hyperlink w:anchor="_Toc236229913">
        <w:r>
          <w:rPr>
            <w:rStyle w:val="Hyperlink"/>
            <w:rFonts w:ascii="Calibri" w:hAnsi="Calibri"/>
            <w:color w:val="212121"/>
            <w:sz w:val="20"/>
          </w:rPr>
          <w:t xml:space="preserve">Article 2.4 Rules of Origin Stability</w:t>
        </w:r>
        <w:r>
          <w:tab/>
        </w:r>
        <w:fldSimple w:instr=" PAGEREF _Toc236229913 \h ">
          <w:r>
            <w:t>11</w:t>
          </w:r>
        </w:fldSimple>
      </w:hyperlink>
    </w:p>
    <w:p>
      <w:pPr>
        <w:pStyle w:val="TOC2"/>
      </w:pPr>
      <w:hyperlink w:anchor="_Toc236229914">
        <w:r>
          <w:rPr>
            <w:rStyle w:val="Hyperlink"/>
            <w:rFonts w:ascii="Calibri" w:hAnsi="Calibri"/>
            <w:color w:val="212121"/>
            <w:sz w:val="20"/>
          </w:rPr>
          <w:t xml:space="preserve">Article 2.5 Emergency Exception Without Revival</w:t>
        </w:r>
        <w:r>
          <w:tab/>
        </w:r>
        <w:fldSimple w:instr=" PAGEREF _Toc236229914 \h ">
          <w:r>
            <w:t>11</w:t>
          </w:r>
        </w:fldSimple>
      </w:hyperlink>
    </w:p>
    <w:p>
      <w:pPr>
        <w:pStyle w:val="TOC2"/>
      </w:pPr>
      <w:hyperlink w:anchor="_Toc236229915">
        <w:r>
          <w:rPr>
            <w:rStyle w:val="Hyperlink"/>
            <w:rFonts w:ascii="Calibri" w:hAnsi="Calibri"/>
            <w:color w:val="212121"/>
            <w:sz w:val="20"/>
          </w:rPr>
          <w:t xml:space="preserve">Article 2.6 Refund, Reconciliation, and Accrued Liabilities</w:t>
        </w:r>
        <w:r>
          <w:tab/>
        </w:r>
        <w:fldSimple w:instr=" PAGEREF _Toc236229915 \h ">
          <w:r>
            <w:t>11</w:t>
          </w:r>
        </w:fldSimple>
      </w:hyperlink>
    </w:p>
    <w:p>
      <w:pPr>
        <w:pStyle w:val="TOC2"/>
      </w:pPr>
      <w:hyperlink w:anchor="_Toc236229916">
        <w:r>
          <w:rPr>
            <w:rStyle w:val="Hyperlink"/>
            <w:rFonts w:ascii="Calibri" w:hAnsi="Calibri"/>
            <w:color w:val="212121"/>
            <w:sz w:val="20"/>
          </w:rPr>
          <w:t xml:space="preserve">Article 2.7 Customs Administration After Elimination</w:t>
        </w:r>
        <w:r>
          <w:tab/>
        </w:r>
        <w:fldSimple w:instr=" PAGEREF _Toc236229916 \h ">
          <w:r>
            <w:t>12</w:t>
          </w:r>
        </w:fldSimple>
      </w:hyperlink>
    </w:p>
    <w:p>
      <w:pPr>
        <w:pStyle w:val="TOC2"/>
      </w:pPr>
      <w:hyperlink w:anchor="_Toc236229917">
        <w:r>
          <w:rPr>
            <w:rStyle w:val="Hyperlink"/>
            <w:rFonts w:ascii="Calibri" w:hAnsi="Calibri"/>
            <w:color w:val="212121"/>
            <w:sz w:val="20"/>
          </w:rPr>
          <w:t xml:space="preserve">Article 2.8 No Resurrection and No Disguised Substitution</w:t>
        </w:r>
        <w:r>
          <w:tab/>
        </w:r>
        <w:fldSimple w:instr=" PAGEREF _Toc236229917 \h ">
          <w:r>
            <w:t>12</w:t>
          </w:r>
        </w:fldSimple>
      </w:hyperlink>
    </w:p>
    <w:p>
      <w:pPr>
        <w:pStyle w:val="TOC2"/>
      </w:pPr>
      <w:hyperlink w:anchor="_Toc236229918">
        <w:r>
          <w:rPr>
            <w:rStyle w:val="Hyperlink"/>
            <w:rFonts w:ascii="Calibri" w:hAnsi="Calibri"/>
            <w:color w:val="212121"/>
            <w:sz w:val="20"/>
          </w:rPr>
          <w:t xml:space="preserve">Article 2.9 Monitoring and Data Quality</w:t>
        </w:r>
        <w:r>
          <w:tab/>
        </w:r>
        <w:fldSimple w:instr=" PAGEREF _Toc236229918 \h ">
          <w:r>
            <w:t>12</w:t>
          </w:r>
        </w:fldSimple>
      </w:hyperlink>
    </w:p>
    <w:p>
      <w:pPr>
        <w:pStyle w:val="TOC2"/>
      </w:pPr>
      <w:hyperlink w:anchor="_Toc236229919">
        <w:r>
          <w:rPr>
            <w:rStyle w:val="Hyperlink"/>
            <w:rFonts w:ascii="Calibri" w:hAnsi="Calibri"/>
            <w:color w:val="212121"/>
            <w:sz w:val="20"/>
          </w:rPr>
          <w:t xml:space="preserve">Article 2.10 Trade Remedy Anti-Abuse</w:t>
        </w:r>
        <w:r>
          <w:tab/>
        </w:r>
        <w:fldSimple w:instr=" PAGEREF _Toc236229919 \h ">
          <w:r>
            <w:t>12</w:t>
          </w:r>
        </w:fldSimple>
      </w:hyperlink>
    </w:p>
    <w:p>
      <w:pPr>
        <w:pStyle w:val="TOC1"/>
      </w:pPr>
      <w:hyperlink w:anchor="_Toc236229920">
        <w:r>
          <w:rPr>
            <w:rStyle w:val="Hyperlink"/>
            <w:rFonts w:ascii="Calibri" w:hAnsi="Calibri"/>
            <w:b/>
            <w:color w:val="37474F"/>
            <w:sz w:val="21"/>
          </w:rPr>
          <w:t xml:space="preserve">Part Three: 90 Day Stabilization Period and Roadmap</w:t>
        </w:r>
        <w:r>
          <w:tab/>
        </w:r>
        <w:fldSimple w:instr=" PAGEREF _Toc236229920 \h ">
          <w:r>
            <w:t>14</w:t>
          </w:r>
        </w:fldSimple>
      </w:hyperlink>
    </w:p>
    <w:p>
      <w:pPr>
        <w:pStyle w:val="TOC2"/>
      </w:pPr>
      <w:hyperlink w:anchor="_Toc236229921">
        <w:r>
          <w:rPr>
            <w:rStyle w:val="Hyperlink"/>
            <w:rFonts w:ascii="Calibri" w:hAnsi="Calibri"/>
            <w:color w:val="212121"/>
            <w:sz w:val="20"/>
          </w:rPr>
          <w:t xml:space="preserve">Article 3.1 Stabilization Period</w:t>
        </w:r>
        <w:r>
          <w:tab/>
        </w:r>
        <w:fldSimple w:instr=" PAGEREF _Toc236229921 \h ">
          <w:r>
            <w:t>14</w:t>
          </w:r>
        </w:fldSimple>
      </w:hyperlink>
    </w:p>
    <w:p>
      <w:pPr>
        <w:pStyle w:val="TOC2"/>
      </w:pPr>
      <w:hyperlink w:anchor="_Toc236229922">
        <w:r>
          <w:rPr>
            <w:rStyle w:val="Hyperlink"/>
            <w:rFonts w:ascii="Calibri" w:hAnsi="Calibri"/>
            <w:color w:val="212121"/>
            <w:sz w:val="20"/>
          </w:rPr>
          <w:t xml:space="preserve">Article 3.2 Negotiation Roadmap</w:t>
        </w:r>
        <w:r>
          <w:tab/>
        </w:r>
        <w:fldSimple w:instr=" PAGEREF _Toc236229922 \h ">
          <w:r>
            <w:t>14</w:t>
          </w:r>
        </w:fldSimple>
      </w:hyperlink>
    </w:p>
    <w:p>
      <w:pPr>
        <w:pStyle w:val="TOC2"/>
      </w:pPr>
      <w:hyperlink w:anchor="_Toc236229923">
        <w:r>
          <w:rPr>
            <w:rStyle w:val="Hyperlink"/>
            <w:rFonts w:ascii="Calibri" w:hAnsi="Calibri"/>
            <w:color w:val="212121"/>
            <w:sz w:val="20"/>
          </w:rPr>
          <w:t xml:space="preserve">Article 3.3 Progress Reviews</w:t>
        </w:r>
        <w:r>
          <w:tab/>
        </w:r>
        <w:fldSimple w:instr=" PAGEREF _Toc236229923 \h ">
          <w:r>
            <w:t>14</w:t>
          </w:r>
        </w:fldSimple>
      </w:hyperlink>
    </w:p>
    <w:p>
      <w:pPr>
        <w:pStyle w:val="TOC2"/>
      </w:pPr>
      <w:hyperlink w:anchor="_Toc236229924">
        <w:r>
          <w:rPr>
            <w:rStyle w:val="Hyperlink"/>
            <w:rFonts w:ascii="Calibri" w:hAnsi="Calibri"/>
            <w:color w:val="212121"/>
            <w:sz w:val="20"/>
          </w:rPr>
          <w:t xml:space="preserve">Article 3.4 Single Capped Extension</w:t>
        </w:r>
        <w:r>
          <w:tab/>
        </w:r>
        <w:fldSimple w:instr=" PAGEREF _Toc236229924 \h ">
          <w:r>
            <w:t>14</w:t>
          </w:r>
        </w:fldSimple>
      </w:hyperlink>
    </w:p>
    <w:p>
      <w:pPr>
        <w:pStyle w:val="TOC2"/>
      </w:pPr>
      <w:hyperlink w:anchor="_Toc236229925">
        <w:r>
          <w:rPr>
            <w:rStyle w:val="Hyperlink"/>
            <w:rFonts w:ascii="Calibri" w:hAnsi="Calibri"/>
            <w:color w:val="212121"/>
            <w:sz w:val="20"/>
          </w:rPr>
          <w:t xml:space="preserve">Article 3.5 Decision Gates</w:t>
        </w:r>
        <w:r>
          <w:tab/>
        </w:r>
        <w:fldSimple w:instr=" PAGEREF _Toc236229925 \h ">
          <w:r>
            <w:t>15</w:t>
          </w:r>
        </w:fldSimple>
      </w:hyperlink>
    </w:p>
    <w:p>
      <w:pPr>
        <w:pStyle w:val="TOC2"/>
      </w:pPr>
      <w:hyperlink w:anchor="_Toc236229926">
        <w:r>
          <w:rPr>
            <w:rStyle w:val="Hyperlink"/>
            <w:rFonts w:ascii="Calibri" w:hAnsi="Calibri"/>
            <w:color w:val="212121"/>
            <w:sz w:val="20"/>
          </w:rPr>
          <w:t xml:space="preserve">Article 3.6 Transition to Comprehensive Modernization</w:t>
        </w:r>
        <w:r>
          <w:tab/>
        </w:r>
        <w:fldSimple w:instr=" PAGEREF _Toc236229926 \h ">
          <w:r>
            <w:t>15</w:t>
          </w:r>
        </w:fldSimple>
      </w:hyperlink>
    </w:p>
    <w:p>
      <w:pPr>
        <w:pStyle w:val="TOC1"/>
      </w:pPr>
      <w:hyperlink w:anchor="_Toc236229927">
        <w:r>
          <w:rPr>
            <w:rStyle w:val="Hyperlink"/>
            <w:rFonts w:ascii="Calibri" w:hAnsi="Calibri"/>
            <w:b/>
            <w:color w:val="37474F"/>
            <w:sz w:val="21"/>
          </w:rPr>
          <w:t xml:space="preserve">Part Four: Sectoral Working Groups, Mandates, and Deliverables</w:t>
        </w:r>
        <w:r>
          <w:tab/>
        </w:r>
        <w:fldSimple w:instr=" PAGEREF _Toc236229927 \h ">
          <w:r>
            <w:t>16</w:t>
          </w:r>
        </w:fldSimple>
      </w:hyperlink>
    </w:p>
    <w:p>
      <w:pPr>
        <w:pStyle w:val="TOC2"/>
      </w:pPr>
      <w:hyperlink w:anchor="_Toc236229928">
        <w:r>
          <w:rPr>
            <w:rStyle w:val="Hyperlink"/>
            <w:rFonts w:ascii="Calibri" w:hAnsi="Calibri"/>
            <w:color w:val="212121"/>
            <w:sz w:val="20"/>
          </w:rPr>
          <w:t xml:space="preserve">Article 4.0 Common Rules for All Working Groups</w:t>
        </w:r>
        <w:r>
          <w:tab/>
        </w:r>
        <w:fldSimple w:instr=" PAGEREF _Toc236229928 \h ">
          <w:r>
            <w:t>16</w:t>
          </w:r>
        </w:fldSimple>
      </w:hyperlink>
    </w:p>
    <w:p>
      <w:pPr>
        <w:pStyle w:val="TOC2"/>
      </w:pPr>
      <w:hyperlink w:anchor="_Toc236229929">
        <w:r>
          <w:rPr>
            <w:rStyle w:val="Hyperlink"/>
            <w:rFonts w:ascii="Calibri" w:hAnsi="Calibri"/>
            <w:color w:val="212121"/>
            <w:sz w:val="20"/>
          </w:rPr>
          <w:t xml:space="preserve">Working Group A: Automotive Industry and Rules of Origin</w:t>
        </w:r>
        <w:r>
          <w:tab/>
        </w:r>
        <w:fldSimple w:instr=" PAGEREF _Toc236229929 \h ">
          <w:r>
            <w:t>16</w:t>
          </w:r>
        </w:fldSimple>
      </w:hyperlink>
    </w:p>
    <w:p>
      <w:pPr>
        <w:pStyle w:val="TOC2"/>
      </w:pPr>
      <w:hyperlink w:anchor="_Toc236229930">
        <w:r>
          <w:rPr>
            <w:rStyle w:val="Hyperlink"/>
            <w:rFonts w:ascii="Calibri" w:hAnsi="Calibri"/>
            <w:color w:val="212121"/>
            <w:sz w:val="20"/>
          </w:rPr>
          <w:t xml:space="preserve">Working Group B: Steel, Aluminum, and Industrial Inputs</w:t>
        </w:r>
        <w:r>
          <w:tab/>
        </w:r>
        <w:fldSimple w:instr=" PAGEREF _Toc236229930 \h ">
          <w:r>
            <w:t>17</w:t>
          </w:r>
        </w:fldSimple>
      </w:hyperlink>
    </w:p>
    <w:p>
      <w:pPr>
        <w:pStyle w:val="TOC2"/>
      </w:pPr>
      <w:hyperlink w:anchor="_Toc236229931">
        <w:r>
          <w:rPr>
            <w:rStyle w:val="Hyperlink"/>
            <w:rFonts w:ascii="Calibri" w:hAnsi="Calibri"/>
            <w:color w:val="212121"/>
            <w:sz w:val="20"/>
          </w:rPr>
          <w:t xml:space="preserve">Working Group C: Agriculture and Food Security</w:t>
        </w:r>
        <w:r>
          <w:tab/>
        </w:r>
        <w:fldSimple w:instr=" PAGEREF _Toc236229931 \h ">
          <w:r>
            <w:t>19</w:t>
          </w:r>
        </w:fldSimple>
      </w:hyperlink>
    </w:p>
    <w:p>
      <w:pPr>
        <w:pStyle w:val="TOC2"/>
      </w:pPr>
      <w:hyperlink w:anchor="_Toc236229932">
        <w:r>
          <w:rPr>
            <w:rStyle w:val="Hyperlink"/>
            <w:rFonts w:ascii="Calibri" w:hAnsi="Calibri"/>
            <w:color w:val="212121"/>
            <w:sz w:val="20"/>
          </w:rPr>
          <w:t xml:space="preserve">Working Group D: Energy and Critical Minerals</w:t>
        </w:r>
        <w:r>
          <w:tab/>
        </w:r>
        <w:fldSimple w:instr=" PAGEREF _Toc236229932 \h ">
          <w:r>
            <w:t>20</w:t>
          </w:r>
        </w:fldSimple>
      </w:hyperlink>
    </w:p>
    <w:p>
      <w:pPr>
        <w:pStyle w:val="TOC2"/>
      </w:pPr>
      <w:hyperlink w:anchor="_Toc236229933">
        <w:r>
          <w:rPr>
            <w:rStyle w:val="Hyperlink"/>
            <w:rFonts w:ascii="Calibri" w:hAnsi="Calibri"/>
            <w:color w:val="212121"/>
            <w:sz w:val="20"/>
          </w:rPr>
          <w:t xml:space="preserve">Working Group E: Labor and Rapid Response Mechanism Administration</w:t>
        </w:r>
        <w:r>
          <w:tab/>
        </w:r>
        <w:fldSimple w:instr=" PAGEREF _Toc236229933 \h ">
          <w:r>
            <w:t>21</w:t>
          </w:r>
        </w:fldSimple>
      </w:hyperlink>
    </w:p>
    <w:p>
      <w:pPr>
        <w:pStyle w:val="TOC2"/>
      </w:pPr>
      <w:hyperlink w:anchor="_Toc236229934">
        <w:r>
          <w:rPr>
            <w:rStyle w:val="Hyperlink"/>
            <w:rFonts w:ascii="Calibri" w:hAnsi="Calibri"/>
            <w:color w:val="212121"/>
            <w:sz w:val="20"/>
          </w:rPr>
          <w:t xml:space="preserve">Working Group F: Environment and Sustainability</w:t>
        </w:r>
        <w:r>
          <w:tab/>
        </w:r>
        <w:fldSimple w:instr=" PAGEREF _Toc236229934 \h ">
          <w:r>
            <w:t>22</w:t>
          </w:r>
        </w:fldSimple>
      </w:hyperlink>
    </w:p>
    <w:p>
      <w:pPr>
        <w:pStyle w:val="TOC2"/>
      </w:pPr>
      <w:hyperlink w:anchor="_Toc236229935">
        <w:r>
          <w:rPr>
            <w:rStyle w:val="Hyperlink"/>
            <w:rFonts w:ascii="Calibri" w:hAnsi="Calibri"/>
            <w:color w:val="212121"/>
            <w:sz w:val="20"/>
          </w:rPr>
          <w:t xml:space="preserve">Working Group G: Customs and Trade Facilitation</w:t>
        </w:r>
        <w:r>
          <w:tab/>
        </w:r>
        <w:fldSimple w:instr=" PAGEREF _Toc236229935 \h ">
          <w:r>
            <w:t>23</w:t>
          </w:r>
        </w:fldSimple>
      </w:hyperlink>
    </w:p>
    <w:p>
      <w:pPr>
        <w:pStyle w:val="TOC2"/>
      </w:pPr>
      <w:hyperlink w:anchor="_Toc236229936">
        <w:r>
          <w:rPr>
            <w:rStyle w:val="Hyperlink"/>
            <w:rFonts w:ascii="Calibri" w:hAnsi="Calibri"/>
            <w:color w:val="212121"/>
            <w:sz w:val="20"/>
          </w:rPr>
          <w:t xml:space="preserve">Working Group H: Border Security Cooperation Within the Trade Firewall</w:t>
        </w:r>
        <w:r>
          <w:tab/>
        </w:r>
        <w:fldSimple w:instr=" PAGEREF _Toc236229936 \h ">
          <w:r>
            <w:t>24</w:t>
          </w:r>
        </w:fldSimple>
      </w:hyperlink>
    </w:p>
    <w:p>
      <w:pPr>
        <w:pStyle w:val="TOC2"/>
      </w:pPr>
      <w:hyperlink w:anchor="_Toc236229937">
        <w:r>
          <w:rPr>
            <w:rStyle w:val="Hyperlink"/>
            <w:rFonts w:ascii="Calibri" w:hAnsi="Calibri"/>
            <w:color w:val="212121"/>
            <w:sz w:val="20"/>
          </w:rPr>
          <w:t xml:space="preserve">Working Group I: Dispute Settlement Modernization</w:t>
        </w:r>
        <w:r>
          <w:tab/>
        </w:r>
        <w:fldSimple w:instr=" PAGEREF _Toc236229937 \h ">
          <w:r>
            <w:t>26</w:t>
          </w:r>
        </w:fldSimple>
      </w:hyperlink>
    </w:p>
    <w:p>
      <w:pPr>
        <w:pStyle w:val="TOC1"/>
      </w:pPr>
      <w:hyperlink w:anchor="_Toc236229938">
        <w:r>
          <w:rPr>
            <w:rStyle w:val="Hyperlink"/>
            <w:rFonts w:ascii="Calibri" w:hAnsi="Calibri"/>
            <w:b/>
            <w:color w:val="37474F"/>
            <w:sz w:val="21"/>
          </w:rPr>
          <w:t xml:space="preserve">Part Five: Good-Faith Commitments and Elimination Firewall</w:t>
        </w:r>
        <w:r>
          <w:tab/>
        </w:r>
        <w:fldSimple w:instr=" PAGEREF _Toc236229938 \h ">
          <w:r>
            <w:t>28</w:t>
          </w:r>
        </w:fldSimple>
      </w:hyperlink>
    </w:p>
    <w:p>
      <w:pPr>
        <w:pStyle w:val="TOC2"/>
      </w:pPr>
      <w:hyperlink w:anchor="_Toc236229939">
        <w:r>
          <w:rPr>
            <w:rStyle w:val="Hyperlink"/>
            <w:rFonts w:ascii="Calibri" w:hAnsi="Calibri"/>
            <w:color w:val="212121"/>
            <w:sz w:val="20"/>
          </w:rPr>
          <w:t xml:space="preserve">Article 5.1 Good-Faith Commitment</w:t>
        </w:r>
        <w:r>
          <w:tab/>
        </w:r>
        <w:fldSimple w:instr=" PAGEREF _Toc236229939 \h ">
          <w:r>
            <w:t>28</w:t>
          </w:r>
        </w:fldSimple>
      </w:hyperlink>
    </w:p>
    <w:p>
      <w:pPr>
        <w:pStyle w:val="TOC2"/>
      </w:pPr>
      <w:hyperlink w:anchor="_Toc236229940">
        <w:r>
          <w:rPr>
            <w:rStyle w:val="Hyperlink"/>
            <w:rFonts w:ascii="Calibri" w:hAnsi="Calibri"/>
            <w:color w:val="212121"/>
            <w:sz w:val="20"/>
          </w:rPr>
          <w:t xml:space="preserve">Article 5.2 No-New-Tariffs Pledge as Firewall</w:t>
        </w:r>
        <w:r>
          <w:tab/>
        </w:r>
        <w:fldSimple w:instr=" PAGEREF _Toc236229940 \h ">
          <w:r>
            <w:t>28</w:t>
          </w:r>
        </w:fldSimple>
      </w:hyperlink>
    </w:p>
    <w:p>
      <w:pPr>
        <w:pStyle w:val="TOC2"/>
      </w:pPr>
      <w:hyperlink w:anchor="_Toc236229941">
        <w:r>
          <w:rPr>
            <w:rStyle w:val="Hyperlink"/>
            <w:rFonts w:ascii="Calibri" w:hAnsi="Calibri"/>
            <w:color w:val="212121"/>
            <w:sz w:val="20"/>
          </w:rPr>
          <w:t xml:space="preserve">Article 5.3 Consultation Obligation</w:t>
        </w:r>
        <w:r>
          <w:tab/>
        </w:r>
        <w:fldSimple w:instr=" PAGEREF _Toc236229941 \h ">
          <w:r>
            <w:t>28</w:t>
          </w:r>
        </w:fldSimple>
      </w:hyperlink>
    </w:p>
    <w:p>
      <w:pPr>
        <w:pStyle w:val="TOC2"/>
      </w:pPr>
      <w:hyperlink w:anchor="_Toc236229942">
        <w:r>
          <w:rPr>
            <w:rStyle w:val="Hyperlink"/>
            <w:rFonts w:ascii="Calibri" w:hAnsi="Calibri"/>
            <w:color w:val="212121"/>
            <w:sz w:val="20"/>
          </w:rPr>
          <w:t xml:space="preserve">Article 5.4 Security-Trade Firewall</w:t>
        </w:r>
        <w:r>
          <w:tab/>
        </w:r>
        <w:fldSimple w:instr=" PAGEREF _Toc236229942 \h ">
          <w:r>
            <w:t>28</w:t>
          </w:r>
        </w:fldSimple>
      </w:hyperlink>
    </w:p>
    <w:p>
      <w:pPr>
        <w:pStyle w:val="TOC2"/>
      </w:pPr>
      <w:hyperlink w:anchor="_Toc236229943">
        <w:r>
          <w:rPr>
            <w:rStyle w:val="Hyperlink"/>
            <w:rFonts w:ascii="Calibri" w:hAnsi="Calibri"/>
            <w:color w:val="212121"/>
            <w:sz w:val="20"/>
          </w:rPr>
          <w:t xml:space="preserve">Article 5.5 Transparency and Publication</w:t>
        </w:r>
        <w:r>
          <w:tab/>
        </w:r>
        <w:fldSimple w:instr=" PAGEREF _Toc236229943 \h ">
          <w:r>
            <w:t>29</w:t>
          </w:r>
        </w:fldSimple>
      </w:hyperlink>
    </w:p>
    <w:p>
      <w:pPr>
        <w:pStyle w:val="TOC2"/>
      </w:pPr>
      <w:hyperlink w:anchor="_Toc236229944">
        <w:r>
          <w:rPr>
            <w:rStyle w:val="Hyperlink"/>
            <w:rFonts w:ascii="Calibri" w:hAnsi="Calibri"/>
            <w:color w:val="212121"/>
            <w:sz w:val="20"/>
          </w:rPr>
          <w:t xml:space="preserve">Article 5.6 Non-Retaliation During Consultation</w:t>
        </w:r>
        <w:r>
          <w:tab/>
        </w:r>
        <w:fldSimple w:instr=" PAGEREF _Toc236229944 \h ">
          <w:r>
            <w:t>29</w:t>
          </w:r>
        </w:fldSimple>
      </w:hyperlink>
    </w:p>
    <w:p>
      <w:pPr>
        <w:pStyle w:val="TOC2"/>
      </w:pPr>
      <w:hyperlink w:anchor="_Toc236229945">
        <w:r>
          <w:rPr>
            <w:rStyle w:val="Hyperlink"/>
            <w:rFonts w:ascii="Calibri" w:hAnsi="Calibri"/>
            <w:color w:val="212121"/>
            <w:sz w:val="20"/>
          </w:rPr>
          <w:t xml:space="preserve">Article 5.7 Material Breach Review</w:t>
        </w:r>
        <w:r>
          <w:tab/>
        </w:r>
        <w:fldSimple w:instr=" PAGEREF _Toc236229945 \h ">
          <w:r>
            <w:t>29</w:t>
          </w:r>
        </w:fldSimple>
      </w:hyperlink>
    </w:p>
    <w:p>
      <w:pPr>
        <w:pStyle w:val="TOC1"/>
      </w:pPr>
      <w:hyperlink w:anchor="_Toc236229946">
        <w:r>
          <w:rPr>
            <w:rStyle w:val="Hyperlink"/>
            <w:rFonts w:ascii="Calibri" w:hAnsi="Calibri"/>
            <w:b/>
            <w:color w:val="37474F"/>
            <w:sz w:val="21"/>
          </w:rPr>
          <w:t xml:space="preserve">Part Six: Institutional Arrangements</w:t>
        </w:r>
        <w:r>
          <w:tab/>
        </w:r>
        <w:fldSimple w:instr=" PAGEREF _Toc236229946 \h ">
          <w:r>
            <w:t>30</w:t>
          </w:r>
        </w:fldSimple>
      </w:hyperlink>
    </w:p>
    <w:p>
      <w:pPr>
        <w:pStyle w:val="TOC2"/>
      </w:pPr>
      <w:hyperlink w:anchor="_Toc236229947">
        <w:r>
          <w:rPr>
            <w:rStyle w:val="Hyperlink"/>
            <w:rFonts w:ascii="Calibri" w:hAnsi="Calibri"/>
            <w:color w:val="212121"/>
            <w:sz w:val="20"/>
          </w:rPr>
          <w:t xml:space="preserve">Article 6.1 Joint Committee</w:t>
        </w:r>
        <w:r>
          <w:tab/>
        </w:r>
        <w:fldSimple w:instr=" PAGEREF _Toc236229947 \h ">
          <w:r>
            <w:t>30</w:t>
          </w:r>
        </w:fldSimple>
      </w:hyperlink>
    </w:p>
    <w:p>
      <w:pPr>
        <w:pStyle w:val="TOC2"/>
      </w:pPr>
      <w:hyperlink w:anchor="_Toc236229948">
        <w:r>
          <w:rPr>
            <w:rStyle w:val="Hyperlink"/>
            <w:rFonts w:ascii="Calibri" w:hAnsi="Calibri"/>
            <w:color w:val="212121"/>
            <w:sz w:val="20"/>
          </w:rPr>
          <w:t xml:space="preserve">Article 6.2 Meetings</w:t>
        </w:r>
        <w:r>
          <w:tab/>
        </w:r>
        <w:fldSimple w:instr=" PAGEREF _Toc236229948 \h ">
          <w:r>
            <w:t>30</w:t>
          </w:r>
        </w:fldSimple>
      </w:hyperlink>
    </w:p>
    <w:p>
      <w:pPr>
        <w:pStyle w:val="TOC2"/>
      </w:pPr>
      <w:hyperlink w:anchor="_Toc236229949">
        <w:r>
          <w:rPr>
            <w:rStyle w:val="Hyperlink"/>
            <w:rFonts w:ascii="Calibri" w:hAnsi="Calibri"/>
            <w:color w:val="212121"/>
            <w:sz w:val="20"/>
          </w:rPr>
          <w:t xml:space="preserve">Article 6.3 Decision-Making</w:t>
        </w:r>
        <w:r>
          <w:tab/>
        </w:r>
        <w:fldSimple w:instr=" PAGEREF _Toc236229949 \h ">
          <w:r>
            <w:t>30</w:t>
          </w:r>
        </w:fldSimple>
      </w:hyperlink>
    </w:p>
    <w:p>
      <w:pPr>
        <w:pStyle w:val="TOC2"/>
      </w:pPr>
      <w:hyperlink w:anchor="_Toc236229950">
        <w:r>
          <w:rPr>
            <w:rStyle w:val="Hyperlink"/>
            <w:rFonts w:ascii="Calibri" w:hAnsi="Calibri"/>
            <w:color w:val="212121"/>
            <w:sz w:val="20"/>
          </w:rPr>
          <w:t xml:space="preserve">Article 6.4 Contact Points and Notices</w:t>
        </w:r>
        <w:r>
          <w:tab/>
        </w:r>
        <w:fldSimple w:instr=" PAGEREF _Toc236229950 \h ">
          <w:r>
            <w:t>30</w:t>
          </w:r>
        </w:fldSimple>
      </w:hyperlink>
    </w:p>
    <w:p>
      <w:pPr>
        <w:pStyle w:val="TOC2"/>
      </w:pPr>
      <w:hyperlink w:anchor="_Toc236229951">
        <w:r>
          <w:rPr>
            <w:rStyle w:val="Hyperlink"/>
            <w:rFonts w:ascii="Calibri" w:hAnsi="Calibri"/>
            <w:color w:val="212121"/>
            <w:sz w:val="20"/>
          </w:rPr>
          <w:t xml:space="preserve">Article 6.5 Coordination with USMCA and T-MEC Institutions</w:t>
        </w:r>
        <w:r>
          <w:tab/>
        </w:r>
        <w:fldSimple w:instr=" PAGEREF _Toc236229951 \h ">
          <w:r>
            <w:t>31</w:t>
          </w:r>
        </w:fldSimple>
      </w:hyperlink>
    </w:p>
    <w:p>
      <w:pPr>
        <w:pStyle w:val="TOC2"/>
      </w:pPr>
      <w:hyperlink w:anchor="_Toc236229952">
        <w:r>
          <w:rPr>
            <w:rStyle w:val="Hyperlink"/>
            <w:rFonts w:ascii="Calibri" w:hAnsi="Calibri"/>
            <w:color w:val="212121"/>
            <w:sz w:val="20"/>
          </w:rPr>
          <w:t xml:space="preserve">Article 6.6 Secretariat, Records, and Wind-Down</w:t>
        </w:r>
        <w:r>
          <w:tab/>
        </w:r>
        <w:fldSimple w:instr=" PAGEREF _Toc236229952 \h ">
          <w:r>
            <w:t>31</w:t>
          </w:r>
        </w:fldSimple>
      </w:hyperlink>
    </w:p>
    <w:p>
      <w:pPr>
        <w:pStyle w:val="TOC2"/>
      </w:pPr>
      <w:hyperlink w:anchor="_Toc236229953">
        <w:r>
          <w:rPr>
            <w:rStyle w:val="Hyperlink"/>
            <w:rFonts w:ascii="Calibri" w:hAnsi="Calibri"/>
            <w:color w:val="212121"/>
            <w:sz w:val="20"/>
          </w:rPr>
          <w:t xml:space="preserve">Article 6.7 Stakeholder and Public Communication</w:t>
        </w:r>
        <w:r>
          <w:tab/>
        </w:r>
        <w:fldSimple w:instr=" PAGEREF _Toc236229953 \h ">
          <w:r>
            <w:t>31</w:t>
          </w:r>
        </w:fldSimple>
      </w:hyperlink>
    </w:p>
    <w:p>
      <w:pPr>
        <w:pStyle w:val="TOC2"/>
      </w:pPr>
      <w:hyperlink w:anchor="_Toc236229954">
        <w:r>
          <w:rPr>
            <w:rStyle w:val="Hyperlink"/>
            <w:rFonts w:ascii="Calibri" w:hAnsi="Calibri"/>
            <w:color w:val="212121"/>
            <w:sz w:val="20"/>
          </w:rPr>
          <w:t xml:space="preserve">Article 6.8 Prioritization and Budget</w:t>
        </w:r>
        <w:r>
          <w:tab/>
        </w:r>
        <w:fldSimple w:instr=" PAGEREF _Toc236229954 \h ">
          <w:r>
            <w:t>31</w:t>
          </w:r>
        </w:fldSimple>
      </w:hyperlink>
    </w:p>
    <w:p>
      <w:pPr>
        <w:pStyle w:val="TOC1"/>
      </w:pPr>
      <w:hyperlink w:anchor="_Toc236229955">
        <w:r>
          <w:rPr>
            <w:rStyle w:val="Hyperlink"/>
            <w:rFonts w:ascii="Calibri" w:hAnsi="Calibri"/>
            <w:b/>
            <w:color w:val="37474F"/>
            <w:sz w:val="21"/>
          </w:rPr>
          <w:t xml:space="preserve">Part Seven: Dispute Settlement</w:t>
        </w:r>
        <w:r>
          <w:tab/>
        </w:r>
        <w:fldSimple w:instr=" PAGEREF _Toc236229955 \h ">
          <w:r>
            <w:t>32</w:t>
          </w:r>
        </w:fldSimple>
      </w:hyperlink>
    </w:p>
    <w:p>
      <w:pPr>
        <w:pStyle w:val="TOC2"/>
      </w:pPr>
      <w:hyperlink w:anchor="_Toc236229956">
        <w:r>
          <w:rPr>
            <w:rStyle w:val="Hyperlink"/>
            <w:rFonts w:ascii="Calibri" w:hAnsi="Calibri"/>
            <w:color w:val="212121"/>
            <w:sz w:val="20"/>
          </w:rPr>
          <w:t xml:space="preserve">Article 7.1 Scope</w:t>
        </w:r>
        <w:r>
          <w:tab/>
        </w:r>
        <w:fldSimple w:instr=" PAGEREF _Toc236229956 \h ">
          <w:r>
            <w:t>32</w:t>
          </w:r>
        </w:fldSimple>
      </w:hyperlink>
    </w:p>
    <w:p>
      <w:pPr>
        <w:pStyle w:val="TOC2"/>
      </w:pPr>
      <w:hyperlink w:anchor="_Toc236229957">
        <w:r>
          <w:rPr>
            <w:rStyle w:val="Hyperlink"/>
            <w:rFonts w:ascii="Calibri" w:hAnsi="Calibri"/>
            <w:color w:val="212121"/>
            <w:sz w:val="20"/>
          </w:rPr>
          <w:t xml:space="preserve">Article 7.2 Consultations</w:t>
        </w:r>
        <w:r>
          <w:tab/>
        </w:r>
        <w:fldSimple w:instr=" PAGEREF _Toc236229957 \h ">
          <w:r>
            <w:t>32</w:t>
          </w:r>
        </w:fldSimple>
      </w:hyperlink>
    </w:p>
    <w:p>
      <w:pPr>
        <w:pStyle w:val="TOC2"/>
      </w:pPr>
      <w:hyperlink w:anchor="_Toc236229958">
        <w:r>
          <w:rPr>
            <w:rStyle w:val="Hyperlink"/>
            <w:rFonts w:ascii="Calibri" w:hAnsi="Calibri"/>
            <w:color w:val="212121"/>
            <w:sz w:val="20"/>
          </w:rPr>
          <w:t xml:space="preserve">Article 7.3 Good Offices, Conciliation, and Mediation</w:t>
        </w:r>
        <w:r>
          <w:tab/>
        </w:r>
        <w:fldSimple w:instr=" PAGEREF _Toc236229958 \h ">
          <w:r>
            <w:t>32</w:t>
          </w:r>
        </w:fldSimple>
      </w:hyperlink>
    </w:p>
    <w:p>
      <w:pPr>
        <w:pStyle w:val="TOC2"/>
      </w:pPr>
      <w:hyperlink w:anchor="_Toc236229959">
        <w:r>
          <w:rPr>
            <w:rStyle w:val="Hyperlink"/>
            <w:rFonts w:ascii="Calibri" w:hAnsi="Calibri"/>
            <w:color w:val="212121"/>
            <w:sz w:val="20"/>
          </w:rPr>
          <w:t xml:space="preserve">Article 7.4 Panel Establishment</w:t>
        </w:r>
        <w:r>
          <w:tab/>
        </w:r>
        <w:fldSimple w:instr=" PAGEREF _Toc236229959 \h ">
          <w:r>
            <w:t>32</w:t>
          </w:r>
        </w:fldSimple>
      </w:hyperlink>
    </w:p>
    <w:p>
      <w:pPr>
        <w:pStyle w:val="TOC2"/>
      </w:pPr>
      <w:hyperlink w:anchor="_Toc236229960">
        <w:r>
          <w:rPr>
            <w:rStyle w:val="Hyperlink"/>
            <w:rFonts w:ascii="Calibri" w:hAnsi="Calibri"/>
            <w:color w:val="212121"/>
            <w:sz w:val="20"/>
          </w:rPr>
          <w:t xml:space="preserve">Article 7.5 Panel Roster</w:t>
        </w:r>
        <w:r>
          <w:tab/>
        </w:r>
        <w:fldSimple w:instr=" PAGEREF _Toc236229960 \h ">
          <w:r>
            <w:t>33</w:t>
          </w:r>
        </w:fldSimple>
      </w:hyperlink>
    </w:p>
    <w:p>
      <w:pPr>
        <w:pStyle w:val="TOC2"/>
      </w:pPr>
      <w:hyperlink w:anchor="_Toc236229961">
        <w:r>
          <w:rPr>
            <w:rStyle w:val="Hyperlink"/>
            <w:rFonts w:ascii="Calibri" w:hAnsi="Calibri"/>
            <w:color w:val="212121"/>
            <w:sz w:val="20"/>
          </w:rPr>
          <w:t xml:space="preserve">Article 7.6 Panel Procedures</w:t>
        </w:r>
        <w:r>
          <w:tab/>
        </w:r>
        <w:fldSimple w:instr=" PAGEREF _Toc236229961 \h ">
          <w:r>
            <w:t>33</w:t>
          </w:r>
        </w:fldSimple>
      </w:hyperlink>
    </w:p>
    <w:p>
      <w:pPr>
        <w:pStyle w:val="TOC2"/>
      </w:pPr>
      <w:hyperlink w:anchor="_Toc236229962">
        <w:r>
          <w:rPr>
            <w:rStyle w:val="Hyperlink"/>
            <w:rFonts w:ascii="Calibri" w:hAnsi="Calibri"/>
            <w:color w:val="212121"/>
            <w:sz w:val="20"/>
          </w:rPr>
          <w:t xml:space="preserve">Article 7.7 Implementation and Suspension of Benefits</w:t>
        </w:r>
        <w:r>
          <w:tab/>
        </w:r>
        <w:fldSimple w:instr=" PAGEREF _Toc236229962 \h ">
          <w:r>
            <w:t>33</w:t>
          </w:r>
        </w:fldSimple>
      </w:hyperlink>
    </w:p>
    <w:p>
      <w:pPr>
        <w:pStyle w:val="TOC2"/>
      </w:pPr>
      <w:hyperlink w:anchor="_Toc236229963">
        <w:r>
          <w:rPr>
            <w:rStyle w:val="Hyperlink"/>
            <w:rFonts w:ascii="Calibri" w:hAnsi="Calibri"/>
            <w:color w:val="212121"/>
            <w:sz w:val="20"/>
          </w:rPr>
          <w:t xml:space="preserve">Article 7.8 Rapid Response Labor Mechanism</w:t>
        </w:r>
        <w:r>
          <w:tab/>
        </w:r>
        <w:fldSimple w:instr=" PAGEREF _Toc236229963 \h ">
          <w:r>
            <w:t>33</w:t>
          </w:r>
        </w:fldSimple>
      </w:hyperlink>
    </w:p>
    <w:p>
      <w:pPr>
        <w:pStyle w:val="TOC2"/>
      </w:pPr>
      <w:hyperlink w:anchor="_Toc236229964">
        <w:r>
          <w:rPr>
            <w:rStyle w:val="Hyperlink"/>
            <w:rFonts w:ascii="Calibri" w:hAnsi="Calibri"/>
            <w:color w:val="212121"/>
            <w:sz w:val="20"/>
          </w:rPr>
          <w:t xml:space="preserve">Article 7.9 Expedited Elimination Firewall Review</w:t>
        </w:r>
        <w:r>
          <w:tab/>
        </w:r>
        <w:fldSimple w:instr=" PAGEREF _Toc236229964 \h ">
          <w:r>
            <w:t>33</w:t>
          </w:r>
        </w:fldSimple>
      </w:hyperlink>
    </w:p>
    <w:p>
      <w:pPr>
        <w:pStyle w:val="TOC1"/>
      </w:pPr>
      <w:hyperlink w:anchor="_Toc236229965">
        <w:r>
          <w:rPr>
            <w:rStyle w:val="Hyperlink"/>
            <w:rFonts w:ascii="Calibri" w:hAnsi="Calibri"/>
            <w:b/>
            <w:color w:val="37474F"/>
            <w:sz w:val="21"/>
          </w:rPr>
          <w:t xml:space="preserve">Part Eight: Exceptions and General Provisions</w:t>
        </w:r>
        <w:r>
          <w:tab/>
        </w:r>
        <w:fldSimple w:instr=" PAGEREF _Toc236229965 \h ">
          <w:r>
            <w:t>35</w:t>
          </w:r>
        </w:fldSimple>
      </w:hyperlink>
    </w:p>
    <w:p>
      <w:pPr>
        <w:pStyle w:val="TOC2"/>
      </w:pPr>
      <w:hyperlink w:anchor="_Toc236229966">
        <w:r>
          <w:rPr>
            <w:rStyle w:val="Hyperlink"/>
            <w:rFonts w:ascii="Calibri" w:hAnsi="Calibri"/>
            <w:color w:val="212121"/>
            <w:sz w:val="20"/>
          </w:rPr>
          <w:t xml:space="preserve">Article 8.1 General Exceptions</w:t>
        </w:r>
        <w:r>
          <w:tab/>
        </w:r>
        <w:fldSimple w:instr=" PAGEREF _Toc236229966 \h ">
          <w:r>
            <w:t>35</w:t>
          </w:r>
        </w:fldSimple>
      </w:hyperlink>
    </w:p>
    <w:p>
      <w:pPr>
        <w:pStyle w:val="TOC2"/>
      </w:pPr>
      <w:hyperlink w:anchor="_Toc236229967">
        <w:r>
          <w:rPr>
            <w:rStyle w:val="Hyperlink"/>
            <w:rFonts w:ascii="Calibri" w:hAnsi="Calibri"/>
            <w:color w:val="212121"/>
            <w:sz w:val="20"/>
          </w:rPr>
          <w:t xml:space="preserve">Article 8.2 Security Exceptions and Non-Recreation Rule</w:t>
        </w:r>
        <w:r>
          <w:tab/>
        </w:r>
        <w:fldSimple w:instr=" PAGEREF _Toc236229967 \h ">
          <w:r>
            <w:t>35</w:t>
          </w:r>
        </w:fldSimple>
      </w:hyperlink>
    </w:p>
    <w:p>
      <w:pPr>
        <w:pStyle w:val="TOC2"/>
      </w:pPr>
      <w:hyperlink w:anchor="_Toc236229968">
        <w:r>
          <w:rPr>
            <w:rStyle w:val="Hyperlink"/>
            <w:rFonts w:ascii="Calibri" w:hAnsi="Calibri"/>
            <w:color w:val="212121"/>
            <w:sz w:val="20"/>
          </w:rPr>
          <w:t xml:space="preserve">Article 8.3 Taxation</w:t>
        </w:r>
        <w:r>
          <w:tab/>
        </w:r>
        <w:fldSimple w:instr=" PAGEREF _Toc236229968 \h ">
          <w:r>
            <w:t>35</w:t>
          </w:r>
        </w:fldSimple>
      </w:hyperlink>
    </w:p>
    <w:p>
      <w:pPr>
        <w:pStyle w:val="TOC2"/>
      </w:pPr>
      <w:hyperlink w:anchor="_Toc236229969">
        <w:r>
          <w:rPr>
            <w:rStyle w:val="Hyperlink"/>
            <w:rFonts w:ascii="Calibri" w:hAnsi="Calibri"/>
            <w:color w:val="212121"/>
            <w:sz w:val="20"/>
          </w:rPr>
          <w:t xml:space="preserve">Article 8.4 Balance of Payments</w:t>
        </w:r>
        <w:r>
          <w:tab/>
        </w:r>
        <w:fldSimple w:instr=" PAGEREF _Toc236229969 \h ">
          <w:r>
            <w:t>35</w:t>
          </w:r>
        </w:fldSimple>
      </w:hyperlink>
    </w:p>
    <w:p>
      <w:pPr>
        <w:pStyle w:val="TOC2"/>
      </w:pPr>
      <w:hyperlink w:anchor="_Toc236229970">
        <w:r>
          <w:rPr>
            <w:rStyle w:val="Hyperlink"/>
            <w:rFonts w:ascii="Calibri" w:hAnsi="Calibri"/>
            <w:color w:val="212121"/>
            <w:sz w:val="20"/>
          </w:rPr>
          <w:t xml:space="preserve">Article 8.5 Sovereignty and Natural Resources</w:t>
        </w:r>
        <w:r>
          <w:tab/>
        </w:r>
        <w:fldSimple w:instr=" PAGEREF _Toc236229970 \h ">
          <w:r>
            <w:t>36</w:t>
          </w:r>
        </w:fldSimple>
      </w:hyperlink>
    </w:p>
    <w:p>
      <w:pPr>
        <w:pStyle w:val="TOC2"/>
      </w:pPr>
      <w:hyperlink w:anchor="_Toc236229971">
        <w:r>
          <w:rPr>
            <w:rStyle w:val="Hyperlink"/>
            <w:rFonts w:ascii="Calibri" w:hAnsi="Calibri"/>
            <w:color w:val="212121"/>
            <w:sz w:val="20"/>
          </w:rPr>
          <w:t xml:space="preserve">Article 8.6 No Waiver and Cumulative Rights</w:t>
        </w:r>
        <w:r>
          <w:tab/>
        </w:r>
        <w:fldSimple w:instr=" PAGEREF _Toc236229971 \h ">
          <w:r>
            <w:t>36</w:t>
          </w:r>
        </w:fldSimple>
      </w:hyperlink>
    </w:p>
    <w:p>
      <w:pPr>
        <w:pStyle w:val="TOC2"/>
      </w:pPr>
      <w:hyperlink w:anchor="_Toc236229972">
        <w:r>
          <w:rPr>
            <w:rStyle w:val="Hyperlink"/>
            <w:rFonts w:ascii="Calibri" w:hAnsi="Calibri"/>
            <w:color w:val="212121"/>
            <w:sz w:val="20"/>
          </w:rPr>
          <w:t xml:space="preserve">Article 8.7 Proportionality and Least Trade-Restrictive Means</w:t>
        </w:r>
        <w:r>
          <w:tab/>
        </w:r>
        <w:fldSimple w:instr=" PAGEREF _Toc236229972 \h ">
          <w:r>
            <w:t>36</w:t>
          </w:r>
        </w:fldSimple>
      </w:hyperlink>
    </w:p>
    <w:p>
      <w:pPr>
        <w:pStyle w:val="TOC1"/>
      </w:pPr>
      <w:hyperlink w:anchor="_Toc236229973">
        <w:r>
          <w:rPr>
            <w:rStyle w:val="Hyperlink"/>
            <w:rFonts w:ascii="Calibri" w:hAnsi="Calibri"/>
            <w:b/>
            <w:color w:val="37474F"/>
            <w:sz w:val="21"/>
          </w:rPr>
          <w:t xml:space="preserve">Part Nine: Final Provisions</w:t>
        </w:r>
        <w:r>
          <w:tab/>
        </w:r>
        <w:fldSimple w:instr=" PAGEREF _Toc236229973 \h ">
          <w:r>
            <w:t>37</w:t>
          </w:r>
        </w:fldSimple>
      </w:hyperlink>
    </w:p>
    <w:p>
      <w:pPr>
        <w:pStyle w:val="TOC2"/>
      </w:pPr>
      <w:hyperlink w:anchor="_Toc236229974">
        <w:r>
          <w:rPr>
            <w:rStyle w:val="Hyperlink"/>
            <w:rFonts w:ascii="Calibri" w:hAnsi="Calibri"/>
            <w:color w:val="212121"/>
            <w:sz w:val="20"/>
          </w:rPr>
          <w:t xml:space="preserve">Article 9.1 Entry into Force</w:t>
        </w:r>
        <w:r>
          <w:tab/>
        </w:r>
        <w:fldSimple w:instr=" PAGEREF _Toc236229974 \h ">
          <w:r>
            <w:t>37</w:t>
          </w:r>
        </w:fldSimple>
      </w:hyperlink>
    </w:p>
    <w:p>
      <w:pPr>
        <w:pStyle w:val="TOC2"/>
      </w:pPr>
      <w:hyperlink w:anchor="_Toc236229975">
        <w:r>
          <w:rPr>
            <w:rStyle w:val="Hyperlink"/>
            <w:rFonts w:ascii="Calibri" w:hAnsi="Calibri"/>
            <w:color w:val="212121"/>
            <w:sz w:val="20"/>
          </w:rPr>
          <w:t xml:space="preserve">Article 9.2 Duration, Survival, and Termination</w:t>
        </w:r>
        <w:r>
          <w:tab/>
        </w:r>
        <w:fldSimple w:instr=" PAGEREF _Toc236229975 \h ">
          <w:r>
            <w:t>37</w:t>
          </w:r>
        </w:fldSimple>
      </w:hyperlink>
    </w:p>
    <w:p>
      <w:pPr>
        <w:pStyle w:val="TOC2"/>
      </w:pPr>
      <w:hyperlink w:anchor="_Toc236229976">
        <w:r>
          <w:rPr>
            <w:rStyle w:val="Hyperlink"/>
            <w:rFonts w:ascii="Calibri" w:hAnsi="Calibri"/>
            <w:color w:val="212121"/>
            <w:sz w:val="20"/>
          </w:rPr>
          <w:t xml:space="preserve">Article 9.3 Amendment</w:t>
        </w:r>
        <w:r>
          <w:tab/>
        </w:r>
        <w:fldSimple w:instr=" PAGEREF _Toc236229976 \h ">
          <w:r>
            <w:t>37</w:t>
          </w:r>
        </w:fldSimple>
      </w:hyperlink>
    </w:p>
    <w:p>
      <w:pPr>
        <w:pStyle w:val="TOC2"/>
      </w:pPr>
      <w:hyperlink w:anchor="_Toc236229977">
        <w:r>
          <w:rPr>
            <w:rStyle w:val="Hyperlink"/>
            <w:rFonts w:ascii="Calibri" w:hAnsi="Calibri"/>
            <w:color w:val="212121"/>
            <w:sz w:val="20"/>
          </w:rPr>
          <w:t xml:space="preserve">Article 9.4 Authentic Texts</w:t>
        </w:r>
        <w:r>
          <w:tab/>
        </w:r>
        <w:fldSimple w:instr=" PAGEREF _Toc236229977 \h ">
          <w:r>
            <w:t>38</w:t>
          </w:r>
        </w:fldSimple>
      </w:hyperlink>
    </w:p>
    <w:p>
      <w:pPr>
        <w:pStyle w:val="TOC2"/>
      </w:pPr>
      <w:hyperlink w:anchor="_Toc236229978">
        <w:r>
          <w:rPr>
            <w:rStyle w:val="Hyperlink"/>
            <w:rFonts w:ascii="Calibri" w:hAnsi="Calibri"/>
            <w:color w:val="212121"/>
            <w:sz w:val="20"/>
          </w:rPr>
          <w:t xml:space="preserve">Article 9.5 Depositary</w:t>
        </w:r>
        <w:r>
          <w:tab/>
        </w:r>
        <w:fldSimple w:instr=" PAGEREF _Toc236229978 \h ">
          <w:r>
            <w:t>38</w:t>
          </w:r>
        </w:fldSimple>
      </w:hyperlink>
    </w:p>
    <w:p>
      <w:pPr>
        <w:pStyle w:val="TOC2"/>
      </w:pPr>
      <w:hyperlink w:anchor="_Toc236229979">
        <w:r>
          <w:rPr>
            <w:rStyle w:val="Hyperlink"/>
            <w:rFonts w:ascii="Calibri" w:hAnsi="Calibri"/>
            <w:color w:val="212121"/>
            <w:sz w:val="20"/>
          </w:rPr>
          <w:t xml:space="preserve">Article 9.6 Annex Incorporation and Order of Precedence</w:t>
        </w:r>
        <w:r>
          <w:tab/>
        </w:r>
        <w:fldSimple w:instr=" PAGEREF _Toc236229979 \h ">
          <w:r>
            <w:t>38</w:t>
          </w:r>
        </w:fldSimple>
      </w:hyperlink>
    </w:p>
    <w:p>
      <w:pPr>
        <w:pStyle w:val="TOC2"/>
      </w:pPr>
      <w:hyperlink w:anchor="_Toc236229980">
        <w:r>
          <w:rPr>
            <w:rStyle w:val="Hyperlink"/>
            <w:rFonts w:ascii="Calibri" w:hAnsi="Calibri"/>
            <w:color w:val="212121"/>
            <w:sz w:val="20"/>
          </w:rPr>
          <w:t xml:space="preserve">Article 9.8 Domestic Constitutional and Procedural Interface</w:t>
        </w:r>
        <w:r>
          <w:tab/>
        </w:r>
        <w:fldSimple w:instr=" PAGEREF _Toc236229980 \h ">
          <w:r>
            <w:t>38</w:t>
          </w:r>
        </w:fldSimple>
      </w:hyperlink>
    </w:p>
    <w:p>
      <w:pPr>
        <w:pStyle w:val="TOC2"/>
      </w:pPr>
      <w:hyperlink w:anchor="_Toc236229981">
        <w:r>
          <w:rPr>
            <w:rStyle w:val="Hyperlink"/>
            <w:rFonts w:ascii="Calibri" w:hAnsi="Calibri"/>
            <w:color w:val="212121"/>
            <w:sz w:val="20"/>
          </w:rPr>
          <w:t xml:space="preserve">Article 9.9 Trilateral Interface</w:t>
        </w:r>
        <w:r>
          <w:tab/>
        </w:r>
        <w:fldSimple w:instr=" PAGEREF _Toc236229981 \h ">
          <w:r>
            <w:t>38</w:t>
          </w:r>
        </w:fldSimple>
      </w:hyperlink>
    </w:p>
    <w:p>
      <w:pPr>
        <w:pStyle w:val="TOC2"/>
      </w:pPr>
      <w:hyperlink w:anchor="_Toc236229982">
        <w:r>
          <w:rPr>
            <w:rStyle w:val="Hyperlink"/>
            <w:rFonts w:ascii="Calibri" w:hAnsi="Calibri"/>
            <w:color w:val="212121"/>
            <w:sz w:val="20"/>
          </w:rPr>
          <w:t xml:space="preserve">Article 9.10 Severability and Partial Adoption</w:t>
        </w:r>
        <w:r>
          <w:tab/>
        </w:r>
        <w:fldSimple w:instr=" PAGEREF _Toc236229982 \h ">
          <w:r>
            <w:t>38</w:t>
          </w:r>
        </w:fldSimple>
      </w:hyperlink>
    </w:p>
    <w:p>
      <w:pPr>
        <w:pStyle w:val="TOC2"/>
      </w:pPr>
      <w:hyperlink w:anchor="_Toc236229983">
        <w:r>
          <w:rPr>
            <w:rStyle w:val="Hyperlink"/>
            <w:rFonts w:ascii="Calibri" w:hAnsi="Calibri"/>
            <w:color w:val="212121"/>
            <w:sz w:val="20"/>
          </w:rPr>
          <w:t xml:space="preserve">Article 9.11 Notices</w:t>
        </w:r>
        <w:r>
          <w:tab/>
        </w:r>
        <w:fldSimple w:instr=" PAGEREF _Toc236229983 \h ">
          <w:r>
            <w:t>39</w:t>
          </w:r>
        </w:fldSimple>
      </w:hyperlink>
    </w:p>
    <w:p>
      <w:pPr>
        <w:pStyle w:val="TOC2"/>
      </w:pPr>
      <w:hyperlink w:anchor="_Toc236229984">
        <w:r>
          <w:rPr>
            <w:rStyle w:val="Hyperlink"/>
            <w:rFonts w:ascii="Calibri" w:hAnsi="Calibri"/>
            <w:color w:val="212121"/>
            <w:sz w:val="20"/>
          </w:rPr>
          <w:t xml:space="preserve">Article 9.12 Force Majeure</w:t>
        </w:r>
        <w:r>
          <w:tab/>
        </w:r>
        <w:fldSimple w:instr=" PAGEREF _Toc236229984 \h ">
          <w:r>
            <w:t>39</w:t>
          </w:r>
        </w:fldSimple>
      </w:hyperlink>
    </w:p>
    <w:p>
      <w:pPr>
        <w:pStyle w:val="TOC2"/>
      </w:pPr>
      <w:hyperlink w:anchor="_Toc236229985">
        <w:r>
          <w:rPr>
            <w:rStyle w:val="Hyperlink"/>
            <w:rFonts w:ascii="Calibri" w:hAnsi="Calibri"/>
            <w:color w:val="212121"/>
            <w:sz w:val="20"/>
          </w:rPr>
          <w:t xml:space="preserve">Article 9.13 No Third-Party Beneficiaries</w:t>
        </w:r>
        <w:r>
          <w:tab/>
        </w:r>
        <w:fldSimple w:instr=" PAGEREF _Toc236229985 \h ">
          <w:r>
            <w:t>39</w:t>
          </w:r>
        </w:fldSimple>
      </w:hyperlink>
    </w:p>
    <w:p>
      <w:pPr>
        <w:pStyle w:val="TOC2"/>
      </w:pPr>
      <w:hyperlink w:anchor="_Toc236229986">
        <w:r>
          <w:rPr>
            <w:rStyle w:val="Hyperlink"/>
            <w:rFonts w:ascii="Calibri" w:hAnsi="Calibri"/>
            <w:color w:val="212121"/>
            <w:sz w:val="20"/>
          </w:rPr>
          <w:t xml:space="preserve">Article 9.14 Relationship to WTO Agreements</w:t>
        </w:r>
        <w:r>
          <w:tab/>
        </w:r>
        <w:fldSimple w:instr=" PAGEREF _Toc236229986 \h ">
          <w:r>
            <w:t>39</w:t>
          </w:r>
        </w:fldSimple>
      </w:hyperlink>
    </w:p>
    <w:p>
      <w:pPr>
        <w:pStyle w:val="TOC2"/>
      </w:pPr>
      <w:hyperlink w:anchor="_Toc236229987">
        <w:r>
          <w:rPr>
            <w:rStyle w:val="Hyperlink"/>
            <w:rFonts w:ascii="Calibri" w:hAnsi="Calibri"/>
            <w:color w:val="212121"/>
            <w:sz w:val="20"/>
          </w:rPr>
          <w:t xml:space="preserve">Article 9.15 Counterparts and Electronic Execution</w:t>
        </w:r>
        <w:r>
          <w:tab/>
        </w:r>
        <w:fldSimple w:instr=" PAGEREF _Toc236229987 \h ">
          <w:r>
            <w:t>39</w:t>
          </w:r>
        </w:fldSimple>
      </w:hyperlink>
    </w:p>
    <w:p>
      <w:pPr>
        <w:pStyle w:val="TOC2"/>
      </w:pPr>
      <w:hyperlink w:anchor="_Toc236229988">
        <w:r>
          <w:rPr>
            <w:rStyle w:val="Hyperlink"/>
            <w:rFonts w:ascii="Calibri" w:hAnsi="Calibri"/>
            <w:color w:val="212121"/>
            <w:sz w:val="20"/>
          </w:rPr>
          <w:t xml:space="preserve">Article 9.16 Authentic-Text Divergence</w:t>
        </w:r>
        <w:r>
          <w:tab/>
        </w:r>
        <w:fldSimple w:instr=" PAGEREF _Toc236229988 \h ">
          <w:r>
            <w:t>39</w:t>
          </w:r>
        </w:fldSimple>
      </w:hyperlink>
    </w:p>
    <w:p>
      <w:pPr>
        <w:pStyle w:val="TOC2"/>
      </w:pPr>
      <w:hyperlink w:anchor="_Toc236229989">
        <w:r>
          <w:rPr>
            <w:rStyle w:val="Hyperlink"/>
            <w:rFonts w:ascii="Calibri" w:hAnsi="Calibri"/>
            <w:color w:val="212121"/>
            <w:sz w:val="20"/>
          </w:rPr>
          <w:t xml:space="preserve">Article 9.17 Signature Block for Any Future Execution</w:t>
        </w:r>
        <w:r>
          <w:tab/>
        </w:r>
        <w:fldSimple w:instr=" PAGEREF _Toc236229989 \h ">
          <w:r>
            <w:t>39</w:t>
          </w:r>
        </w:fldSimple>
      </w:hyperlink>
    </w:p>
    <w:p>
      <w:pPr>
        <w:pStyle w:val="TOC1"/>
      </w:pPr>
      <w:hyperlink w:anchor="_Toc236229990">
        <w:r>
          <w:rPr>
            <w:rStyle w:val="Hyperlink"/>
            <w:rFonts w:ascii="Calibri" w:hAnsi="Calibri"/>
            <w:b/>
            <w:color w:val="37474F"/>
            <w:sz w:val="21"/>
          </w:rPr>
          <w:t xml:space="preserve">Annexes</w:t>
        </w:r>
        <w:r>
          <w:tab/>
        </w:r>
        <w:fldSimple w:instr=" PAGEREF _Toc236229990 \h ">
          <w:r>
            <w:t>41</w:t>
          </w:r>
        </w:fldSimple>
      </w:hyperlink>
    </w:p>
    <w:p>
      <w:pPr>
        <w:pStyle w:val="TOC2"/>
      </w:pPr>
      <w:hyperlink w:anchor="_Toc236229991">
        <w:r>
          <w:rPr>
            <w:rStyle w:val="Hyperlink"/>
            <w:rFonts w:ascii="Calibri" w:hAnsi="Calibri"/>
            <w:color w:val="212121"/>
            <w:sz w:val="20"/>
          </w:rPr>
          <w:t xml:space="preserve">Annex 1-A Interpretation, Status, and Legal-Effect Controls</w:t>
        </w:r>
        <w:r>
          <w:tab/>
        </w:r>
        <w:fldSimple w:instr=" PAGEREF _Toc236229991 \h ">
          <w:r>
            <w:t>41</w:t>
          </w:r>
        </w:fldSimple>
      </w:hyperlink>
    </w:p>
    <w:p>
      <w:pPr>
        <w:pStyle w:val="TOC2"/>
      </w:pPr>
      <w:hyperlink w:anchor="_Toc236229992">
        <w:r>
          <w:rPr>
            <w:rStyle w:val="Hyperlink"/>
            <w:rFonts w:ascii="Calibri" w:hAnsi="Calibri"/>
            <w:color w:val="212121"/>
            <w:sz w:val="20"/>
          </w:rPr>
          <w:t xml:space="preserve">Annex 2-A Mexico Eliminated Emergency Tariff Measures</w:t>
        </w:r>
        <w:r>
          <w:tab/>
        </w:r>
        <w:fldSimple w:instr=" PAGEREF _Toc236229992 \h ">
          <w:r>
            <w:t>42</w:t>
          </w:r>
        </w:fldSimple>
      </w:hyperlink>
    </w:p>
    <w:p>
      <w:pPr>
        <w:pStyle w:val="TOC2"/>
      </w:pPr>
      <w:hyperlink w:anchor="_Toc236229993">
        <w:r>
          <w:rPr>
            <w:rStyle w:val="Hyperlink"/>
            <w:rFonts w:ascii="Calibri" w:hAnsi="Calibri"/>
            <w:color w:val="212121"/>
            <w:sz w:val="20"/>
          </w:rPr>
          <w:t xml:space="preserve">Annex 2-B United States Eliminated Emergency Tariff Measures</w:t>
        </w:r>
        <w:r>
          <w:tab/>
        </w:r>
        <w:fldSimple w:instr=" PAGEREF _Toc236229993 \h ">
          <w:r>
            <w:t>54</w:t>
          </w:r>
        </w:fldSimple>
      </w:hyperlink>
    </w:p>
    <w:p>
      <w:pPr>
        <w:pStyle w:val="TOC2"/>
      </w:pPr>
      <w:hyperlink w:anchor="_Toc236229994">
        <w:r>
          <w:rPr>
            <w:rStyle w:val="Hyperlink"/>
            <w:rFonts w:ascii="Calibri" w:hAnsi="Calibri"/>
            <w:color w:val="212121"/>
            <w:sz w:val="20"/>
          </w:rPr>
          <w:t xml:space="preserve">Annex 2-C Refund and Reconciliation Operating Procedures</w:t>
        </w:r>
        <w:r>
          <w:tab/>
        </w:r>
        <w:fldSimple w:instr=" PAGEREF _Toc236229994 \h ">
          <w:r>
            <w:t>72</w:t>
          </w:r>
        </w:fldSimple>
      </w:hyperlink>
    </w:p>
    <w:p>
      <w:pPr>
        <w:pStyle w:val="TOC2"/>
      </w:pPr>
      <w:hyperlink w:anchor="_Toc236229995">
        <w:r>
          <w:rPr>
            <w:rStyle w:val="Hyperlink"/>
            <w:rFonts w:ascii="Calibri" w:hAnsi="Calibri"/>
            <w:color w:val="212121"/>
            <w:sz w:val="20"/>
          </w:rPr>
          <w:t xml:space="preserve">Annex 2-D Lawful Trade Remedy Preservation and Anti-Abuse</w:t>
        </w:r>
        <w:r>
          <w:tab/>
        </w:r>
        <w:fldSimple w:instr=" PAGEREF _Toc236229995 \h ">
          <w:r>
            <w:t>73</w:t>
          </w:r>
        </w:fldSimple>
      </w:hyperlink>
    </w:p>
    <w:p>
      <w:pPr>
        <w:pStyle w:val="TOC2"/>
      </w:pPr>
      <w:hyperlink w:anchor="_Toc236229996">
        <w:r>
          <w:rPr>
            <w:rStyle w:val="Hyperlink"/>
            <w:rFonts w:ascii="Calibri" w:hAnsi="Calibri"/>
            <w:color w:val="212121"/>
            <w:sz w:val="20"/>
          </w:rPr>
          <w:t xml:space="preserve">Annex 3-A 90-Day Implementation Calendar</w:t>
        </w:r>
        <w:r>
          <w:tab/>
        </w:r>
        <w:fldSimple w:instr=" PAGEREF _Toc236229996 \h ">
          <w:r>
            <w:t>74</w:t>
          </w:r>
        </w:fldSimple>
      </w:hyperlink>
    </w:p>
    <w:p>
      <w:pPr>
        <w:pStyle w:val="TOC2"/>
      </w:pPr>
      <w:hyperlink w:anchor="_Toc236229997">
        <w:r>
          <w:rPr>
            <w:rStyle w:val="Hyperlink"/>
            <w:rFonts w:ascii="Calibri" w:hAnsi="Calibri"/>
            <w:color w:val="212121"/>
            <w:sz w:val="20"/>
          </w:rPr>
          <w:t xml:space="preserve">Annex 3-B Comprehensive Modernization Roadmap Template</w:t>
        </w:r>
        <w:r>
          <w:tab/>
        </w:r>
        <w:fldSimple w:instr=" PAGEREF _Toc236229997 \h ">
          <w:r>
            <w:t>75</w:t>
          </w:r>
        </w:fldSimple>
      </w:hyperlink>
    </w:p>
    <w:p>
      <w:pPr>
        <w:pStyle w:val="TOC2"/>
      </w:pPr>
      <w:hyperlink w:anchor="_Toc236229998">
        <w:r>
          <w:rPr>
            <w:rStyle w:val="Hyperlink"/>
            <w:rFonts w:ascii="Calibri" w:hAnsi="Calibri"/>
            <w:color w:val="212121"/>
            <w:sz w:val="20"/>
          </w:rPr>
          <w:t xml:space="preserve">Annex 4A-1 Automotive Rules of Origin and Verification Standards</w:t>
        </w:r>
        <w:r>
          <w:tab/>
        </w:r>
        <w:fldSimple w:instr=" PAGEREF _Toc236229998 \h ">
          <w:r>
            <w:t>76</w:t>
          </w:r>
        </w:fldSimple>
      </w:hyperlink>
    </w:p>
    <w:p>
      <w:pPr>
        <w:pStyle w:val="TOC2"/>
      </w:pPr>
      <w:hyperlink w:anchor="_Toc236229999">
        <w:r>
          <w:rPr>
            <w:rStyle w:val="Hyperlink"/>
            <w:rFonts w:ascii="Calibri" w:hAnsi="Calibri"/>
            <w:color w:val="212121"/>
            <w:sz w:val="20"/>
          </w:rPr>
          <w:t xml:space="preserve">Annex 4B-1 Steel, Aluminum, and Industrial Input Monitoring</w:t>
        </w:r>
        <w:r>
          <w:tab/>
        </w:r>
        <w:fldSimple w:instr=" PAGEREF _Toc236229999 \h ">
          <w:r>
            <w:t>76</w:t>
          </w:r>
        </w:fldSimple>
      </w:hyperlink>
    </w:p>
    <w:p>
      <w:pPr>
        <w:pStyle w:val="TOC2"/>
      </w:pPr>
      <w:hyperlink w:anchor="_Toc236230000">
        <w:r>
          <w:rPr>
            <w:rStyle w:val="Hyperlink"/>
            <w:rFonts w:ascii="Calibri" w:hAnsi="Calibri"/>
            <w:color w:val="212121"/>
            <w:sz w:val="20"/>
          </w:rPr>
          <w:t xml:space="preserve">Annex 4C-1 Agriculture Market Access and Regulatory Compatibility</w:t>
        </w:r>
        <w:r>
          <w:tab/>
        </w:r>
        <w:fldSimple w:instr=" PAGEREF _Toc236230000 \h ">
          <w:r>
            <w:t>77</w:t>
          </w:r>
        </w:fldSimple>
      </w:hyperlink>
    </w:p>
    <w:p>
      <w:pPr>
        <w:pStyle w:val="TOC2"/>
      </w:pPr>
      <w:hyperlink w:anchor="_Toc236230001">
        <w:r>
          <w:rPr>
            <w:rStyle w:val="Hyperlink"/>
            <w:rFonts w:ascii="Calibri" w:hAnsi="Calibri"/>
            <w:color w:val="212121"/>
            <w:sz w:val="20"/>
          </w:rPr>
          <w:t xml:space="preserve">Annex 4D-1 Energy Transparency, Competitive Neutrality, and Critical Minerals</w:t>
        </w:r>
        <w:r>
          <w:tab/>
        </w:r>
        <w:fldSimple w:instr=" PAGEREF _Toc236230001 \h ">
          <w:r>
            <w:t>78</w:t>
          </w:r>
        </w:fldSimple>
      </w:hyperlink>
    </w:p>
    <w:p>
      <w:pPr>
        <w:pStyle w:val="TOC2"/>
      </w:pPr>
      <w:hyperlink w:anchor="_Toc236230002">
        <w:r>
          <w:rPr>
            <w:rStyle w:val="Hyperlink"/>
            <w:rFonts w:ascii="Calibri" w:hAnsi="Calibri"/>
            <w:color w:val="212121"/>
            <w:sz w:val="20"/>
          </w:rPr>
          <w:t xml:space="preserve">Annex 4E-1 Labor and RRM Administration</w:t>
        </w:r>
        <w:r>
          <w:tab/>
        </w:r>
        <w:fldSimple w:instr=" PAGEREF _Toc236230002 \h ">
          <w:r>
            <w:t>79</w:t>
          </w:r>
        </w:fldSimple>
      </w:hyperlink>
    </w:p>
    <w:p>
      <w:pPr>
        <w:pStyle w:val="TOC2"/>
      </w:pPr>
      <w:hyperlink w:anchor="_Toc236230003">
        <w:r>
          <w:rPr>
            <w:rStyle w:val="Hyperlink"/>
            <w:rFonts w:ascii="Calibri" w:hAnsi="Calibri"/>
            <w:color w:val="212121"/>
            <w:sz w:val="20"/>
          </w:rPr>
          <w:t xml:space="preserve">Annex 4F-1 Environment, Water, and Deforestation Verification</w:t>
        </w:r>
        <w:r>
          <w:tab/>
        </w:r>
        <w:fldSimple w:instr=" PAGEREF _Toc236230003 \h ">
          <w:r>
            <w:t>79</w:t>
          </w:r>
        </w:fldSimple>
      </w:hyperlink>
    </w:p>
    <w:p>
      <w:pPr>
        <w:pStyle w:val="TOC2"/>
      </w:pPr>
      <w:hyperlink w:anchor="_Toc236230004">
        <w:r>
          <w:rPr>
            <w:rStyle w:val="Hyperlink"/>
            <w:rFonts w:ascii="Calibri" w:hAnsi="Calibri"/>
            <w:color w:val="212121"/>
            <w:sz w:val="20"/>
          </w:rPr>
          <w:t xml:space="preserve">Annex 4G-1 Customs Interoperability and Facilitation</w:t>
        </w:r>
        <w:r>
          <w:tab/>
        </w:r>
        <w:fldSimple w:instr=" PAGEREF _Toc236230004 \h ">
          <w:r>
            <w:t>80</w:t>
          </w:r>
        </w:fldSimple>
      </w:hyperlink>
    </w:p>
    <w:p>
      <w:pPr>
        <w:pStyle w:val="TOC2"/>
      </w:pPr>
      <w:hyperlink w:anchor="_Toc236230005">
        <w:r>
          <w:rPr>
            <w:rStyle w:val="Hyperlink"/>
            <w:rFonts w:ascii="Calibri" w:hAnsi="Calibri"/>
            <w:color w:val="212121"/>
            <w:sz w:val="20"/>
          </w:rPr>
          <w:t xml:space="preserve">Annex 4H-1 Border Security Cooperation Charter Within Firewall</w:t>
        </w:r>
        <w:r>
          <w:tab/>
        </w:r>
        <w:fldSimple w:instr=" PAGEREF _Toc236230005 \h ">
          <w:r>
            <w:t>81</w:t>
          </w:r>
        </w:fldSimple>
      </w:hyperlink>
    </w:p>
    <w:p>
      <w:pPr>
        <w:pStyle w:val="TOC2"/>
      </w:pPr>
      <w:hyperlink w:anchor="_Toc236230006">
        <w:r>
          <w:rPr>
            <w:rStyle w:val="Hyperlink"/>
            <w:rFonts w:ascii="Calibri" w:hAnsi="Calibri"/>
            <w:color w:val="212121"/>
            <w:sz w:val="20"/>
          </w:rPr>
          <w:t xml:space="preserve">Annex 4I-1 Dispute Settlement Model Procedures</w:t>
        </w:r>
        <w:r>
          <w:tab/>
        </w:r>
        <w:fldSimple w:instr=" PAGEREF _Toc236230006 \h ">
          <w:r>
            <w:t>82</w:t>
          </w:r>
        </w:fldSimple>
      </w:hyperlink>
    </w:p>
    <w:p>
      <w:pPr>
        <w:pStyle w:val="TOC2"/>
      </w:pPr>
      <w:hyperlink w:anchor="_Toc236230007">
        <w:r>
          <w:rPr>
            <w:rStyle w:val="Hyperlink"/>
            <w:rFonts w:ascii="Calibri" w:hAnsi="Calibri"/>
            <w:color w:val="212121"/>
            <w:sz w:val="20"/>
          </w:rPr>
          <w:t xml:space="preserve">Annex 4H-2 Security-Trade Firewall and Sovereignty Audit</w:t>
        </w:r>
        <w:r>
          <w:tab/>
        </w:r>
        <w:fldSimple w:instr=" PAGEREF _Toc236230007 \h ">
          <w:r>
            <w:t>82</w:t>
          </w:r>
        </w:fldSimple>
      </w:hyperlink>
    </w:p>
    <w:p>
      <w:pPr>
        <w:pStyle w:val="TOC2"/>
      </w:pPr>
      <w:hyperlink w:anchor="_Toc236230008">
        <w:r>
          <w:rPr>
            <w:rStyle w:val="Hyperlink"/>
            <w:rFonts w:ascii="Calibri" w:hAnsi="Calibri"/>
            <w:color w:val="212121"/>
            <w:sz w:val="20"/>
          </w:rPr>
          <w:t xml:space="preserve">Annex 5-A Elimination Firewall Legal Test</w:t>
        </w:r>
        <w:r>
          <w:tab/>
        </w:r>
        <w:fldSimple w:instr=" PAGEREF _Toc236230008 \h ">
          <w:r>
            <w:t>83</w:t>
          </w:r>
        </w:fldSimple>
      </w:hyperlink>
    </w:p>
    <w:p>
      <w:pPr>
        <w:pStyle w:val="TOC2"/>
      </w:pPr>
      <w:hyperlink w:anchor="_Toc236230009">
        <w:r>
          <w:rPr>
            <w:rStyle w:val="Hyperlink"/>
            <w:rFonts w:ascii="Calibri" w:hAnsi="Calibri"/>
            <w:color w:val="212121"/>
            <w:sz w:val="20"/>
          </w:rPr>
          <w:t xml:space="preserve">Annex 6-A Joint Committee Rules of Procedure</w:t>
        </w:r>
        <w:r>
          <w:tab/>
        </w:r>
        <w:fldSimple w:instr=" PAGEREF _Toc236230009 \h ">
          <w:r>
            <w:t>83</w:t>
          </w:r>
        </w:fldSimple>
      </w:hyperlink>
    </w:p>
    <w:p>
      <w:pPr>
        <w:pStyle w:val="TOC2"/>
      </w:pPr>
      <w:hyperlink w:anchor="_Toc236230010">
        <w:r>
          <w:rPr>
            <w:rStyle w:val="Hyperlink"/>
            <w:rFonts w:ascii="Calibri" w:hAnsi="Calibri"/>
            <w:color w:val="212121"/>
            <w:sz w:val="20"/>
          </w:rPr>
          <w:t xml:space="preserve">Annex 7-A Model Panel Timetable and Forms</w:t>
        </w:r>
        <w:r>
          <w:tab/>
        </w:r>
        <w:fldSimple w:instr=" PAGEREF _Toc236230010 \h ">
          <w:r>
            <w:t>84</w:t>
          </w:r>
        </w:fldSimple>
      </w:hyperlink>
    </w:p>
    <w:p>
      <w:pPr>
        <w:pStyle w:val="TOC2"/>
      </w:pPr>
      <w:hyperlink w:anchor="_Toc236230011">
        <w:r>
          <w:rPr>
            <w:rStyle w:val="Hyperlink"/>
            <w:rFonts w:ascii="Calibri" w:hAnsi="Calibri"/>
            <w:color w:val="212121"/>
            <w:sz w:val="20"/>
          </w:rPr>
          <w:t xml:space="preserve">Annex 8-A Exception Invocation Forms</w:t>
        </w:r>
        <w:r>
          <w:tab/>
        </w:r>
        <w:fldSimple w:instr=" PAGEREF _Toc236230011 \h ">
          <w:r>
            <w:t>84</w:t>
          </w:r>
        </w:fldSimple>
      </w:hyperlink>
    </w:p>
    <w:p>
      <w:pPr>
        <w:pStyle w:val="TOC2"/>
      </w:pPr>
      <w:hyperlink w:anchor="_Toc236230012">
        <w:r>
          <w:rPr>
            <w:rStyle w:val="Hyperlink"/>
            <w:rFonts w:ascii="Calibri" w:hAnsi="Calibri"/>
            <w:color w:val="212121"/>
            <w:sz w:val="20"/>
          </w:rPr>
          <w:t xml:space="preserve">Annex 9-A Survival, Termination, and Wind-Down Master Table</w:t>
        </w:r>
        <w:r>
          <w:tab/>
        </w:r>
        <w:fldSimple w:instr=" PAGEREF _Toc236230012 \h ">
          <w:r>
            <w:t>84</w:t>
          </w:r>
        </w:fldSimple>
      </w:hyperlink>
    </w:p>
    <w:p>
      <w:pPr>
        <w:pStyle w:val="TOC2"/>
      </w:pPr>
      <w:hyperlink w:anchor="_Toc236230013">
        <w:r>
          <w:rPr>
            <w:rStyle w:val="Hyperlink"/>
            <w:rFonts w:ascii="Calibri" w:hAnsi="Calibri"/>
            <w:color w:val="212121"/>
            <w:sz w:val="20"/>
          </w:rPr>
          <w:t xml:space="preserve">Annex 10-A Evidence and Verification Register</w:t>
        </w:r>
        <w:r>
          <w:tab/>
        </w:r>
        <w:fldSimple w:instr=" PAGEREF _Toc236230013 \h ">
          <w:r>
            <w:t>85</w:t>
          </w:r>
        </w:fldSimple>
      </w:hyperlink>
    </w:p>
    <w:p>
      <w:pPr>
        <w:pStyle w:val="TOC2"/>
      </w:pPr>
      <w:hyperlink w:anchor="_Toc236230014">
        <w:r>
          <w:rPr>
            <w:rStyle w:val="Hyperlink"/>
            <w:rFonts w:ascii="Calibri" w:hAnsi="Calibri"/>
            <w:color w:val="212121"/>
            <w:sz w:val="20"/>
          </w:rPr>
          <w:t xml:space="preserve">Annex 10-B Bilateral Balance Audit</w:t>
        </w:r>
        <w:r>
          <w:tab/>
        </w:r>
        <w:fldSimple w:instr=" PAGEREF _Toc236230014 \h ">
          <w:r>
            <w:t>86</w:t>
          </w:r>
        </w:fldSimple>
      </w:hyperlink>
    </w:p>
    <w:p>
      <w:pPr>
        <w:pStyle w:val="TOC2"/>
      </w:pPr>
      <w:hyperlink w:anchor="_Toc236230015">
        <w:r>
          <w:rPr>
            <w:rStyle w:val="Hyperlink"/>
            <w:rFonts w:ascii="Calibri" w:hAnsi="Calibri"/>
            <w:color w:val="212121"/>
            <w:sz w:val="20"/>
          </w:rPr>
          <w:t xml:space="preserve">Annex 10-C Sovereignty and Scope Audit</w:t>
        </w:r>
        <w:r>
          <w:tab/>
        </w:r>
        <w:fldSimple w:instr=" PAGEREF _Toc236230015 \h ">
          <w:r>
            <w:t>87</w:t>
          </w:r>
        </w:fldSimple>
      </w:hyperlink>
    </w:p>
    <w:p>
      <w:pPr>
        <w:pStyle w:val="TOC2"/>
      </w:pPr>
      <w:hyperlink w:anchor="_Toc236230016">
        <w:r>
          <w:rPr>
            <w:rStyle w:val="Hyperlink"/>
            <w:rFonts w:ascii="Calibri" w:hAnsi="Calibri"/>
            <w:color w:val="212121"/>
            <w:sz w:val="20"/>
          </w:rPr>
          <w:t xml:space="preserve">Annex 10-D Final Pre-Adoption Audit Protocol</w:t>
        </w:r>
        <w:r>
          <w:tab/>
        </w:r>
        <w:fldSimple w:instr=" PAGEREF _Toc236230016 \h ">
          <w:r>
            <w:t>87</w:t>
          </w:r>
        </w:fldSimple>
      </w:hyperlink>
    </w:p>
    <w:p>
      <w:pPr>
        <w:pStyle w:val="TOC1"/>
      </w:pPr>
      <w:hyperlink w:anchor="_Toc236230017">
        <w:r>
          <w:rPr>
            <w:rStyle w:val="Hyperlink"/>
            <w:rFonts w:ascii="Calibri" w:hAnsi="Calibri"/>
            <w:b/>
            <w:color w:val="37474F"/>
            <w:sz w:val="21"/>
          </w:rPr>
          <w:t xml:space="preserve">Annex 11: Implementation Instrument Library</w:t>
        </w:r>
        <w:r>
          <w:tab/>
        </w:r>
        <w:fldSimple w:instr=" PAGEREF _Toc236230017 \h ">
          <w:r>
            <w:t>88</w:t>
          </w:r>
        </w:fldSimple>
      </w:hyperlink>
    </w:p>
    <w:p>
      <w:pPr>
        <w:pStyle w:val="TOC2"/>
      </w:pPr>
      <w:hyperlink w:anchor="_Toc236230018">
        <w:r>
          <w:rPr>
            <w:rStyle w:val="Hyperlink"/>
            <w:rFonts w:ascii="Calibri" w:hAnsi="Calibri"/>
            <w:color w:val="212121"/>
            <w:sz w:val="20"/>
          </w:rPr>
          <w:t xml:space="preserve">Annex 11-A Model Administrative Clause Library</w:t>
        </w:r>
        <w:r>
          <w:tab/>
        </w:r>
        <w:fldSimple w:instr=" PAGEREF _Toc236230018 \h ">
          <w:r>
            <w:t>88</w:t>
          </w:r>
        </w:fldSimple>
      </w:hyperlink>
    </w:p>
    <w:p>
      <w:pPr>
        <w:pStyle w:val="TOC2"/>
      </w:pPr>
      <w:hyperlink w:anchor="_Toc236230019">
        <w:r>
          <w:rPr>
            <w:rStyle w:val="Hyperlink"/>
            <w:rFonts w:ascii="Calibri" w:hAnsi="Calibri"/>
            <w:color w:val="212121"/>
            <w:sz w:val="20"/>
          </w:rPr>
          <w:t xml:space="preserve">Annex 11-B Data Dictionary and Interoperability Minimums</w:t>
        </w:r>
        <w:r>
          <w:tab/>
        </w:r>
        <w:fldSimple w:instr=" PAGEREF _Toc236230019 \h ">
          <w:r>
            <w:t>88</w:t>
          </w:r>
        </w:fldSimple>
      </w:hyperlink>
    </w:p>
    <w:p>
      <w:pPr>
        <w:pStyle w:val="TOC2"/>
      </w:pPr>
      <w:hyperlink w:anchor="_Toc236230020">
        <w:r>
          <w:rPr>
            <w:rStyle w:val="Hyperlink"/>
            <w:rFonts w:ascii="Calibri" w:hAnsi="Calibri"/>
            <w:color w:val="212121"/>
            <w:sz w:val="20"/>
          </w:rPr>
          <w:t xml:space="preserve">Annex 11-C Risk Register and Issue Escalation</w:t>
        </w:r>
        <w:r>
          <w:tab/>
        </w:r>
        <w:fldSimple w:instr=" PAGEREF _Toc236230020 \h ">
          <w:r>
            <w:t>88</w:t>
          </w:r>
        </w:fldSimple>
      </w:hyperlink>
    </w:p>
    <w:p>
      <w:pPr>
        <w:pStyle w:val="TOC2"/>
      </w:pPr>
      <w:hyperlink w:anchor="_Toc236230021">
        <w:r>
          <w:rPr>
            <w:rStyle w:val="Hyperlink"/>
            <w:rFonts w:ascii="Calibri" w:hAnsi="Calibri"/>
            <w:color w:val="212121"/>
            <w:sz w:val="20"/>
          </w:rPr>
          <w:t xml:space="preserve">Annex 11-D Stakeholder Consultation and Record Protocol</w:t>
        </w:r>
        <w:r>
          <w:tab/>
        </w:r>
        <w:fldSimple w:instr=" PAGEREF _Toc236230021 \h ">
          <w:r>
            <w:t>89</w:t>
          </w:r>
        </w:fldSimple>
      </w:hyperlink>
    </w:p>
    <w:p>
      <w:pPr>
        <w:pStyle w:val="TOC2"/>
      </w:pPr>
      <w:hyperlink w:anchor="_Toc236230022">
        <w:r>
          <w:rPr>
            <w:rStyle w:val="Hyperlink"/>
            <w:rFonts w:ascii="Calibri" w:hAnsi="Calibri"/>
            <w:color w:val="212121"/>
            <w:sz w:val="20"/>
          </w:rPr>
          <w:t xml:space="preserve">Annex 11-E Technical Assistance, Capacity Building, and Transition Support</w:t>
        </w:r>
        <w:r>
          <w:tab/>
        </w:r>
        <w:fldSimple w:instr=" PAGEREF _Toc236230022 \h ">
          <w:r>
            <w:t>89</w:t>
          </w:r>
        </w:fldSimple>
      </w:hyperlink>
    </w:p>
    <w:p>
      <w:pPr>
        <w:pStyle w:val="TOC2"/>
      </w:pPr>
      <w:hyperlink w:anchor="_Toc236230023">
        <w:r>
          <w:rPr>
            <w:rStyle w:val="Hyperlink"/>
            <w:rFonts w:ascii="Calibri" w:hAnsi="Calibri"/>
            <w:color w:val="212121"/>
            <w:sz w:val="20"/>
          </w:rPr>
          <w:t xml:space="preserve">Annex 11-F Legal Scrub Templates</w:t>
        </w:r>
        <w:r>
          <w:tab/>
        </w:r>
        <w:fldSimple w:instr=" PAGEREF _Toc236230023 \h ">
          <w:r>
            <w:t>89</w:t>
          </w:r>
        </w:fldSimple>
      </w:hyperlink>
    </w:p>
    <w:p>
      <w:pPr>
        <w:pStyle w:val="TOC2"/>
      </w:pPr>
      <w:hyperlink w:anchor="_Toc236230024">
        <w:r>
          <w:rPr>
            <w:rStyle w:val="Hyperlink"/>
            <w:rFonts w:ascii="Calibri" w:hAnsi="Calibri"/>
            <w:color w:val="212121"/>
            <w:sz w:val="20"/>
          </w:rPr>
          <w:t xml:space="preserve">Annex 11-G Communications and Corrections Protocol</w:t>
        </w:r>
        <w:r>
          <w:tab/>
        </w:r>
        <w:fldSimple w:instr=" PAGEREF _Toc236230024 \h ">
          <w:r>
            <w:t>90</w:t>
          </w:r>
        </w:fldSimple>
      </w:hyperlink>
    </w:p>
    <w:p>
      <w:pPr>
        <w:pStyle w:val="TOC2"/>
      </w:pPr>
      <w:hyperlink w:anchor="_Toc236230025">
        <w:r>
          <w:rPr>
            <w:rStyle w:val="Hyperlink"/>
            <w:rFonts w:ascii="Calibri" w:hAnsi="Calibri"/>
            <w:color w:val="212121"/>
            <w:sz w:val="20"/>
          </w:rPr>
          <w:t xml:space="preserve">Annex 11-H Procurement, Integrity, and Conflicts</w:t>
        </w:r>
        <w:r>
          <w:tab/>
        </w:r>
        <w:fldSimple w:instr=" PAGEREF _Toc236230025 \h ">
          <w:r>
            <w:t>90</w:t>
          </w:r>
        </w:fldSimple>
      </w:hyperlink>
    </w:p>
    <w:p>
      <w:pPr>
        <w:pStyle w:val="TOC2"/>
      </w:pPr>
      <w:hyperlink w:anchor="_Toc236230026">
        <w:r>
          <w:rPr>
            <w:rStyle w:val="Hyperlink"/>
            <w:rFonts w:ascii="Calibri" w:hAnsi="Calibri"/>
            <w:color w:val="212121"/>
            <w:sz w:val="20"/>
          </w:rPr>
          <w:t xml:space="preserve">Annex 11-I Metrics Definitions Without Unverified Claims</w:t>
        </w:r>
        <w:r>
          <w:tab/>
        </w:r>
        <w:fldSimple w:instr=" PAGEREF _Toc236230026 \h ">
          <w:r>
            <w:t>90</w:t>
          </w:r>
        </w:fldSimple>
      </w:hyperlink>
    </w:p>
    <w:p>
      <w:pPr>
        <w:pStyle w:val="TOC2"/>
      </w:pPr>
      <w:hyperlink w:anchor="_Toc236230027">
        <w:r>
          <w:rPr>
            <w:rStyle w:val="Hyperlink"/>
            <w:rFonts w:ascii="Calibri" w:hAnsi="Calibri"/>
            <w:color w:val="212121"/>
            <w:sz w:val="20"/>
          </w:rPr>
          <w:t xml:space="preserve">Annex 11-J Final Consistency Matrix and Revision History</w:t>
        </w:r>
        <w:r>
          <w:tab/>
        </w:r>
        <w:fldSimple w:instr=" PAGEREF _Toc236230027 \h ">
          <w:r>
            <w:t>90</w:t>
          </w:r>
        </w:fldSimple>
      </w:hyperlink>
    </w:p>
    <w:p>
      <w:pPr>
        <w:pStyle w:val="TOC1"/>
      </w:pPr>
      <w:hyperlink w:anchor="_Toc236230028">
        <w:r>
          <w:rPr>
            <w:rStyle w:val="Hyperlink"/>
            <w:rFonts w:ascii="Calibri" w:hAnsi="Calibri"/>
            <w:b/>
            <w:color w:val="37474F"/>
            <w:sz w:val="21"/>
          </w:rPr>
          <w:t xml:space="preserve">Annex 12: Operational Playbooks</w:t>
        </w:r>
        <w:r>
          <w:tab/>
        </w:r>
        <w:fldSimple w:instr=" PAGEREF _Toc236230028 \h ">
          <w:r>
            <w:t>91</w:t>
          </w:r>
        </w:fldSimple>
      </w:hyperlink>
    </w:p>
    <w:p>
      <w:pPr>
        <w:pStyle w:val="TOC2"/>
      </w:pPr>
      <w:hyperlink w:anchor="_Toc236230029">
        <w:r>
          <w:rPr>
            <w:rStyle w:val="Hyperlink"/>
            <w:rFonts w:ascii="Calibri" w:hAnsi="Calibri"/>
            <w:color w:val="212121"/>
            <w:sz w:val="20"/>
          </w:rPr>
          <w:t xml:space="preserve">Annex 12-A Elimination Go-Live Playbook</w:t>
        </w:r>
        <w:r>
          <w:tab/>
        </w:r>
        <w:fldSimple w:instr=" PAGEREF _Toc236230029 \h ">
          <w:r>
            <w:t>91</w:t>
          </w:r>
        </w:fldSimple>
      </w:hyperlink>
    </w:p>
    <w:p>
      <w:pPr>
        <w:pStyle w:val="TOC2"/>
      </w:pPr>
      <w:hyperlink w:anchor="_Toc236230030">
        <w:r>
          <w:rPr>
            <w:rStyle w:val="Hyperlink"/>
            <w:rFonts w:ascii="Calibri" w:hAnsi="Calibri"/>
            <w:color w:val="212121"/>
            <w:sz w:val="20"/>
          </w:rPr>
          <w:t xml:space="preserve">Annex 12-B No-Resurrection Audit Playbook</w:t>
        </w:r>
        <w:r>
          <w:tab/>
        </w:r>
        <w:fldSimple w:instr=" PAGEREF _Toc236230030 \h ">
          <w:r>
            <w:t>91</w:t>
          </w:r>
        </w:fldSimple>
      </w:hyperlink>
    </w:p>
    <w:p>
      <w:pPr>
        <w:pStyle w:val="TOC2"/>
      </w:pPr>
      <w:hyperlink w:anchor="_Toc236230031">
        <w:r>
          <w:rPr>
            <w:rStyle w:val="Hyperlink"/>
            <w:rFonts w:ascii="Calibri" w:hAnsi="Calibri"/>
            <w:color w:val="212121"/>
            <w:sz w:val="20"/>
          </w:rPr>
          <w:t xml:space="preserve">Annex 12-C Refund Operations Playbook</w:t>
        </w:r>
        <w:r>
          <w:tab/>
        </w:r>
        <w:fldSimple w:instr=" PAGEREF _Toc236230031 \h ">
          <w:r>
            <w:t>92</w:t>
          </w:r>
        </w:fldSimple>
      </w:hyperlink>
    </w:p>
    <w:p>
      <w:pPr>
        <w:pStyle w:val="TOC2"/>
      </w:pPr>
      <w:hyperlink w:anchor="_Toc236230032">
        <w:r>
          <w:rPr>
            <w:rStyle w:val="Hyperlink"/>
            <w:rFonts w:ascii="Calibri" w:hAnsi="Calibri"/>
            <w:color w:val="212121"/>
            <w:sz w:val="20"/>
          </w:rPr>
          <w:t xml:space="preserve">Annex 12-D Security Firewall Playbook</w:t>
        </w:r>
        <w:r>
          <w:tab/>
        </w:r>
        <w:fldSimple w:instr=" PAGEREF _Toc236230032 \h ">
          <w:r>
            <w:t>92</w:t>
          </w:r>
        </w:fldSimple>
      </w:hyperlink>
    </w:p>
    <w:p>
      <w:pPr>
        <w:pStyle w:val="TOC2"/>
      </w:pPr>
      <w:hyperlink w:anchor="_Toc236230033">
        <w:r>
          <w:rPr>
            <w:rStyle w:val="Hyperlink"/>
            <w:rFonts w:ascii="Calibri" w:hAnsi="Calibri"/>
            <w:color w:val="212121"/>
            <w:sz w:val="20"/>
          </w:rPr>
          <w:t xml:space="preserve">Annex 12-E Working Group Delivery Playbook</w:t>
        </w:r>
        <w:r>
          <w:tab/>
        </w:r>
        <w:fldSimple w:instr=" PAGEREF _Toc236230033 \h ">
          <w:r>
            <w:t>92</w:t>
          </w:r>
        </w:fldSimple>
      </w:hyperlink>
    </w:p>
    <w:p>
      <w:pPr>
        <w:pStyle w:val="TOC2"/>
      </w:pPr>
      <w:hyperlink w:anchor="_Toc236230034">
        <w:r>
          <w:rPr>
            <w:rStyle w:val="Hyperlink"/>
            <w:rFonts w:ascii="Calibri" w:hAnsi="Calibri"/>
            <w:color w:val="212121"/>
            <w:sz w:val="20"/>
          </w:rPr>
          <w:t xml:space="preserve">Annex 12-F Dispute Readiness Playbook</w:t>
        </w:r>
        <w:r>
          <w:tab/>
        </w:r>
        <w:fldSimple w:instr=" PAGEREF _Toc236230034 \h ">
          <w:r>
            <w:t>93</w:t>
          </w:r>
        </w:fldSimple>
      </w:hyperlink>
    </w:p>
    <w:p>
      <w:pPr>
        <w:pStyle w:val="TOC2"/>
      </w:pPr>
      <w:hyperlink w:anchor="_Toc236230035">
        <w:r>
          <w:rPr>
            <w:rStyle w:val="Hyperlink"/>
            <w:rFonts w:ascii="Calibri" w:hAnsi="Calibri"/>
            <w:color w:val="212121"/>
            <w:sz w:val="20"/>
          </w:rPr>
          <w:t xml:space="preserve">Annex 12-G Energy and Sovereignty Playbook</w:t>
        </w:r>
        <w:r>
          <w:tab/>
        </w:r>
        <w:fldSimple w:instr=" PAGEREF _Toc236230035 \h ">
          <w:r>
            <w:t>93</w:t>
          </w:r>
        </w:fldSimple>
      </w:hyperlink>
    </w:p>
    <w:p>
      <w:pPr>
        <w:pStyle w:val="TOC2"/>
      </w:pPr>
      <w:hyperlink w:anchor="_Toc236230036">
        <w:r>
          <w:rPr>
            <w:rStyle w:val="Hyperlink"/>
            <w:rFonts w:ascii="Calibri" w:hAnsi="Calibri"/>
            <w:color w:val="212121"/>
            <w:sz w:val="20"/>
          </w:rPr>
          <w:t xml:space="preserve">Annex 12-H Environment and Border Water Playbook</w:t>
        </w:r>
        <w:r>
          <w:tab/>
        </w:r>
        <w:fldSimple w:instr=" PAGEREF _Toc236230036 \h ">
          <w:r>
            <w:t>93</w:t>
          </w:r>
        </w:fldSimple>
      </w:hyperlink>
    </w:p>
    <w:p>
      <w:pPr>
        <w:pStyle w:val="TOC2"/>
      </w:pPr>
      <w:hyperlink w:anchor="_Toc236230037">
        <w:r>
          <w:rPr>
            <w:rStyle w:val="Hyperlink"/>
            <w:rFonts w:ascii="Calibri" w:hAnsi="Calibri"/>
            <w:color w:val="212121"/>
            <w:sz w:val="20"/>
          </w:rPr>
          <w:t xml:space="preserve">Annex 12-I RACI Matrix</w:t>
        </w:r>
        <w:r>
          <w:tab/>
        </w:r>
        <w:fldSimple w:instr=" PAGEREF _Toc236230037 \h ">
          <w:r>
            <w:t>94</w:t>
          </w:r>
        </w:fldSimple>
      </w:hyperlink>
    </w:p>
    <w:p>
      <w:pPr>
        <w:pStyle w:val="TOC1"/>
      </w:pPr>
      <w:hyperlink w:anchor="_Toc236230038">
        <w:r>
          <w:rPr>
            <w:rStyle w:val="Hyperlink"/>
            <w:rFonts w:ascii="Calibri" w:hAnsi="Calibri"/>
            <w:b/>
            <w:color w:val="37474F"/>
            <w:sz w:val="21"/>
          </w:rPr>
          <w:t xml:space="preserve">Annex 13: Pre-Adoption Legal and Technical Review</w:t>
        </w:r>
        <w:r>
          <w:tab/>
        </w:r>
        <w:fldSimple w:instr=" PAGEREF _Toc236230038 \h ">
          <w:r>
            <w:t>94</w:t>
          </w:r>
        </w:fldSimple>
      </w:hyperlink>
    </w:p>
    <w:p>
      <w:pPr>
        <w:pStyle w:val="TOC2"/>
      </w:pPr>
      <w:hyperlink w:anchor="_Toc236230039">
        <w:r>
          <w:rPr>
            <w:rStyle w:val="Hyperlink"/>
            <w:rFonts w:ascii="Calibri" w:hAnsi="Calibri"/>
            <w:color w:val="212121"/>
            <w:sz w:val="20"/>
          </w:rPr>
          <w:t xml:space="preserve">Annex 13-A Final Legal and Technical Checks</w:t>
        </w:r>
        <w:r>
          <w:tab/>
        </w:r>
        <w:fldSimple w:instr=" PAGEREF _Toc236230039 \h ">
          <w:r>
            <w:t>94</w:t>
          </w:r>
        </w:fldSimple>
      </w:hyperlink>
    </w:p>
    <w:p>
      <w:pPr>
        <w:pStyle w:val="TOC2"/>
      </w:pPr>
      <w:hyperlink w:anchor="_Toc236230040">
        <w:r>
          <w:rPr>
            <w:rStyle w:val="Hyperlink"/>
            <w:rFonts w:ascii="Calibri" w:hAnsi="Calibri"/>
            <w:color w:val="212121"/>
            <w:sz w:val="20"/>
          </w:rPr>
          <w:t xml:space="preserve">Annex 13-B Spanish-Text and VCLT Article 33 Divergence Review Record</w:t>
        </w:r>
        <w:r>
          <w:tab/>
        </w:r>
        <w:fldSimple w:instr=" PAGEREF _Toc236230040 \h ">
          <w:r>
            <w:t>96</w:t>
          </w:r>
        </w:fldSimple>
      </w:hyperlink>
    </w:p>
    <w:p>
      <w:pPr>
        <w:pStyle w:val="TOC1"/>
      </w:pPr>
      <w:hyperlink w:anchor="_Toc236230041">
        <w:r>
          <w:rPr>
            <w:rStyle w:val="Hyperlink"/>
            <w:rFonts w:ascii="Calibri" w:hAnsi="Calibri"/>
            <w:b/>
            <w:color w:val="37474F"/>
            <w:sz w:val="21"/>
          </w:rPr>
          <w:t xml:space="preserve">Annex 14: Model Forms and Certificates</w:t>
        </w:r>
        <w:r>
          <w:tab/>
        </w:r>
        <w:fldSimple w:instr=" PAGEREF _Toc236230041 \h ">
          <w:r>
            <w:t>97</w:t>
          </w:r>
        </w:fldSimple>
      </w:hyperlink>
    </w:p>
    <w:p>
      <w:pPr>
        <w:pStyle w:val="TOC2"/>
      </w:pPr>
      <w:hyperlink w:anchor="_Toc236230042">
        <w:r>
          <w:rPr>
            <w:rStyle w:val="Hyperlink"/>
            <w:rFonts w:ascii="Calibri" w:hAnsi="Calibri"/>
            <w:color w:val="212121"/>
            <w:sz w:val="20"/>
          </w:rPr>
          <w:t xml:space="preserve">Annex 14-A Form 1 Elimination Certificate</w:t>
        </w:r>
        <w:r>
          <w:tab/>
        </w:r>
        <w:fldSimple w:instr=" PAGEREF _Toc236230042 \h ">
          <w:r>
            <w:t>97</w:t>
          </w:r>
        </w:fldSimple>
      </w:hyperlink>
    </w:p>
    <w:p>
      <w:pPr>
        <w:pStyle w:val="TOC2"/>
      </w:pPr>
      <w:hyperlink w:anchor="_Toc236230043">
        <w:r>
          <w:rPr>
            <w:rStyle w:val="Hyperlink"/>
            <w:rFonts w:ascii="Calibri" w:hAnsi="Calibri"/>
            <w:color w:val="212121"/>
            <w:sz w:val="20"/>
          </w:rPr>
          <w:t xml:space="preserve">Annex 14-B Form 2 No-Duplication and Firewall Memo</w:t>
        </w:r>
        <w:r>
          <w:tab/>
        </w:r>
        <w:fldSimple w:instr=" PAGEREF _Toc236230043 \h ">
          <w:r>
            <w:t>97</w:t>
          </w:r>
        </w:fldSimple>
      </w:hyperlink>
    </w:p>
    <w:p>
      <w:pPr>
        <w:pStyle w:val="TOC2"/>
      </w:pPr>
      <w:hyperlink w:anchor="_Toc236230044">
        <w:r>
          <w:rPr>
            <w:rStyle w:val="Hyperlink"/>
            <w:rFonts w:ascii="Calibri" w:hAnsi="Calibri"/>
            <w:color w:val="212121"/>
            <w:sz w:val="20"/>
          </w:rPr>
          <w:t xml:space="preserve">Annex 14-C Form 3 Consultation Request and Closing Record</w:t>
        </w:r>
        <w:r>
          <w:tab/>
        </w:r>
        <w:fldSimple w:instr=" PAGEREF _Toc236230044 \h ">
          <w:r>
            <w:t>97</w:t>
          </w:r>
        </w:fldSimple>
      </w:hyperlink>
    </w:p>
    <w:p>
      <w:pPr>
        <w:pStyle w:val="TOC2"/>
      </w:pPr>
      <w:hyperlink w:anchor="_Toc236230045">
        <w:r>
          <w:rPr>
            <w:rStyle w:val="Hyperlink"/>
            <w:rFonts w:ascii="Calibri" w:hAnsi="Calibri"/>
            <w:color w:val="212121"/>
            <w:sz w:val="20"/>
          </w:rPr>
          <w:t xml:space="preserve">Annex 14-D Form 4 Security Coordination Charter</w:t>
        </w:r>
        <w:r>
          <w:tab/>
        </w:r>
        <w:fldSimple w:instr=" PAGEREF _Toc236230045 \h ">
          <w:r>
            <w:t>98</w:t>
          </w:r>
        </w:fldSimple>
      </w:hyperlink>
    </w:p>
    <w:p>
      <w:pPr>
        <w:pStyle w:val="TOC2"/>
      </w:pPr>
      <w:hyperlink w:anchor="_Toc236230046">
        <w:r>
          <w:rPr>
            <w:rStyle w:val="Hyperlink"/>
            <w:rFonts w:ascii="Calibri" w:hAnsi="Calibri"/>
            <w:color w:val="212121"/>
            <w:sz w:val="20"/>
          </w:rPr>
          <w:t xml:space="preserve">Annex 14-E Form 5 Wind-Down and Survival Certificate</w:t>
        </w:r>
        <w:r>
          <w:tab/>
        </w:r>
        <w:fldSimple w:instr=" PAGEREF _Toc236230046 \h ">
          <w:r>
            <w:t>98</w:t>
          </w:r>
        </w:fldSimple>
      </w:hyperlink>
    </w:p>
    <w:p>
      <w:r>
        <w:fldChar w:fldCharType="end"/>
      </w:r>
    </w:p>
    <w:p w14:paraId="6FC74670">
      <w:pPr>
        <w:pStyle w:val="Heading1"/>
        <w:keepNext/>
        <w:pageBreakBefore/>
        <w:spacing w:after="115" w:before="330"/>
      </w:pPr>
      <w:bookmarkStart w:id="900" w:name="_Toc236229900"/>
      <w:bookmarkStart w:name="h702" w:id="702"/>
      <w:r>
        <w:rPr>
          <w:rFonts w:ascii="Times New Roman" w:cs="Times New Roman" w:eastAsia="SimSun" w:hAnsi="Times New Roman"/>
          <w:b/>
          <w:bCs/>
          <w:color w:val="263238"/>
          <w:sz w:val="29"/>
          <w:szCs w:val="29"/>
        </w:rPr>
        <w:t xml:space="preserve">Preamble</w:t>
      </w:r>
      <w:bookmarkEnd w:id="702"/>
      <w:bookmarkEnd w:id="900"/>
    </w:p>
    <w:p w14:paraId="4D5B9B50">
      <w:pPr>
        <w:spacing w:after="95" w:line="252"/>
      </w:pPr>
      <w:r>
        <w:rPr>
          <w:rFonts w:ascii="Times New Roman" w:cs="Times New Roman" w:eastAsia="SimSun" w:hAnsi="Times New Roman"/>
          <w:sz w:val="21"/>
          <w:szCs w:val="21"/>
        </w:rPr>
        <w:t xml:space="preserve">The United States of America and the United Mexican States, hereinafter the Parties,</w:t>
      </w:r>
    </w:p>
    <w:p w14:paraId="48F53258">
      <w:pPr>
        <w:spacing w:after="95" w:line="252"/>
      </w:pPr>
      <w:r>
        <w:rPr>
          <w:rFonts w:ascii="Times New Roman" w:cs="Times New Roman" w:eastAsia="SimSun" w:hAnsi="Times New Roman"/>
          <w:sz w:val="21"/>
          <w:szCs w:val="21"/>
        </w:rPr>
        <w:t xml:space="preserve">Recalling the deep economic partnership between the United States and Mexico and the integrated border region through which goods, services, data, energy, and people move every day,</w:t>
      </w:r>
    </w:p>
    <w:p w14:paraId="36F1CBAA">
      <w:pPr>
        <w:spacing w:after="95" w:line="252"/>
      </w:pPr>
      <w:r>
        <w:rPr>
          <w:rFonts w:ascii="Times New Roman" w:cs="Times New Roman" w:eastAsia="SimSun" w:hAnsi="Times New Roman"/>
          <w:sz w:val="21"/>
          <w:szCs w:val="21"/>
        </w:rPr>
        <w:t xml:space="preserve">Recognizing that North American production depends on predictable rules for origin, customs, labor, environment, agriculture, energy, digital commerce, and dispute settlement,</w:t>
      </w:r>
    </w:p>
    <w:p w14:paraId="2B21C4E4">
      <w:pPr>
        <w:spacing w:after="95" w:line="252"/>
      </w:pPr>
      <w:r>
        <w:rPr>
          <w:rFonts w:ascii="Times New Roman" w:cs="Times New Roman" w:eastAsia="SimSun" w:hAnsi="Times New Roman"/>
          <w:sz w:val="21"/>
          <w:szCs w:val="21"/>
        </w:rPr>
        <w:t xml:space="preserve">Affirming the shared commitment to the United States Mexico Canada Agreement, known as USMCA in the United States and T-MEC in Mexico, and to transparent and enforceable trade disciplines,</w:t>
      </w:r>
    </w:p>
    <w:p w14:paraId="38B3D8F2">
      <w:pPr>
        <w:spacing w:after="95" w:line="252"/>
      </w:pPr>
      <w:r>
        <w:rPr>
          <w:rFonts w:ascii="Times New Roman" w:cs="Times New Roman" w:eastAsia="SimSun" w:hAnsi="Times New Roman"/>
          <w:sz w:val="21"/>
          <w:szCs w:val="21"/>
        </w:rPr>
        <w:t xml:space="preserve">Acknowledging that emergency or reciprocal tariff measures and related disputes have created uncertainty for producers, workers, consumers, logistics providers, and investors,</w:t>
      </w:r>
    </w:p>
    <w:p w14:paraId="7C9CC556">
      <w:pPr>
        <w:spacing w:after="95" w:line="252"/>
      </w:pPr>
      <w:r>
        <w:rPr>
          <w:rFonts w:ascii="Times New Roman" w:cs="Times New Roman" w:eastAsia="SimSun" w:hAnsi="Times New Roman"/>
          <w:sz w:val="21"/>
          <w:szCs w:val="21"/>
        </w:rPr>
        <w:t>Determining that the stabilizing objective is permanent elimination of covered emergency tariffs during and after the Interim Period, rather than temporary suspension, while preserving lawful trade-remedy and security processes that cannot be used as disguised substitutes,</w:t>
      </w:r>
    </w:p>
    <w:p w14:paraId="3D29A020">
      <w:pPr>
        <w:spacing w:after="95" w:line="252"/>
      </w:pPr>
      <w:r>
        <w:rPr>
          <w:rFonts w:ascii="Times New Roman" w:cs="Times New Roman" w:eastAsia="SimSun" w:hAnsi="Times New Roman"/>
          <w:sz w:val="21"/>
          <w:szCs w:val="21"/>
        </w:rPr>
        <w:t xml:space="preserve">Recognizing that border security cooperation against illicit drugs, firearms, and organized crime is politically central to the bilateral relationship, while also recognizing that trade stabilization must not mutate into a border security treaty and that security performance is not an automatic condition for trade benefits,</w:t>
      </w:r>
    </w:p>
    <w:p w14:paraId="4E9DC9C0">
      <w:pPr>
        <w:spacing w:after="95" w:line="252"/>
      </w:pPr>
      <w:r>
        <w:rPr>
          <w:rFonts w:ascii="Times New Roman" w:cs="Times New Roman" w:eastAsia="SimSun" w:hAnsi="Times New Roman"/>
          <w:sz w:val="21"/>
          <w:szCs w:val="21"/>
        </w:rPr>
        <w:t xml:space="preserve">Reaffirming high-standard labor protections, environmental stewardship, food security, energy sovereignty, critical minerals cooperation, and inclusive economic growth,</w:t>
      </w:r>
    </w:p>
    <w:p w14:paraId="7300201C">
      <w:pPr>
        <w:spacing w:after="95" w:line="252"/>
      </w:pPr>
      <w:r>
        <w:rPr>
          <w:rFonts w:ascii="Times New Roman" w:cs="Times New Roman" w:eastAsia="SimSun" w:hAnsi="Times New Roman"/>
          <w:sz w:val="21"/>
          <w:szCs w:val="21"/>
        </w:rPr>
        <w:t>Accordingly, the following Agreement is set out for consideration through the Parties’ respective internal procedures:</w:t>
      </w:r>
    </w:p>
    <w:p w14:paraId="6CCC4D74">
      <w:pPr>
        <w:pStyle w:val="Heading1"/>
        <w:keepNext/>
        <w:pageBreakBefore/>
        <w:spacing w:after="115" w:before="330"/>
      </w:pPr>
      <w:bookmarkStart w:id="901" w:name="_Toc236229901"/>
      <w:bookmarkStart w:name="h703" w:id="703"/>
      <w:r>
        <w:rPr>
          <w:rFonts w:ascii="Times New Roman" w:cs="Times New Roman" w:eastAsia="SimSun" w:hAnsi="Times New Roman"/>
          <w:b/>
          <w:bCs/>
          <w:color w:val="263238"/>
          <w:sz w:val="29"/>
          <w:szCs w:val="29"/>
        </w:rPr>
        <w:t xml:space="preserve">Part One: Initial Provisions, Definitions, and Status Controls</w:t>
      </w:r>
      <w:bookmarkEnd w:id="703"/>
      <w:bookmarkEnd w:id="901"/>
    </w:p>
    <w:p w14:paraId="11D58A1E">
      <w:pPr>
        <w:pStyle w:val="Heading2"/>
        <w:keepNext/>
        <w:spacing w:after="115" w:before="190"/>
      </w:pPr>
      <w:bookmarkStart w:id="902" w:name="_Toc236229902"/>
      <w:bookmarkStart w:name="h704" w:id="704"/>
      <w:r>
        <w:rPr>
          <w:rFonts w:ascii="Times New Roman" w:cs="Times New Roman" w:eastAsia="SimSun" w:hAnsi="Times New Roman"/>
          <w:b/>
          <w:bCs/>
          <w:color w:val="263238"/>
          <w:sz w:val="25"/>
          <w:szCs w:val="25"/>
        </w:rPr>
        <w:t xml:space="preserve">Article 1.1 Establishment and Purpose</w:t>
      </w:r>
      <w:bookmarkEnd w:id="704"/>
      <w:bookmarkEnd w:id="902"/>
    </w:p>
    <w:p w14:paraId="5CA479BE">
      <w:pPr>
        <w:spacing w:after="95" w:line="252"/>
      </w:pPr>
      <w:r>
        <w:rPr>
          <w:rFonts w:ascii="Times New Roman" w:cs="Times New Roman" w:eastAsia="SimSun" w:hAnsi="Times New Roman"/>
          <w:sz w:val="21"/>
          <w:szCs w:val="21"/>
        </w:rPr>
        <w:t xml:space="preserve">1.1.1. This Agreement establishes an interim framework for elimination of covered emergency tariffs, restoration of predictable trade conditions, capped stabilization management, and sectoral modernization between the United States and Mexico.</w:t>
      </w:r>
    </w:p>
    <w:p w14:paraId="43E696F8">
      <w:pPr>
        <w:spacing w:after="95" w:line="252"/>
      </w:pPr>
      <w:r>
        <w:rPr>
          <w:rFonts w:ascii="Times New Roman" w:cs="Times New Roman" w:eastAsia="SimSun" w:hAnsi="Times New Roman"/>
          <w:sz w:val="21"/>
          <w:szCs w:val="21"/>
        </w:rPr>
        <w:t xml:space="preserve">1.1.2. This Agreement is a bridge instrument. It is designed to make specified tariff elimination durable, to complete time-limited implementation work, and to hand off mature outputs to a comprehensive USMCA and T-MEC process or another written instrument adopted through internal procedures.</w:t>
      </w:r>
    </w:p>
    <w:p w14:paraId="43E8CD64">
      <w:pPr>
        <w:spacing w:after="95" w:line="252"/>
      </w:pPr>
      <w:r>
        <w:rPr>
          <w:rFonts w:ascii="Times New Roman" w:cs="Times New Roman" w:eastAsia="SimSun" w:hAnsi="Times New Roman"/>
          <w:sz w:val="21"/>
          <w:szCs w:val="21"/>
        </w:rPr>
        <w:t xml:space="preserve">1.1.3. This Agreement does not itself approve a comprehensive modernization, amend the USMCA or T-MEC, change domestic law, resolve a pending dispute, or record consent by Canada to any trilateral outcome.</w:t>
      </w:r>
    </w:p>
    <w:p w14:paraId="6E209730">
      <w:pPr>
        <w:pStyle w:val="Heading2"/>
        <w:keepNext/>
        <w:spacing w:after="115" w:before="190"/>
      </w:pPr>
      <w:bookmarkStart w:id="903" w:name="_Toc236229903"/>
      <w:bookmarkStart w:name="h705" w:id="705"/>
      <w:r>
        <w:rPr>
          <w:rFonts w:ascii="Times New Roman" w:cs="Times New Roman" w:eastAsia="SimSun" w:hAnsi="Times New Roman"/>
          <w:b/>
          <w:bCs/>
          <w:color w:val="263238"/>
          <w:sz w:val="25"/>
          <w:szCs w:val="25"/>
        </w:rPr>
        <w:t xml:space="preserve">Article 1.2 Relationship to the USMCA and T-MEC</w:t>
      </w:r>
      <w:bookmarkEnd w:id="705"/>
      <w:bookmarkEnd w:id="903"/>
    </w:p>
    <w:p w14:paraId="61FBF2DC">
      <w:pPr>
        <w:spacing w:after="95" w:line="252"/>
      </w:pPr>
      <w:r>
        <w:rPr>
          <w:rFonts w:ascii="Times New Roman" w:cs="Times New Roman" w:eastAsia="SimSun" w:hAnsi="Times New Roman"/>
          <w:sz w:val="21"/>
          <w:szCs w:val="21"/>
        </w:rPr>
        <w:t xml:space="preserve">1.2.1. This Agreement supplements and is interpreted in accordance with the USMCA and T-MEC, including Chapter 31 and Chapter 31-A.</w:t>
      </w:r>
    </w:p>
    <w:p w14:paraId="4DB9DEA4">
      <w:pPr>
        <w:spacing w:after="95" w:line="252"/>
      </w:pPr>
      <w:r>
        <w:rPr>
          <w:rFonts w:ascii="Times New Roman" w:cs="Times New Roman" w:eastAsia="SimSun" w:hAnsi="Times New Roman"/>
          <w:sz w:val="21"/>
          <w:szCs w:val="21"/>
        </w:rPr>
        <w:t xml:space="preserve">1.2.2. Nothing in this Agreement amends or supersedes the USMCA or T-MEC except as expressly provided in a provision that identifies the affected provision and states the precise interim modification.</w:t>
      </w:r>
    </w:p>
    <w:p w14:paraId="6BB2F4A8">
      <w:pPr>
        <w:spacing w:after="95" w:line="252"/>
      </w:pPr>
      <w:r>
        <w:rPr>
          <w:rFonts w:ascii="Times New Roman" w:cs="Times New Roman" w:eastAsia="SimSun" w:hAnsi="Times New Roman"/>
          <w:sz w:val="21"/>
          <w:szCs w:val="21"/>
        </w:rPr>
        <w:t xml:space="preserve">1.2.3. If a conflict arises, the USMCA or T-MEC prevails unless this Agreement states a permitted, temporary, and specific derogation or the Parties later adopt a valid written instrument through internal procedures.</w:t>
      </w:r>
    </w:p>
    <w:p w14:paraId="460CA3EC">
      <w:pPr>
        <w:spacing w:after="95" w:line="252"/>
      </w:pPr>
      <w:r>
        <w:t>1.2.4. The Parties record that the first USMCA/T-MEC joint review under Article 34.7 was held on July 1, 2026; that the United States did not agree to renew the Agreement in its current form; that Mexico and Canada confirmed support for extension; and that, accordingly, the annual joint-review process under Article 34.7.4 is in progress, with the USMCA/T-MEC remaining fully in force. This record is based on the official USTR statement of July 1, 2026, registered as Annex 10-A entry 10A-002, and is context only: it does not make this draft a joint-review outcome or an agreed negotiating position.</w:t>
      </w:r>
    </w:p>
    <w:p w14:paraId="2CA748A4">
      <w:pPr>
        <w:pStyle w:val="Heading2"/>
        <w:keepNext/>
        <w:spacing w:after="115" w:before="190"/>
      </w:pPr>
      <w:bookmarkStart w:id="904" w:name="_Toc236229904"/>
      <w:bookmarkStart w:name="h706" w:id="706"/>
      <w:r>
        <w:rPr>
          <w:rFonts w:ascii="Times New Roman" w:cs="Times New Roman" w:eastAsia="SimSun" w:hAnsi="Times New Roman"/>
          <w:b/>
          <w:bCs/>
          <w:color w:val="263238"/>
          <w:sz w:val="25"/>
          <w:szCs w:val="25"/>
        </w:rPr>
        <w:t xml:space="preserve">Article 1.3 Scope</w:t>
      </w:r>
      <w:bookmarkEnd w:id="706"/>
      <w:bookmarkEnd w:id="904"/>
    </w:p>
    <w:p w14:paraId="7276558E">
      <w:pPr>
        <w:spacing w:after="95" w:line="252"/>
      </w:pPr>
      <w:r>
        <w:t>1.3.1. This Agreement applies to trade in goods, customs administration, rules of origin, tariff elimination and refund administration, sectoral cooperation concerning automotive, industrial inputs, agriculture, labor, environment, energy and critical minerals, dispute settlement modernization, and narrowly bounded border-security cooperation. It does not create operative services, digital-trade, or investment obligations; any such obligation requires a later written instrument adopted through required internal procedures.</w:t>
      </w:r>
    </w:p>
    <w:p w14:paraId="3D267F28">
      <w:pPr>
        <w:spacing w:after="95" w:line="252"/>
      </w:pPr>
      <w:r>
        <w:rPr>
          <w:rFonts w:ascii="Times New Roman" w:cs="Times New Roman" w:eastAsia="SimSun" w:hAnsi="Times New Roman"/>
          <w:sz w:val="21"/>
          <w:szCs w:val="21"/>
        </w:rPr>
        <w:t xml:space="preserve">1.3.2. This Agreement does not regulate immigration status, criminal jurisdiction, extradition, intelligence sources and methods except as expressly provided in the security firewall, or domestic fiscal policy except as expressly provided for border charges.</w:t>
      </w:r>
    </w:p>
    <w:p w14:paraId="5D31563E">
      <w:pPr>
        <w:spacing w:after="95" w:line="252"/>
      </w:pPr>
      <w:r>
        <w:rPr>
          <w:rFonts w:ascii="Times New Roman" w:cs="Times New Roman" w:eastAsia="SimSun" w:hAnsi="Times New Roman"/>
          <w:sz w:val="21"/>
          <w:szCs w:val="21"/>
        </w:rPr>
        <w:t xml:space="preserve">1.3.3. Obligations apply to central level authorities and to subcentral measures that a Party is required to discipline under the USMCA or T-MEC. A Party shall encourage alignment by subcentral authorities and regulated entities within its legal authority.</w:t>
      </w:r>
    </w:p>
    <w:p w14:paraId="5B1A949C">
      <w:pPr>
        <w:pStyle w:val="Heading2"/>
        <w:keepNext/>
        <w:spacing w:after="115" w:before="190"/>
      </w:pPr>
      <w:bookmarkStart w:id="905" w:name="_Toc236229905"/>
      <w:bookmarkStart w:name="h707" w:id="707"/>
      <w:r>
        <w:rPr>
          <w:rFonts w:ascii="Times New Roman" w:cs="Times New Roman" w:eastAsia="SimSun" w:hAnsi="Times New Roman"/>
          <w:b/>
          <w:bCs/>
          <w:color w:val="263238"/>
          <w:sz w:val="25"/>
          <w:szCs w:val="25"/>
        </w:rPr>
        <w:t xml:space="preserve">Article 1.4 Definitions</w:t>
      </w:r>
      <w:bookmarkEnd w:id="707"/>
      <w:bookmarkEnd w:id="905"/>
    </w:p>
    <w:p w14:paraId="31BFA6C6">
      <w:pPr>
        <w:spacing w:after="95" w:line="252"/>
      </w:pPr>
      <w:r>
        <w:rPr>
          <w:rFonts w:ascii="Times New Roman" w:cs="Times New Roman" w:eastAsia="SimSun" w:hAnsi="Times New Roman"/>
          <w:sz w:val="21"/>
          <w:szCs w:val="21"/>
        </w:rPr>
        <w:t xml:space="preserve">For purposes of this Agreement:</w:t>
      </w:r>
    </w:p>
    <w:p w14:paraId="738BF6C6">
      <w:pPr>
        <w:spacing w:after="95" w:line="252"/>
        <w:ind w:left="360"/>
      </w:pPr>
      <w:r>
        <w:rPr>
          <w:rFonts w:ascii="Times New Roman" w:cs="Times New Roman" w:eastAsia="SimSun" w:hAnsi="Times New Roman"/>
          <w:sz w:val="21"/>
          <w:szCs w:val="21"/>
        </w:rPr>
        <w:t xml:space="preserve">(a) Agreement means this Interim Trade Elimination, Stabilization, and Modernization Agreement, including annexes, if and when concluded and brought into force.</w:t>
      </w:r>
    </w:p>
    <w:p w14:paraId="053D232C">
      <w:pPr>
        <w:spacing w:after="95" w:line="252"/>
        <w:ind w:left="360"/>
      </w:pPr>
      <w:r>
        <w:rPr>
          <w:rFonts w:ascii="Times New Roman" w:cs="Times New Roman" w:eastAsia="SimSun" w:hAnsi="Times New Roman"/>
          <w:sz w:val="21"/>
          <w:szCs w:val="21"/>
        </w:rPr>
        <w:t xml:space="preserve">(b) Bilateral security coordination body means any operational coordination mechanism that the Parties designate in writing for Annex 4H-1. The term does not assert that any particular body exists, was established on a particular date, or has legal authority beyond its enabling instruments.</w:t>
      </w:r>
    </w:p>
    <w:p w14:paraId="5A296522">
      <w:pPr>
        <w:spacing w:after="95" w:line="252"/>
        <w:ind w:left="360"/>
      </w:pPr>
      <w:r>
        <w:rPr>
          <w:rFonts w:ascii="Times New Roman" w:cs="Times New Roman" w:eastAsia="SimSun" w:hAnsi="Times New Roman"/>
          <w:sz w:val="21"/>
          <w:szCs w:val="21"/>
        </w:rPr>
        <w:t xml:space="preserve">(c) Commission means the USMCA and T-MEC Free Trade Commission.</w:t>
      </w:r>
    </w:p>
    <w:p w14:paraId="2A50A1DC">
      <w:pPr>
        <w:spacing w:after="95" w:line="252"/>
        <w:ind w:left="360"/>
      </w:pPr>
      <w:r>
        <w:rPr>
          <w:rFonts w:ascii="Times New Roman" w:cs="Times New Roman" w:eastAsia="SimSun" w:hAnsi="Times New Roman"/>
          <w:sz w:val="21"/>
          <w:szCs w:val="21"/>
        </w:rPr>
        <w:t xml:space="preserve">(d) Covered Emergency Tariff Measure means a tariff, tariff-rate quota, surcharge, deposit, bond, fee, or other border measure identified or incorporated under Annex 2-A or Annex 2-B as eliminated.</w:t>
      </w:r>
    </w:p>
    <w:p w14:paraId="322E8BE4">
      <w:pPr>
        <w:spacing w:after="95" w:line="252"/>
        <w:ind w:left="360"/>
      </w:pPr>
      <w:r>
        <w:rPr>
          <w:rFonts w:ascii="Times New Roman" w:cs="Times New Roman" w:eastAsia="SimSun" w:hAnsi="Times New Roman"/>
          <w:sz w:val="21"/>
          <w:szCs w:val="21"/>
        </w:rPr>
        <w:t xml:space="preserve">(e) Day means a calendar day unless a provision states business day.</w:t>
      </w:r>
    </w:p>
    <w:p w14:paraId="1656D6C2">
      <w:pPr>
        <w:spacing w:after="95" w:line="252"/>
        <w:ind w:left="360"/>
      </w:pPr>
      <w:r>
        <w:t>(f) Elimination Firewall includes, without limitation, the permanent disciplines in Articles 2.1, 2.3, 2.5, 2.8, 5.2, 7.9, 8.2.4, and 9.2 that prevent resurrection or disguised substitution of eliminated measures.</w:t>
      </w:r>
    </w:p>
    <w:p w14:paraId="19D5D576">
      <w:pPr>
        <w:spacing w:after="95" w:line="252"/>
        <w:ind w:left="360"/>
      </w:pPr>
      <w:r>
        <w:rPr>
          <w:rFonts w:ascii="Times New Roman" w:cs="Times New Roman" w:eastAsia="SimSun" w:hAnsi="Times New Roman"/>
          <w:sz w:val="21"/>
          <w:szCs w:val="21"/>
        </w:rPr>
        <w:t xml:space="preserve">(g) Interim Period means the period from entry into force until termination, expiry after the capped extension, replacement, or completion of wind-down under Article 9.2.</w:t>
      </w:r>
    </w:p>
    <w:p w14:paraId="4E7A3166">
      <w:pPr>
        <w:spacing w:after="95" w:line="252"/>
        <w:ind w:left="360"/>
      </w:pPr>
      <w:r>
        <w:rPr>
          <w:rFonts w:ascii="Times New Roman" w:cs="Times New Roman" w:eastAsia="SimSun" w:hAnsi="Times New Roman"/>
          <w:sz w:val="21"/>
          <w:szCs w:val="21"/>
        </w:rPr>
        <w:t xml:space="preserve">(h) Originating Good has the meaning assigned under USMCA and T-MEC Chapter 4.</w:t>
      </w:r>
    </w:p>
    <w:p w14:paraId="41D4DAA2">
      <w:pPr>
        <w:spacing w:after="95" w:line="252"/>
        <w:ind w:left="360"/>
      </w:pPr>
      <w:r>
        <w:rPr>
          <w:rFonts w:ascii="Times New Roman" w:cs="Times New Roman" w:eastAsia="SimSun" w:hAnsi="Times New Roman"/>
          <w:sz w:val="21"/>
          <w:szCs w:val="21"/>
        </w:rPr>
        <w:t xml:space="preserve">(i) Panel means a dispute settlement panel established under Part Seven.</w:t>
      </w:r>
    </w:p>
    <w:p w14:paraId="7AD12F3C">
      <w:pPr>
        <w:spacing w:after="95" w:line="252"/>
        <w:ind w:left="360"/>
      </w:pPr>
      <w:r>
        <w:rPr>
          <w:rFonts w:ascii="Times New Roman" w:cs="Times New Roman" w:eastAsia="SimSun" w:hAnsi="Times New Roman"/>
          <w:sz w:val="21"/>
          <w:szCs w:val="21"/>
        </w:rPr>
        <w:t xml:space="preserve">(j) Parties means the United States of America and the United Mexican States. Party means either one of them.</w:t>
      </w:r>
    </w:p>
    <w:p w14:paraId="5FA78184">
      <w:pPr>
        <w:spacing w:after="95" w:line="252"/>
        <w:ind w:left="360"/>
      </w:pPr>
      <w:r>
        <w:rPr>
          <w:rFonts w:ascii="Times New Roman" w:cs="Times New Roman" w:eastAsia="SimSun" w:hAnsi="Times New Roman"/>
          <w:sz w:val="21"/>
          <w:szCs w:val="21"/>
        </w:rPr>
        <w:t xml:space="preserve">(k) Rapid Response Labor Mechanism or RRM means the mechanism under USMCA and T-MEC Chapter 31-A.</w:t>
      </w:r>
    </w:p>
    <w:p w14:paraId="702B2FCC">
      <w:pPr>
        <w:spacing w:after="95" w:line="252"/>
        <w:ind w:left="360"/>
      </w:pPr>
      <w:r>
        <w:rPr>
          <w:rFonts w:ascii="Times New Roman" w:cs="Times New Roman" w:eastAsia="SimSun" w:hAnsi="Times New Roman"/>
          <w:sz w:val="21"/>
          <w:szCs w:val="21"/>
        </w:rPr>
        <w:t xml:space="preserve">(l) Sectoral Working Group or Working Group means a group established under Part Four.</w:t>
      </w:r>
    </w:p>
    <w:p w14:paraId="0BAB795E">
      <w:pPr>
        <w:spacing w:after="95" w:line="252"/>
        <w:ind w:left="360"/>
      </w:pPr>
      <w:r>
        <w:rPr>
          <w:rFonts w:ascii="Times New Roman" w:cs="Times New Roman" w:eastAsia="SimSun" w:hAnsi="Times New Roman"/>
          <w:sz w:val="21"/>
          <w:szCs w:val="21"/>
        </w:rPr>
        <w:t xml:space="preserve">(m) Stabilization Period means the 90 day period in Article 3.1, including the single capped extension in Article 3.4 if exercised.</w:t>
      </w:r>
    </w:p>
    <w:p w14:paraId="3ED8A536">
      <w:pPr>
        <w:spacing w:after="95" w:line="252"/>
        <w:ind w:left="360"/>
      </w:pPr>
      <w:r>
        <w:rPr>
          <w:rFonts w:ascii="Times New Roman" w:cs="Times New Roman" w:eastAsia="SimSun" w:hAnsi="Times New Roman"/>
          <w:sz w:val="21"/>
          <w:szCs w:val="21"/>
        </w:rPr>
        <w:t xml:space="preserve">(n) Tariff means a customs duty or charge of any kind imposed on or in connection with importation or exportation, excluding a nondiscriminatory internal tax, ordinary customs processing fee, or lawful trade remedy duty that satisfies Annex 2-D.</w:t>
      </w:r>
    </w:p>
    <w:p w14:paraId="10478AE8">
      <w:pPr>
        <w:spacing w:after="95" w:line="252"/>
        <w:ind w:left="360"/>
      </w:pPr>
      <w:r>
        <w:rPr>
          <w:rFonts w:ascii="Times New Roman" w:cs="Times New Roman" w:eastAsia="SimSun" w:hAnsi="Times New Roman"/>
          <w:sz w:val="21"/>
          <w:szCs w:val="21"/>
        </w:rPr>
        <w:t xml:space="preserve">(o) Trade Remedy Measure means an antidumping duty, countervailing duty, or safeguard measure imposed after the process and showing required by domestic law and applicable international obligations.</w:t>
      </w:r>
    </w:p>
    <w:p w14:paraId="0EECBE5E">
      <w:r>
        <w:t>(p) Business day means a day other than Saturday, Sunday, or a public holiday observed by the Party required to act. When both Parties must act, a day that is a public holiday in either Party is not a business day.</w:t>
      </w:r>
    </w:p>
    <w:p w14:paraId="55FA7512">
      <w:r>
        <w:t>(q) Joint Committee means the body established under Article 6.1.</w:t>
      </w:r>
    </w:p>
    <w:p w14:paraId="5F26BC54">
      <w:r>
        <w:t>(r) Harmonized System or HS means the Harmonized Commodity Description and Coding System; HTSUS means the Harmonized Tariff Schedule of the United States; TIGIE means Mexico’s Tarifa de la Ley de los Impuestos Generales de Importación y de Exportación, including applicable NICO identifiers.</w:t>
      </w:r>
    </w:p>
    <w:p w14:paraId="379A5F9A">
      <w:r>
        <w:t>(s) Transit entry means goods exported before the elimination effective time for which entry, summary, pedimento, or equivalent customs declaration is filed after that time, under the treatment stated in the applicable annex.</w:t>
      </w:r>
    </w:p>
    <w:p w14:paraId="6B4A60D6">
      <w:r>
        <w:t>(t) Substantially duplicate means a measure whose duty-equivalent burden is at least 50 percent of the eliminated measure’s burden for materially overlapping product scope, or at least USD 250,000 annually, together with overlap in predicate, collection point, formula, or design; the quantitative screen is a presumption trigger, not an automatic breach finding.</w:t>
      </w:r>
    </w:p>
    <w:p w14:paraId="7C78EE4C">
      <w:pPr>
        <w:pStyle w:val="Heading2"/>
        <w:keepNext/>
        <w:spacing w:after="115" w:before="190"/>
      </w:pPr>
      <w:bookmarkStart w:id="906" w:name="_Toc236229906"/>
      <w:bookmarkStart w:name="h708" w:id="708"/>
      <w:r>
        <w:rPr>
          <w:rFonts w:ascii="Times New Roman" w:cs="Times New Roman" w:eastAsia="SimSun" w:hAnsi="Times New Roman"/>
          <w:b/>
          <w:bCs/>
          <w:color w:val="263238"/>
          <w:sz w:val="25"/>
          <w:szCs w:val="25"/>
        </w:rPr>
        <w:t xml:space="preserve">Article 1.5 Interpretation and Evidence Discipline</w:t>
      </w:r>
      <w:bookmarkEnd w:id="708"/>
      <w:bookmarkEnd w:id="906"/>
    </w:p>
    <w:p w14:paraId="36D52E16">
      <w:pPr>
        <w:spacing w:after="95" w:line="252"/>
      </w:pPr>
      <w:r>
        <w:rPr>
          <w:rFonts w:ascii="Times New Roman" w:cs="Times New Roman" w:eastAsia="SimSun" w:hAnsi="Times New Roman"/>
          <w:sz w:val="21"/>
          <w:szCs w:val="21"/>
        </w:rPr>
        <w:t xml:space="preserve">1.5.1. Headings are for convenience and do not affect interpretation.</w:t>
      </w:r>
    </w:p>
    <w:p w14:paraId="3934C50E">
      <w:pPr>
        <w:spacing w:after="95" w:line="252"/>
      </w:pPr>
      <w:r>
        <w:rPr>
          <w:rFonts w:ascii="Times New Roman" w:cs="Times New Roman" w:eastAsia="SimSun" w:hAnsi="Times New Roman"/>
          <w:sz w:val="21"/>
          <w:szCs w:val="21"/>
        </w:rPr>
        <w:t xml:space="preserve">1.5.2. A factual statement is operative only if it is necessary to define an obligation and is supported by an adopted text, an incorporated list, or the verification register. Framework-derived context that is not verified is not an admission, finding, or trigger.</w:t>
      </w:r>
    </w:p>
    <w:p w14:paraId="3E78BBC0">
      <w:pPr>
        <w:spacing w:after="95" w:line="252"/>
      </w:pPr>
      <w:r>
        <w:rPr>
          <w:rFonts w:ascii="Times New Roman" w:cs="Times New Roman" w:eastAsia="SimSun" w:hAnsi="Times New Roman"/>
          <w:sz w:val="21"/>
          <w:szCs w:val="21"/>
        </w:rPr>
        <w:t xml:space="preserve">1.5.3. A reference to a legal instrument includes amendments and replacements only to the extent the reference does not expand an obligation beyond the measure identified in the annexes.</w:t>
      </w:r>
    </w:p>
    <w:p w14:paraId="0F5B36A8">
      <w:pPr>
        <w:spacing w:after="95" w:line="252"/>
      </w:pPr>
      <w:r>
        <w:rPr>
          <w:rFonts w:ascii="Times New Roman" w:cs="Times New Roman" w:eastAsia="SimSun" w:hAnsi="Times New Roman"/>
          <w:sz w:val="21"/>
          <w:szCs w:val="21"/>
        </w:rPr>
        <w:t xml:space="preserve">1.5.4. A reference to a number, percentage, date, count, or trend that is not needed for operation is omitted or bracketed by the verification register rather than used as a treaty recital.</w:t>
      </w:r>
    </w:p>
    <w:p w14:paraId="2CE6F132">
      <w:pPr>
        <w:pStyle w:val="Heading2"/>
        <w:keepNext/>
        <w:spacing w:after="115" w:before="190"/>
      </w:pPr>
      <w:bookmarkStart w:id="907" w:name="_Toc236229907"/>
      <w:bookmarkStart w:name="h709" w:id="709"/>
      <w:r>
        <w:rPr>
          <w:rFonts w:ascii="Times New Roman" w:cs="Times New Roman" w:eastAsia="SimSun" w:hAnsi="Times New Roman"/>
          <w:b/>
          <w:bCs/>
          <w:color w:val="263238"/>
          <w:sz w:val="25"/>
          <w:szCs w:val="25"/>
        </w:rPr>
        <w:t xml:space="preserve">Article 1.6 Non-Prejudice and No False Status</w:t>
      </w:r>
      <w:bookmarkEnd w:id="709"/>
      <w:bookmarkEnd w:id="907"/>
    </w:p>
    <w:p w14:paraId="7AC29064">
      <w:pPr>
        <w:spacing w:after="95" w:line="252"/>
      </w:pPr>
      <w:r>
        <w:rPr>
          <w:rFonts w:ascii="Times New Roman" w:cs="Times New Roman" w:eastAsia="SimSun" w:hAnsi="Times New Roman"/>
          <w:sz w:val="21"/>
          <w:szCs w:val="21"/>
        </w:rPr>
        <w:t xml:space="preserve">1.6.1. Drafting, circulation, discussion, publication, or stakeholder review of this text does not create rights or obligations and does not evidence consent to be bound.</w:t>
      </w:r>
    </w:p>
    <w:p w14:paraId="6D5A7AB8">
      <w:pPr>
        <w:spacing w:after="95" w:line="252"/>
      </w:pPr>
      <w:r>
        <w:rPr>
          <w:rFonts w:ascii="Times New Roman" w:cs="Times New Roman" w:eastAsia="SimSun" w:hAnsi="Times New Roman"/>
          <w:sz w:val="21"/>
          <w:szCs w:val="21"/>
        </w:rPr>
        <w:t xml:space="preserve">1.6.2. No recital, roadmap, deliverable, annex field, milestone, audit table, or verification register may be cited as an admission by a Party, proof of a violation, or proof of approval unless an authentic adopted text expressly so provides.</w:t>
      </w:r>
    </w:p>
    <w:p w14:paraId="5D1B06CE">
      <w:pPr>
        <w:spacing w:after="95" w:line="252"/>
      </w:pPr>
      <w:r>
        <w:rPr>
          <w:rFonts w:ascii="Times New Roman" w:cs="Times New Roman" w:eastAsia="SimSun" w:hAnsi="Times New Roman"/>
          <w:sz w:val="21"/>
          <w:szCs w:val="21"/>
        </w:rPr>
        <w:t xml:space="preserve">1.6.3. Each Party retains rights and defenses under domestic law, the USMCA and T-MEC, and general international law, subject only to obligations that become binding after entry into force.</w:t>
      </w:r>
    </w:p>
    <w:p w14:paraId="0CAEFE12">
      <w:pPr>
        <w:pStyle w:val="Heading2"/>
        <w:keepNext/>
        <w:spacing w:after="115" w:before="190"/>
      </w:pPr>
      <w:bookmarkStart w:id="908" w:name="_Toc236229908"/>
      <w:bookmarkStart w:name="h710" w:id="710"/>
      <w:r>
        <w:rPr>
          <w:rFonts w:ascii="Times New Roman" w:cs="Times New Roman" w:eastAsia="SimSun" w:hAnsi="Times New Roman"/>
          <w:b/>
          <w:bCs/>
          <w:color w:val="263238"/>
          <w:sz w:val="25"/>
          <w:szCs w:val="25"/>
        </w:rPr>
        <w:t xml:space="preserve">Article 1.7 Permanent and Temporary Outcomes</w:t>
      </w:r>
      <w:bookmarkEnd w:id="710"/>
      <w:bookmarkEnd w:id="908"/>
    </w:p>
    <w:p w14:paraId="5E59B894">
      <w:pPr>
        <w:spacing w:after="95" w:line="252"/>
      </w:pPr>
      <w:r>
        <w:rPr>
          <w:rFonts w:ascii="Times New Roman" w:cs="Times New Roman" w:eastAsia="SimSun" w:hAnsi="Times New Roman"/>
          <w:sz w:val="21"/>
          <w:szCs w:val="21"/>
        </w:rPr>
        <w:t xml:space="preserve">1.7.1. Permanent outcomes are tariff elimination for Covered Emergency Tariff Measures, the Elimination Firewall, completed administrative reforms expressly recorded as completed, accrued refund rights, confidentiality, records duties, and implementation of final dispute reports.</w:t>
      </w:r>
    </w:p>
    <w:p w14:paraId="5AFEF016">
      <w:pPr>
        <w:spacing w:after="95" w:line="252"/>
      </w:pPr>
      <w:r>
        <w:rPr>
          <w:rFonts w:ascii="Times New Roman" w:cs="Times New Roman" w:eastAsia="SimSun" w:hAnsi="Times New Roman"/>
          <w:sz w:val="21"/>
          <w:szCs w:val="21"/>
        </w:rPr>
        <w:t xml:space="preserve">1.7.2. Temporary outcomes are the Stabilization Period, progress reviews, reporting cycles, working group mandates, interim dashboards, and Joint Committee operations, except to the extent a later written instrument continues them.</w:t>
      </w:r>
    </w:p>
    <w:p w14:paraId="44B29C76">
      <w:pPr>
        <w:spacing w:after="95" w:line="252"/>
      </w:pPr>
      <w:r>
        <w:rPr>
          <w:rFonts w:ascii="Times New Roman" w:cs="Times New Roman" w:eastAsia="SimSun" w:hAnsi="Times New Roman"/>
          <w:sz w:val="21"/>
          <w:szCs w:val="21"/>
        </w:rPr>
        <w:t xml:space="preserve">1.7.3. A provision that creates a permanent outcome shall say so. A provision that is temporary shall identify its sunset or handoff.</w:t>
      </w:r>
    </w:p>
    <w:p w14:paraId="519C108C">
      <w:pPr>
        <w:pStyle w:val="Heading1"/>
        <w:keepNext/>
        <w:pageBreakBefore/>
        <w:spacing w:after="115" w:before="330"/>
      </w:pPr>
      <w:bookmarkStart w:id="909" w:name="_Toc236229909"/>
      <w:bookmarkStart w:name="h711" w:id="711"/>
      <w:r>
        <w:rPr>
          <w:rFonts w:ascii="Times New Roman" w:cs="Times New Roman" w:eastAsia="SimSun" w:hAnsi="Times New Roman"/>
          <w:b/>
          <w:bCs/>
          <w:color w:val="263238"/>
          <w:sz w:val="29"/>
          <w:szCs w:val="29"/>
        </w:rPr>
        <w:t xml:space="preserve">Part Two: Tariff Elimination and Trade Restoration</w:t>
      </w:r>
      <w:bookmarkEnd w:id="711"/>
      <w:bookmarkEnd w:id="909"/>
    </w:p>
    <w:p w14:paraId="74B8DB9A">
      <w:pPr>
        <w:pStyle w:val="Heading2"/>
        <w:keepNext/>
        <w:spacing w:after="115" w:before="190"/>
      </w:pPr>
      <w:bookmarkStart w:id="910" w:name="_Toc236229910"/>
      <w:bookmarkStart w:name="h712" w:id="712"/>
      <w:r>
        <w:rPr>
          <w:rFonts w:ascii="Times New Roman" w:cs="Times New Roman" w:eastAsia="SimSun" w:hAnsi="Times New Roman"/>
          <w:b/>
          <w:bCs/>
          <w:color w:val="263238"/>
          <w:sz w:val="25"/>
          <w:szCs w:val="25"/>
        </w:rPr>
        <w:t xml:space="preserve">Article 2.1 Elimination of Covered Emergency Tariff Measures</w:t>
      </w:r>
      <w:bookmarkEnd w:id="712"/>
      <w:bookmarkEnd w:id="910"/>
    </w:p>
    <w:p w14:paraId="66F727EC">
      <w:pPr>
        <w:spacing w:after="95" w:line="252"/>
      </w:pPr>
      <w:r>
        <w:rPr>
          <w:rFonts w:ascii="Times New Roman" w:cs="Times New Roman" w:eastAsia="SimSun" w:hAnsi="Times New Roman"/>
          <w:sz w:val="21"/>
          <w:szCs w:val="21"/>
        </w:rPr>
        <w:t xml:space="preserve">2.1.1. Subject to entry into force, each Party shall eliminate application of each Covered Emergency Tariff Measure imposed by that Party on goods originating in the other Party, or on goods classified for special treatment under the measure identified in the applicable annex.</w:t>
      </w:r>
    </w:p>
    <w:p w14:paraId="5B2EF602">
      <w:pPr>
        <w:spacing w:after="95" w:line="252"/>
      </w:pPr>
      <w:r>
        <w:t>2.1.2. Elimination is effective at a single designated time: 00:01 Coordinated Universal Time (UTC) on the first day after entry into force. Each customs administration shall publish the corresponding local time and system-cutover instruction. A documented systems delay may not permit collection of an eliminated charge and may not exceed five days after entry into force.</w:t>
      </w:r>
    </w:p>
    <w:p w14:paraId="333820E0">
      <w:pPr>
        <w:spacing w:after="95" w:line="252"/>
      </w:pPr>
      <w:r>
        <w:t>2.1.3. Elimination means the covered measure has no effect for the covered bilateral trade during and after the Interim Period, except for accrued liabilities, fraud, review rights, or a genuinely new measure adopted on a new legal and factual predicate through required domestic procedures. Any later instrument that modifies elimination or the Elimination Firewall must expressly identify itself as such a modification under Article 5.2.3 and may not operate retroactively.</w:t>
      </w:r>
    </w:p>
    <w:p w14:paraId="66067396">
      <w:pPr>
        <w:spacing w:after="95" w:line="252"/>
      </w:pPr>
      <w:r>
        <w:rPr>
          <w:rFonts w:ascii="Times New Roman" w:cs="Times New Roman" w:eastAsia="SimSun" w:hAnsi="Times New Roman"/>
          <w:sz w:val="21"/>
          <w:szCs w:val="21"/>
        </w:rPr>
        <w:t xml:space="preserve">2.1.4. Elimination does not by itself repeal domestic statutory authority. It creates an international and administrative non-application and non-revival discipline for the covered bilateral measures.</w:t>
      </w:r>
    </w:p>
    <w:p w14:paraId="4B38D6CC">
      <w:pPr>
        <w:pStyle w:val="Heading2"/>
        <w:keepNext/>
        <w:spacing w:after="115" w:before="190"/>
      </w:pPr>
      <w:bookmarkStart w:id="911" w:name="_Toc236229911"/>
      <w:bookmarkStart w:name="h713" w:id="713"/>
      <w:r>
        <w:rPr>
          <w:rFonts w:ascii="Times New Roman" w:cs="Times New Roman" w:eastAsia="SimSun" w:hAnsi="Times New Roman"/>
          <w:b/>
          <w:bCs/>
          <w:color w:val="263238"/>
          <w:sz w:val="25"/>
          <w:szCs w:val="25"/>
        </w:rPr>
        <w:t xml:space="preserve">Article 2.2 Covered Emergency Tariff Measures</w:t>
      </w:r>
      <w:bookmarkEnd w:id="713"/>
      <w:bookmarkEnd w:id="911"/>
    </w:p>
    <w:p w14:paraId="73E8071E">
      <w:pPr>
        <w:spacing w:after="95" w:line="252"/>
      </w:pPr>
      <w:r>
        <w:rPr>
          <w:rFonts w:ascii="Times New Roman" w:cs="Times New Roman" w:eastAsia="SimSun" w:hAnsi="Times New Roman"/>
          <w:sz w:val="21"/>
          <w:szCs w:val="21"/>
        </w:rPr>
        <w:t xml:space="preserve">2.2.1. Annex 2-A identifies, or incorporates by reference to a Party-published list, emergency tariff measures imposed by Mexico on goods originating in the United States that are eliminated.</w:t>
      </w:r>
    </w:p>
    <w:p w14:paraId="1B91163E">
      <w:pPr>
        <w:spacing w:after="95" w:line="252"/>
      </w:pPr>
      <w:r>
        <w:rPr>
          <w:rFonts w:ascii="Times New Roman" w:cs="Times New Roman" w:eastAsia="SimSun" w:hAnsi="Times New Roman"/>
          <w:sz w:val="21"/>
          <w:szCs w:val="21"/>
        </w:rPr>
        <w:t xml:space="preserve">2.2.2. Annex 2-B identifies, or incorporates by reference to a Party-published list, emergency tariff measures imposed by the United States on goods originating in Mexico that are eliminated.</w:t>
      </w:r>
    </w:p>
    <w:p w14:paraId="0C64691A">
      <w:pPr>
        <w:spacing w:after="95" w:line="252"/>
      </w:pPr>
      <w:r>
        <w:t>2.2.3. At the elimination effective time established under Article 2.1.2, each Party shall transmit to the other Party a machine-readable list containing, for each eliminated measure: legal authority, instrument number, product description, Harmonized System chapter, heading, subheading or statistical suffix where available, origin scope, duty or charge formula, effective date, elimination date, accrued-liability rule, refund rule, administering authority, and point of contact. Each Party shall publish that list within five days after entry into force. No eliminated charge may be collected during a documented publication gap, and Article 2.7.2 supplies the correction path. A clerical correction may be published afterward, but no correction may expand scope without the process required by this Agreement.</w:t>
      </w:r>
    </w:p>
    <w:p w14:paraId="5F821572">
      <w:pPr>
        <w:spacing w:after="95" w:line="252"/>
      </w:pPr>
      <w:r>
        <w:t>2.2.4. A measure may be listed only if it belongs to a precisely identified instrument family: (a) Section 232 automobiles or automobile parts; (b) Section 232 steel, aluminum, or derivatives; (c) IEEPA-based reciprocal or Mexico-specific emergency duties; or (d) a Mexican emergency, retaliatory, reciprocal, or extraordinary counterpart instrument identified in Annex 2-A. Ordinary MFN duties, USMCA/T-MEC preferences, admissibility requirements, and lawful trade-remedy duties are not eliminated by this Agreement.</w:t>
      </w:r>
    </w:p>
    <w:p w14:paraId="430BEFAA">
      <w:pPr>
        <w:spacing w:after="95" w:line="252"/>
      </w:pPr>
      <w:r>
        <w:t>2.2.5. If a published list conflicts with an annex, the Joint Committee shall resolve the conflict within ten days by written interpretation. A conflict resolution interprets the existing list only, may not expand product scope or create a new obligation, and is reviewable under Part Seven. Until resolution, the more specific product description controls for customs administration and the more favorable treatment controls for an importer that acted in good faith reliance on the published list.</w:t>
      </w:r>
    </w:p>
    <w:p w14:paraId="47D72B76">
      <w:pPr>
        <w:pStyle w:val="Heading2"/>
        <w:keepNext/>
        <w:spacing w:after="115" w:before="190"/>
      </w:pPr>
      <w:bookmarkStart w:id="912" w:name="_Toc236229912"/>
      <w:bookmarkStart w:name="h714" w:id="714"/>
      <w:r>
        <w:rPr>
          <w:rFonts w:ascii="Times New Roman" w:cs="Times New Roman" w:eastAsia="SimSun" w:hAnsi="Times New Roman"/>
          <w:b/>
          <w:bCs/>
          <w:color w:val="263238"/>
          <w:sz w:val="25"/>
          <w:szCs w:val="25"/>
        </w:rPr>
        <w:t xml:space="preserve">Article 2.3 Standstill and Elimination Firewall</w:t>
      </w:r>
      <w:bookmarkEnd w:id="714"/>
      <w:bookmarkEnd w:id="912"/>
    </w:p>
    <w:p w14:paraId="1C9311D6">
      <w:pPr>
        <w:spacing w:after="95" w:line="252"/>
      </w:pPr>
      <w:r>
        <w:rPr>
          <w:rFonts w:ascii="Times New Roman" w:cs="Times New Roman" w:eastAsia="SimSun" w:hAnsi="Times New Roman"/>
          <w:sz w:val="21"/>
          <w:szCs w:val="21"/>
        </w:rPr>
        <w:t xml:space="preserve">2.3.1. During and after the Stabilization Period, neither Party shall impose a new tariff, tariff-rate quota, surcharge, deposit, bond, fee, or other border measure on goods originating in the other Party that recreates, replaces, or substantially duplicates the trade effect of an eliminated Covered Emergency Tariff Measure.</w:t>
      </w:r>
    </w:p>
    <w:p w14:paraId="47A7297A">
      <w:pPr>
        <w:spacing w:after="95" w:line="252"/>
      </w:pPr>
      <w:r>
        <w:rPr>
          <w:rFonts w:ascii="Times New Roman" w:cs="Times New Roman" w:eastAsia="SimSun" w:hAnsi="Times New Roman"/>
          <w:sz w:val="21"/>
          <w:szCs w:val="21"/>
        </w:rPr>
        <w:t xml:space="preserve">2.3.2. Neither Party shall increase an existing covered duty or charge, reclassify a covered product into a remaining emergency measure, condition release on payment of an eliminated charge, or use an exclusion, licensing, or quota process to collect the economic equivalent of an eliminated measure.</w:t>
      </w:r>
    </w:p>
    <w:p w14:paraId="08B2A07E">
      <w:pPr>
        <w:spacing w:after="95" w:line="252"/>
      </w:pPr>
      <w:r>
        <w:rPr>
          <w:rFonts w:ascii="Times New Roman" w:cs="Times New Roman" w:eastAsia="SimSun" w:hAnsi="Times New Roman"/>
          <w:sz w:val="21"/>
          <w:szCs w:val="21"/>
        </w:rPr>
        <w:t xml:space="preserve">2.3.3. A measure of general application that is origin-neutral, applies equally to domestic and imported goods, is not designed to circumvent this Article, and does not track the product scope, factual predicate, or economic effect of an eliminated measure is not a breach solely because it has an incidental effect on trade.</w:t>
      </w:r>
    </w:p>
    <w:p w14:paraId="556E393C">
      <w:pPr>
        <w:spacing w:after="95" w:line="252"/>
      </w:pPr>
      <w:r>
        <w:rPr>
          <w:rFonts w:ascii="Times New Roman" w:cs="Times New Roman" w:eastAsia="SimSun" w:hAnsi="Times New Roman"/>
          <w:sz w:val="21"/>
          <w:szCs w:val="21"/>
        </w:rPr>
        <w:t xml:space="preserve">2.3.4. The Party adopting a challenged measure bears the burden of demonstrating origin-neutrality, equal application, independent purpose, and non-duplication where the measure materially overlaps an eliminated measure.</w:t>
      </w:r>
    </w:p>
    <w:p w14:paraId="3EBC75F8">
      <w:pPr>
        <w:pStyle w:val="Heading2"/>
        <w:keepNext/>
        <w:spacing w:after="115" w:before="190"/>
      </w:pPr>
      <w:bookmarkStart w:id="913" w:name="_Toc236229913"/>
      <w:bookmarkStart w:name="h715" w:id="715"/>
      <w:r>
        <w:rPr>
          <w:rFonts w:ascii="Times New Roman" w:cs="Times New Roman" w:eastAsia="SimSun" w:hAnsi="Times New Roman"/>
          <w:b/>
          <w:bCs/>
          <w:color w:val="263238"/>
          <w:sz w:val="25"/>
          <w:szCs w:val="25"/>
        </w:rPr>
        <w:t xml:space="preserve">Article 2.4 Rules of Origin Stability</w:t>
      </w:r>
      <w:bookmarkEnd w:id="715"/>
      <w:bookmarkEnd w:id="913"/>
    </w:p>
    <w:p w14:paraId="7D167AAC">
      <w:pPr>
        <w:spacing w:after="95" w:line="252"/>
      </w:pPr>
      <w:r>
        <w:rPr>
          <w:rFonts w:ascii="Times New Roman" w:cs="Times New Roman" w:eastAsia="SimSun" w:hAnsi="Times New Roman"/>
          <w:sz w:val="21"/>
          <w:szCs w:val="21"/>
        </w:rPr>
        <w:t xml:space="preserve">2.4.1. During the Stabilization Period, the Parties shall maintain the rules of origin under USMCA and T-MEC Chapter 4, including the automotive regional value content framework in force, unless a later written instrument adopted through internal procedures expressly changes it.</w:t>
      </w:r>
    </w:p>
    <w:p w14:paraId="34191F02">
      <w:pPr>
        <w:spacing w:after="95" w:line="252"/>
      </w:pPr>
      <w:r>
        <w:rPr>
          <w:rFonts w:ascii="Times New Roman" w:cs="Times New Roman" w:eastAsia="SimSun" w:hAnsi="Times New Roman"/>
          <w:sz w:val="21"/>
          <w:szCs w:val="21"/>
        </w:rPr>
        <w:t xml:space="preserve">2.4.2. The Parties may conduct technical discussions on origin clarifications, verification methods, documentation, and anti-circumvention controls. Discussions do not prejudice rights and do not amend the USMCA or T-MEC.</w:t>
      </w:r>
    </w:p>
    <w:p w14:paraId="1944DF8E">
      <w:pPr>
        <w:spacing w:after="95" w:line="252"/>
      </w:pPr>
      <w:r>
        <w:rPr>
          <w:rFonts w:ascii="Times New Roman" w:cs="Times New Roman" w:eastAsia="SimSun" w:hAnsi="Times New Roman"/>
          <w:sz w:val="21"/>
          <w:szCs w:val="21"/>
        </w:rPr>
        <w:t xml:space="preserve">2.4.3. A customs administration shall not deny preferential treatment solely because a technical clarification under discussion is incomplete. Denial must rest on law in force, available evidence, and Annex 4A-1 procedures.</w:t>
      </w:r>
    </w:p>
    <w:p w14:paraId="1CCE85E2">
      <w:pPr>
        <w:spacing w:after="95" w:line="252"/>
      </w:pPr>
      <w:r>
        <w:rPr>
          <w:rFonts w:ascii="Times New Roman" w:cs="Times New Roman" w:eastAsia="SimSun" w:hAnsi="Times New Roman"/>
          <w:sz w:val="21"/>
          <w:szCs w:val="21"/>
        </w:rPr>
        <w:t xml:space="preserve">2.4.4. Claims for preferential treatment submitted during the Stabilization Period are processed under the certification, verification, and recordkeeping rules in force on the date of importation, subject to Annex 4A-1 and any later adopted amendment.</w:t>
      </w:r>
    </w:p>
    <w:p w14:paraId="75D7C080">
      <w:pPr>
        <w:pStyle w:val="Heading2"/>
        <w:keepNext/>
        <w:spacing w:after="115" w:before="190"/>
      </w:pPr>
      <w:bookmarkStart w:id="914" w:name="_Toc236229914"/>
      <w:bookmarkStart w:name="h716" w:id="716"/>
      <w:r>
        <w:rPr>
          <w:rFonts w:ascii="Times New Roman" w:cs="Times New Roman" w:eastAsia="SimSun" w:hAnsi="Times New Roman"/>
          <w:b/>
          <w:bCs/>
          <w:color w:val="263238"/>
          <w:sz w:val="25"/>
          <w:szCs w:val="25"/>
        </w:rPr>
        <w:t xml:space="preserve">Article 2.5 Emergency Exception Without Revival</w:t>
      </w:r>
      <w:bookmarkEnd w:id="716"/>
      <w:bookmarkEnd w:id="914"/>
    </w:p>
    <w:p w14:paraId="2D551FC4">
      <w:pPr>
        <w:spacing w:after="95" w:line="252"/>
      </w:pPr>
      <w:r>
        <w:rPr>
          <w:rFonts w:ascii="Times New Roman" w:cs="Times New Roman" w:eastAsia="SimSun" w:hAnsi="Times New Roman"/>
          <w:sz w:val="21"/>
          <w:szCs w:val="21"/>
        </w:rPr>
        <w:t xml:space="preserve">2.5.1. Nothing in this Part prevents a Party from taking a measure necessary to protect national security interests, provided the measure does not recreate an eliminated Covered Emergency Tariff Measure, is not applied as a disguised restriction on trade, and is subject to prompt notification, consultation, expedited review, and the non-recreation rule in Article 8.2.4.</w:t>
      </w:r>
    </w:p>
    <w:p w14:paraId="77A2EF5E">
      <w:pPr>
        <w:spacing w:after="95" w:line="252"/>
      </w:pPr>
      <w:r>
        <w:rPr>
          <w:rFonts w:ascii="Times New Roman" w:cs="Times New Roman" w:eastAsia="SimSun" w:hAnsi="Times New Roman"/>
          <w:sz w:val="21"/>
          <w:szCs w:val="21"/>
        </w:rPr>
        <w:t xml:space="preserve">2.5.2. A Party invoking this Article shall provide written notice within two business days of adoption, identify the measure, describe the security interest, state the expected duration, explain why the measure is not a substitute for an eliminated tariff, and propose consultation within ten days.</w:t>
      </w:r>
    </w:p>
    <w:p w14:paraId="1B69C280">
      <w:pPr>
        <w:spacing w:after="95" w:line="252"/>
      </w:pPr>
      <w:r>
        <w:rPr>
          <w:rFonts w:ascii="Times New Roman" w:cs="Times New Roman" w:eastAsia="SimSun" w:hAnsi="Times New Roman"/>
          <w:sz w:val="21"/>
          <w:szCs w:val="21"/>
        </w:rPr>
        <w:t xml:space="preserve">2.5.3. If the measure overlaps goods covered by an eliminated measure, the Joint Committee shall meet within seven days to assess scope, duration, and alternatives, including targeted exclusions, licensing, end-use controls, or non-tariff security tools.</w:t>
      </w:r>
    </w:p>
    <w:p w14:paraId="7693F2B8">
      <w:pPr>
        <w:spacing w:after="95" w:line="252"/>
      </w:pPr>
      <w:r>
        <w:rPr>
          <w:rFonts w:ascii="Times New Roman" w:cs="Times New Roman" w:eastAsia="SimSun" w:hAnsi="Times New Roman"/>
          <w:sz w:val="21"/>
          <w:szCs w:val="21"/>
        </w:rPr>
        <w:t xml:space="preserve">2.5.4. An emergency measure expires at the end of the Stabilization Period unless it is independent of this Agreement, consistent with the USMCA and T-MEC, not a disguised substitute, and either the Parties agree in writing to a defined continuation or domestic law independently requires it.</w:t>
      </w:r>
    </w:p>
    <w:p w14:paraId="0747A9C2">
      <w:pPr>
        <w:pStyle w:val="Heading2"/>
        <w:keepNext/>
        <w:spacing w:after="115" w:before="190"/>
      </w:pPr>
      <w:bookmarkStart w:id="915" w:name="_Toc236229915"/>
      <w:bookmarkStart w:name="h717" w:id="717"/>
      <w:r>
        <w:rPr>
          <w:rFonts w:ascii="Times New Roman" w:cs="Times New Roman" w:eastAsia="SimSun" w:hAnsi="Times New Roman"/>
          <w:b/>
          <w:bCs/>
          <w:color w:val="263238"/>
          <w:sz w:val="25"/>
          <w:szCs w:val="25"/>
        </w:rPr>
        <w:t xml:space="preserve">Article 2.6 Refund, Reconciliation, and Accrued Liabilities</w:t>
      </w:r>
      <w:bookmarkEnd w:id="717"/>
      <w:bookmarkEnd w:id="915"/>
    </w:p>
    <w:p w14:paraId="2AEA1BD0">
      <w:pPr>
        <w:spacing w:after="95" w:line="252"/>
      </w:pPr>
      <w:r>
        <w:rPr>
          <w:rFonts w:ascii="Times New Roman" w:cs="Times New Roman" w:eastAsia="SimSun" w:hAnsi="Times New Roman"/>
          <w:sz w:val="21"/>
          <w:szCs w:val="21"/>
        </w:rPr>
        <w:t xml:space="preserve">2.6.1. Each Party shall establish procedures for refund or reconciliation of duties collected on covered goods before the elimination effective time to the extent authorized by domestic law and the applicable annex.</w:t>
      </w:r>
    </w:p>
    <w:p w14:paraId="3ED36964">
      <w:pPr>
        <w:spacing w:after="95" w:line="252"/>
      </w:pPr>
      <w:r>
        <w:rPr>
          <w:rFonts w:ascii="Times New Roman" w:cs="Times New Roman" w:eastAsia="SimSun" w:hAnsi="Times New Roman"/>
          <w:sz w:val="21"/>
          <w:szCs w:val="21"/>
        </w:rPr>
        <w:t xml:space="preserve">2.6.2. A refund claim must include entry number, importer of record, classification, origin claim, amount paid, proof of payment, and legal basis. The administering authority may require additional information only when reasonably related to verification.</w:t>
      </w:r>
    </w:p>
    <w:p w14:paraId="34241924">
      <w:pPr>
        <w:spacing w:after="95" w:line="252"/>
      </w:pPr>
      <w:r>
        <w:rPr>
          <w:rFonts w:ascii="Times New Roman" w:cs="Times New Roman" w:eastAsia="SimSun" w:hAnsi="Times New Roman"/>
          <w:sz w:val="21"/>
          <w:szCs w:val="21"/>
        </w:rPr>
        <w:t xml:space="preserve">2.6.3. The administering authority shall acknowledge a claim within ten business days and decide within 60 days after a complete filing. Interest follows domestic law. A denial must state reasons and identify review rights.</w:t>
      </w:r>
    </w:p>
    <w:p w14:paraId="79B56218">
      <w:pPr>
        <w:spacing w:after="95" w:line="252"/>
      </w:pPr>
      <w:r>
        <w:rPr>
          <w:rFonts w:ascii="Times New Roman" w:cs="Times New Roman" w:eastAsia="SimSun" w:hAnsi="Times New Roman"/>
          <w:sz w:val="21"/>
          <w:szCs w:val="21"/>
        </w:rPr>
        <w:t xml:space="preserve">2.6.4. The Parties shall reconcile refund statistics monthly during the Stabilization Period. Reports cover entries affected, duties eliminated, refunds claimed, refunds paid, denials, processing time, and systemic errors. Reports are confidential to the extent protected by domestic law and may be aggregated for public release.</w:t>
      </w:r>
    </w:p>
    <w:p w14:paraId="16DD639E">
      <w:pPr>
        <w:pStyle w:val="Heading2"/>
        <w:keepNext/>
        <w:spacing w:after="115" w:before="190"/>
      </w:pPr>
      <w:bookmarkStart w:id="916" w:name="_Toc236229916"/>
      <w:bookmarkStart w:name="h718" w:id="718"/>
      <w:r>
        <w:rPr>
          <w:rFonts w:ascii="Times New Roman" w:cs="Times New Roman" w:eastAsia="SimSun" w:hAnsi="Times New Roman"/>
          <w:b/>
          <w:bCs/>
          <w:color w:val="263238"/>
          <w:sz w:val="25"/>
          <w:szCs w:val="25"/>
        </w:rPr>
        <w:t xml:space="preserve">Article 2.7 Customs Administration After Elimination</w:t>
      </w:r>
      <w:bookmarkEnd w:id="718"/>
      <w:bookmarkEnd w:id="916"/>
    </w:p>
    <w:p w14:paraId="37C3FF08">
      <w:pPr>
        <w:spacing w:after="95" w:line="252"/>
      </w:pPr>
      <w:r>
        <w:rPr>
          <w:rFonts w:ascii="Times New Roman" w:cs="Times New Roman" w:eastAsia="SimSun" w:hAnsi="Times New Roman"/>
          <w:sz w:val="21"/>
          <w:szCs w:val="21"/>
        </w:rPr>
        <w:t xml:space="preserve">2.7.1. Each Party shall instruct its customs administration to apply elimination uniformly at all ports of entry, update tariff databases, issue internal guidance, and provide public notice with effective dates and filing instructions.</w:t>
      </w:r>
    </w:p>
    <w:p w14:paraId="2D0CB6EE">
      <w:pPr>
        <w:spacing w:after="95" w:line="252"/>
      </w:pPr>
      <w:r>
        <w:rPr>
          <w:rFonts w:ascii="Times New Roman" w:cs="Times New Roman" w:eastAsia="SimSun" w:hAnsi="Times New Roman"/>
          <w:sz w:val="21"/>
          <w:szCs w:val="21"/>
        </w:rPr>
        <w:t xml:space="preserve">2.7.2. For an entry summary filed before guidance is issued, the customs administration shall provide a correction path that does not penalize reasonable reliance on the published elimination notice.</w:t>
      </w:r>
    </w:p>
    <w:p w14:paraId="7880A49E">
      <w:pPr>
        <w:spacing w:after="95" w:line="252"/>
      </w:pPr>
      <w:r>
        <w:rPr>
          <w:rFonts w:ascii="Times New Roman" w:cs="Times New Roman" w:eastAsia="SimSun" w:hAnsi="Times New Roman"/>
          <w:sz w:val="21"/>
          <w:szCs w:val="21"/>
        </w:rPr>
        <w:t xml:space="preserve">2.7.3. Elimination is not a waiver of admissibility, classification, valuation, origin, marking, quota, licensing, forced labor, safety, sanctions, or enforcement authority unrelated to the eliminated measure.</w:t>
      </w:r>
    </w:p>
    <w:p w14:paraId="32237DF8">
      <w:pPr>
        <w:spacing w:after="95" w:line="252"/>
      </w:pPr>
      <w:r>
        <w:rPr>
          <w:rFonts w:ascii="Times New Roman" w:cs="Times New Roman" w:eastAsia="SimSun" w:hAnsi="Times New Roman"/>
          <w:sz w:val="21"/>
          <w:szCs w:val="21"/>
        </w:rPr>
        <w:t xml:space="preserve">2.7.4. Post-entry audit remains available for fraud, false statements, and non-suspended requirements. An audit may not be used to collect an eliminated charge under a new label.</w:t>
      </w:r>
    </w:p>
    <w:p w14:paraId="081E3516">
      <w:pPr>
        <w:pStyle w:val="Heading2"/>
        <w:keepNext/>
        <w:spacing w:after="115" w:before="190"/>
      </w:pPr>
      <w:bookmarkStart w:id="917" w:name="_Toc236229917"/>
      <w:bookmarkStart w:name="h719" w:id="719"/>
      <w:r>
        <w:rPr>
          <w:rFonts w:ascii="Times New Roman" w:cs="Times New Roman" w:eastAsia="SimSun" w:hAnsi="Times New Roman"/>
          <w:b/>
          <w:bCs/>
          <w:color w:val="263238"/>
          <w:sz w:val="25"/>
          <w:szCs w:val="25"/>
        </w:rPr>
        <w:t xml:space="preserve">Article 2.8 No Resurrection and No Disguised Substitution</w:t>
      </w:r>
      <w:bookmarkEnd w:id="719"/>
      <w:bookmarkEnd w:id="917"/>
    </w:p>
    <w:p w14:paraId="22A4BF66">
      <w:pPr>
        <w:spacing w:after="95" w:line="252"/>
      </w:pPr>
      <w:r>
        <w:rPr>
          <w:rFonts w:ascii="Times New Roman" w:cs="Times New Roman" w:eastAsia="SimSun" w:hAnsi="Times New Roman"/>
          <w:sz w:val="21"/>
          <w:szCs w:val="21"/>
        </w:rPr>
        <w:t xml:space="preserve">2.8.1. Expiration, termination, or replacement of this Agreement does not resurrect an eliminated Covered Emergency Tariff Measure.</w:t>
      </w:r>
    </w:p>
    <w:p w14:paraId="723FFB84">
      <w:pPr>
        <w:spacing w:after="95" w:line="252"/>
      </w:pPr>
      <w:r>
        <w:rPr>
          <w:rFonts w:ascii="Times New Roman" w:cs="Times New Roman" w:eastAsia="SimSun" w:hAnsi="Times New Roman"/>
          <w:sz w:val="21"/>
          <w:szCs w:val="21"/>
        </w:rPr>
        <w:t xml:space="preserve">2.8.2. A Party may establish a future measure affecting the same products only through a new legal basis, new factual predicate, transparent process, and compliance with the USMCA and T-MEC and this Agreement's non-duplication test while this Agreement remains in force.</w:t>
      </w:r>
    </w:p>
    <w:p w14:paraId="43A53AFC">
      <w:pPr>
        <w:spacing w:after="95" w:line="252"/>
      </w:pPr>
      <w:r>
        <w:rPr>
          <w:rFonts w:ascii="Times New Roman" w:cs="Times New Roman" w:eastAsia="SimSun" w:hAnsi="Times New Roman"/>
          <w:sz w:val="21"/>
          <w:szCs w:val="21"/>
        </w:rPr>
        <w:t xml:space="preserve">2.8.3. A future measure is presumed a disguised substitute if it matches the product scope, duty formula, border collection point, and stated emergency rationale of an eliminated measure without a material change in facts or law. The presumption is rebuttable by a reasoned public record.</w:t>
      </w:r>
    </w:p>
    <w:p w14:paraId="7904A06C">
      <w:pPr>
        <w:spacing w:after="95" w:line="252"/>
      </w:pPr>
      <w:r>
        <w:rPr>
          <w:rFonts w:ascii="Times New Roman" w:cs="Times New Roman" w:eastAsia="SimSun" w:hAnsi="Times New Roman"/>
          <w:sz w:val="21"/>
          <w:szCs w:val="21"/>
        </w:rPr>
        <w:t xml:space="preserve">2.8.4. Lawful antidumping, countervailing, and safeguard processes are preserved only under Annex 2-D and may not be initiated, timed, scoped, or administered to recreate eliminated emergency tariffs.</w:t>
      </w:r>
    </w:p>
    <w:p w14:paraId="1C3A064C">
      <w:pPr>
        <w:pStyle w:val="Heading2"/>
        <w:keepNext/>
        <w:spacing w:after="115" w:before="190"/>
      </w:pPr>
      <w:bookmarkStart w:id="918" w:name="_Toc236229918"/>
      <w:bookmarkStart w:name="h720" w:id="720"/>
      <w:r>
        <w:rPr>
          <w:rFonts w:ascii="Times New Roman" w:cs="Times New Roman" w:eastAsia="SimSun" w:hAnsi="Times New Roman"/>
          <w:b/>
          <w:bCs/>
          <w:color w:val="263238"/>
          <w:sz w:val="25"/>
          <w:szCs w:val="25"/>
        </w:rPr>
        <w:t xml:space="preserve">Article 2.9 Monitoring and Data Quality</w:t>
      </w:r>
      <w:bookmarkEnd w:id="720"/>
      <w:bookmarkEnd w:id="918"/>
    </w:p>
    <w:p w14:paraId="0E9F1E04">
      <w:pPr>
        <w:spacing w:after="95" w:line="252"/>
      </w:pPr>
      <w:r>
        <w:t>2.9.1. The Joint Committee shall establish a minimal elimination dashboard by Day 10 and a full dashboard within 15 days after entry into force. The dashboard tracks tariff lines eliminated, entries cleared, duties not collected by reason of elimination, refunds, processing times, and reported anomalies.</w:t>
      </w:r>
    </w:p>
    <w:p w14:paraId="6EB37BAA">
      <w:pPr>
        <w:spacing w:after="95" w:line="252"/>
      </w:pPr>
      <w:r>
        <w:rPr>
          <w:rFonts w:ascii="Times New Roman" w:cs="Times New Roman" w:eastAsia="SimSun" w:hAnsi="Times New Roman"/>
          <w:sz w:val="21"/>
          <w:szCs w:val="21"/>
        </w:rPr>
        <w:t xml:space="preserve">2.9.2. Customs administrations shall exchange aggregated and, where lawful, transaction-level data necessary to detect circumvention, false origin claims, undervaluation, misclassification, and disguised substitution, subject to confidentiality, privacy, and law enforcement limits.</w:t>
      </w:r>
    </w:p>
    <w:p w14:paraId="187128E0">
      <w:pPr>
        <w:spacing w:after="95" w:line="252"/>
      </w:pPr>
      <w:r>
        <w:rPr>
          <w:rFonts w:ascii="Times New Roman" w:cs="Times New Roman" w:eastAsia="SimSun" w:hAnsi="Times New Roman"/>
          <w:sz w:val="21"/>
          <w:szCs w:val="21"/>
        </w:rPr>
        <w:t xml:space="preserve">2.9.3. If data indicate a material anomaly, a Party may request targeted verification. Targeted verification must be proportionate, time-limited, documented, and may not function as revival of an eliminated measure.</w:t>
      </w:r>
    </w:p>
    <w:p w14:paraId="0121D486">
      <w:pPr>
        <w:pStyle w:val="Heading2"/>
        <w:keepNext/>
        <w:spacing w:after="115" w:before="190"/>
      </w:pPr>
      <w:bookmarkStart w:id="919" w:name="_Toc236229919"/>
      <w:bookmarkStart w:name="h721" w:id="721"/>
      <w:r>
        <w:rPr>
          <w:rFonts w:ascii="Times New Roman" w:cs="Times New Roman" w:eastAsia="SimSun" w:hAnsi="Times New Roman"/>
          <w:b/>
          <w:bCs/>
          <w:color w:val="263238"/>
          <w:sz w:val="25"/>
          <w:szCs w:val="25"/>
        </w:rPr>
        <w:t xml:space="preserve">Article 2.10 Trade Remedy Anti-Abuse</w:t>
      </w:r>
      <w:bookmarkEnd w:id="721"/>
      <w:bookmarkEnd w:id="919"/>
    </w:p>
    <w:p w14:paraId="25B90AF4">
      <w:pPr>
        <w:spacing w:after="95" w:line="252"/>
      </w:pPr>
      <w:r>
        <w:rPr>
          <w:rFonts w:ascii="Times New Roman" w:cs="Times New Roman" w:eastAsia="SimSun" w:hAnsi="Times New Roman"/>
          <w:sz w:val="21"/>
          <w:szCs w:val="21"/>
        </w:rPr>
        <w:t xml:space="preserve">2.10.1. Nothing in this Agreement limits a lawful antidumping, countervailing, or safeguard proceeding that satisfies domestic law, applicable international obligations, and Annex 2-D.</w:t>
      </w:r>
    </w:p>
    <w:p w14:paraId="4B62933A">
      <w:pPr>
        <w:spacing w:after="95" w:line="252"/>
      </w:pPr>
      <w:r>
        <w:rPr>
          <w:rFonts w:ascii="Times New Roman" w:cs="Times New Roman" w:eastAsia="SimSun" w:hAnsi="Times New Roman"/>
          <w:sz w:val="21"/>
          <w:szCs w:val="21"/>
        </w:rPr>
        <w:t xml:space="preserve">2.10.2. A Party shall not use a trade remedy proceeding as a substitute for an eliminated emergency tariff. Indicia of abuse include duplicative product scope, reliance on the same emergency predicate, initiation timed to defeat elimination, pressure to settle for an equivalent border charge, or administration that collects an equivalent charge before final determination.</w:t>
      </w:r>
    </w:p>
    <w:p w14:paraId="51CADD2E">
      <w:pPr>
        <w:spacing w:after="95" w:line="252"/>
      </w:pPr>
      <w:r>
        <w:rPr>
          <w:rFonts w:ascii="Times New Roman" w:cs="Times New Roman" w:eastAsia="SimSun" w:hAnsi="Times New Roman"/>
          <w:sz w:val="21"/>
          <w:szCs w:val="21"/>
        </w:rPr>
        <w:t xml:space="preserve">2.10.3. A challenged trade remedy measure remains subject to domestic and international review. The Panel under Part Seven may examine whether the measure breaches this Agreement without replacing the role of domestic investigating authorities.</w:t>
      </w:r>
    </w:p>
    <w:p w14:paraId="04853246">
      <w:pPr>
        <w:pStyle w:val="Heading1"/>
        <w:keepNext/>
        <w:pageBreakBefore/>
        <w:spacing w:after="115" w:before="330"/>
      </w:pPr>
      <w:bookmarkStart w:id="920" w:name="_Toc236229920"/>
      <w:bookmarkStart w:name="h722" w:id="722"/>
      <w:r>
        <w:rPr>
          <w:rFonts w:ascii="Times New Roman" w:cs="Times New Roman" w:eastAsia="SimSun" w:hAnsi="Times New Roman"/>
          <w:b/>
          <w:bCs/>
          <w:color w:val="263238"/>
          <w:sz w:val="29"/>
          <w:szCs w:val="29"/>
        </w:rPr>
        <w:t xml:space="preserve">Part Three: 90 Day Stabilization Period and Roadmap</w:t>
      </w:r>
      <w:bookmarkEnd w:id="722"/>
      <w:bookmarkEnd w:id="920"/>
    </w:p>
    <w:p w14:paraId="14DF6768">
      <w:pPr>
        <w:pStyle w:val="Heading2"/>
        <w:keepNext/>
        <w:spacing w:after="115" w:before="190"/>
      </w:pPr>
      <w:bookmarkStart w:id="921" w:name="_Toc236229921"/>
      <w:bookmarkStart w:name="h723" w:id="723"/>
      <w:r>
        <w:rPr>
          <w:rFonts w:ascii="Times New Roman" w:cs="Times New Roman" w:eastAsia="SimSun" w:hAnsi="Times New Roman"/>
          <w:b/>
          <w:bCs/>
          <w:color w:val="263238"/>
          <w:sz w:val="25"/>
          <w:szCs w:val="25"/>
        </w:rPr>
        <w:t xml:space="preserve">Article 3.1 Stabilization Period</w:t>
      </w:r>
      <w:bookmarkEnd w:id="723"/>
      <w:bookmarkEnd w:id="921"/>
    </w:p>
    <w:p w14:paraId="646DCF12">
      <w:pPr>
        <w:spacing w:after="95" w:line="252"/>
      </w:pPr>
      <w:r>
        <w:rPr>
          <w:rFonts w:ascii="Times New Roman" w:cs="Times New Roman" w:eastAsia="SimSun" w:hAnsi="Times New Roman"/>
          <w:sz w:val="21"/>
          <w:szCs w:val="21"/>
        </w:rPr>
        <w:t xml:space="preserve">3.1.1. The Stabilization Period commences on the date of entry into force and extends for 90 days unless extended once under Article 3.4 or terminated earlier under Article 9.2.</w:t>
      </w:r>
    </w:p>
    <w:p w14:paraId="23D19274">
      <w:pPr>
        <w:spacing w:after="95" w:line="252"/>
      </w:pPr>
      <w:r>
        <w:rPr>
          <w:rFonts w:ascii="Times New Roman" w:cs="Times New Roman" w:eastAsia="SimSun" w:hAnsi="Times New Roman"/>
          <w:sz w:val="21"/>
          <w:szCs w:val="21"/>
        </w:rPr>
        <w:t xml:space="preserve">3.1.2. The first day after entry into force is Day 1 for deadlines. If a deadline falls on a weekend or public holiday in the territory of the Party required to act, the deadline moves to the next business day.</w:t>
      </w:r>
    </w:p>
    <w:p w14:paraId="626F3C5C">
      <w:pPr>
        <w:spacing w:after="95" w:line="252"/>
      </w:pPr>
      <w:r>
        <w:rPr>
          <w:rFonts w:ascii="Times New Roman" w:cs="Times New Roman" w:eastAsia="SimSun" w:hAnsi="Times New Roman"/>
          <w:sz w:val="21"/>
          <w:szCs w:val="21"/>
        </w:rPr>
        <w:t xml:space="preserve">3.1.3. Elimination, firewall, refund, working group, consultation, and reporting obligations run concurrently unless a provision states a sequence.</w:t>
      </w:r>
    </w:p>
    <w:p w14:paraId="35E49008">
      <w:pPr>
        <w:pStyle w:val="Heading2"/>
        <w:keepNext/>
        <w:spacing w:after="115" w:before="190"/>
      </w:pPr>
      <w:bookmarkStart w:id="922" w:name="_Toc236229922"/>
      <w:bookmarkStart w:name="h724" w:id="724"/>
      <w:r>
        <w:rPr>
          <w:rFonts w:ascii="Times New Roman" w:cs="Times New Roman" w:eastAsia="SimSun" w:hAnsi="Times New Roman"/>
          <w:b/>
          <w:bCs/>
          <w:color w:val="263238"/>
          <w:sz w:val="25"/>
          <w:szCs w:val="25"/>
        </w:rPr>
        <w:t xml:space="preserve">Article 3.2 Negotiation Roadmap</w:t>
      </w:r>
      <w:bookmarkEnd w:id="724"/>
      <w:bookmarkEnd w:id="922"/>
    </w:p>
    <w:p w14:paraId="3E8165BA">
      <w:pPr>
        <w:spacing w:after="95" w:line="252"/>
      </w:pPr>
      <w:r>
        <w:rPr>
          <w:rFonts w:ascii="Times New Roman" w:cs="Times New Roman" w:eastAsia="SimSun" w:hAnsi="Times New Roman"/>
          <w:sz w:val="21"/>
          <w:szCs w:val="21"/>
        </w:rPr>
        <w:t xml:space="preserve">3.2.1. Within 30 days after entry into force, the Parties shall agree on a detailed roadmap for negotiation of a comprehensive modernization of the USMCA and T-MEC relationship, without prejudice to whether that modernization occurs through amendment, side instrument, protocol, or coordinated domestic measures.</w:t>
      </w:r>
    </w:p>
    <w:p w14:paraId="3E3D4B08">
      <w:pPr>
        <w:spacing w:after="95" w:line="252"/>
      </w:pPr>
      <w:r>
        <w:t>3.2.2. The roadmap shall use the template in Annex 3-B and include scope, sequencing, timelines, deliverables, milestones, lead officials, decision points, consultation windows, legal review gates, and a method for incorporating working group outputs.</w:t>
      </w:r>
    </w:p>
    <w:p w14:paraId="032915AE">
      <w:pPr>
        <w:spacing w:after="95" w:line="252"/>
      </w:pPr>
      <w:r>
        <w:rPr>
          <w:rFonts w:ascii="Times New Roman" w:cs="Times New Roman" w:eastAsia="SimSun" w:hAnsi="Times New Roman"/>
          <w:sz w:val="21"/>
          <w:szCs w:val="21"/>
        </w:rPr>
        <w:t xml:space="preserve">3.2.3. The roadmap shall identify which items require only executive action, which require legislative consultation, which require regulatory procedures, and which are not ripe for decision during the Interim Period.</w:t>
      </w:r>
    </w:p>
    <w:p w14:paraId="6411D388">
      <w:pPr>
        <w:spacing w:after="95" w:line="252"/>
      </w:pPr>
      <w:r>
        <w:rPr>
          <w:rFonts w:ascii="Times New Roman" w:cs="Times New Roman" w:eastAsia="SimSun" w:hAnsi="Times New Roman"/>
          <w:sz w:val="21"/>
          <w:szCs w:val="21"/>
        </w:rPr>
        <w:t xml:space="preserve">3.2.4. The roadmap shall not contain inherited political deadlines that do not belong to this bilateral instrument. Any target date must be adopted by the Parties in the roadmap itself and must state its legal effect.</w:t>
      </w:r>
    </w:p>
    <w:p w14:paraId="3C5847D8">
      <w:pPr>
        <w:pStyle w:val="Heading2"/>
        <w:keepNext/>
        <w:spacing w:after="115" w:before="190"/>
      </w:pPr>
      <w:bookmarkStart w:id="923" w:name="_Toc236229923"/>
      <w:bookmarkStart w:name="h725" w:id="725"/>
      <w:r>
        <w:rPr>
          <w:rFonts w:ascii="Times New Roman" w:cs="Times New Roman" w:eastAsia="SimSun" w:hAnsi="Times New Roman"/>
          <w:b/>
          <w:bCs/>
          <w:color w:val="263238"/>
          <w:sz w:val="25"/>
          <w:szCs w:val="25"/>
        </w:rPr>
        <w:t xml:space="preserve">Article 3.3 Progress Reviews</w:t>
      </w:r>
      <w:bookmarkEnd w:id="725"/>
      <w:bookmarkEnd w:id="923"/>
    </w:p>
    <w:p w14:paraId="3B3F9386">
      <w:pPr>
        <w:spacing w:after="95" w:line="252"/>
      </w:pPr>
      <w:r>
        <w:rPr>
          <w:rFonts w:ascii="Times New Roman" w:cs="Times New Roman" w:eastAsia="SimSun" w:hAnsi="Times New Roman"/>
          <w:sz w:val="21"/>
          <w:szCs w:val="21"/>
        </w:rPr>
        <w:t xml:space="preserve">3.3.1. The Parties shall conduct formal progress reviews on Day 30, Day 60, and Day 80 during the Stabilization Period. The Joint Committee may advance a review by up to five days for operational need.</w:t>
      </w:r>
    </w:p>
    <w:p w14:paraId="3E13750C">
      <w:pPr>
        <w:spacing w:after="95" w:line="252"/>
      </w:pPr>
      <w:r>
        <w:rPr>
          <w:rFonts w:ascii="Times New Roman" w:cs="Times New Roman" w:eastAsia="SimSun" w:hAnsi="Times New Roman"/>
          <w:sz w:val="21"/>
          <w:szCs w:val="21"/>
        </w:rPr>
        <w:t xml:space="preserve">3.3.2. Each review shall assess working group deliverables, elimination administration, refund performance, dispute developments, security firewall compliance, and trajectory toward a comprehensive instrument.</w:t>
      </w:r>
    </w:p>
    <w:p w14:paraId="4B455C7C">
      <w:pPr>
        <w:spacing w:after="95" w:line="252"/>
      </w:pPr>
      <w:r>
        <w:rPr>
          <w:rFonts w:ascii="Times New Roman" w:cs="Times New Roman" w:eastAsia="SimSun" w:hAnsi="Times New Roman"/>
          <w:sz w:val="21"/>
          <w:szCs w:val="21"/>
        </w:rPr>
        <w:t xml:space="preserve">3.3.3. The Joint Committee shall issue a written review record within five business days after each review. The record states decisions, disagreements, risks, and next deadlines. It may contain a confidential annex where required by law or operational security.</w:t>
      </w:r>
    </w:p>
    <w:p w14:paraId="4FD2A6D2">
      <w:pPr>
        <w:spacing w:after="95" w:line="252"/>
      </w:pPr>
      <w:r>
        <w:rPr>
          <w:rFonts w:ascii="Times New Roman" w:cs="Times New Roman" w:eastAsia="SimSun" w:hAnsi="Times New Roman"/>
          <w:sz w:val="21"/>
          <w:szCs w:val="21"/>
        </w:rPr>
        <w:t xml:space="preserve">3.3.4. A missed deliverable triggers a remediation plan within ten business days unless the Joint Committee records a reasoned extension. A remediation plan identifies owner, cause, corrective step, new date, and consequence of repeated delay.</w:t>
      </w:r>
    </w:p>
    <w:p w14:paraId="2FBFF1AE">
      <w:pPr>
        <w:pStyle w:val="Heading2"/>
        <w:keepNext/>
        <w:spacing w:after="115" w:before="190"/>
      </w:pPr>
      <w:bookmarkStart w:id="924" w:name="_Toc236229924"/>
      <w:bookmarkStart w:name="h726" w:id="726"/>
      <w:r>
        <w:rPr>
          <w:rFonts w:ascii="Times New Roman" w:cs="Times New Roman" w:eastAsia="SimSun" w:hAnsi="Times New Roman"/>
          <w:b/>
          <w:bCs/>
          <w:color w:val="263238"/>
          <w:sz w:val="25"/>
          <w:szCs w:val="25"/>
        </w:rPr>
        <w:t xml:space="preserve">Article 3.4 Single Capped Extension</w:t>
      </w:r>
      <w:bookmarkEnd w:id="726"/>
      <w:bookmarkEnd w:id="924"/>
    </w:p>
    <w:p w14:paraId="609FEA6E">
      <w:pPr>
        <w:spacing w:after="95" w:line="252"/>
      </w:pPr>
      <w:r>
        <w:rPr>
          <w:rFonts w:ascii="Times New Roman" w:cs="Times New Roman" w:eastAsia="SimSun" w:hAnsi="Times New Roman"/>
          <w:sz w:val="21"/>
          <w:szCs w:val="21"/>
        </w:rPr>
        <w:t xml:space="preserve">3.4.1. The Stabilization Period may be extended once by mutual written agreement for a period not exceeding 45 days.</w:t>
      </w:r>
    </w:p>
    <w:p w14:paraId="0444AF2C">
      <w:pPr>
        <w:spacing w:after="95" w:line="252"/>
      </w:pPr>
      <w:r>
        <w:rPr>
          <w:rFonts w:ascii="Times New Roman" w:cs="Times New Roman" w:eastAsia="SimSun" w:hAnsi="Times New Roman"/>
          <w:sz w:val="21"/>
          <w:szCs w:val="21"/>
        </w:rPr>
        <w:t xml:space="preserve">3.4.2. The extension instrument must state the new end date, modified deliverables, whether the firewall remains unchanged, and why the extension is necessary.</w:t>
      </w:r>
    </w:p>
    <w:p w14:paraId="15CF3F98">
      <w:pPr>
        <w:spacing w:after="95" w:line="252"/>
      </w:pPr>
      <w:r>
        <w:rPr>
          <w:rFonts w:ascii="Times New Roman" w:cs="Times New Roman" w:eastAsia="SimSun" w:hAnsi="Times New Roman"/>
          <w:sz w:val="21"/>
          <w:szCs w:val="21"/>
        </w:rPr>
        <w:t xml:space="preserve">3.4.3. Silence, continued meetings, continued technical work, or a pending deliverable does not extend the Stabilization Period. The total Interim Period may not exceed 135 days unless the Parties adopt a replacement instrument through required internal procedures.</w:t>
      </w:r>
    </w:p>
    <w:p w14:paraId="094C847A">
      <w:pPr>
        <w:pStyle w:val="Heading2"/>
        <w:keepNext/>
        <w:spacing w:after="115" w:before="190"/>
      </w:pPr>
      <w:bookmarkStart w:id="925" w:name="_Toc236229925"/>
      <w:bookmarkStart w:name="h727" w:id="727"/>
      <w:r>
        <w:rPr>
          <w:rFonts w:ascii="Times New Roman" w:cs="Times New Roman" w:eastAsia="SimSun" w:hAnsi="Times New Roman"/>
          <w:b/>
          <w:bCs/>
          <w:color w:val="263238"/>
          <w:sz w:val="25"/>
          <w:szCs w:val="25"/>
        </w:rPr>
        <w:t xml:space="preserve">Article 3.5 Decision Gates</w:t>
      </w:r>
      <w:bookmarkEnd w:id="727"/>
      <w:bookmarkEnd w:id="925"/>
    </w:p>
    <w:p w14:paraId="4F2A5B24">
      <w:pPr>
        <w:spacing w:after="95" w:line="252"/>
      </w:pPr>
      <w:r>
        <w:t>3.5.1. Day 10 gate: publish elimination guidance, confirm contact points, confirm that working-group members were appointed by Day 7, complete organizational meetings, and open the minimal dashboard.</w:t>
      </w:r>
    </w:p>
    <w:p w14:paraId="4FCE0986">
      <w:pPr>
        <w:spacing w:after="95" w:line="252"/>
      </w:pPr>
      <w:r>
        <w:rPr>
          <w:rFonts w:ascii="Times New Roman" w:cs="Times New Roman" w:eastAsia="SimSun" w:hAnsi="Times New Roman"/>
          <w:sz w:val="21"/>
          <w:szCs w:val="21"/>
        </w:rPr>
        <w:t xml:space="preserve">3.5.2. Day 30 gate: adopt roadmap, confirm panel roster progress, publish initial elimination data, and resolve annex conflicts.</w:t>
      </w:r>
    </w:p>
    <w:p w14:paraId="397F733A">
      <w:pPr>
        <w:spacing w:after="95" w:line="252"/>
      </w:pPr>
      <w:r>
        <w:rPr>
          <w:rFonts w:ascii="Times New Roman" w:cs="Times New Roman" w:eastAsia="SimSun" w:hAnsi="Times New Roman"/>
          <w:sz w:val="21"/>
          <w:szCs w:val="21"/>
        </w:rPr>
        <w:t xml:space="preserve">3.5.3. Day 60 gate: receive working group assessments, review refund performance, test firewall integrity, and decide whether targeted verification is required.</w:t>
      </w:r>
    </w:p>
    <w:p w14:paraId="07DCE7B0">
      <w:pPr>
        <w:spacing w:after="95" w:line="252"/>
      </w:pPr>
      <w:r>
        <w:rPr>
          <w:rFonts w:ascii="Times New Roman" w:cs="Times New Roman" w:eastAsia="SimSun" w:hAnsi="Times New Roman"/>
          <w:sz w:val="21"/>
          <w:szCs w:val="21"/>
        </w:rPr>
        <w:t xml:space="preserve">3.5.4. Day 80 gate: receive final recommendations, decide whether to use the single capped extension, and identify provisions ready for legal scrub.</w:t>
      </w:r>
    </w:p>
    <w:p w14:paraId="044EE36A">
      <w:pPr>
        <w:spacing w:after="95" w:line="252"/>
      </w:pPr>
      <w:r>
        <w:rPr>
          <w:rFonts w:ascii="Times New Roman" w:cs="Times New Roman" w:eastAsia="SimSun" w:hAnsi="Times New Roman"/>
          <w:sz w:val="21"/>
          <w:szCs w:val="21"/>
        </w:rPr>
        <w:t xml:space="preserve">3.5.5. Day 90 gate: decide among expiry with permanent outcomes, the single capped extension, replacement, or targeted continuation through a later written instrument.</w:t>
      </w:r>
    </w:p>
    <w:p w14:paraId="02B5F8A4">
      <w:pPr>
        <w:pStyle w:val="Heading2"/>
        <w:keepNext/>
        <w:spacing w:after="115" w:before="190"/>
      </w:pPr>
      <w:bookmarkStart w:id="926" w:name="_Toc236229926"/>
      <w:bookmarkStart w:name="h728" w:id="728"/>
      <w:r>
        <w:rPr>
          <w:rFonts w:ascii="Times New Roman" w:cs="Times New Roman" w:eastAsia="SimSun" w:hAnsi="Times New Roman"/>
          <w:b/>
          <w:bCs/>
          <w:color w:val="263238"/>
          <w:sz w:val="25"/>
          <w:szCs w:val="25"/>
        </w:rPr>
        <w:t xml:space="preserve">Article 3.6 Transition to Comprehensive Modernization</w:t>
      </w:r>
      <w:bookmarkEnd w:id="728"/>
      <w:bookmarkEnd w:id="926"/>
    </w:p>
    <w:p w14:paraId="7A64B3D2">
      <w:pPr>
        <w:spacing w:after="95" w:line="252"/>
      </w:pPr>
      <w:r>
        <w:rPr>
          <w:rFonts w:ascii="Times New Roman" w:cs="Times New Roman" w:eastAsia="SimSun" w:hAnsi="Times New Roman"/>
          <w:sz w:val="21"/>
          <w:szCs w:val="21"/>
        </w:rPr>
        <w:t xml:space="preserve">3.6.1. Working group outputs are inputs, not final commitments. A provision becomes part of a comprehensive modernization only after legal review, domestic procedure, and adoption in an authentic instrument.</w:t>
      </w:r>
    </w:p>
    <w:p w14:paraId="13E23916">
      <w:pPr>
        <w:spacing w:after="95" w:line="252"/>
      </w:pPr>
      <w:r>
        <w:rPr>
          <w:rFonts w:ascii="Times New Roman" w:cs="Times New Roman" w:eastAsia="SimSun" w:hAnsi="Times New Roman"/>
          <w:sz w:val="21"/>
          <w:szCs w:val="21"/>
        </w:rPr>
        <w:t xml:space="preserve">3.6.2. The Joint Committee shall maintain a transition inventory that classifies each deliverable as ready for legal drafting, requiring further technical work, politically sensitive, deferred, or rejected.</w:t>
      </w:r>
    </w:p>
    <w:p w14:paraId="379B19DE">
      <w:pPr>
        <w:spacing w:after="95" w:line="252"/>
      </w:pPr>
      <w:r>
        <w:rPr>
          <w:rFonts w:ascii="Times New Roman" w:cs="Times New Roman" w:eastAsia="SimSun" w:hAnsi="Times New Roman"/>
          <w:sz w:val="21"/>
          <w:szCs w:val="21"/>
        </w:rPr>
        <w:t xml:space="preserve">3.6.3. The transition inventory shall note interaction with any parallel Canada and United States process where relevant to trilateral consistency, while preserving the bilateral character of this Agreement and avoiding any implication that Canada has approved this text.</w:t>
      </w:r>
    </w:p>
    <w:p w14:paraId="35992584">
      <w:pPr>
        <w:pStyle w:val="Heading1"/>
        <w:keepNext/>
        <w:pageBreakBefore/>
        <w:spacing w:after="115" w:before="330"/>
      </w:pPr>
      <w:bookmarkStart w:id="927" w:name="_Toc236229927"/>
      <w:bookmarkStart w:name="h729" w:id="729"/>
      <w:r>
        <w:rPr>
          <w:rFonts w:ascii="Times New Roman" w:cs="Times New Roman" w:eastAsia="SimSun" w:hAnsi="Times New Roman"/>
          <w:b/>
          <w:bCs/>
          <w:color w:val="263238"/>
          <w:sz w:val="29"/>
          <w:szCs w:val="29"/>
        </w:rPr>
        <w:t xml:space="preserve">Part Four: Sectoral Working Groups, Mandates, and Deliverables</w:t>
      </w:r>
      <w:bookmarkEnd w:id="729"/>
      <w:bookmarkEnd w:id="927"/>
    </w:p>
    <w:p w14:paraId="599FAEC4">
      <w:pPr>
        <w:pStyle w:val="Heading2"/>
        <w:keepNext/>
        <w:spacing w:after="115" w:before="190"/>
      </w:pPr>
      <w:bookmarkStart w:id="928" w:name="_Toc236229928"/>
      <w:bookmarkStart w:name="h730" w:id="730"/>
      <w:r>
        <w:rPr>
          <w:rFonts w:ascii="Times New Roman" w:cs="Times New Roman" w:eastAsia="SimSun" w:hAnsi="Times New Roman"/>
          <w:b/>
          <w:bCs/>
          <w:color w:val="263238"/>
          <w:sz w:val="25"/>
          <w:szCs w:val="25"/>
        </w:rPr>
        <w:t xml:space="preserve">Article 4.0 Common Rules for All Working Groups</w:t>
      </w:r>
      <w:bookmarkEnd w:id="730"/>
      <w:bookmarkEnd w:id="928"/>
    </w:p>
    <w:p w14:paraId="3296243C">
      <w:pPr>
        <w:spacing w:after="95" w:line="252"/>
      </w:pPr>
      <w:r>
        <w:rPr>
          <w:rFonts w:ascii="Times New Roman" w:cs="Times New Roman" w:eastAsia="SimSun" w:hAnsi="Times New Roman"/>
          <w:sz w:val="21"/>
          <w:szCs w:val="21"/>
        </w:rPr>
        <w:t xml:space="preserve">4.0.1. Each Working Group is established on entry into force and operates under the mandate, deliverables, and procedures stated for that group and this Article.</w:t>
      </w:r>
    </w:p>
    <w:p w14:paraId="3541F6EC">
      <w:pPr>
        <w:spacing w:after="95" w:line="252"/>
      </w:pPr>
      <w:r>
        <w:t>4.0.2. Each Party shall appoint co-chairs and members within seven days after entry into force and notify names, titles, affiliations, security clearances where relevant, and contact details through the contact points.</w:t>
      </w:r>
    </w:p>
    <w:p w14:paraId="2BF48A00">
      <w:pPr>
        <w:spacing w:after="95" w:line="252"/>
      </w:pPr>
      <w:r>
        <w:t>4.0.3. Each Working Group shall hold an organizational meeting by Day 10, a first substantive meeting within 12 days after entry into force, adopt a work plan within 18 days, and meet at least every two weeks unless the Joint Committee approves a different cadence.</w:t>
      </w:r>
    </w:p>
    <w:p w14:paraId="66A60BEC">
      <w:pPr>
        <w:spacing w:after="95" w:line="252"/>
      </w:pPr>
      <w:r>
        <w:rPr>
          <w:rFonts w:ascii="Times New Roman" w:cs="Times New Roman" w:eastAsia="SimSun" w:hAnsi="Times New Roman"/>
          <w:sz w:val="21"/>
          <w:szCs w:val="21"/>
        </w:rPr>
        <w:t xml:space="preserve">4.0.4. A deliverable must state the issue, options, legal basis, affected USMCA or T-MEC provisions, domestic procedure required, economic and operational impact, implementation timeline, verification method, survival classification, bilateral balance analysis, and unresolved disagreement.</w:t>
      </w:r>
    </w:p>
    <w:p w14:paraId="07D444C4">
      <w:pPr>
        <w:spacing w:after="95" w:line="252"/>
      </w:pPr>
      <w:r>
        <w:rPr>
          <w:rFonts w:ascii="Times New Roman" w:cs="Times New Roman" w:eastAsia="SimSun" w:hAnsi="Times New Roman"/>
          <w:sz w:val="21"/>
          <w:szCs w:val="21"/>
        </w:rPr>
        <w:t xml:space="preserve">4.0.5. A Working Group may not amend this Agreement, bind the Parties, waive a right, condition a trade benefit on security performance, or announce a governmental decision. It may recommend, draft, test, verify, and report.</w:t>
      </w:r>
    </w:p>
    <w:p w14:paraId="717DCB94">
      <w:pPr>
        <w:spacing w:after="95" w:line="252"/>
      </w:pPr>
      <w:r>
        <w:rPr>
          <w:rFonts w:ascii="Times New Roman" w:cs="Times New Roman" w:eastAsia="SimSun" w:hAnsi="Times New Roman"/>
          <w:sz w:val="21"/>
          <w:szCs w:val="21"/>
        </w:rPr>
        <w:t xml:space="preserve">4.0.6. Working Groups may consult stakeholders, experts, subnational authorities, and regulators, subject to confidentiality, conflict of interest, and equal access rules recorded in the work plan.</w:t>
      </w:r>
    </w:p>
    <w:p w14:paraId="7963BFC2">
      <w:pPr>
        <w:spacing w:after="95" w:line="252"/>
      </w:pPr>
      <w:r>
        <w:rPr>
          <w:rFonts w:ascii="Times New Roman" w:cs="Times New Roman" w:eastAsia="SimSun" w:hAnsi="Times New Roman"/>
          <w:sz w:val="21"/>
          <w:szCs w:val="21"/>
        </w:rPr>
        <w:t xml:space="preserve">4.0.7. Working Group records are confidential unless the Joint Committee approves release, domestic law requires disclosure, or a record is already public. Personal data, trade secrets, law enforcement material, and classified information receive the protection required by applicable law.</w:t>
      </w:r>
    </w:p>
    <w:p w14:paraId="493FC8A2">
      <w:pPr>
        <w:spacing w:after="95" w:line="252"/>
      </w:pPr>
      <w:r>
        <w:rPr>
          <w:rFonts w:ascii="Times New Roman" w:cs="Times New Roman" w:eastAsia="SimSun" w:hAnsi="Times New Roman"/>
          <w:sz w:val="21"/>
          <w:szCs w:val="21"/>
        </w:rPr>
        <w:t xml:space="preserve">4.0.8. If a Working Group cannot reach consensus, the co-chairs shall prepare a report that states agreed text, alternative texts, and the specific point of disagreement for Joint Committee decision or escalation.</w:t>
      </w:r>
    </w:p>
    <w:p w14:paraId="752F7F54">
      <w:r>
        <w:t>4.0.9. Common minimum record. Each module file must state the issue, options, legal basis, data relied upon, affected USMCA/T-MEC provisions, domestic procedure, stakeholder input, economic and operational impact, implementation timeline, verification method, survival classification, bilateral-balance analysis, unresolved disagreement, and responsible officials.</w:t>
      </w:r>
    </w:p>
    <w:p w14:paraId="305DB536">
      <w:r>
        <w:t>4.0.10. Review and handoff. A module is handed off only when both co-chairs certify the record as complete and classify it as ready for legal drafting, requiring further technical work, politically sensitive, deferred, or rejected. The Joint Committee shall record the handoff and any exceptions.</w:t>
      </w:r>
    </w:p>
    <w:p w14:paraId="6C04CB38">
      <w:r>
        <w:t>4.0.11. Prioritization and resources. The Joint Committee shall rank deliverables by legal necessity, implementation risk, and resource burden; may sequence non-critical work; and shall record staffing, technical-assistance needs, and funding source. Each Party funds its own participation unless a written joint project authorization states otherwise.</w:t>
      </w:r>
    </w:p>
    <w:p w14:paraId="2FC08F26">
      <w:pPr>
        <w:pStyle w:val="Heading2"/>
        <w:keepNext/>
        <w:spacing w:after="115" w:before="190"/>
      </w:pPr>
      <w:bookmarkStart w:id="929" w:name="_Toc236229929"/>
      <w:bookmarkStart w:name="h731" w:id="731"/>
      <w:r>
        <w:rPr>
          <w:rFonts w:ascii="Times New Roman" w:cs="Times New Roman" w:eastAsia="SimSun" w:hAnsi="Times New Roman"/>
          <w:b/>
          <w:bCs/>
          <w:color w:val="263238"/>
          <w:sz w:val="25"/>
          <w:szCs w:val="25"/>
        </w:rPr>
        <w:t xml:space="preserve">Working Group A: Automotive Industry and Rules of Origin</w:t>
      </w:r>
      <w:bookmarkEnd w:id="731"/>
      <w:bookmarkEnd w:id="929"/>
    </w:p>
    <w:p w14:paraId="6D1B8CC0">
      <w:pPr>
        <w:pStyle w:val="Heading3"/>
        <w:keepNext/>
        <w:spacing w:after="115" w:before="190"/>
      </w:pPr>
      <w:bookmarkStart w:name="h732" w:id="732"/>
      <w:r>
        <w:rPr>
          <w:rFonts w:ascii="Times New Roman" w:cs="Times New Roman" w:eastAsia="SimSun" w:hAnsi="Times New Roman"/>
          <w:b/>
          <w:bCs/>
          <w:color w:val="263238"/>
          <w:sz w:val="22"/>
          <w:szCs w:val="22"/>
        </w:rPr>
        <w:t xml:space="preserve">Article 4A.1 Mandate and Reference</w:t>
      </w:r>
      <w:bookmarkEnd w:id="732"/>
    </w:p>
    <w:p w14:paraId="01F6208A">
      <w:pPr>
        <w:spacing w:after="95" w:line="252"/>
      </w:pPr>
      <w:r>
        <w:rPr>
          <w:rFonts w:ascii="Times New Roman" w:cs="Times New Roman" w:eastAsia="SimSun" w:hAnsi="Times New Roman"/>
          <w:sz w:val="21"/>
          <w:szCs w:val="21"/>
        </w:rPr>
        <w:t xml:space="preserve">The Working Group operates with reference to USMCA and T-MEC Chapter 4 and automotive disciplines.</w:t>
      </w:r>
    </w:p>
    <w:p w14:paraId="696FAC72">
      <w:pPr>
        <w:spacing w:after="95" w:line="252"/>
      </w:pPr>
      <w:r>
        <w:rPr>
          <w:rFonts w:ascii="Times New Roman" w:cs="Times New Roman" w:eastAsia="SimSun" w:hAnsi="Times New Roman"/>
          <w:sz w:val="21"/>
          <w:szCs w:val="21"/>
        </w:rPr>
        <w:t xml:space="preserve">The mandate covers:</w:t>
      </w:r>
    </w:p>
    <w:p w14:paraId="45ADB60C">
      <w:pPr>
        <w:spacing w:after="95" w:line="252"/>
        <w:ind w:left="360"/>
      </w:pPr>
      <w:r>
        <w:rPr>
          <w:rFonts w:ascii="Times New Roman" w:cs="Times New Roman" w:eastAsia="SimSun" w:hAnsi="Times New Roman"/>
          <w:sz w:val="21"/>
          <w:szCs w:val="21"/>
        </w:rPr>
        <w:t xml:space="preserve">(a) Rules of origin, regional value content, core parts, calculation methods, audit trails, and transition effects.</w:t>
      </w:r>
    </w:p>
    <w:p w14:paraId="4E66068E">
      <w:pPr>
        <w:spacing w:after="95" w:line="252"/>
        <w:ind w:left="360"/>
      </w:pPr>
      <w:r>
        <w:rPr>
          <w:rFonts w:ascii="Times New Roman" w:cs="Times New Roman" w:eastAsia="SimSun" w:hAnsi="Times New Roman"/>
          <w:sz w:val="21"/>
          <w:szCs w:val="21"/>
        </w:rPr>
        <w:t xml:space="preserve">(b) Supply chain resilience, North American content, input substitution, traceability, and disruption planning.</w:t>
      </w:r>
    </w:p>
    <w:p w14:paraId="3A68EB30">
      <w:pPr>
        <w:spacing w:after="95" w:line="252"/>
        <w:ind w:left="360"/>
      </w:pPr>
      <w:r>
        <w:rPr>
          <w:rFonts w:ascii="Times New Roman" w:cs="Times New Roman" w:eastAsia="SimSun" w:hAnsi="Times New Roman"/>
          <w:sz w:val="21"/>
          <w:szCs w:val="21"/>
        </w:rPr>
        <w:t xml:space="preserve">(c) Electric vehicle battery rules, battery components, critical minerals sourcing, recycling content, and clean vehicle policy interfaces.</w:t>
      </w:r>
    </w:p>
    <w:p w14:paraId="5A4BABD6">
      <w:pPr>
        <w:spacing w:after="95" w:line="252"/>
        <w:ind w:left="360"/>
      </w:pPr>
      <w:r>
        <w:rPr>
          <w:rFonts w:ascii="Times New Roman" w:cs="Times New Roman" w:eastAsia="SimSun" w:hAnsi="Times New Roman"/>
          <w:sz w:val="21"/>
          <w:szCs w:val="21"/>
        </w:rPr>
        <w:t xml:space="preserve">(d) Circumvention prevention involving non-Party countries, ownership transparency, processing in Mexico, substantial transformation, and data matching.</w:t>
      </w:r>
    </w:p>
    <w:p w14:paraId="54B5E59E">
      <w:pPr>
        <w:spacing w:after="95" w:line="252"/>
        <w:ind w:left="360"/>
      </w:pPr>
      <w:r>
        <w:rPr>
          <w:rFonts w:ascii="Times New Roman" w:cs="Times New Roman" w:eastAsia="SimSun" w:hAnsi="Times New Roman"/>
          <w:sz w:val="21"/>
          <w:szCs w:val="21"/>
        </w:rPr>
        <w:t xml:space="preserve">(e) Documentation standards, certification of origin, verification visits, producer affidavits, supplier declarations, and electronic data exchange.</w:t>
      </w:r>
    </w:p>
    <w:p w14:paraId="0F5DE430">
      <w:pPr>
        <w:spacing w:after="95" w:line="252"/>
        <w:ind w:left="360"/>
      </w:pPr>
      <w:r>
        <w:rPr>
          <w:rFonts w:ascii="Times New Roman" w:cs="Times New Roman" w:eastAsia="SimSun" w:hAnsi="Times New Roman"/>
          <w:sz w:val="21"/>
          <w:szCs w:val="21"/>
        </w:rPr>
        <w:t xml:space="preserve">(f) Any proposal to raise content thresholds or add country-specific content requirements is an analytical option only unless later adopted through required procedures.</w:t>
      </w:r>
    </w:p>
    <w:p w14:paraId="601F90CA">
      <w:pPr>
        <w:pStyle w:val="Heading3"/>
        <w:keepNext/>
        <w:spacing w:after="115" w:before="190"/>
      </w:pPr>
      <w:bookmarkStart w:name="h733" w:id="733"/>
      <w:r>
        <w:rPr>
          <w:rFonts w:ascii="Times New Roman" w:cs="Times New Roman" w:eastAsia="SimSun" w:hAnsi="Times New Roman"/>
          <w:b/>
          <w:bCs/>
          <w:color w:val="263238"/>
          <w:sz w:val="22"/>
          <w:szCs w:val="22"/>
        </w:rPr>
        <w:t xml:space="preserve">Article 4A.2 Composition and Governance</w:t>
      </w:r>
      <w:bookmarkEnd w:id="733"/>
    </w:p>
    <w:p w14:paraId="72A38D30">
      <w:pPr>
        <w:spacing w:after="95" w:line="252"/>
        <w:ind w:left="360"/>
      </w:pPr>
      <w:r>
        <w:rPr>
          <w:rFonts w:ascii="Times New Roman" w:cs="Times New Roman" w:eastAsia="SimSun" w:hAnsi="Times New Roman"/>
          <w:sz w:val="21"/>
          <w:szCs w:val="21"/>
        </w:rPr>
        <w:t xml:space="preserve">(a) Up to five representatives per Party with expertise in automotive manufacturing, customs, trade law, taxation, labor, and supply chain security.</w:t>
      </w:r>
    </w:p>
    <w:p w14:paraId="6316DACE">
      <w:pPr>
        <w:spacing w:after="95" w:line="252"/>
        <w:ind w:left="360"/>
      </w:pPr>
      <w:r>
        <w:rPr>
          <w:rFonts w:ascii="Times New Roman" w:cs="Times New Roman" w:eastAsia="SimSun" w:hAnsi="Times New Roman"/>
          <w:sz w:val="21"/>
          <w:szCs w:val="21"/>
        </w:rPr>
        <w:t xml:space="preserve">(b) Each Party includes at least one customs verification official, one production or industry specialist, and one legal official familiar with origin disputes.</w:t>
      </w:r>
    </w:p>
    <w:p w14:paraId="2CAD2584">
      <w:pPr>
        <w:spacing w:after="95" w:line="252"/>
      </w:pPr>
      <w:r>
        <w:rPr>
          <w:rFonts w:ascii="Times New Roman" w:cs="Times New Roman" w:eastAsia="SimSun" w:hAnsi="Times New Roman"/>
          <w:sz w:val="21"/>
          <w:szCs w:val="21"/>
        </w:rPr>
        <w:t xml:space="preserve">The co-chairs maintain a roster, calendar, decision log, risk register, and deliverable tracker. A quorum requires at least half of each Party's appointed members and both co-chairs or designated alternates.</w:t>
      </w:r>
    </w:p>
    <w:p w14:paraId="2842C4CC">
      <w:pPr>
        <w:spacing w:after="95" w:line="252"/>
      </w:pPr>
      <w:r>
        <w:rPr>
          <w:rFonts w:ascii="Times New Roman" w:cs="Times New Roman" w:eastAsia="SimSun" w:hAnsi="Times New Roman"/>
          <w:sz w:val="21"/>
          <w:szCs w:val="21"/>
        </w:rPr>
        <w:t xml:space="preserve">Decisions are by consensus of the co-chairs after consultation within each delegation. Failure to reach consensus is recorded without attribution unless a member requests attribution.</w:t>
      </w:r>
    </w:p>
    <w:p w14:paraId="683B4DD6">
      <w:pPr>
        <w:pStyle w:val="Heading3"/>
        <w:keepNext/>
        <w:spacing w:after="115" w:before="190"/>
      </w:pPr>
      <w:bookmarkStart w:name="h734" w:id="734"/>
      <w:r>
        <w:rPr>
          <w:rFonts w:ascii="Times New Roman" w:cs="Times New Roman" w:eastAsia="SimSun" w:hAnsi="Times New Roman"/>
          <w:b/>
          <w:bCs/>
          <w:color w:val="263238"/>
          <w:sz w:val="22"/>
          <w:szCs w:val="22"/>
        </w:rPr>
        <w:t xml:space="preserve">Article 4A.3 Deliverables</w:t>
      </w:r>
      <w:bookmarkEnd w:id="734"/>
    </w:p>
    <w:p w14:paraId="62446390">
      <w:pPr>
        <w:spacing w:after="95" w:line="252"/>
      </w:pPr>
      <w:r>
        <w:rPr>
          <w:rFonts w:ascii="Times New Roman" w:cs="Times New Roman" w:eastAsia="SimSun" w:hAnsi="Times New Roman"/>
          <w:sz w:val="21"/>
          <w:szCs w:val="21"/>
        </w:rPr>
        <w:t xml:space="preserve">4A.3.1. By Day 30: inventory of origin verification practices, data gaps, and high-risk supply chains.</w:t>
      </w:r>
    </w:p>
    <w:p w14:paraId="0E0B01BE">
      <w:pPr>
        <w:spacing w:after="95" w:line="252"/>
      </w:pPr>
      <w:r>
        <w:rPr>
          <w:rFonts w:ascii="Times New Roman" w:cs="Times New Roman" w:eastAsia="SimSun" w:hAnsi="Times New Roman"/>
          <w:sz w:val="21"/>
          <w:szCs w:val="21"/>
        </w:rPr>
        <w:t xml:space="preserve">4A.3.2. By Day 60: recommendations for verification, documentation, sampling, audit capacity, and anti-circumvention controls.</w:t>
      </w:r>
    </w:p>
    <w:p w14:paraId="73CC72A8">
      <w:pPr>
        <w:spacing w:after="95" w:line="252"/>
      </w:pPr>
      <w:r>
        <w:rPr>
          <w:rFonts w:ascii="Times New Roman" w:cs="Times New Roman" w:eastAsia="SimSun" w:hAnsi="Times New Roman"/>
          <w:sz w:val="21"/>
          <w:szCs w:val="21"/>
        </w:rPr>
        <w:t xml:space="preserve">4A.3.3. By Day 80: proposed Automotive Modernization Annex with options, survival classification, and bilateral balance analysis.</w:t>
      </w:r>
    </w:p>
    <w:p w14:paraId="4B117374">
      <w:pPr>
        <w:spacing w:after="95" w:line="252"/>
      </w:pPr>
      <w:r>
        <w:rPr>
          <w:rFonts w:ascii="Times New Roman" w:cs="Times New Roman" w:eastAsia="SimSun" w:hAnsi="Times New Roman"/>
          <w:sz w:val="21"/>
          <w:szCs w:val="21"/>
        </w:rPr>
        <w:t xml:space="preserve">Each deliverable is submitted to the Joint Committee and copied to contact points. A deliverable becomes public only as approved by the Joint Committee or required by law.</w:t>
      </w:r>
    </w:p>
    <w:p w14:paraId="0B9BD706">
      <w:pPr>
        <w:spacing w:after="95" w:line="252"/>
      </w:pPr>
      <w:r>
        <w:rPr>
          <w:rFonts w:ascii="Times New Roman" w:cs="Times New Roman" w:eastAsia="SimSun" w:hAnsi="Times New Roman"/>
          <w:sz w:val="21"/>
          <w:szCs w:val="21"/>
        </w:rPr>
        <w:t xml:space="preserve">A deliverable recommending legal change includes proposed text, explanation, consistency analysis, affected domestic procedures, consultation plan, implementation schedule, survival classification, and bilateral balance note.</w:t>
      </w:r>
    </w:p>
    <w:p w14:paraId="3FAAEA1E">
      <w:pPr>
        <w:pStyle w:val="Heading3"/>
        <w:keepNext/>
        <w:spacing w:after="115" w:before="190"/>
      </w:pPr>
      <w:bookmarkStart w:name="h735" w:id="735"/>
      <w:r>
        <w:rPr>
          <w:rFonts w:ascii="Times New Roman" w:cs="Times New Roman" w:eastAsia="SimSun" w:hAnsi="Times New Roman"/>
          <w:b/>
          <w:bCs/>
          <w:color w:val="263238"/>
          <w:sz w:val="22"/>
          <w:szCs w:val="22"/>
        </w:rPr>
        <w:t xml:space="preserve">Article 4A.4 Commitments, Safeguards, and Balance</w:t>
      </w:r>
      <w:bookmarkEnd w:id="735"/>
    </w:p>
    <w:p w14:paraId="3C7A62A8">
      <w:pPr>
        <w:spacing w:after="95" w:line="252"/>
        <w:ind w:left="360"/>
      </w:pPr>
      <w:r>
        <w:rPr>
          <w:rFonts w:ascii="Times New Roman" w:cs="Times New Roman" w:eastAsia="SimSun" w:hAnsi="Times New Roman"/>
          <w:sz w:val="21"/>
          <w:szCs w:val="21"/>
        </w:rPr>
        <w:t xml:space="preserve">(a) Origin verification is risk-based and avoids broad disruption of compliant production.</w:t>
      </w:r>
    </w:p>
    <w:p w14:paraId="0DAC2472">
      <w:pPr>
        <w:spacing w:after="95" w:line="252"/>
        <w:ind w:left="360"/>
      </w:pPr>
      <w:r>
        <w:rPr>
          <w:rFonts w:ascii="Times New Roman" w:cs="Times New Roman" w:eastAsia="SimSun" w:hAnsi="Times New Roman"/>
          <w:sz w:val="21"/>
          <w:szCs w:val="21"/>
        </w:rPr>
        <w:t xml:space="preserve">(b) A verification request states legal basis, period, records sought, and reasonable response time.</w:t>
      </w:r>
    </w:p>
    <w:p w14:paraId="3F428020">
      <w:pPr>
        <w:spacing w:after="95" w:line="252"/>
        <w:ind w:left="360"/>
      </w:pPr>
      <w:r>
        <w:rPr>
          <w:rFonts w:ascii="Times New Roman" w:cs="Times New Roman" w:eastAsia="SimSun" w:hAnsi="Times New Roman"/>
          <w:sz w:val="21"/>
          <w:szCs w:val="21"/>
        </w:rPr>
        <w:t xml:space="preserve">(c) Any threshold change is tested against transition cost, supplier contracts, model cycles, investment commitments, and regional competitiveness.</w:t>
      </w:r>
    </w:p>
    <w:p w14:paraId="14D1228C">
      <w:pPr>
        <w:spacing w:after="95" w:line="252"/>
      </w:pPr>
      <w:r>
        <w:rPr>
          <w:rFonts w:ascii="Times New Roman" w:cs="Times New Roman" w:eastAsia="SimSun" w:hAnsi="Times New Roman"/>
          <w:sz w:val="21"/>
          <w:szCs w:val="21"/>
        </w:rPr>
        <w:t xml:space="preserve">The Working Group identifies early wins implementable without treaty amendment, items requiring negotiation, and items that should not proceed during the Interim Period.</w:t>
      </w:r>
    </w:p>
    <w:p w14:paraId="1292F3AE">
      <w:pPr>
        <w:spacing w:after="95" w:line="252"/>
      </w:pPr>
      <w:r>
        <w:rPr>
          <w:rFonts w:ascii="Times New Roman" w:cs="Times New Roman" w:eastAsia="SimSun" w:hAnsi="Times New Roman"/>
          <w:sz w:val="21"/>
          <w:szCs w:val="21"/>
        </w:rPr>
        <w:t xml:space="preserve">A Mexico-specific obligation must be matched by a United States obligation, justified by an adopted dispute obligation, or recorded as an intentional negotiated exchange. The same rule applies to a United States-specific obligation.</w:t>
      </w:r>
    </w:p>
    <w:p w14:paraId="4C193B4A">
      <w:pPr>
        <w:pStyle w:val="Heading2"/>
        <w:keepNext/>
        <w:spacing w:after="115" w:before="190"/>
      </w:pPr>
      <w:bookmarkStart w:id="930" w:name="_Toc236229930"/>
      <w:bookmarkStart w:name="h736" w:id="736"/>
      <w:r>
        <w:rPr>
          <w:rFonts w:ascii="Times New Roman" w:cs="Times New Roman" w:eastAsia="SimSun" w:hAnsi="Times New Roman"/>
          <w:b/>
          <w:bCs/>
          <w:color w:val="263238"/>
          <w:sz w:val="25"/>
          <w:szCs w:val="25"/>
        </w:rPr>
        <w:t xml:space="preserve">Working Group B: Steel, Aluminum, and Industrial Inputs</w:t>
      </w:r>
      <w:bookmarkEnd w:id="736"/>
      <w:bookmarkEnd w:id="930"/>
    </w:p>
    <w:p w14:paraId="5421AA5E">
      <w:pPr>
        <w:pStyle w:val="Heading3"/>
        <w:keepNext/>
        <w:spacing w:after="115" w:before="190"/>
      </w:pPr>
      <w:bookmarkStart w:name="h737" w:id="737"/>
      <w:r>
        <w:rPr>
          <w:rFonts w:ascii="Times New Roman" w:cs="Times New Roman" w:eastAsia="SimSun" w:hAnsi="Times New Roman"/>
          <w:b/>
          <w:bCs/>
          <w:color w:val="263238"/>
          <w:sz w:val="22"/>
          <w:szCs w:val="22"/>
        </w:rPr>
        <w:t xml:space="preserve">Article 4B.1 Mandate and Reference</w:t>
      </w:r>
      <w:bookmarkEnd w:id="737"/>
    </w:p>
    <w:p w14:paraId="2E797DDC">
      <w:pPr>
        <w:spacing w:after="95" w:line="252"/>
      </w:pPr>
      <w:r>
        <w:rPr>
          <w:rFonts w:ascii="Times New Roman" w:cs="Times New Roman" w:eastAsia="SimSun" w:hAnsi="Times New Roman"/>
          <w:sz w:val="21"/>
          <w:szCs w:val="21"/>
        </w:rPr>
        <w:t xml:space="preserve">The Working Group operates with reference to USMCA and T-MEC goods, customs, national treatment, and dispute disciplines.</w:t>
      </w:r>
    </w:p>
    <w:p w14:paraId="334F5A32">
      <w:pPr>
        <w:spacing w:after="95" w:line="252"/>
      </w:pPr>
      <w:r>
        <w:rPr>
          <w:rFonts w:ascii="Times New Roman" w:cs="Times New Roman" w:eastAsia="SimSun" w:hAnsi="Times New Roman"/>
          <w:sz w:val="21"/>
          <w:szCs w:val="21"/>
        </w:rPr>
        <w:t xml:space="preserve">The mandate covers:</w:t>
      </w:r>
    </w:p>
    <w:p w14:paraId="07DF5586">
      <w:pPr>
        <w:spacing w:after="95" w:line="252"/>
        <w:ind w:left="360"/>
      </w:pPr>
      <w:r>
        <w:rPr>
          <w:rFonts w:ascii="Times New Roman" w:cs="Times New Roman" w:eastAsia="SimSun" w:hAnsi="Times New Roman"/>
          <w:sz w:val="21"/>
          <w:szCs w:val="21"/>
        </w:rPr>
        <w:t xml:space="preserve">(a) Treatment of steel, aluminum, copper, and derivative or industrial inputs only by legal mapping to measures actually in force.</w:t>
      </w:r>
    </w:p>
    <w:p w14:paraId="4098BFC4">
      <w:pPr>
        <w:spacing w:after="95" w:line="252"/>
        <w:ind w:left="360"/>
      </w:pPr>
      <w:r>
        <w:rPr>
          <w:rFonts w:ascii="Times New Roman" w:cs="Times New Roman" w:eastAsia="SimSun" w:hAnsi="Times New Roman"/>
          <w:sz w:val="21"/>
          <w:szCs w:val="21"/>
        </w:rPr>
        <w:t xml:space="preserve">(b) Monitoring of trade flows, import surges, melt and pour or smelt and cast information, capacity utilization, and downstream effects.</w:t>
      </w:r>
    </w:p>
    <w:p w14:paraId="6EC17944">
      <w:pPr>
        <w:spacing w:after="95" w:line="252"/>
        <w:ind w:left="360"/>
      </w:pPr>
      <w:r>
        <w:rPr>
          <w:rFonts w:ascii="Times New Roman" w:cs="Times New Roman" w:eastAsia="SimSun" w:hAnsi="Times New Roman"/>
          <w:sz w:val="21"/>
          <w:szCs w:val="21"/>
        </w:rPr>
        <w:t xml:space="preserve">(c) Prevention of transshipment, false documentation, misclassification, and minimal processing.</w:t>
      </w:r>
    </w:p>
    <w:p w14:paraId="52269712">
      <w:pPr>
        <w:spacing w:after="95" w:line="252"/>
        <w:ind w:left="360"/>
      </w:pPr>
      <w:r>
        <w:rPr>
          <w:rFonts w:ascii="Times New Roman" w:cs="Times New Roman" w:eastAsia="SimSun" w:hAnsi="Times New Roman"/>
          <w:sz w:val="21"/>
          <w:szCs w:val="21"/>
        </w:rPr>
        <w:t xml:space="preserve">(d) Supply chain security, domestic production capacity, defense and infrastructure inputs, and resilience of downstream users.</w:t>
      </w:r>
    </w:p>
    <w:p w14:paraId="6ACBF44A">
      <w:pPr>
        <w:spacing w:after="95" w:line="252"/>
        <w:ind w:left="360"/>
      </w:pPr>
      <w:r>
        <w:rPr>
          <w:rFonts w:ascii="Times New Roman" w:cs="Times New Roman" w:eastAsia="SimSun" w:hAnsi="Times New Roman"/>
          <w:sz w:val="21"/>
          <w:szCs w:val="21"/>
        </w:rPr>
        <w:t xml:space="preserve">(e) Coordination on overcapacity, carbon intensity measurement, standards compatibility, and non-market practices.</w:t>
      </w:r>
    </w:p>
    <w:p w14:paraId="5B921C8A">
      <w:pPr>
        <w:pStyle w:val="Heading3"/>
        <w:keepNext/>
        <w:spacing w:after="115" w:before="190"/>
      </w:pPr>
      <w:bookmarkStart w:name="h738" w:id="738"/>
      <w:r>
        <w:rPr>
          <w:rFonts w:ascii="Times New Roman" w:cs="Times New Roman" w:eastAsia="SimSun" w:hAnsi="Times New Roman"/>
          <w:b/>
          <w:bCs/>
          <w:color w:val="263238"/>
          <w:sz w:val="22"/>
          <w:szCs w:val="22"/>
        </w:rPr>
        <w:t xml:space="preserve">Article 4B.2 Composition and Governance</w:t>
      </w:r>
      <w:bookmarkEnd w:id="738"/>
    </w:p>
    <w:p w14:paraId="2EC0930E">
      <w:pPr>
        <w:spacing w:after="95" w:line="252"/>
        <w:ind w:left="360"/>
      </w:pPr>
      <w:r>
        <w:rPr>
          <w:rFonts w:ascii="Times New Roman" w:cs="Times New Roman" w:eastAsia="SimSun" w:hAnsi="Times New Roman"/>
          <w:sz w:val="21"/>
          <w:szCs w:val="21"/>
        </w:rPr>
        <w:t xml:space="preserve">(a) Up to five representatives per Party with expertise in metals trade, customs, industry capacity, trade remedies, and statistics.</w:t>
      </w:r>
    </w:p>
    <w:p w14:paraId="3BF59CDE">
      <w:pPr>
        <w:spacing w:after="95" w:line="252"/>
        <w:ind w:left="360"/>
      </w:pPr>
      <w:r>
        <w:rPr>
          <w:rFonts w:ascii="Times New Roman" w:cs="Times New Roman" w:eastAsia="SimSun" w:hAnsi="Times New Roman"/>
          <w:sz w:val="21"/>
          <w:szCs w:val="21"/>
        </w:rPr>
        <w:t xml:space="preserve">(b) Technical experts may be invited for melt and pour, smelt and cast, standards, and carbon measurement under confidentiality rules.</w:t>
      </w:r>
    </w:p>
    <w:p w14:paraId="031DCCF0">
      <w:pPr>
        <w:spacing w:after="95" w:line="252"/>
      </w:pPr>
      <w:r>
        <w:rPr>
          <w:rFonts w:ascii="Times New Roman" w:cs="Times New Roman" w:eastAsia="SimSun" w:hAnsi="Times New Roman"/>
          <w:sz w:val="21"/>
          <w:szCs w:val="21"/>
        </w:rPr>
        <w:t xml:space="preserve">The co-chairs maintain a roster, calendar, decision log, risk register, and deliverable tracker. A quorum requires at least half of each Party's appointed members and both co-chairs or designated alternates.</w:t>
      </w:r>
    </w:p>
    <w:p w14:paraId="15644D50">
      <w:pPr>
        <w:spacing w:after="95" w:line="252"/>
      </w:pPr>
      <w:r>
        <w:rPr>
          <w:rFonts w:ascii="Times New Roman" w:cs="Times New Roman" w:eastAsia="SimSun" w:hAnsi="Times New Roman"/>
          <w:sz w:val="21"/>
          <w:szCs w:val="21"/>
        </w:rPr>
        <w:t xml:space="preserve">Decisions are by consensus of the co-chairs after consultation within each delegation. Failure to reach consensus is recorded without attribution unless a member requests attribution.</w:t>
      </w:r>
    </w:p>
    <w:p w14:paraId="560431C0">
      <w:pPr>
        <w:pStyle w:val="Heading3"/>
        <w:keepNext/>
        <w:spacing w:after="115" w:before="190"/>
      </w:pPr>
      <w:bookmarkStart w:name="h739" w:id="739"/>
      <w:r>
        <w:rPr>
          <w:rFonts w:ascii="Times New Roman" w:cs="Times New Roman" w:eastAsia="SimSun" w:hAnsi="Times New Roman"/>
          <w:b/>
          <w:bCs/>
          <w:color w:val="263238"/>
          <w:sz w:val="22"/>
          <w:szCs w:val="22"/>
        </w:rPr>
        <w:t xml:space="preserve">Article 4B.3 Deliverables</w:t>
      </w:r>
      <w:bookmarkEnd w:id="739"/>
    </w:p>
    <w:p w14:paraId="21C7FEC2">
      <w:pPr>
        <w:spacing w:after="95" w:line="252"/>
      </w:pPr>
      <w:r>
        <w:rPr>
          <w:rFonts w:ascii="Times New Roman" w:cs="Times New Roman" w:eastAsia="SimSun" w:hAnsi="Times New Roman"/>
          <w:sz w:val="21"/>
          <w:szCs w:val="21"/>
        </w:rPr>
        <w:t xml:space="preserve">4B.3.1. By Day 30: legal map of any metals measures proposed for elimination, including authority, scope, exclusions, and open issues.</w:t>
      </w:r>
    </w:p>
    <w:p w14:paraId="24D38868">
      <w:pPr>
        <w:spacing w:after="95" w:line="252"/>
      </w:pPr>
      <w:r>
        <w:rPr>
          <w:rFonts w:ascii="Times New Roman" w:cs="Times New Roman" w:eastAsia="SimSun" w:hAnsi="Times New Roman"/>
          <w:sz w:val="21"/>
          <w:szCs w:val="21"/>
        </w:rPr>
        <w:t xml:space="preserve">4B.3.2. By Day 60: monitoring framework with data fields, cadence, confidentiality rules, anomaly triggers, and anti-abuse review.</w:t>
      </w:r>
    </w:p>
    <w:p w14:paraId="784026CA">
      <w:pPr>
        <w:spacing w:after="95" w:line="252"/>
      </w:pPr>
      <w:r>
        <w:rPr>
          <w:rFonts w:ascii="Times New Roman" w:cs="Times New Roman" w:eastAsia="SimSun" w:hAnsi="Times New Roman"/>
          <w:sz w:val="21"/>
          <w:szCs w:val="21"/>
        </w:rPr>
        <w:t xml:space="preserve">4B.3.3. By Day 80: recommendations for durable treatment, exclusions, quotas, licensing, monitoring, or replacement arrangements that do not defeat elimination.</w:t>
      </w:r>
    </w:p>
    <w:p w14:paraId="51F3EE1E">
      <w:pPr>
        <w:spacing w:after="95" w:line="252"/>
      </w:pPr>
      <w:r>
        <w:rPr>
          <w:rFonts w:ascii="Times New Roman" w:cs="Times New Roman" w:eastAsia="SimSun" w:hAnsi="Times New Roman"/>
          <w:sz w:val="21"/>
          <w:szCs w:val="21"/>
        </w:rPr>
        <w:t xml:space="preserve">Each deliverable is submitted to the Joint Committee and copied to contact points. A deliverable becomes public only as approved by the Joint Committee or required by law.</w:t>
      </w:r>
    </w:p>
    <w:p w14:paraId="3D8F1ED4">
      <w:pPr>
        <w:spacing w:after="95" w:line="252"/>
      </w:pPr>
      <w:r>
        <w:rPr>
          <w:rFonts w:ascii="Times New Roman" w:cs="Times New Roman" w:eastAsia="SimSun" w:hAnsi="Times New Roman"/>
          <w:sz w:val="21"/>
          <w:szCs w:val="21"/>
        </w:rPr>
        <w:t xml:space="preserve">A deliverable recommending legal change includes proposed text, explanation, consistency analysis, affected domestic procedures, consultation plan, implementation schedule, survival classification, and bilateral balance note.</w:t>
      </w:r>
    </w:p>
    <w:p w14:paraId="55E6C474">
      <w:pPr>
        <w:pStyle w:val="Heading3"/>
        <w:keepNext/>
        <w:spacing w:after="115" w:before="190"/>
      </w:pPr>
      <w:bookmarkStart w:name="h740" w:id="740"/>
      <w:r>
        <w:rPr>
          <w:rFonts w:ascii="Times New Roman" w:cs="Times New Roman" w:eastAsia="SimSun" w:hAnsi="Times New Roman"/>
          <w:b/>
          <w:bCs/>
          <w:color w:val="263238"/>
          <w:sz w:val="22"/>
          <w:szCs w:val="22"/>
        </w:rPr>
        <w:t xml:space="preserve">Article 4B.4 Commitments, Safeguards, and Balance</w:t>
      </w:r>
      <w:bookmarkEnd w:id="740"/>
    </w:p>
    <w:p w14:paraId="5C7BE3DE">
      <w:pPr>
        <w:spacing w:after="95" w:line="252"/>
        <w:ind w:left="360"/>
      </w:pPr>
      <w:r>
        <w:rPr>
          <w:rFonts w:ascii="Times New Roman" w:cs="Times New Roman" w:eastAsia="SimSun" w:hAnsi="Times New Roman"/>
          <w:sz w:val="21"/>
          <w:szCs w:val="21"/>
        </w:rPr>
        <w:t xml:space="preserve">(a) Monitoring is evidence-gathering and does not reimpose an eliminated measure.</w:t>
      </w:r>
    </w:p>
    <w:p w14:paraId="21919B7A">
      <w:pPr>
        <w:spacing w:after="95" w:line="252"/>
        <w:ind w:left="360"/>
      </w:pPr>
      <w:r>
        <w:rPr>
          <w:rFonts w:ascii="Times New Roman" w:cs="Times New Roman" w:eastAsia="SimSun" w:hAnsi="Times New Roman"/>
          <w:sz w:val="21"/>
          <w:szCs w:val="21"/>
        </w:rPr>
        <w:t xml:space="preserve">(b) An anomaly trigger requires data, source, product scope, time period, and proposed verification step.</w:t>
      </w:r>
    </w:p>
    <w:p w14:paraId="0088DCFC">
      <w:pPr>
        <w:spacing w:after="95" w:line="252"/>
        <w:ind w:left="360"/>
      </w:pPr>
      <w:r>
        <w:rPr>
          <w:rFonts w:ascii="Times New Roman" w:cs="Times New Roman" w:eastAsia="SimSun" w:hAnsi="Times New Roman"/>
          <w:sz w:val="21"/>
          <w:szCs w:val="21"/>
        </w:rPr>
        <w:t xml:space="preserve">(c) Recommendations distinguish national security, overcapacity, downstream competitiveness, and consumer impact.</w:t>
      </w:r>
    </w:p>
    <w:p w14:paraId="490C641A">
      <w:pPr>
        <w:spacing w:after="95" w:line="252"/>
      </w:pPr>
      <w:r>
        <w:rPr>
          <w:rFonts w:ascii="Times New Roman" w:cs="Times New Roman" w:eastAsia="SimSun" w:hAnsi="Times New Roman"/>
          <w:sz w:val="21"/>
          <w:szCs w:val="21"/>
        </w:rPr>
        <w:t xml:space="preserve">The Working Group identifies early wins implementable without treaty amendment, items requiring negotiation, and items that should not proceed during the Interim Period.</w:t>
      </w:r>
    </w:p>
    <w:p w14:paraId="60658D2A">
      <w:pPr>
        <w:spacing w:after="95" w:line="252"/>
      </w:pPr>
      <w:r>
        <w:rPr>
          <w:rFonts w:ascii="Times New Roman" w:cs="Times New Roman" w:eastAsia="SimSun" w:hAnsi="Times New Roman"/>
          <w:sz w:val="21"/>
          <w:szCs w:val="21"/>
        </w:rPr>
        <w:t xml:space="preserve">A Mexico-specific obligation must be matched by a United States obligation, justified by an adopted dispute obligation, or recorded as an intentional negotiated exchange. The same rule applies to a United States-specific obligation.</w:t>
      </w:r>
    </w:p>
    <w:p w14:paraId="518B4612">
      <w:pPr>
        <w:pStyle w:val="Heading2"/>
        <w:keepNext/>
        <w:spacing w:after="115" w:before="190"/>
      </w:pPr>
      <w:bookmarkStart w:id="931" w:name="_Toc236229931"/>
      <w:bookmarkStart w:name="h741" w:id="741"/>
      <w:r>
        <w:rPr>
          <w:rFonts w:ascii="Times New Roman" w:cs="Times New Roman" w:eastAsia="SimSun" w:hAnsi="Times New Roman"/>
          <w:b/>
          <w:bCs/>
          <w:color w:val="263238"/>
          <w:sz w:val="25"/>
          <w:szCs w:val="25"/>
        </w:rPr>
        <w:t xml:space="preserve">Working Group C: Agriculture and Food Security</w:t>
      </w:r>
      <w:bookmarkEnd w:id="741"/>
      <w:bookmarkEnd w:id="931"/>
    </w:p>
    <w:p w14:paraId="33D7CC9C">
      <w:pPr>
        <w:pStyle w:val="Heading3"/>
        <w:keepNext/>
        <w:spacing w:after="115" w:before="190"/>
      </w:pPr>
      <w:bookmarkStart w:name="h742" w:id="742"/>
      <w:r>
        <w:rPr>
          <w:rFonts w:ascii="Times New Roman" w:cs="Times New Roman" w:eastAsia="SimSun" w:hAnsi="Times New Roman"/>
          <w:b/>
          <w:bCs/>
          <w:color w:val="263238"/>
          <w:sz w:val="22"/>
          <w:szCs w:val="22"/>
        </w:rPr>
        <w:t xml:space="preserve">Article 4C.1 Mandate and Reference</w:t>
      </w:r>
      <w:bookmarkEnd w:id="742"/>
    </w:p>
    <w:p w14:paraId="2A5C3780">
      <w:pPr>
        <w:spacing w:after="95" w:line="252"/>
      </w:pPr>
      <w:r>
        <w:rPr>
          <w:rFonts w:ascii="Times New Roman" w:cs="Times New Roman" w:eastAsia="SimSun" w:hAnsi="Times New Roman"/>
          <w:sz w:val="21"/>
          <w:szCs w:val="21"/>
        </w:rPr>
        <w:t xml:space="preserve">The Working Group operates with reference to USMCA and T-MEC agriculture, sanitary and phytosanitary, biotechnology, and dispute provisions.</w:t>
      </w:r>
    </w:p>
    <w:p w14:paraId="4547F1F4">
      <w:pPr>
        <w:spacing w:after="95" w:line="252"/>
      </w:pPr>
      <w:r>
        <w:rPr>
          <w:rFonts w:ascii="Times New Roman" w:cs="Times New Roman" w:eastAsia="SimSun" w:hAnsi="Times New Roman"/>
          <w:sz w:val="21"/>
          <w:szCs w:val="21"/>
        </w:rPr>
        <w:t xml:space="preserve">The mandate covers:</w:t>
      </w:r>
    </w:p>
    <w:p w14:paraId="78DF569E">
      <w:pPr>
        <w:spacing w:after="95" w:line="252"/>
        <w:ind w:left="360"/>
      </w:pPr>
      <w:r>
        <w:rPr>
          <w:rFonts w:ascii="Times New Roman" w:cs="Times New Roman" w:eastAsia="SimSun" w:hAnsi="Times New Roman"/>
          <w:sz w:val="21"/>
          <w:szCs w:val="21"/>
        </w:rPr>
        <w:t xml:space="preserve">(a) Market access for agricultural products, including biotechnology, corn, ethanol, sugar, dairy, meat, produce, and processed foods.</w:t>
      </w:r>
    </w:p>
    <w:p w14:paraId="6CF3D3B4">
      <w:pPr>
        <w:spacing w:after="95" w:line="252"/>
        <w:ind w:left="360"/>
      </w:pPr>
      <w:r>
        <w:rPr>
          <w:rFonts w:ascii="Times New Roman" w:cs="Times New Roman" w:eastAsia="SimSun" w:hAnsi="Times New Roman"/>
          <w:sz w:val="21"/>
          <w:szCs w:val="21"/>
        </w:rPr>
        <w:t xml:space="preserve">(b) Implementation and compliance questions arising from adopted USMCA and T-MEC dispute reports, including the genetically engineered corn final report dated December 20, 2024, treated as a legal reference and not as a new finding by this draft.</w:t>
      </w:r>
    </w:p>
    <w:p w14:paraId="7A1EE146">
      <w:pPr>
        <w:spacing w:after="95" w:line="252"/>
        <w:ind w:left="360"/>
      </w:pPr>
      <w:r>
        <w:rPr>
          <w:rFonts w:ascii="Times New Roman" w:cs="Times New Roman" w:eastAsia="SimSun" w:hAnsi="Times New Roman"/>
          <w:sz w:val="21"/>
          <w:szCs w:val="21"/>
        </w:rPr>
        <w:t xml:space="preserve">(c) Sugar market access and tariff-rate quota administration, including allocation, reallocation, licensing, and timing.</w:t>
      </w:r>
    </w:p>
    <w:p w14:paraId="118B1C94">
      <w:pPr>
        <w:spacing w:after="95" w:line="252"/>
        <w:ind w:left="360"/>
      </w:pPr>
      <w:r>
        <w:rPr>
          <w:rFonts w:ascii="Times New Roman" w:cs="Times New Roman" w:eastAsia="SimSun" w:hAnsi="Times New Roman"/>
          <w:sz w:val="21"/>
          <w:szCs w:val="21"/>
        </w:rPr>
        <w:t xml:space="preserve">(d) Sanitary and phytosanitary standards, risk assessment, equivalence, regionalization, inspection, and reduction of duplicative requirements.</w:t>
      </w:r>
    </w:p>
    <w:p w14:paraId="3956E216">
      <w:pPr>
        <w:spacing w:after="95" w:line="252"/>
        <w:ind w:left="360"/>
      </w:pPr>
      <w:r>
        <w:rPr>
          <w:rFonts w:ascii="Times New Roman" w:cs="Times New Roman" w:eastAsia="SimSun" w:hAnsi="Times New Roman"/>
          <w:sz w:val="21"/>
          <w:szCs w:val="21"/>
        </w:rPr>
        <w:t xml:space="preserve">(e) Avocado certification, deforestation-linked export controls, traceability, packhouse and orchard verification, and smallholder impacts.</w:t>
      </w:r>
    </w:p>
    <w:p w14:paraId="49A62E1C">
      <w:pPr>
        <w:spacing w:after="95" w:line="252"/>
        <w:ind w:left="360"/>
      </w:pPr>
      <w:r>
        <w:rPr>
          <w:rFonts w:ascii="Times New Roman" w:cs="Times New Roman" w:eastAsia="SimSun" w:hAnsi="Times New Roman"/>
          <w:sz w:val="21"/>
          <w:szCs w:val="21"/>
        </w:rPr>
        <w:t xml:space="preserve">(f) Food security, seasonal supply, drought resilience, and emergency measures affecting perishable trade.</w:t>
      </w:r>
    </w:p>
    <w:p w14:paraId="51D18602">
      <w:pPr>
        <w:pStyle w:val="Heading3"/>
        <w:keepNext/>
        <w:spacing w:after="115" w:before="190"/>
      </w:pPr>
      <w:bookmarkStart w:name="h743" w:id="743"/>
      <w:r>
        <w:rPr>
          <w:rFonts w:ascii="Times New Roman" w:cs="Times New Roman" w:eastAsia="SimSun" w:hAnsi="Times New Roman"/>
          <w:b/>
          <w:bCs/>
          <w:color w:val="263238"/>
          <w:sz w:val="22"/>
          <w:szCs w:val="22"/>
        </w:rPr>
        <w:t xml:space="preserve">Article 4C.2 Composition and Governance</w:t>
      </w:r>
      <w:bookmarkEnd w:id="743"/>
    </w:p>
    <w:p w14:paraId="5E6F3C04">
      <w:pPr>
        <w:spacing w:after="95" w:line="252"/>
        <w:ind w:left="360"/>
      </w:pPr>
      <w:r>
        <w:rPr>
          <w:rFonts w:ascii="Times New Roman" w:cs="Times New Roman" w:eastAsia="SimSun" w:hAnsi="Times New Roman"/>
          <w:sz w:val="21"/>
          <w:szCs w:val="21"/>
        </w:rPr>
        <w:t xml:space="preserve">(a) Up to six representatives per Party covering agriculture, food safety, plant health, animal health, customs, trade law, and environmental verification.</w:t>
      </w:r>
    </w:p>
    <w:p w14:paraId="23A78A46">
      <w:pPr>
        <w:spacing w:after="95" w:line="252"/>
        <w:ind w:left="360"/>
      </w:pPr>
      <w:r>
        <w:rPr>
          <w:rFonts w:ascii="Times New Roman" w:cs="Times New Roman" w:eastAsia="SimSun" w:hAnsi="Times New Roman"/>
          <w:sz w:val="21"/>
          <w:szCs w:val="21"/>
        </w:rPr>
        <w:t xml:space="preserve">(b) Each Party includes officials responsible for the specific programs under discussion and a legal official for dispute compliance mapping.</w:t>
      </w:r>
    </w:p>
    <w:p w14:paraId="29B5011C">
      <w:pPr>
        <w:spacing w:after="95" w:line="252"/>
      </w:pPr>
      <w:r>
        <w:rPr>
          <w:rFonts w:ascii="Times New Roman" w:cs="Times New Roman" w:eastAsia="SimSun" w:hAnsi="Times New Roman"/>
          <w:sz w:val="21"/>
          <w:szCs w:val="21"/>
        </w:rPr>
        <w:t xml:space="preserve">The co-chairs maintain a roster, calendar, decision log, risk register, and deliverable tracker. A quorum requires at least half of each Party's appointed members and both co-chairs or designated alternates.</w:t>
      </w:r>
    </w:p>
    <w:p w14:paraId="03AD5276">
      <w:pPr>
        <w:spacing w:after="95" w:line="252"/>
      </w:pPr>
      <w:r>
        <w:rPr>
          <w:rFonts w:ascii="Times New Roman" w:cs="Times New Roman" w:eastAsia="SimSun" w:hAnsi="Times New Roman"/>
          <w:sz w:val="21"/>
          <w:szCs w:val="21"/>
        </w:rPr>
        <w:t xml:space="preserve">Decisions are by consensus of the co-chairs after consultation within each delegation. Failure to reach consensus is recorded without attribution unless a member requests attribution.</w:t>
      </w:r>
    </w:p>
    <w:p w14:paraId="1B0E7C00">
      <w:pPr>
        <w:pStyle w:val="Heading3"/>
        <w:keepNext/>
        <w:spacing w:after="115" w:before="190"/>
      </w:pPr>
      <w:bookmarkStart w:name="h744" w:id="744"/>
      <w:r>
        <w:rPr>
          <w:rFonts w:ascii="Times New Roman" w:cs="Times New Roman" w:eastAsia="SimSun" w:hAnsi="Times New Roman"/>
          <w:b/>
          <w:bCs/>
          <w:color w:val="263238"/>
          <w:sz w:val="22"/>
          <w:szCs w:val="22"/>
        </w:rPr>
        <w:t xml:space="preserve">Article 4C.3 Deliverables</w:t>
      </w:r>
      <w:bookmarkEnd w:id="744"/>
    </w:p>
    <w:p w14:paraId="01A6BF54">
      <w:pPr>
        <w:spacing w:after="95" w:line="252"/>
      </w:pPr>
      <w:r>
        <w:rPr>
          <w:rFonts w:ascii="Times New Roman" w:cs="Times New Roman" w:eastAsia="SimSun" w:hAnsi="Times New Roman"/>
          <w:sz w:val="21"/>
          <w:szCs w:val="21"/>
        </w:rPr>
        <w:t xml:space="preserve">4C.3.1. By Day 25: joint report on outstanding agricultural disputes, compliance status, and proposed resolution paths.</w:t>
      </w:r>
    </w:p>
    <w:p w14:paraId="2B7B747E">
      <w:pPr>
        <w:spacing w:after="95" w:line="252"/>
      </w:pPr>
      <w:r>
        <w:rPr>
          <w:rFonts w:ascii="Times New Roman" w:cs="Times New Roman" w:eastAsia="SimSun" w:hAnsi="Times New Roman"/>
          <w:sz w:val="21"/>
          <w:szCs w:val="21"/>
        </w:rPr>
        <w:t xml:space="preserve">4C.3.2. By Day 60: recommendations for market access, regulatory compatibility, inspection efficiency, and deforestation controls.</w:t>
      </w:r>
    </w:p>
    <w:p w14:paraId="0A2DE40E">
      <w:pPr>
        <w:spacing w:after="95" w:line="252"/>
      </w:pPr>
      <w:r>
        <w:rPr>
          <w:rFonts w:ascii="Times New Roman" w:cs="Times New Roman" w:eastAsia="SimSun" w:hAnsi="Times New Roman"/>
          <w:sz w:val="21"/>
          <w:szCs w:val="21"/>
        </w:rPr>
        <w:t xml:space="preserve">4C.3.3. By Day 80: model administrative reforms that can survive expiry if completed and recorded.</w:t>
      </w:r>
    </w:p>
    <w:p w14:paraId="37D60F2A">
      <w:pPr>
        <w:spacing w:after="95" w:line="252"/>
      </w:pPr>
      <w:r>
        <w:rPr>
          <w:rFonts w:ascii="Times New Roman" w:cs="Times New Roman" w:eastAsia="SimSun" w:hAnsi="Times New Roman"/>
          <w:sz w:val="21"/>
          <w:szCs w:val="21"/>
        </w:rPr>
        <w:t xml:space="preserve">Each deliverable is submitted to the Joint Committee and copied to contact points. A deliverable becomes public only as approved by the Joint Committee or required by law.</w:t>
      </w:r>
    </w:p>
    <w:p w14:paraId="5525A56A">
      <w:pPr>
        <w:spacing w:after="95" w:line="252"/>
      </w:pPr>
      <w:r>
        <w:rPr>
          <w:rFonts w:ascii="Times New Roman" w:cs="Times New Roman" w:eastAsia="SimSun" w:hAnsi="Times New Roman"/>
          <w:sz w:val="21"/>
          <w:szCs w:val="21"/>
        </w:rPr>
        <w:t xml:space="preserve">A deliverable recommending legal change includes proposed text, explanation, consistency analysis, affected domestic procedures, consultation plan, implementation schedule, survival classification, and bilateral balance note.</w:t>
      </w:r>
    </w:p>
    <w:p w14:paraId="19F66B64">
      <w:pPr>
        <w:pStyle w:val="Heading3"/>
        <w:keepNext/>
        <w:spacing w:after="115" w:before="190"/>
      </w:pPr>
      <w:bookmarkStart w:name="h745" w:id="745"/>
      <w:r>
        <w:rPr>
          <w:rFonts w:ascii="Times New Roman" w:cs="Times New Roman" w:eastAsia="SimSun" w:hAnsi="Times New Roman"/>
          <w:b/>
          <w:bCs/>
          <w:color w:val="263238"/>
          <w:sz w:val="22"/>
          <w:szCs w:val="22"/>
        </w:rPr>
        <w:t xml:space="preserve">Article 4C.4 Commitments, Safeguards, and Balance</w:t>
      </w:r>
      <w:bookmarkEnd w:id="745"/>
    </w:p>
    <w:p w14:paraId="0860B7C0">
      <w:pPr>
        <w:spacing w:after="95" w:line="252"/>
        <w:ind w:left="360"/>
      </w:pPr>
      <w:r>
        <w:rPr>
          <w:rFonts w:ascii="Times New Roman" w:cs="Times New Roman" w:eastAsia="SimSun" w:hAnsi="Times New Roman"/>
          <w:sz w:val="21"/>
          <w:szCs w:val="21"/>
        </w:rPr>
        <w:t xml:space="preserve">(a) Any biotechnology commitment is framed as compliance with adopted USMCA and T-MEC obligations and domestic legal status, not as an unverified concession.</w:t>
      </w:r>
    </w:p>
    <w:p w14:paraId="742CF39A">
      <w:pPr>
        <w:spacing w:after="95" w:line="252"/>
        <w:ind w:left="360"/>
      </w:pPr>
      <w:r>
        <w:rPr>
          <w:rFonts w:ascii="Times New Roman" w:cs="Times New Roman" w:eastAsia="SimSun" w:hAnsi="Times New Roman"/>
          <w:sz w:val="21"/>
          <w:szCs w:val="21"/>
        </w:rPr>
        <w:t xml:space="preserve">(b) The Parties address sugar through transparent quota administration and seasonal timing rather than unverified historical claims.</w:t>
      </w:r>
    </w:p>
    <w:p w14:paraId="2A996D9C">
      <w:pPr>
        <w:spacing w:after="95" w:line="252"/>
        <w:ind w:left="360"/>
      </w:pPr>
      <w:r>
        <w:rPr>
          <w:rFonts w:ascii="Times New Roman" w:cs="Times New Roman" w:eastAsia="SimSun" w:hAnsi="Times New Roman"/>
          <w:sz w:val="21"/>
          <w:szCs w:val="21"/>
        </w:rPr>
        <w:t xml:space="preserve">(c) Deforestation controls are risk-based, traceable, and paired with importer predictability and smallholder transition support.</w:t>
      </w:r>
    </w:p>
    <w:p w14:paraId="0F923350">
      <w:pPr>
        <w:spacing w:after="95" w:line="252"/>
      </w:pPr>
      <w:r>
        <w:rPr>
          <w:rFonts w:ascii="Times New Roman" w:cs="Times New Roman" w:eastAsia="SimSun" w:hAnsi="Times New Roman"/>
          <w:sz w:val="21"/>
          <w:szCs w:val="21"/>
        </w:rPr>
        <w:t xml:space="preserve">The Working Group identifies early wins implementable without treaty amendment, items requiring negotiation, and items that should not proceed during the Interim Period.</w:t>
      </w:r>
    </w:p>
    <w:p w14:paraId="21B0DCD8">
      <w:pPr>
        <w:spacing w:after="95" w:line="252"/>
      </w:pPr>
      <w:r>
        <w:rPr>
          <w:rFonts w:ascii="Times New Roman" w:cs="Times New Roman" w:eastAsia="SimSun" w:hAnsi="Times New Roman"/>
          <w:sz w:val="21"/>
          <w:szCs w:val="21"/>
        </w:rPr>
        <w:t xml:space="preserve">A Mexico-specific obligation must be matched by a United States obligation, justified by an adopted dispute obligation, or recorded as an intentional negotiated exchange. The same rule applies to a United States-specific obligation.</w:t>
      </w:r>
    </w:p>
    <w:p w14:paraId="6A430F5E">
      <w:pPr>
        <w:pStyle w:val="Heading2"/>
        <w:keepNext/>
        <w:spacing w:after="115" w:before="190"/>
      </w:pPr>
      <w:bookmarkStart w:id="932" w:name="_Toc236229932"/>
      <w:bookmarkStart w:name="h746" w:id="746"/>
      <w:r>
        <w:rPr>
          <w:rFonts w:ascii="Times New Roman" w:cs="Times New Roman" w:eastAsia="SimSun" w:hAnsi="Times New Roman"/>
          <w:b/>
          <w:bCs/>
          <w:color w:val="263238"/>
          <w:sz w:val="25"/>
          <w:szCs w:val="25"/>
        </w:rPr>
        <w:t xml:space="preserve">Working Group D: Energy and Critical Minerals</w:t>
      </w:r>
      <w:bookmarkEnd w:id="746"/>
      <w:bookmarkEnd w:id="932"/>
    </w:p>
    <w:p w14:paraId="07753CAA">
      <w:pPr>
        <w:pStyle w:val="Heading3"/>
        <w:keepNext/>
        <w:spacing w:after="115" w:before="190"/>
      </w:pPr>
      <w:bookmarkStart w:name="h747" w:id="747"/>
      <w:r>
        <w:rPr>
          <w:rFonts w:ascii="Times New Roman" w:cs="Times New Roman" w:eastAsia="SimSun" w:hAnsi="Times New Roman"/>
          <w:b/>
          <w:bCs/>
          <w:color w:val="263238"/>
          <w:sz w:val="22"/>
          <w:szCs w:val="22"/>
        </w:rPr>
        <w:t xml:space="preserve">Article 4D.1 Mandate and Reference</w:t>
      </w:r>
      <w:bookmarkEnd w:id="747"/>
    </w:p>
    <w:p w14:paraId="3BB175E0">
      <w:pPr>
        <w:spacing w:after="95" w:line="252"/>
      </w:pPr>
      <w:r>
        <w:rPr>
          <w:rFonts w:ascii="Times New Roman" w:cs="Times New Roman" w:eastAsia="SimSun" w:hAnsi="Times New Roman"/>
          <w:sz w:val="21"/>
          <w:szCs w:val="21"/>
        </w:rPr>
        <w:t xml:space="preserve">The Working Group operates with reference to USMCA and T-MEC sovereignty recognition, national treatment, state-owned enterprise, investment, services, competition-related, and environmental provisions.</w:t>
      </w:r>
    </w:p>
    <w:p w14:paraId="27B644E6">
      <w:pPr>
        <w:spacing w:after="95" w:line="252"/>
      </w:pPr>
      <w:r>
        <w:rPr>
          <w:rFonts w:ascii="Times New Roman" w:cs="Times New Roman" w:eastAsia="SimSun" w:hAnsi="Times New Roman"/>
          <w:sz w:val="21"/>
          <w:szCs w:val="21"/>
        </w:rPr>
        <w:t xml:space="preserve">The mandate covers:</w:t>
      </w:r>
    </w:p>
    <w:p w14:paraId="084BB982">
      <w:pPr>
        <w:spacing w:after="95" w:line="252"/>
        <w:ind w:left="360"/>
      </w:pPr>
      <w:r>
        <w:rPr>
          <w:rFonts w:ascii="Times New Roman" w:cs="Times New Roman" w:eastAsia="SimSun" w:hAnsi="Times New Roman"/>
          <w:sz w:val="21"/>
          <w:szCs w:val="21"/>
        </w:rPr>
        <w:t xml:space="preserve">(a) Competitive neutrality in energy markets, including treatment of state-owned enterprises and private or mixed investment.</w:t>
      </w:r>
    </w:p>
    <w:p w14:paraId="5A47B4E0">
      <w:pPr>
        <w:spacing w:after="95" w:line="252"/>
        <w:ind w:left="360"/>
      </w:pPr>
      <w:r>
        <w:rPr>
          <w:rFonts w:ascii="Times New Roman" w:cs="Times New Roman" w:eastAsia="SimSun" w:hAnsi="Times New Roman"/>
          <w:sz w:val="21"/>
          <w:szCs w:val="21"/>
        </w:rPr>
        <w:t xml:space="preserve">(b) Mexico's energy legal framework and its consistency with USMCA and T-MEC obligations, analyzed without prejudging outcome and with a sovereignty firewall.</w:t>
      </w:r>
    </w:p>
    <w:p w14:paraId="08EF88AC">
      <w:pPr>
        <w:spacing w:after="95" w:line="252"/>
        <w:ind w:left="360"/>
      </w:pPr>
      <w:r>
        <w:rPr>
          <w:rFonts w:ascii="Times New Roman" w:cs="Times New Roman" w:eastAsia="SimSun" w:hAnsi="Times New Roman"/>
          <w:sz w:val="21"/>
          <w:szCs w:val="21"/>
        </w:rPr>
        <w:t xml:space="preserve">(c) State prevalence or mixed-investment participation rules, including any 54 percent State participation requirement, treated as a legal mapping and policy analysis item rather than a target to change by this draft.</w:t>
      </w:r>
    </w:p>
    <w:p w14:paraId="2D0AD0DA">
      <w:pPr>
        <w:spacing w:after="95" w:line="252"/>
        <w:ind w:left="360"/>
      </w:pPr>
      <w:r>
        <w:rPr>
          <w:rFonts w:ascii="Times New Roman" w:cs="Times New Roman" w:eastAsia="SimSun" w:hAnsi="Times New Roman"/>
          <w:sz w:val="21"/>
          <w:szCs w:val="21"/>
        </w:rPr>
        <w:t xml:space="preserve">(d) Nondiscriminatory market access for energy goods and services, dispatch, transmission, permits, fuel marketing, storage, and cross-border infrastructure.</w:t>
      </w:r>
    </w:p>
    <w:p w14:paraId="67B449AE">
      <w:pPr>
        <w:spacing w:after="95" w:line="252"/>
        <w:ind w:left="360"/>
      </w:pPr>
      <w:r>
        <w:rPr>
          <w:rFonts w:ascii="Times New Roman" w:cs="Times New Roman" w:eastAsia="SimSun" w:hAnsi="Times New Roman"/>
          <w:sz w:val="21"/>
          <w:szCs w:val="21"/>
        </w:rPr>
        <w:t xml:space="preserve">(e) Critical minerals supply chain cooperation, sustainability, permitting, processing, recycling, traceability, and community safeguards.</w:t>
      </w:r>
    </w:p>
    <w:p w14:paraId="1A15C8D8">
      <w:pPr>
        <w:spacing w:after="95" w:line="252"/>
        <w:ind w:left="360"/>
      </w:pPr>
      <w:r>
        <w:rPr>
          <w:rFonts w:ascii="Times New Roman" w:cs="Times New Roman" w:eastAsia="SimSun" w:hAnsi="Times New Roman"/>
          <w:sz w:val="21"/>
          <w:szCs w:val="21"/>
        </w:rPr>
        <w:t xml:space="preserve">(f) Natural gas trade, pipeline infrastructure, storage, reliability, and emergency supply coordination.</w:t>
      </w:r>
    </w:p>
    <w:p w14:paraId="4FF1C7F2">
      <w:pPr>
        <w:pStyle w:val="Heading3"/>
        <w:keepNext/>
        <w:spacing w:after="115" w:before="190"/>
      </w:pPr>
      <w:bookmarkStart w:name="h748" w:id="748"/>
      <w:r>
        <w:rPr>
          <w:rFonts w:ascii="Times New Roman" w:cs="Times New Roman" w:eastAsia="SimSun" w:hAnsi="Times New Roman"/>
          <w:b/>
          <w:bCs/>
          <w:color w:val="263238"/>
          <w:sz w:val="22"/>
          <w:szCs w:val="22"/>
        </w:rPr>
        <w:t xml:space="preserve">Article 4D.2 Composition and Governance</w:t>
      </w:r>
      <w:bookmarkEnd w:id="748"/>
    </w:p>
    <w:p w14:paraId="4E6FEADA">
      <w:pPr>
        <w:spacing w:after="95" w:line="252"/>
        <w:ind w:left="360"/>
      </w:pPr>
      <w:r>
        <w:rPr>
          <w:rFonts w:ascii="Times New Roman" w:cs="Times New Roman" w:eastAsia="SimSun" w:hAnsi="Times New Roman"/>
          <w:sz w:val="21"/>
          <w:szCs w:val="21"/>
        </w:rPr>
        <w:t xml:space="preserve">(a) Up to six representatives per Party covering energy policy, electricity, hydrocarbons, mining, competition, investment, environment, and trade law.</w:t>
      </w:r>
    </w:p>
    <w:p w14:paraId="0C3F0752">
      <w:pPr>
        <w:spacing w:after="95" w:line="252"/>
        <w:ind w:left="360"/>
      </w:pPr>
      <w:r>
        <w:rPr>
          <w:rFonts w:ascii="Times New Roman" w:cs="Times New Roman" w:eastAsia="SimSun" w:hAnsi="Times New Roman"/>
          <w:sz w:val="21"/>
          <w:szCs w:val="21"/>
        </w:rPr>
        <w:t xml:space="preserve">(b) Technical subgroups may be created for electricity, hydrocarbons, critical minerals, and transparency.</w:t>
      </w:r>
    </w:p>
    <w:p w14:paraId="7B521D6E">
      <w:pPr>
        <w:spacing w:after="95" w:line="252"/>
      </w:pPr>
      <w:r>
        <w:rPr>
          <w:rFonts w:ascii="Times New Roman" w:cs="Times New Roman" w:eastAsia="SimSun" w:hAnsi="Times New Roman"/>
          <w:sz w:val="21"/>
          <w:szCs w:val="21"/>
        </w:rPr>
        <w:t xml:space="preserve">The co-chairs maintain a roster, calendar, decision log, risk register, and deliverable tracker. A quorum requires at least half of each Party's appointed members and both co-chairs or designated alternates.</w:t>
      </w:r>
    </w:p>
    <w:p w14:paraId="5F9DFEF2">
      <w:pPr>
        <w:spacing w:after="95" w:line="252"/>
      </w:pPr>
      <w:r>
        <w:rPr>
          <w:rFonts w:ascii="Times New Roman" w:cs="Times New Roman" w:eastAsia="SimSun" w:hAnsi="Times New Roman"/>
          <w:sz w:val="21"/>
          <w:szCs w:val="21"/>
        </w:rPr>
        <w:t xml:space="preserve">Decisions are by consensus of the co-chairs after consultation within each delegation. Failure to reach consensus is recorded without attribution unless a member requests attribution.</w:t>
      </w:r>
    </w:p>
    <w:p w14:paraId="5C237B08">
      <w:pPr>
        <w:pStyle w:val="Heading3"/>
        <w:keepNext/>
        <w:spacing w:after="115" w:before="190"/>
      </w:pPr>
      <w:bookmarkStart w:name="h749" w:id="749"/>
      <w:r>
        <w:rPr>
          <w:rFonts w:ascii="Times New Roman" w:cs="Times New Roman" w:eastAsia="SimSun" w:hAnsi="Times New Roman"/>
          <w:b/>
          <w:bCs/>
          <w:color w:val="263238"/>
          <w:sz w:val="22"/>
          <w:szCs w:val="22"/>
        </w:rPr>
        <w:t xml:space="preserve">Article 4D.3 Deliverables</w:t>
      </w:r>
      <w:bookmarkEnd w:id="749"/>
    </w:p>
    <w:p w14:paraId="3F0F87B6">
      <w:pPr>
        <w:spacing w:after="95" w:line="252"/>
      </w:pPr>
      <w:r>
        <w:rPr>
          <w:rFonts w:ascii="Times New Roman" w:cs="Times New Roman" w:eastAsia="SimSun" w:hAnsi="Times New Roman"/>
          <w:sz w:val="21"/>
          <w:szCs w:val="21"/>
        </w:rPr>
        <w:t xml:space="preserve">4D.3.1. By Day 30: mutual measure inventory and dispute status map for energy and critical minerals.</w:t>
      </w:r>
    </w:p>
    <w:p w14:paraId="6C0AF508">
      <w:pPr>
        <w:spacing w:after="95" w:line="252"/>
      </w:pPr>
      <w:r>
        <w:rPr>
          <w:rFonts w:ascii="Times New Roman" w:cs="Times New Roman" w:eastAsia="SimSun" w:hAnsi="Times New Roman"/>
          <w:sz w:val="21"/>
          <w:szCs w:val="21"/>
        </w:rPr>
        <w:t xml:space="preserve">4D.3.2. By Day 60: framework for critical minerals cooperation, including project pipeline, standards, traceability, and safeguards.</w:t>
      </w:r>
    </w:p>
    <w:p w14:paraId="56CFE6EC">
      <w:pPr>
        <w:spacing w:after="95" w:line="252"/>
      </w:pPr>
      <w:r>
        <w:rPr>
          <w:rFonts w:ascii="Times New Roman" w:cs="Times New Roman" w:eastAsia="SimSun" w:hAnsi="Times New Roman"/>
          <w:sz w:val="21"/>
          <w:szCs w:val="21"/>
        </w:rPr>
        <w:t xml:space="preserve">4D.3.3. By Day 80: recommendations for transparency, competitive neutrality, permit timelines, data publication, and dispute de-escalation, with explicit survival classification.</w:t>
      </w:r>
    </w:p>
    <w:p w14:paraId="59D88414">
      <w:pPr>
        <w:spacing w:after="95" w:line="252"/>
      </w:pPr>
      <w:r>
        <w:rPr>
          <w:rFonts w:ascii="Times New Roman" w:cs="Times New Roman" w:eastAsia="SimSun" w:hAnsi="Times New Roman"/>
          <w:sz w:val="21"/>
          <w:szCs w:val="21"/>
        </w:rPr>
        <w:t xml:space="preserve">Each deliverable is submitted to the Joint Committee and copied to contact points. A deliverable becomes public only as approved by the Joint Committee or required by law.</w:t>
      </w:r>
    </w:p>
    <w:p w14:paraId="0AEAC76A">
      <w:pPr>
        <w:spacing w:after="95" w:line="252"/>
      </w:pPr>
      <w:r>
        <w:rPr>
          <w:rFonts w:ascii="Times New Roman" w:cs="Times New Roman" w:eastAsia="SimSun" w:hAnsi="Times New Roman"/>
          <w:sz w:val="21"/>
          <w:szCs w:val="21"/>
        </w:rPr>
        <w:t xml:space="preserve">A deliverable recommending legal change includes proposed text, explanation, consistency analysis, affected domestic procedures, consultation plan, implementation schedule, survival classification, and bilateral balance note.</w:t>
      </w:r>
    </w:p>
    <w:p w14:paraId="3AFDFF16">
      <w:pPr>
        <w:pStyle w:val="Heading3"/>
        <w:keepNext/>
        <w:spacing w:after="115" w:before="190"/>
      </w:pPr>
      <w:bookmarkStart w:name="h750" w:id="750"/>
      <w:r>
        <w:rPr>
          <w:rFonts w:ascii="Times New Roman" w:cs="Times New Roman" w:eastAsia="SimSun" w:hAnsi="Times New Roman"/>
          <w:b/>
          <w:bCs/>
          <w:color w:val="263238"/>
          <w:sz w:val="22"/>
          <w:szCs w:val="22"/>
        </w:rPr>
        <w:t xml:space="preserve">Article 4D.4 Commitments, Safeguards, and Balance</w:t>
      </w:r>
      <w:bookmarkEnd w:id="750"/>
    </w:p>
    <w:p w14:paraId="73F0FC82">
      <w:pPr>
        <w:spacing w:after="95" w:line="252"/>
        <w:ind w:left="360"/>
      </w:pPr>
      <w:r>
        <w:rPr>
          <w:rFonts w:ascii="Times New Roman" w:cs="Times New Roman" w:eastAsia="SimSun" w:hAnsi="Times New Roman"/>
          <w:sz w:val="21"/>
          <w:szCs w:val="21"/>
        </w:rPr>
        <w:t xml:space="preserve">(a) Nothing requires privatization, transfer of ownership, surrender of sovereign control over hydrocarbons or minerals, or abandonment of a lawful public service model.</w:t>
      </w:r>
    </w:p>
    <w:p w14:paraId="28B09832">
      <w:pPr>
        <w:spacing w:after="95" w:line="252"/>
        <w:ind w:left="360"/>
      </w:pPr>
      <w:r>
        <w:rPr>
          <w:rFonts w:ascii="Times New Roman" w:cs="Times New Roman" w:eastAsia="SimSun" w:hAnsi="Times New Roman"/>
          <w:sz w:val="21"/>
          <w:szCs w:val="21"/>
        </w:rPr>
        <w:t xml:space="preserve">(b) Transparency obligations are mutual: each Party inventories measures materially affecting cross-border energy trade and investment.</w:t>
      </w:r>
    </w:p>
    <w:p w14:paraId="1A561AAE">
      <w:pPr>
        <w:spacing w:after="95" w:line="252"/>
        <w:ind w:left="360"/>
      </w:pPr>
      <w:r>
        <w:rPr>
          <w:rFonts w:ascii="Times New Roman" w:cs="Times New Roman" w:eastAsia="SimSun" w:hAnsi="Times New Roman"/>
          <w:sz w:val="21"/>
          <w:szCs w:val="21"/>
        </w:rPr>
        <w:t xml:space="preserve">(c) Any asymmetry must be justified by an existing legal obligation, a dispute compliance issue, or an explicit negotiated exchange recorded in writing.</w:t>
      </w:r>
    </w:p>
    <w:p w14:paraId="74B45CE8">
      <w:pPr>
        <w:spacing w:after="95" w:line="252"/>
      </w:pPr>
      <w:r>
        <w:rPr>
          <w:rFonts w:ascii="Times New Roman" w:cs="Times New Roman" w:eastAsia="SimSun" w:hAnsi="Times New Roman"/>
          <w:sz w:val="21"/>
          <w:szCs w:val="21"/>
        </w:rPr>
        <w:t xml:space="preserve">The Working Group identifies early wins implementable without treaty amendment, items requiring negotiation, and items that should not proceed during the Interim Period.</w:t>
      </w:r>
    </w:p>
    <w:p w14:paraId="54B90176">
      <w:pPr>
        <w:spacing w:after="95" w:line="252"/>
      </w:pPr>
      <w:r>
        <w:rPr>
          <w:rFonts w:ascii="Times New Roman" w:cs="Times New Roman" w:eastAsia="SimSun" w:hAnsi="Times New Roman"/>
          <w:sz w:val="21"/>
          <w:szCs w:val="21"/>
        </w:rPr>
        <w:t xml:space="preserve">A Mexico-specific obligation must be matched by a United States obligation, justified by an adopted dispute obligation, or recorded as an intentional negotiated exchange. The same rule applies to a United States-specific obligation.</w:t>
      </w:r>
    </w:p>
    <w:p w14:paraId="651CB9AE">
      <w:pPr>
        <w:pStyle w:val="Heading2"/>
        <w:keepNext/>
        <w:spacing w:after="115" w:before="190"/>
      </w:pPr>
      <w:bookmarkStart w:id="933" w:name="_Toc236229933"/>
      <w:bookmarkStart w:name="h751" w:id="751"/>
      <w:r>
        <w:rPr>
          <w:rFonts w:ascii="Times New Roman" w:cs="Times New Roman" w:eastAsia="SimSun" w:hAnsi="Times New Roman"/>
          <w:b/>
          <w:bCs/>
          <w:color w:val="263238"/>
          <w:sz w:val="25"/>
          <w:szCs w:val="25"/>
        </w:rPr>
        <w:t xml:space="preserve">Working Group E: Labor and Rapid Response Mechanism Administration</w:t>
      </w:r>
      <w:bookmarkEnd w:id="751"/>
      <w:bookmarkEnd w:id="933"/>
    </w:p>
    <w:p w14:paraId="3C892402">
      <w:pPr>
        <w:pStyle w:val="Heading3"/>
        <w:keepNext/>
        <w:spacing w:after="115" w:before="190"/>
      </w:pPr>
      <w:bookmarkStart w:name="h752" w:id="752"/>
      <w:r>
        <w:rPr>
          <w:rFonts w:ascii="Times New Roman" w:cs="Times New Roman" w:eastAsia="SimSun" w:hAnsi="Times New Roman"/>
          <w:b/>
          <w:bCs/>
          <w:color w:val="263238"/>
          <w:sz w:val="22"/>
          <w:szCs w:val="22"/>
        </w:rPr>
        <w:t xml:space="preserve">Article 4E.1 Mandate and Reference</w:t>
      </w:r>
      <w:bookmarkEnd w:id="752"/>
    </w:p>
    <w:p w14:paraId="1F5303F2">
      <w:pPr>
        <w:spacing w:after="95" w:line="252"/>
      </w:pPr>
      <w:r>
        <w:rPr>
          <w:rFonts w:ascii="Times New Roman" w:cs="Times New Roman" w:eastAsia="SimSun" w:hAnsi="Times New Roman"/>
          <w:sz w:val="21"/>
          <w:szCs w:val="21"/>
        </w:rPr>
        <w:t xml:space="preserve">The Working Group operates with reference to USMCA and T-MEC Chapter 23 and Chapter 31-A.</w:t>
      </w:r>
    </w:p>
    <w:p w14:paraId="25FAC62C">
      <w:pPr>
        <w:spacing w:after="95" w:line="252"/>
      </w:pPr>
      <w:r>
        <w:rPr>
          <w:rFonts w:ascii="Times New Roman" w:cs="Times New Roman" w:eastAsia="SimSun" w:hAnsi="Times New Roman"/>
          <w:sz w:val="21"/>
          <w:szCs w:val="21"/>
        </w:rPr>
        <w:t xml:space="preserve">The mandate covers:</w:t>
      </w:r>
    </w:p>
    <w:p w14:paraId="0A51250A">
      <w:pPr>
        <w:spacing w:after="95" w:line="252"/>
        <w:ind w:left="360"/>
      </w:pPr>
      <w:r>
        <w:rPr>
          <w:rFonts w:ascii="Times New Roman" w:cs="Times New Roman" w:eastAsia="SimSun" w:hAnsi="Times New Roman"/>
          <w:sz w:val="21"/>
          <w:szCs w:val="21"/>
        </w:rPr>
        <w:t xml:space="preserve">(a) Administration of the Rapid Response Labor Mechanism, including speed, clarity, remediation quality, and due process.</w:t>
      </w:r>
    </w:p>
    <w:p w14:paraId="37E06FE4">
      <w:pPr>
        <w:spacing w:after="95" w:line="252"/>
        <w:ind w:left="360"/>
      </w:pPr>
      <w:r>
        <w:rPr>
          <w:rFonts w:ascii="Times New Roman" w:cs="Times New Roman" w:eastAsia="SimSun" w:hAnsi="Times New Roman"/>
          <w:sz w:val="21"/>
          <w:szCs w:val="21"/>
        </w:rPr>
        <w:t xml:space="preserve">(b) Complaint processing and investigation timelines without weakening evidentiary standards.</w:t>
      </w:r>
    </w:p>
    <w:p w14:paraId="4C3EC7C2">
      <w:pPr>
        <w:spacing w:after="95" w:line="252"/>
        <w:ind w:left="360"/>
      </w:pPr>
      <w:r>
        <w:rPr>
          <w:rFonts w:ascii="Times New Roman" w:cs="Times New Roman" w:eastAsia="SimSun" w:hAnsi="Times New Roman"/>
          <w:sz w:val="21"/>
          <w:szCs w:val="21"/>
        </w:rPr>
        <w:t xml:space="preserve">(c) Freedom of association, collective bargaining, effective recognition of unions, and protection against retaliation.</w:t>
      </w:r>
    </w:p>
    <w:p w14:paraId="7803308A">
      <w:pPr>
        <w:spacing w:after="95" w:line="252"/>
        <w:ind w:left="360"/>
      </w:pPr>
      <w:r>
        <w:rPr>
          <w:rFonts w:ascii="Times New Roman" w:cs="Times New Roman" w:eastAsia="SimSun" w:hAnsi="Times New Roman"/>
          <w:sz w:val="21"/>
          <w:szCs w:val="21"/>
        </w:rPr>
        <w:t xml:space="preserve">(d) Elimination of forced and compulsory labor in supply chains, including recruitment practices and lawful detention of goods.</w:t>
      </w:r>
    </w:p>
    <w:p w14:paraId="34544DD4">
      <w:pPr>
        <w:spacing w:after="95" w:line="252"/>
        <w:ind w:left="360"/>
      </w:pPr>
      <w:r>
        <w:rPr>
          <w:rFonts w:ascii="Times New Roman" w:cs="Times New Roman" w:eastAsia="SimSun" w:hAnsi="Times New Roman"/>
          <w:sz w:val="21"/>
          <w:szCs w:val="21"/>
        </w:rPr>
        <w:t xml:space="preserve">(e) Joint inspection protocols, remediation procedures, verification of remediation, and communication with workers and employers.</w:t>
      </w:r>
    </w:p>
    <w:p w14:paraId="47AE78B4">
      <w:pPr>
        <w:spacing w:after="95" w:line="252"/>
        <w:ind w:left="360"/>
      </w:pPr>
      <w:r>
        <w:rPr>
          <w:rFonts w:ascii="Times New Roman" w:cs="Times New Roman" w:eastAsia="SimSun" w:hAnsi="Times New Roman"/>
          <w:sz w:val="21"/>
          <w:szCs w:val="21"/>
        </w:rPr>
        <w:t xml:space="preserve">(f) No unverified complaint counts or facility examples are used as operative triggers. Verified individual cases may be referenced only by docket or public action where relevant to a legal point.</w:t>
      </w:r>
    </w:p>
    <w:p w14:paraId="61EE1544">
      <w:pPr>
        <w:pStyle w:val="Heading3"/>
        <w:keepNext/>
        <w:spacing w:after="115" w:before="190"/>
      </w:pPr>
      <w:bookmarkStart w:name="h753" w:id="753"/>
      <w:r>
        <w:rPr>
          <w:rFonts w:ascii="Times New Roman" w:cs="Times New Roman" w:eastAsia="SimSun" w:hAnsi="Times New Roman"/>
          <w:b/>
          <w:bCs/>
          <w:color w:val="263238"/>
          <w:sz w:val="22"/>
          <w:szCs w:val="22"/>
        </w:rPr>
        <w:t xml:space="preserve">Article 4E.2 Composition and Governance</w:t>
      </w:r>
      <w:bookmarkEnd w:id="753"/>
    </w:p>
    <w:p w14:paraId="4165C71A">
      <w:pPr>
        <w:spacing w:after="95" w:line="252"/>
        <w:ind w:left="360"/>
      </w:pPr>
      <w:r>
        <w:rPr>
          <w:rFonts w:ascii="Times New Roman" w:cs="Times New Roman" w:eastAsia="SimSun" w:hAnsi="Times New Roman"/>
          <w:sz w:val="21"/>
          <w:szCs w:val="21"/>
        </w:rPr>
        <w:t xml:space="preserve">(a) Up to five representatives per Party covering labor law, labor inspection, trade enforcement, occupational safety, and dispute settlement.</w:t>
      </w:r>
    </w:p>
    <w:p w14:paraId="2CFD9CAE">
      <w:pPr>
        <w:spacing w:after="95" w:line="252"/>
        <w:ind w:left="360"/>
      </w:pPr>
      <w:r>
        <w:rPr>
          <w:rFonts w:ascii="Times New Roman" w:cs="Times New Roman" w:eastAsia="SimSun" w:hAnsi="Times New Roman"/>
          <w:sz w:val="21"/>
          <w:szCs w:val="21"/>
        </w:rPr>
        <w:t xml:space="preserve">(b) The Working Group establishes confidential worker input channels and prohibits retaliation for participation.</w:t>
      </w:r>
    </w:p>
    <w:p w14:paraId="67D32D36">
      <w:pPr>
        <w:spacing w:after="95" w:line="252"/>
      </w:pPr>
      <w:r>
        <w:rPr>
          <w:rFonts w:ascii="Times New Roman" w:cs="Times New Roman" w:eastAsia="SimSun" w:hAnsi="Times New Roman"/>
          <w:sz w:val="21"/>
          <w:szCs w:val="21"/>
        </w:rPr>
        <w:t xml:space="preserve">The co-chairs maintain a roster, calendar, decision log, risk register, and deliverable tracker. A quorum requires at least half of each Party's appointed members and both co-chairs or designated alternates.</w:t>
      </w:r>
    </w:p>
    <w:p w14:paraId="485B722A">
      <w:pPr>
        <w:spacing w:after="95" w:line="252"/>
      </w:pPr>
      <w:r>
        <w:rPr>
          <w:rFonts w:ascii="Times New Roman" w:cs="Times New Roman" w:eastAsia="SimSun" w:hAnsi="Times New Roman"/>
          <w:sz w:val="21"/>
          <w:szCs w:val="21"/>
        </w:rPr>
        <w:t xml:space="preserve">Decisions are by consensus of the co-chairs after consultation within each delegation. Failure to reach consensus is recorded without attribution unless a member requests attribution.</w:t>
      </w:r>
    </w:p>
    <w:p w14:paraId="6CFAED20">
      <w:pPr>
        <w:pStyle w:val="Heading3"/>
        <w:keepNext/>
        <w:spacing w:after="115" w:before="190"/>
      </w:pPr>
      <w:bookmarkStart w:name="h754" w:id="754"/>
      <w:r>
        <w:rPr>
          <w:rFonts w:ascii="Times New Roman" w:cs="Times New Roman" w:eastAsia="SimSun" w:hAnsi="Times New Roman"/>
          <w:b/>
          <w:bCs/>
          <w:color w:val="263238"/>
          <w:sz w:val="22"/>
          <w:szCs w:val="22"/>
        </w:rPr>
        <w:t xml:space="preserve">Article 4E.3 Deliverables</w:t>
      </w:r>
      <w:bookmarkEnd w:id="754"/>
    </w:p>
    <w:p w14:paraId="41187D54">
      <w:pPr>
        <w:spacing w:after="95" w:line="252"/>
      </w:pPr>
      <w:r>
        <w:rPr>
          <w:rFonts w:ascii="Times New Roman" w:cs="Times New Roman" w:eastAsia="SimSun" w:hAnsi="Times New Roman"/>
          <w:sz w:val="21"/>
          <w:szCs w:val="21"/>
        </w:rPr>
        <w:t xml:space="preserve">4E.3.1. By Day 30: recommendations for expedited RRM triage, timelines, evidence standards, and remediation tracking.</w:t>
      </w:r>
    </w:p>
    <w:p w14:paraId="58719884">
      <w:pPr>
        <w:spacing w:after="95" w:line="252"/>
      </w:pPr>
      <w:r>
        <w:rPr>
          <w:rFonts w:ascii="Times New Roman" w:cs="Times New Roman" w:eastAsia="SimSun" w:hAnsi="Times New Roman"/>
          <w:sz w:val="21"/>
          <w:szCs w:val="21"/>
        </w:rPr>
        <w:t xml:space="preserve">4E.3.2. By Day 60: joint framework for labor rights enforcement, inspector coordination, worker interviews, anti-retaliation monitoring, and data protection.</w:t>
      </w:r>
    </w:p>
    <w:p w14:paraId="2E63DECE">
      <w:pPr>
        <w:spacing w:after="95" w:line="252"/>
      </w:pPr>
      <w:r>
        <w:rPr>
          <w:rFonts w:ascii="Times New Roman" w:cs="Times New Roman" w:eastAsia="SimSun" w:hAnsi="Times New Roman"/>
          <w:sz w:val="21"/>
          <w:szCs w:val="21"/>
        </w:rPr>
        <w:t xml:space="preserve">4E.3.3. By Day 80: proposed Labor Administration Annex with options for timelines, remediation verification, capacity building, and reporting.</w:t>
      </w:r>
    </w:p>
    <w:p w14:paraId="47CA36B2">
      <w:pPr>
        <w:spacing w:after="95" w:line="252"/>
      </w:pPr>
      <w:r>
        <w:rPr>
          <w:rFonts w:ascii="Times New Roman" w:cs="Times New Roman" w:eastAsia="SimSun" w:hAnsi="Times New Roman"/>
          <w:sz w:val="21"/>
          <w:szCs w:val="21"/>
        </w:rPr>
        <w:t xml:space="preserve">Each deliverable is submitted to the Joint Committee and copied to contact points. A deliverable becomes public only as approved by the Joint Committee or required by law.</w:t>
      </w:r>
    </w:p>
    <w:p w14:paraId="4713E746">
      <w:pPr>
        <w:spacing w:after="95" w:line="252"/>
      </w:pPr>
      <w:r>
        <w:rPr>
          <w:rFonts w:ascii="Times New Roman" w:cs="Times New Roman" w:eastAsia="SimSun" w:hAnsi="Times New Roman"/>
          <w:sz w:val="21"/>
          <w:szCs w:val="21"/>
        </w:rPr>
        <w:t xml:space="preserve">A deliverable recommending legal change includes proposed text, explanation, consistency analysis, affected domestic procedures, consultation plan, implementation schedule, survival classification, and bilateral balance note.</w:t>
      </w:r>
    </w:p>
    <w:p w14:paraId="10479FDA">
      <w:pPr>
        <w:pStyle w:val="Heading3"/>
        <w:keepNext/>
        <w:spacing w:after="115" w:before="190"/>
      </w:pPr>
      <w:bookmarkStart w:name="h755" w:id="755"/>
      <w:r>
        <w:rPr>
          <w:rFonts w:ascii="Times New Roman" w:cs="Times New Roman" w:eastAsia="SimSun" w:hAnsi="Times New Roman"/>
          <w:b/>
          <w:bCs/>
          <w:color w:val="263238"/>
          <w:sz w:val="22"/>
          <w:szCs w:val="22"/>
        </w:rPr>
        <w:t xml:space="preserve">Article 4E.4 Commitments, Safeguards, and Balance</w:t>
      </w:r>
      <w:bookmarkEnd w:id="755"/>
    </w:p>
    <w:p w14:paraId="184ADBD6">
      <w:pPr>
        <w:spacing w:after="95" w:line="252"/>
        <w:ind w:left="360"/>
      </w:pPr>
      <w:r>
        <w:rPr>
          <w:rFonts w:ascii="Times New Roman" w:cs="Times New Roman" w:eastAsia="SimSun" w:hAnsi="Times New Roman"/>
          <w:sz w:val="21"/>
          <w:szCs w:val="21"/>
        </w:rPr>
        <w:t xml:space="preserve">(a) The priority is timely remediation and durable compliance, not expansion for its own sake.</w:t>
      </w:r>
    </w:p>
    <w:p w14:paraId="0C1937D2">
      <w:pPr>
        <w:spacing w:after="95" w:line="252"/>
        <w:ind w:left="360"/>
      </w:pPr>
      <w:r>
        <w:rPr>
          <w:rFonts w:ascii="Times New Roman" w:cs="Times New Roman" w:eastAsia="SimSun" w:hAnsi="Times New Roman"/>
          <w:sz w:val="21"/>
          <w:szCs w:val="21"/>
        </w:rPr>
        <w:t xml:space="preserve">(b) Expedited processing preserves notice, evidence, impartial review, and available review rights.</w:t>
      </w:r>
    </w:p>
    <w:p w14:paraId="01946658">
      <w:pPr>
        <w:spacing w:after="95" w:line="252"/>
        <w:ind w:left="360"/>
      </w:pPr>
      <w:r>
        <w:rPr>
          <w:rFonts w:ascii="Times New Roman" w:cs="Times New Roman" w:eastAsia="SimSun" w:hAnsi="Times New Roman"/>
          <w:sz w:val="21"/>
          <w:szCs w:val="21"/>
        </w:rPr>
        <w:t xml:space="preserve">(c) Remediation is verified through documents, interviews, records where lawful, and follow-up checks at defined intervals.</w:t>
      </w:r>
    </w:p>
    <w:p w14:paraId="08495A42">
      <w:pPr>
        <w:spacing w:after="95" w:line="252"/>
      </w:pPr>
      <w:r>
        <w:rPr>
          <w:rFonts w:ascii="Times New Roman" w:cs="Times New Roman" w:eastAsia="SimSun" w:hAnsi="Times New Roman"/>
          <w:sz w:val="21"/>
          <w:szCs w:val="21"/>
        </w:rPr>
        <w:t xml:space="preserve">The Working Group identifies early wins implementable without treaty amendment, items requiring negotiation, and items that should not proceed during the Interim Period.</w:t>
      </w:r>
    </w:p>
    <w:p w14:paraId="76F6F546">
      <w:pPr>
        <w:spacing w:after="95" w:line="252"/>
      </w:pPr>
      <w:r>
        <w:rPr>
          <w:rFonts w:ascii="Times New Roman" w:cs="Times New Roman" w:eastAsia="SimSun" w:hAnsi="Times New Roman"/>
          <w:sz w:val="21"/>
          <w:szCs w:val="21"/>
        </w:rPr>
        <w:t xml:space="preserve">A Mexico-specific obligation must be matched by a United States obligation, justified by an adopted dispute obligation, or recorded as an intentional negotiated exchange. The same rule applies to a United States-specific obligation.</w:t>
      </w:r>
    </w:p>
    <w:p w14:paraId="6908C80C">
      <w:pPr>
        <w:pStyle w:val="Heading2"/>
        <w:keepNext/>
        <w:spacing w:after="115" w:before="190"/>
      </w:pPr>
      <w:bookmarkStart w:id="934" w:name="_Toc236229934"/>
      <w:bookmarkStart w:name="h756" w:id="756"/>
      <w:r>
        <w:rPr>
          <w:rFonts w:ascii="Times New Roman" w:cs="Times New Roman" w:eastAsia="SimSun" w:hAnsi="Times New Roman"/>
          <w:b/>
          <w:bCs/>
          <w:color w:val="263238"/>
          <w:sz w:val="25"/>
          <w:szCs w:val="25"/>
        </w:rPr>
        <w:t xml:space="preserve">Working Group F: Environment and Sustainability</w:t>
      </w:r>
      <w:bookmarkEnd w:id="756"/>
      <w:bookmarkEnd w:id="934"/>
    </w:p>
    <w:p w14:paraId="4664F708">
      <w:pPr>
        <w:pStyle w:val="Heading3"/>
        <w:keepNext/>
        <w:spacing w:after="115" w:before="190"/>
      </w:pPr>
      <w:bookmarkStart w:name="h757" w:id="757"/>
      <w:r>
        <w:rPr>
          <w:rFonts w:ascii="Times New Roman" w:cs="Times New Roman" w:eastAsia="SimSun" w:hAnsi="Times New Roman"/>
          <w:b/>
          <w:bCs/>
          <w:color w:val="263238"/>
          <w:sz w:val="22"/>
          <w:szCs w:val="22"/>
        </w:rPr>
        <w:t xml:space="preserve">Article 4F.1 Mandate and Reference</w:t>
      </w:r>
      <w:bookmarkEnd w:id="757"/>
    </w:p>
    <w:p w14:paraId="0EC05AB4">
      <w:pPr>
        <w:spacing w:after="95" w:line="252"/>
      </w:pPr>
      <w:r>
        <w:rPr>
          <w:rFonts w:ascii="Times New Roman" w:cs="Times New Roman" w:eastAsia="SimSun" w:hAnsi="Times New Roman"/>
          <w:sz w:val="21"/>
          <w:szCs w:val="21"/>
        </w:rPr>
        <w:t xml:space="preserve">The Working Group operates with reference to USMCA and T-MEC Chapter 24 and border environment cooperation instruments.</w:t>
      </w:r>
    </w:p>
    <w:p w14:paraId="299B0E10">
      <w:pPr>
        <w:spacing w:after="95" w:line="252"/>
      </w:pPr>
      <w:r>
        <w:rPr>
          <w:rFonts w:ascii="Times New Roman" w:cs="Times New Roman" w:eastAsia="SimSun" w:hAnsi="Times New Roman"/>
          <w:sz w:val="21"/>
          <w:szCs w:val="21"/>
        </w:rPr>
        <w:t xml:space="preserve">The mandate covers:</w:t>
      </w:r>
    </w:p>
    <w:p w14:paraId="22BE1EB0">
      <w:pPr>
        <w:spacing w:after="95" w:line="252"/>
        <w:ind w:left="360"/>
      </w:pPr>
      <w:r>
        <w:rPr>
          <w:rFonts w:ascii="Times New Roman" w:cs="Times New Roman" w:eastAsia="SimSun" w:hAnsi="Times New Roman"/>
          <w:sz w:val="21"/>
          <w:szCs w:val="21"/>
        </w:rPr>
        <w:t xml:space="preserve">(a) Deforestation-linked agricultural exports, including voluntary or mandatory certification schemes only to the extent verified and legally in force.</w:t>
      </w:r>
    </w:p>
    <w:p w14:paraId="0B486C40">
      <w:pPr>
        <w:spacing w:after="95" w:line="252"/>
        <w:ind w:left="360"/>
      </w:pPr>
      <w:r>
        <w:rPr>
          <w:rFonts w:ascii="Times New Roman" w:cs="Times New Roman" w:eastAsia="SimSun" w:hAnsi="Times New Roman"/>
          <w:sz w:val="21"/>
          <w:szCs w:val="21"/>
        </w:rPr>
        <w:t xml:space="preserve">(b) Cross-border wastewater management, including Tijuana River watershed cooperation, monitoring, infrastructure, operation and maintenance, and emergency response.</w:t>
      </w:r>
    </w:p>
    <w:p w14:paraId="521932CC">
      <w:pPr>
        <w:spacing w:after="95" w:line="252"/>
        <w:ind w:left="360"/>
      </w:pPr>
      <w:r>
        <w:rPr>
          <w:rFonts w:ascii="Times New Roman" w:cs="Times New Roman" w:eastAsia="SimSun" w:hAnsi="Times New Roman"/>
          <w:sz w:val="21"/>
          <w:szCs w:val="21"/>
        </w:rPr>
        <w:t xml:space="preserve">(c) Circular production, waste reduction, extended producer responsibility, and lawful cross-border movement of recyclable materials.</w:t>
      </w:r>
    </w:p>
    <w:p w14:paraId="746A8504">
      <w:pPr>
        <w:spacing w:after="95" w:line="252"/>
        <w:ind w:left="360"/>
      </w:pPr>
      <w:r>
        <w:rPr>
          <w:rFonts w:ascii="Times New Roman" w:cs="Times New Roman" w:eastAsia="SimSun" w:hAnsi="Times New Roman"/>
          <w:sz w:val="21"/>
          <w:szCs w:val="21"/>
        </w:rPr>
        <w:t xml:space="preserve">(d) Critical minerals sustainability, including biodiversity, water use, tailings, community impacts, and mine closure.</w:t>
      </w:r>
    </w:p>
    <w:p w14:paraId="3399BFB8">
      <w:pPr>
        <w:spacing w:after="95" w:line="252"/>
        <w:ind w:left="360"/>
      </w:pPr>
      <w:r>
        <w:rPr>
          <w:rFonts w:ascii="Times New Roman" w:cs="Times New Roman" w:eastAsia="SimSun" w:hAnsi="Times New Roman"/>
          <w:sz w:val="21"/>
          <w:szCs w:val="21"/>
        </w:rPr>
        <w:t xml:space="preserve">(e) Clean technology cooperation, grid integration, storage, methane reduction, and industrial decarbonization.</w:t>
      </w:r>
    </w:p>
    <w:p w14:paraId="571AE9AC">
      <w:pPr>
        <w:spacing w:after="95" w:line="252"/>
        <w:ind w:left="360"/>
      </w:pPr>
      <w:r>
        <w:rPr>
          <w:rFonts w:ascii="Times New Roman" w:cs="Times New Roman" w:eastAsia="SimSun" w:hAnsi="Times New Roman"/>
          <w:sz w:val="21"/>
          <w:szCs w:val="21"/>
        </w:rPr>
        <w:t xml:space="preserve">(f) Enforcement of environmental laws, public participation, environmental impact assessment, and binding environmental obligations where applicable.</w:t>
      </w:r>
    </w:p>
    <w:p w14:paraId="013F83E2">
      <w:pPr>
        <w:pStyle w:val="Heading3"/>
        <w:keepNext/>
        <w:spacing w:after="115" w:before="190"/>
      </w:pPr>
      <w:bookmarkStart w:name="h758" w:id="758"/>
      <w:r>
        <w:rPr>
          <w:rFonts w:ascii="Times New Roman" w:cs="Times New Roman" w:eastAsia="SimSun" w:hAnsi="Times New Roman"/>
          <w:b/>
          <w:bCs/>
          <w:color w:val="263238"/>
          <w:sz w:val="22"/>
          <w:szCs w:val="22"/>
        </w:rPr>
        <w:t xml:space="preserve">Article 4F.2 Composition and Governance</w:t>
      </w:r>
      <w:bookmarkEnd w:id="758"/>
    </w:p>
    <w:p w14:paraId="549B4C50">
      <w:pPr>
        <w:spacing w:after="95" w:line="252"/>
        <w:ind w:left="360"/>
      </w:pPr>
      <w:r>
        <w:rPr>
          <w:rFonts w:ascii="Times New Roman" w:cs="Times New Roman" w:eastAsia="SimSun" w:hAnsi="Times New Roman"/>
          <w:sz w:val="21"/>
          <w:szCs w:val="21"/>
        </w:rPr>
        <w:t xml:space="preserve">(a) Up to five representatives per Party covering environment, water, agriculture, forestry, mining, customs, and border liaison expertise.</w:t>
      </w:r>
    </w:p>
    <w:p w14:paraId="5164BC6E">
      <w:pPr>
        <w:spacing w:after="95" w:line="252"/>
        <w:ind w:left="360"/>
      </w:pPr>
      <w:r>
        <w:rPr>
          <w:rFonts w:ascii="Times New Roman" w:cs="Times New Roman" w:eastAsia="SimSun" w:hAnsi="Times New Roman"/>
          <w:sz w:val="21"/>
          <w:szCs w:val="21"/>
        </w:rPr>
        <w:t xml:space="preserve">(b) The Working Group coordinates with existing border environment institutions and avoids duplicating their mandates.</w:t>
      </w:r>
    </w:p>
    <w:p w14:paraId="591172C0">
      <w:pPr>
        <w:spacing w:after="95" w:line="252"/>
      </w:pPr>
      <w:r>
        <w:rPr>
          <w:rFonts w:ascii="Times New Roman" w:cs="Times New Roman" w:eastAsia="SimSun" w:hAnsi="Times New Roman"/>
          <w:sz w:val="21"/>
          <w:szCs w:val="21"/>
        </w:rPr>
        <w:t xml:space="preserve">The co-chairs maintain a roster, calendar, decision log, risk register, and deliverable tracker. A quorum requires at least half of each Party's appointed members and both co-chairs or designated alternates.</w:t>
      </w:r>
    </w:p>
    <w:p w14:paraId="24500EAA">
      <w:pPr>
        <w:spacing w:after="95" w:line="252"/>
      </w:pPr>
      <w:r>
        <w:rPr>
          <w:rFonts w:ascii="Times New Roman" w:cs="Times New Roman" w:eastAsia="SimSun" w:hAnsi="Times New Roman"/>
          <w:sz w:val="21"/>
          <w:szCs w:val="21"/>
        </w:rPr>
        <w:t xml:space="preserve">Decisions are by consensus of the co-chairs after consultation within each delegation. Failure to reach consensus is recorded without attribution unless a member requests attribution.</w:t>
      </w:r>
    </w:p>
    <w:p w14:paraId="125D9B0A">
      <w:pPr>
        <w:pStyle w:val="Heading3"/>
        <w:keepNext/>
        <w:spacing w:after="115" w:before="190"/>
      </w:pPr>
      <w:bookmarkStart w:name="h759" w:id="759"/>
      <w:r>
        <w:rPr>
          <w:rFonts w:ascii="Times New Roman" w:cs="Times New Roman" w:eastAsia="SimSun" w:hAnsi="Times New Roman"/>
          <w:b/>
          <w:bCs/>
          <w:color w:val="263238"/>
          <w:sz w:val="22"/>
          <w:szCs w:val="22"/>
        </w:rPr>
        <w:t xml:space="preserve">Article 4F.3 Deliverables</w:t>
      </w:r>
      <w:bookmarkEnd w:id="759"/>
    </w:p>
    <w:p w14:paraId="0A5871F6">
      <w:pPr>
        <w:spacing w:after="95" w:line="252"/>
      </w:pPr>
      <w:r>
        <w:rPr>
          <w:rFonts w:ascii="Times New Roman" w:cs="Times New Roman" w:eastAsia="SimSun" w:hAnsi="Times New Roman"/>
          <w:sz w:val="21"/>
          <w:szCs w:val="21"/>
        </w:rPr>
        <w:t xml:space="preserve">4F.3.1. By Day 30: joint framework for cross-border environmental cooperation, data sharing, incident notification, and project prioritization.</w:t>
      </w:r>
    </w:p>
    <w:p w14:paraId="75A3D506">
      <w:pPr>
        <w:spacing w:after="95" w:line="252"/>
      </w:pPr>
      <w:r>
        <w:rPr>
          <w:rFonts w:ascii="Times New Roman" w:cs="Times New Roman" w:eastAsia="SimSun" w:hAnsi="Times New Roman"/>
          <w:sz w:val="21"/>
          <w:szCs w:val="21"/>
        </w:rPr>
        <w:t xml:space="preserve">4F.3.2. By Day 60: recommendations for environmental enforcement, deforestation verification, wastewater infrastructure, and circular production.</w:t>
      </w:r>
    </w:p>
    <w:p w14:paraId="1E76535C">
      <w:pPr>
        <w:spacing w:after="95" w:line="252"/>
      </w:pPr>
      <w:r>
        <w:rPr>
          <w:rFonts w:ascii="Times New Roman" w:cs="Times New Roman" w:eastAsia="SimSun" w:hAnsi="Times New Roman"/>
          <w:sz w:val="21"/>
          <w:szCs w:val="21"/>
        </w:rPr>
        <w:t xml:space="preserve">4F.3.3. By Day 80: survival table identifying completed infrastructure or administrative reforms that continue after expiry.</w:t>
      </w:r>
    </w:p>
    <w:p w14:paraId="48AC7940">
      <w:pPr>
        <w:spacing w:after="95" w:line="252"/>
      </w:pPr>
      <w:r>
        <w:rPr>
          <w:rFonts w:ascii="Times New Roman" w:cs="Times New Roman" w:eastAsia="SimSun" w:hAnsi="Times New Roman"/>
          <w:sz w:val="21"/>
          <w:szCs w:val="21"/>
        </w:rPr>
        <w:t xml:space="preserve">Each deliverable is submitted to the Joint Committee and copied to contact points. A deliverable becomes public only as approved by the Joint Committee or required by law.</w:t>
      </w:r>
    </w:p>
    <w:p w14:paraId="38A71388">
      <w:pPr>
        <w:spacing w:after="95" w:line="252"/>
      </w:pPr>
      <w:r>
        <w:rPr>
          <w:rFonts w:ascii="Times New Roman" w:cs="Times New Roman" w:eastAsia="SimSun" w:hAnsi="Times New Roman"/>
          <w:sz w:val="21"/>
          <w:szCs w:val="21"/>
        </w:rPr>
        <w:t xml:space="preserve">A deliverable recommending legal change includes proposed text, explanation, consistency analysis, affected domestic procedures, consultation plan, implementation schedule, survival classification, and bilateral balance note.</w:t>
      </w:r>
    </w:p>
    <w:p w14:paraId="4D8EEB42">
      <w:pPr>
        <w:pStyle w:val="Heading3"/>
        <w:keepNext/>
        <w:spacing w:after="115" w:before="190"/>
      </w:pPr>
      <w:bookmarkStart w:name="h760" w:id="760"/>
      <w:r>
        <w:rPr>
          <w:rFonts w:ascii="Times New Roman" w:cs="Times New Roman" w:eastAsia="SimSun" w:hAnsi="Times New Roman"/>
          <w:b/>
          <w:bCs/>
          <w:color w:val="263238"/>
          <w:sz w:val="22"/>
          <w:szCs w:val="22"/>
        </w:rPr>
        <w:t xml:space="preserve">Article 4F.4 Commitments, Safeguards, and Balance</w:t>
      </w:r>
      <w:bookmarkEnd w:id="760"/>
    </w:p>
    <w:p w14:paraId="54F078A0">
      <w:pPr>
        <w:spacing w:after="95" w:line="252"/>
        <w:ind w:left="360"/>
      </w:pPr>
      <w:r>
        <w:rPr>
          <w:rFonts w:ascii="Times New Roman" w:cs="Times New Roman" w:eastAsia="SimSun" w:hAnsi="Times New Roman"/>
          <w:sz w:val="21"/>
          <w:szCs w:val="21"/>
        </w:rPr>
        <w:t xml:space="preserve">(a) Environmental measures are science-based, proportionate to risk, and avoid arbitrary or unjustifiable discrimination or disguised restriction.</w:t>
      </w:r>
    </w:p>
    <w:p w14:paraId="390902A8">
      <w:pPr>
        <w:spacing w:after="95" w:line="252"/>
        <w:ind w:left="360"/>
      </w:pPr>
      <w:r>
        <w:rPr>
          <w:rFonts w:ascii="Times New Roman" w:cs="Times New Roman" w:eastAsia="SimSun" w:hAnsi="Times New Roman"/>
          <w:sz w:val="21"/>
          <w:szCs w:val="21"/>
        </w:rPr>
        <w:t xml:space="preserve">(b) Any product-specific certification obligation is paired with importer clearance predictability, audit access, and transition support.</w:t>
      </w:r>
    </w:p>
    <w:p w14:paraId="14396A98">
      <w:pPr>
        <w:spacing w:after="95" w:line="252"/>
        <w:ind w:left="360"/>
      </w:pPr>
      <w:r>
        <w:rPr>
          <w:rFonts w:ascii="Times New Roman" w:cs="Times New Roman" w:eastAsia="SimSun" w:hAnsi="Times New Roman"/>
          <w:sz w:val="21"/>
          <w:szCs w:val="21"/>
        </w:rPr>
        <w:t xml:space="preserve">(c) Cross-border wastewater commitments are framed around verified instruments and project milestones rather than political claims.</w:t>
      </w:r>
    </w:p>
    <w:p w14:paraId="0E01670A">
      <w:pPr>
        <w:spacing w:after="95" w:line="252"/>
      </w:pPr>
      <w:r>
        <w:rPr>
          <w:rFonts w:ascii="Times New Roman" w:cs="Times New Roman" w:eastAsia="SimSun" w:hAnsi="Times New Roman"/>
          <w:sz w:val="21"/>
          <w:szCs w:val="21"/>
        </w:rPr>
        <w:t xml:space="preserve">The Working Group identifies early wins implementable without treaty amendment, items requiring negotiation, and items that should not proceed during the Interim Period.</w:t>
      </w:r>
    </w:p>
    <w:p w14:paraId="7C1E877E">
      <w:pPr>
        <w:spacing w:after="95" w:line="252"/>
      </w:pPr>
      <w:r>
        <w:rPr>
          <w:rFonts w:ascii="Times New Roman" w:cs="Times New Roman" w:eastAsia="SimSun" w:hAnsi="Times New Roman"/>
          <w:sz w:val="21"/>
          <w:szCs w:val="21"/>
        </w:rPr>
        <w:t xml:space="preserve">A Mexico-specific obligation must be matched by a United States obligation, justified by an adopted dispute obligation, or recorded as an intentional negotiated exchange. The same rule applies to a United States-specific obligation.</w:t>
      </w:r>
    </w:p>
    <w:p w14:paraId="5D80EDC0">
      <w:pPr>
        <w:pStyle w:val="Heading2"/>
        <w:keepNext/>
        <w:spacing w:after="115" w:before="190"/>
      </w:pPr>
      <w:bookmarkStart w:id="935" w:name="_Toc236229935"/>
      <w:bookmarkStart w:name="h761" w:id="761"/>
      <w:r>
        <w:rPr>
          <w:rFonts w:ascii="Times New Roman" w:cs="Times New Roman" w:eastAsia="SimSun" w:hAnsi="Times New Roman"/>
          <w:b/>
          <w:bCs/>
          <w:color w:val="263238"/>
          <w:sz w:val="25"/>
          <w:szCs w:val="25"/>
        </w:rPr>
        <w:t xml:space="preserve">Working Group G: Customs and Trade Facilitation</w:t>
      </w:r>
      <w:bookmarkEnd w:id="761"/>
      <w:bookmarkEnd w:id="935"/>
    </w:p>
    <w:p w14:paraId="6A3AE3F2">
      <w:pPr>
        <w:pStyle w:val="Heading3"/>
        <w:keepNext/>
        <w:spacing w:after="115" w:before="190"/>
      </w:pPr>
      <w:bookmarkStart w:name="h762" w:id="762"/>
      <w:r>
        <w:rPr>
          <w:rFonts w:ascii="Times New Roman" w:cs="Times New Roman" w:eastAsia="SimSun" w:hAnsi="Times New Roman"/>
          <w:b/>
          <w:bCs/>
          <w:color w:val="263238"/>
          <w:sz w:val="22"/>
          <w:szCs w:val="22"/>
        </w:rPr>
        <w:t xml:space="preserve">Article 4G.1 Mandate and Reference</w:t>
      </w:r>
      <w:bookmarkEnd w:id="762"/>
    </w:p>
    <w:p w14:paraId="0E372CBE">
      <w:pPr>
        <w:spacing w:after="95" w:line="252"/>
      </w:pPr>
      <w:r>
        <w:rPr>
          <w:rFonts w:ascii="Times New Roman" w:cs="Times New Roman" w:eastAsia="SimSun" w:hAnsi="Times New Roman"/>
          <w:sz w:val="21"/>
          <w:szCs w:val="21"/>
        </w:rPr>
        <w:t xml:space="preserve">The Working Group operates with reference to USMCA and T-MEC Chapter 7 and related origin procedures.</w:t>
      </w:r>
    </w:p>
    <w:p w14:paraId="17740888">
      <w:pPr>
        <w:spacing w:after="95" w:line="252"/>
      </w:pPr>
      <w:r>
        <w:rPr>
          <w:rFonts w:ascii="Times New Roman" w:cs="Times New Roman" w:eastAsia="SimSun" w:hAnsi="Times New Roman"/>
          <w:sz w:val="21"/>
          <w:szCs w:val="21"/>
        </w:rPr>
        <w:t xml:space="preserve">The mandate covers:</w:t>
      </w:r>
    </w:p>
    <w:p w14:paraId="517E9B6C">
      <w:pPr>
        <w:spacing w:after="95" w:line="252"/>
        <w:ind w:left="360"/>
      </w:pPr>
      <w:r>
        <w:rPr>
          <w:rFonts w:ascii="Times New Roman" w:cs="Times New Roman" w:eastAsia="SimSun" w:hAnsi="Times New Roman"/>
          <w:sz w:val="21"/>
          <w:szCs w:val="21"/>
        </w:rPr>
        <w:t xml:space="preserve">(a) Single window interoperability, data standards, application programming interfaces, cybersecurity, and downtime procedures.</w:t>
      </w:r>
    </w:p>
    <w:p w14:paraId="65E1C0A8">
      <w:pPr>
        <w:spacing w:after="95" w:line="252"/>
        <w:ind w:left="360"/>
      </w:pPr>
      <w:r>
        <w:rPr>
          <w:rFonts w:ascii="Times New Roman" w:cs="Times New Roman" w:eastAsia="SimSun" w:hAnsi="Times New Roman"/>
          <w:sz w:val="21"/>
          <w:szCs w:val="21"/>
        </w:rPr>
        <w:t xml:space="preserve">(b) Trusted trader program mutual recognition where legally permissible.</w:t>
      </w:r>
    </w:p>
    <w:p w14:paraId="6E9F5A18">
      <w:pPr>
        <w:spacing w:after="95" w:line="252"/>
        <w:ind w:left="360"/>
      </w:pPr>
      <w:r>
        <w:rPr>
          <w:rFonts w:ascii="Times New Roman" w:cs="Times New Roman" w:eastAsia="SimSun" w:hAnsi="Times New Roman"/>
          <w:sz w:val="21"/>
          <w:szCs w:val="21"/>
        </w:rPr>
        <w:t xml:space="preserve">(c) Low-value shipment processing, de minimis administration where applicable, express shipment facilitation, and risk targeting.</w:t>
      </w:r>
    </w:p>
    <w:p w14:paraId="27B61AAA">
      <w:pPr>
        <w:spacing w:after="95" w:line="252"/>
        <w:ind w:left="360"/>
      </w:pPr>
      <w:r>
        <w:rPr>
          <w:rFonts w:ascii="Times New Roman" w:cs="Times New Roman" w:eastAsia="SimSun" w:hAnsi="Times New Roman"/>
          <w:sz w:val="21"/>
          <w:szCs w:val="21"/>
        </w:rPr>
        <w:t xml:space="preserve">(d) Customs broker agency coordination, licensing, continuing education, and sanctions.</w:t>
      </w:r>
    </w:p>
    <w:p w14:paraId="2F163288">
      <w:pPr>
        <w:spacing w:after="95" w:line="252"/>
        <w:ind w:left="360"/>
      </w:pPr>
      <w:r>
        <w:rPr>
          <w:rFonts w:ascii="Times New Roman" w:cs="Times New Roman" w:eastAsia="SimSun" w:hAnsi="Times New Roman"/>
          <w:sz w:val="21"/>
          <w:szCs w:val="21"/>
        </w:rPr>
        <w:t xml:space="preserve">(e) Harmonized data elements, electronic certification of origin, pre-arrival processing, and release prediction.</w:t>
      </w:r>
    </w:p>
    <w:p w14:paraId="1DAB0256">
      <w:pPr>
        <w:spacing w:after="95" w:line="252"/>
        <w:ind w:left="360"/>
      </w:pPr>
      <w:r>
        <w:rPr>
          <w:rFonts w:ascii="Times New Roman" w:cs="Times New Roman" w:eastAsia="SimSun" w:hAnsi="Times New Roman"/>
          <w:sz w:val="21"/>
          <w:szCs w:val="21"/>
        </w:rPr>
        <w:t xml:space="preserve">(f) Border wait time measurement, port infrastructure coordination, and peak season planning.</w:t>
      </w:r>
    </w:p>
    <w:p w14:paraId="29627ABE">
      <w:pPr>
        <w:pStyle w:val="Heading3"/>
        <w:keepNext/>
        <w:spacing w:after="115" w:before="190"/>
      </w:pPr>
      <w:bookmarkStart w:name="h763" w:id="763"/>
      <w:r>
        <w:rPr>
          <w:rFonts w:ascii="Times New Roman" w:cs="Times New Roman" w:eastAsia="SimSun" w:hAnsi="Times New Roman"/>
          <w:b/>
          <w:bCs/>
          <w:color w:val="263238"/>
          <w:sz w:val="22"/>
          <w:szCs w:val="22"/>
        </w:rPr>
        <w:t xml:space="preserve">Article 4G.2 Composition and Governance</w:t>
      </w:r>
      <w:bookmarkEnd w:id="763"/>
    </w:p>
    <w:p w14:paraId="258112EE">
      <w:pPr>
        <w:spacing w:after="95" w:line="252"/>
        <w:ind w:left="360"/>
      </w:pPr>
      <w:r>
        <w:rPr>
          <w:rFonts w:ascii="Times New Roman" w:cs="Times New Roman" w:eastAsia="SimSun" w:hAnsi="Times New Roman"/>
          <w:sz w:val="21"/>
          <w:szCs w:val="21"/>
        </w:rPr>
        <w:t xml:space="preserve">(a) Up to six representatives per Party covering customs operations, information technology, cybersecurity, trade compliance, express carriers, brokers, and port authorities.</w:t>
      </w:r>
    </w:p>
    <w:p w14:paraId="6BF929D2">
      <w:pPr>
        <w:spacing w:after="95" w:line="252"/>
        <w:ind w:left="360"/>
      </w:pPr>
      <w:r>
        <w:rPr>
          <w:rFonts w:ascii="Times New Roman" w:cs="Times New Roman" w:eastAsia="SimSun" w:hAnsi="Times New Roman"/>
          <w:sz w:val="21"/>
          <w:szCs w:val="21"/>
        </w:rPr>
        <w:t xml:space="preserve">(b) Each Party designates a technical lead and an operational lead for each pilot.</w:t>
      </w:r>
    </w:p>
    <w:p w14:paraId="4A5CA078">
      <w:pPr>
        <w:spacing w:after="95" w:line="252"/>
      </w:pPr>
      <w:r>
        <w:rPr>
          <w:rFonts w:ascii="Times New Roman" w:cs="Times New Roman" w:eastAsia="SimSun" w:hAnsi="Times New Roman"/>
          <w:sz w:val="21"/>
          <w:szCs w:val="21"/>
        </w:rPr>
        <w:t xml:space="preserve">The co-chairs maintain a roster, calendar, decision log, risk register, and deliverable tracker. A quorum requires at least half of each Party's appointed members and both co-chairs or designated alternates.</w:t>
      </w:r>
    </w:p>
    <w:p w14:paraId="1A4441D8">
      <w:pPr>
        <w:spacing w:after="95" w:line="252"/>
      </w:pPr>
      <w:r>
        <w:rPr>
          <w:rFonts w:ascii="Times New Roman" w:cs="Times New Roman" w:eastAsia="SimSun" w:hAnsi="Times New Roman"/>
          <w:sz w:val="21"/>
          <w:szCs w:val="21"/>
        </w:rPr>
        <w:t xml:space="preserve">Decisions are by consensus of the co-chairs after consultation within each delegation. Failure to reach consensus is recorded without attribution unless a member requests attribution.</w:t>
      </w:r>
    </w:p>
    <w:p w14:paraId="46F37AFC">
      <w:pPr>
        <w:pStyle w:val="Heading3"/>
        <w:keepNext/>
        <w:spacing w:after="115" w:before="190"/>
      </w:pPr>
      <w:bookmarkStart w:name="h764" w:id="764"/>
      <w:r>
        <w:rPr>
          <w:rFonts w:ascii="Times New Roman" w:cs="Times New Roman" w:eastAsia="SimSun" w:hAnsi="Times New Roman"/>
          <w:b/>
          <w:bCs/>
          <w:color w:val="263238"/>
          <w:sz w:val="22"/>
          <w:szCs w:val="22"/>
        </w:rPr>
        <w:t xml:space="preserve">Article 4G.3 Deliverables</w:t>
      </w:r>
      <w:bookmarkEnd w:id="764"/>
    </w:p>
    <w:p w14:paraId="35837E26">
      <w:pPr>
        <w:spacing w:after="95" w:line="252"/>
      </w:pPr>
      <w:r>
        <w:rPr>
          <w:rFonts w:ascii="Times New Roman" w:cs="Times New Roman" w:eastAsia="SimSun" w:hAnsi="Times New Roman"/>
          <w:sz w:val="21"/>
          <w:szCs w:val="21"/>
        </w:rPr>
        <w:t xml:space="preserve">4G.3.1. By Day 25: interoperability framework for single window systems, including data dictionary, security controls, pilot scope, and service levels.</w:t>
      </w:r>
    </w:p>
    <w:p w14:paraId="4C9A3020">
      <w:pPr>
        <w:spacing w:after="95" w:line="252"/>
      </w:pPr>
      <w:r>
        <w:rPr>
          <w:rFonts w:ascii="Times New Roman" w:cs="Times New Roman" w:eastAsia="SimSun" w:hAnsi="Times New Roman"/>
          <w:sz w:val="21"/>
          <w:szCs w:val="21"/>
        </w:rPr>
        <w:t xml:space="preserve">4G.3.2. By Day 60: recommendations for trusted trader alignment, low-value shipment processing, express facilitation, and broker coordination.</w:t>
      </w:r>
    </w:p>
    <w:p w14:paraId="6C26FF3C">
      <w:pPr>
        <w:spacing w:after="95" w:line="252"/>
      </w:pPr>
      <w:r>
        <w:rPr>
          <w:rFonts w:ascii="Times New Roman" w:cs="Times New Roman" w:eastAsia="SimSun" w:hAnsi="Times New Roman"/>
          <w:sz w:val="21"/>
          <w:szCs w:val="21"/>
        </w:rPr>
        <w:t xml:space="preserve">4G.3.3. By Day 80: list of administrative reforms completed and capable of surviving expiry.</w:t>
      </w:r>
    </w:p>
    <w:p w14:paraId="0BC7F0CE">
      <w:pPr>
        <w:spacing w:after="95" w:line="252"/>
      </w:pPr>
      <w:r>
        <w:rPr>
          <w:rFonts w:ascii="Times New Roman" w:cs="Times New Roman" w:eastAsia="SimSun" w:hAnsi="Times New Roman"/>
          <w:sz w:val="21"/>
          <w:szCs w:val="21"/>
        </w:rPr>
        <w:t xml:space="preserve">Each deliverable is submitted to the Joint Committee and copied to contact points. A deliverable becomes public only as approved by the Joint Committee or required by law.</w:t>
      </w:r>
    </w:p>
    <w:p w14:paraId="460555AC">
      <w:pPr>
        <w:spacing w:after="95" w:line="252"/>
      </w:pPr>
      <w:r>
        <w:rPr>
          <w:rFonts w:ascii="Times New Roman" w:cs="Times New Roman" w:eastAsia="SimSun" w:hAnsi="Times New Roman"/>
          <w:sz w:val="21"/>
          <w:szCs w:val="21"/>
        </w:rPr>
        <w:t xml:space="preserve">A deliverable recommending legal change includes proposed text, explanation, consistency analysis, affected domestic procedures, consultation plan, implementation schedule, survival classification, and bilateral balance note.</w:t>
      </w:r>
    </w:p>
    <w:p w14:paraId="788459DC">
      <w:pPr>
        <w:pStyle w:val="Heading3"/>
        <w:keepNext/>
        <w:spacing w:after="115" w:before="190"/>
      </w:pPr>
      <w:bookmarkStart w:name="h765" w:id="765"/>
      <w:r>
        <w:rPr>
          <w:rFonts w:ascii="Times New Roman" w:cs="Times New Roman" w:eastAsia="SimSun" w:hAnsi="Times New Roman"/>
          <w:b/>
          <w:bCs/>
          <w:color w:val="263238"/>
          <w:sz w:val="22"/>
          <w:szCs w:val="22"/>
        </w:rPr>
        <w:t xml:space="preserve">Article 4G.4 Commitments, Safeguards, and Balance</w:t>
      </w:r>
      <w:bookmarkEnd w:id="765"/>
    </w:p>
    <w:p w14:paraId="3DD45372">
      <w:pPr>
        <w:spacing w:after="95" w:line="252"/>
        <w:ind w:left="360"/>
      </w:pPr>
      <w:r>
        <w:rPr>
          <w:rFonts w:ascii="Times New Roman" w:cs="Times New Roman" w:eastAsia="SimSun" w:hAnsi="Times New Roman"/>
          <w:sz w:val="21"/>
          <w:szCs w:val="21"/>
        </w:rPr>
        <w:t xml:space="preserve">(a) Facilitation does not weaken enforcement against forced labor, counterfeits, unsafe goods, narcotics, weapons, or sanctions evasion.</w:t>
      </w:r>
    </w:p>
    <w:p w14:paraId="554E43A6">
      <w:pPr>
        <w:spacing w:after="95" w:line="252"/>
        <w:ind w:left="360"/>
      </w:pPr>
      <w:r>
        <w:rPr>
          <w:rFonts w:ascii="Times New Roman" w:cs="Times New Roman" w:eastAsia="SimSun" w:hAnsi="Times New Roman"/>
          <w:sz w:val="21"/>
          <w:szCs w:val="21"/>
        </w:rPr>
        <w:t xml:space="preserve">(b) Data exchange is limited to the minimum necessary for the customs purpose and protected by domestic law.</w:t>
      </w:r>
    </w:p>
    <w:p w14:paraId="7FD591B0">
      <w:pPr>
        <w:spacing w:after="95" w:line="252"/>
        <w:ind w:left="360"/>
      </w:pPr>
      <w:r>
        <w:rPr>
          <w:rFonts w:ascii="Times New Roman" w:cs="Times New Roman" w:eastAsia="SimSun" w:hAnsi="Times New Roman"/>
          <w:sz w:val="21"/>
          <w:szCs w:val="21"/>
        </w:rPr>
        <w:t xml:space="preserve">(c) Pilots include success metrics, rollback criteria, and public guidance before launch.</w:t>
      </w:r>
    </w:p>
    <w:p w14:paraId="07BB59F4">
      <w:pPr>
        <w:spacing w:after="95" w:line="252"/>
      </w:pPr>
      <w:r>
        <w:rPr>
          <w:rFonts w:ascii="Times New Roman" w:cs="Times New Roman" w:eastAsia="SimSun" w:hAnsi="Times New Roman"/>
          <w:sz w:val="21"/>
          <w:szCs w:val="21"/>
        </w:rPr>
        <w:t xml:space="preserve">The Working Group identifies early wins implementable without treaty amendment, items requiring negotiation, and items that should not proceed during the Interim Period.</w:t>
      </w:r>
    </w:p>
    <w:p w14:paraId="7B836F2C">
      <w:pPr>
        <w:spacing w:after="95" w:line="252"/>
      </w:pPr>
      <w:r>
        <w:rPr>
          <w:rFonts w:ascii="Times New Roman" w:cs="Times New Roman" w:eastAsia="SimSun" w:hAnsi="Times New Roman"/>
          <w:sz w:val="21"/>
          <w:szCs w:val="21"/>
        </w:rPr>
        <w:t xml:space="preserve">A Mexico-specific obligation must be matched by a United States obligation, justified by an adopted dispute obligation, or recorded as an intentional negotiated exchange. The same rule applies to a United States-specific obligation.</w:t>
      </w:r>
    </w:p>
    <w:p w14:paraId="3B138C6E">
      <w:pPr>
        <w:pStyle w:val="Heading2"/>
        <w:keepNext/>
        <w:spacing w:after="115" w:before="190"/>
      </w:pPr>
      <w:bookmarkStart w:id="936" w:name="_Toc236229936"/>
      <w:bookmarkStart w:name="h766" w:id="766"/>
      <w:r>
        <w:rPr>
          <w:rFonts w:ascii="Times New Roman" w:cs="Times New Roman" w:eastAsia="SimSun" w:hAnsi="Times New Roman"/>
          <w:b/>
          <w:bCs/>
          <w:color w:val="263238"/>
          <w:sz w:val="25"/>
          <w:szCs w:val="25"/>
        </w:rPr>
        <w:t xml:space="preserve">Working Group H: Border Security Cooperation Within the Trade Firewall</w:t>
      </w:r>
      <w:bookmarkEnd w:id="766"/>
      <w:bookmarkEnd w:id="936"/>
    </w:p>
    <w:p w14:paraId="6947E7A0">
      <w:pPr>
        <w:pStyle w:val="Heading3"/>
        <w:keepNext/>
        <w:spacing w:after="115" w:before="190"/>
      </w:pPr>
      <w:bookmarkStart w:name="h767" w:id="767"/>
      <w:r>
        <w:rPr>
          <w:rFonts w:ascii="Times New Roman" w:cs="Times New Roman" w:eastAsia="SimSun" w:hAnsi="Times New Roman"/>
          <w:b/>
          <w:bCs/>
          <w:color w:val="263238"/>
          <w:sz w:val="22"/>
          <w:szCs w:val="22"/>
        </w:rPr>
        <w:t xml:space="preserve">Article 4H.1 Mandate and Reference</w:t>
      </w:r>
      <w:bookmarkEnd w:id="767"/>
    </w:p>
    <w:p w14:paraId="54731B6A">
      <w:pPr>
        <w:spacing w:after="95" w:line="252"/>
      </w:pPr>
      <w:r>
        <w:t>The Working Group operates with reference to domestic law, applicable security cooperation instruments, customs enforcement authority, and the firewall in Part Five and Part Eight.</w:t>
      </w:r>
    </w:p>
    <w:p w14:paraId="0C42F666">
      <w:pPr>
        <w:spacing w:after="95" w:line="252"/>
      </w:pPr>
      <w:r>
        <w:rPr>
          <w:rFonts w:ascii="Times New Roman" w:cs="Times New Roman" w:eastAsia="SimSun" w:hAnsi="Times New Roman"/>
          <w:sz w:val="21"/>
          <w:szCs w:val="21"/>
        </w:rPr>
        <w:t xml:space="preserve">The mandate covers:</w:t>
      </w:r>
    </w:p>
    <w:p w14:paraId="49504BC0">
      <w:pPr>
        <w:spacing w:after="95" w:line="252"/>
        <w:ind w:left="360"/>
      </w:pPr>
      <w:r>
        <w:rPr>
          <w:rFonts w:ascii="Times New Roman" w:cs="Times New Roman" w:eastAsia="SimSun" w:hAnsi="Times New Roman"/>
          <w:sz w:val="21"/>
          <w:szCs w:val="21"/>
        </w:rPr>
        <w:t xml:space="preserve">(a) Cooperation against fentanyl, precursor chemicals, pill presses, trafficking finance, illicit firearms, drone-enabled smuggling, and transnational organized crime.</w:t>
      </w:r>
    </w:p>
    <w:p w14:paraId="3669484A">
      <w:pPr>
        <w:spacing w:after="95" w:line="252"/>
        <w:ind w:left="360"/>
      </w:pPr>
      <w:r>
        <w:rPr>
          <w:rFonts w:ascii="Times New Roman" w:cs="Times New Roman" w:eastAsia="SimSun" w:hAnsi="Times New Roman"/>
          <w:sz w:val="21"/>
          <w:szCs w:val="21"/>
        </w:rPr>
        <w:t xml:space="preserve">(b) Operational coordination through any bilateral security coordination body designated in writing, without asserting the existence or date of a body not verified in adopted instruments.</w:t>
      </w:r>
    </w:p>
    <w:p w14:paraId="5A48A79A">
      <w:pPr>
        <w:spacing w:after="95" w:line="252"/>
        <w:ind w:left="360"/>
      </w:pPr>
      <w:r>
        <w:rPr>
          <w:rFonts w:ascii="Times New Roman" w:cs="Times New Roman" w:eastAsia="SimSun" w:hAnsi="Times New Roman"/>
          <w:sz w:val="21"/>
          <w:szCs w:val="21"/>
        </w:rPr>
        <w:t xml:space="preserve">(c) Information sharing, synchronized enforcement where lawful, joint targeting where lawful, deconfliction, and protection of sources and methods.</w:t>
      </w:r>
    </w:p>
    <w:p w14:paraId="4A3A5362">
      <w:pPr>
        <w:spacing w:after="95" w:line="252"/>
        <w:ind w:left="360"/>
      </w:pPr>
      <w:r>
        <w:rPr>
          <w:rFonts w:ascii="Times New Roman" w:cs="Times New Roman" w:eastAsia="SimSun" w:hAnsi="Times New Roman"/>
          <w:sz w:val="21"/>
          <w:szCs w:val="21"/>
        </w:rPr>
        <w:t xml:space="preserve">(d) Firearms tracing and ballistic information sharing where authorized by law.</w:t>
      </w:r>
    </w:p>
    <w:p w14:paraId="62309E86">
      <w:pPr>
        <w:spacing w:after="95" w:line="252"/>
        <w:ind w:left="360"/>
      </w:pPr>
      <w:r>
        <w:rPr>
          <w:rFonts w:ascii="Times New Roman" w:cs="Times New Roman" w:eastAsia="SimSun" w:hAnsi="Times New Roman"/>
          <w:sz w:val="21"/>
          <w:szCs w:val="21"/>
        </w:rPr>
        <w:t xml:space="preserve">(e) Counter-drone detection and response consistent with airspace safety, spectrum rules, privacy, and civil liberties.</w:t>
      </w:r>
    </w:p>
    <w:p w14:paraId="6BA366A2">
      <w:pPr>
        <w:spacing w:after="95" w:line="252"/>
        <w:ind w:left="360"/>
      </w:pPr>
      <w:r>
        <w:rPr>
          <w:rFonts w:ascii="Times New Roman" w:cs="Times New Roman" w:eastAsia="SimSun" w:hAnsi="Times New Roman"/>
          <w:sz w:val="21"/>
          <w:szCs w:val="21"/>
        </w:rPr>
        <w:t xml:space="preserve">(f) Suspicious shipment referral protocols for air, maritime, land, mail, and express channels using minimum necessary data.</w:t>
      </w:r>
    </w:p>
    <w:p w14:paraId="42EF826C">
      <w:pPr>
        <w:pStyle w:val="Heading3"/>
        <w:keepNext/>
        <w:spacing w:after="115" w:before="190"/>
      </w:pPr>
      <w:bookmarkStart w:name="h768" w:id="768"/>
      <w:r>
        <w:rPr>
          <w:rFonts w:ascii="Times New Roman" w:cs="Times New Roman" w:eastAsia="SimSun" w:hAnsi="Times New Roman"/>
          <w:b/>
          <w:bCs/>
          <w:color w:val="263238"/>
          <w:sz w:val="22"/>
          <w:szCs w:val="22"/>
        </w:rPr>
        <w:t xml:space="preserve">Article 4H.2 Composition and Governance</w:t>
      </w:r>
      <w:bookmarkEnd w:id="768"/>
    </w:p>
    <w:p w14:paraId="2C1A5E56">
      <w:pPr>
        <w:spacing w:after="95" w:line="252"/>
        <w:ind w:left="360"/>
      </w:pPr>
      <w:r>
        <w:rPr>
          <w:rFonts w:ascii="Times New Roman" w:cs="Times New Roman" w:eastAsia="SimSun" w:hAnsi="Times New Roman"/>
          <w:sz w:val="21"/>
          <w:szCs w:val="21"/>
        </w:rPr>
        <w:t xml:space="preserve">(a) Up to seven representatives per Party covering customs, border protection, public security, justice, finance intelligence, chemical control, health, data protection, and legal review.</w:t>
      </w:r>
    </w:p>
    <w:p w14:paraId="3BCF9B80">
      <w:pPr>
        <w:spacing w:after="95" w:line="252"/>
        <w:ind w:left="360"/>
      </w:pPr>
      <w:r>
        <w:rPr>
          <w:rFonts w:ascii="Times New Roman" w:cs="Times New Roman" w:eastAsia="SimSun" w:hAnsi="Times New Roman"/>
          <w:sz w:val="21"/>
          <w:szCs w:val="21"/>
        </w:rPr>
        <w:t xml:space="preserve">(b) Membership may vary by operation, but each operation has a named lead, legal review point, and after-action review requirement.</w:t>
      </w:r>
    </w:p>
    <w:p w14:paraId="2E56158A">
      <w:pPr>
        <w:spacing w:after="95" w:line="252"/>
      </w:pPr>
      <w:r>
        <w:rPr>
          <w:rFonts w:ascii="Times New Roman" w:cs="Times New Roman" w:eastAsia="SimSun" w:hAnsi="Times New Roman"/>
          <w:sz w:val="21"/>
          <w:szCs w:val="21"/>
        </w:rPr>
        <w:t xml:space="preserve">The co-chairs maintain a roster, calendar, decision log, risk register, and deliverable tracker. A quorum requires at least half of each Party's appointed members and both co-chairs or designated alternates.</w:t>
      </w:r>
    </w:p>
    <w:p w14:paraId="3D6FBF2E">
      <w:pPr>
        <w:spacing w:after="95" w:line="252"/>
      </w:pPr>
      <w:r>
        <w:rPr>
          <w:rFonts w:ascii="Times New Roman" w:cs="Times New Roman" w:eastAsia="SimSun" w:hAnsi="Times New Roman"/>
          <w:sz w:val="21"/>
          <w:szCs w:val="21"/>
        </w:rPr>
        <w:t xml:space="preserve">Decisions are by consensus of the co-chairs after consultation within each delegation. Failure to reach consensus is recorded without attribution unless a member requests attribution.</w:t>
      </w:r>
    </w:p>
    <w:p w14:paraId="74B8C7EC">
      <w:pPr>
        <w:pStyle w:val="Heading3"/>
        <w:keepNext/>
        <w:spacing w:after="115" w:before="190"/>
      </w:pPr>
      <w:bookmarkStart w:name="h769" w:id="769"/>
      <w:r>
        <w:rPr>
          <w:rFonts w:ascii="Times New Roman" w:cs="Times New Roman" w:eastAsia="SimSun" w:hAnsi="Times New Roman"/>
          <w:b/>
          <w:bCs/>
          <w:color w:val="263238"/>
          <w:sz w:val="22"/>
          <w:szCs w:val="22"/>
        </w:rPr>
        <w:t xml:space="preserve">Article 4H.3 Deliverables</w:t>
      </w:r>
      <w:bookmarkEnd w:id="769"/>
    </w:p>
    <w:p w14:paraId="4D15478C">
      <w:pPr>
        <w:spacing w:after="95" w:line="252"/>
      </w:pPr>
      <w:r>
        <w:rPr>
          <w:rFonts w:ascii="Times New Roman" w:cs="Times New Roman" w:eastAsia="SimSun" w:hAnsi="Times New Roman"/>
          <w:sz w:val="21"/>
          <w:szCs w:val="21"/>
        </w:rPr>
        <w:t xml:space="preserve">4H.3.1. By Day 30: firewall charter stating that the group coordinates security only and does not administer trade benefits or condition them on security performance.</w:t>
      </w:r>
    </w:p>
    <w:p w14:paraId="7BC827AA">
      <w:pPr>
        <w:spacing w:after="95" w:line="252"/>
      </w:pPr>
      <w:r>
        <w:rPr>
          <w:rFonts w:ascii="Times New Roman" w:cs="Times New Roman" w:eastAsia="SimSun" w:hAnsi="Times New Roman"/>
          <w:sz w:val="21"/>
          <w:szCs w:val="21"/>
        </w:rPr>
        <w:t xml:space="preserve">4H.3.2. By Day 60: information-sharing and enforcement coordination framework with legal safeguards, metrics definitions, and after-action review.</w:t>
      </w:r>
    </w:p>
    <w:p w14:paraId="077E5E66">
      <w:pPr>
        <w:spacing w:after="95" w:line="252"/>
      </w:pPr>
      <w:r>
        <w:rPr>
          <w:rFonts w:ascii="Times New Roman" w:cs="Times New Roman" w:eastAsia="SimSun" w:hAnsi="Times New Roman"/>
          <w:sz w:val="21"/>
          <w:szCs w:val="21"/>
        </w:rPr>
        <w:t xml:space="preserve">4H.3.3. By Day 80: recommendations limited to security cooperation, with a separate section identifying any item that would require a different instrument outside this trade agreement.</w:t>
      </w:r>
    </w:p>
    <w:p w14:paraId="21296E6C">
      <w:pPr>
        <w:spacing w:after="95" w:line="252"/>
      </w:pPr>
      <w:r>
        <w:rPr>
          <w:rFonts w:ascii="Times New Roman" w:cs="Times New Roman" w:eastAsia="SimSun" w:hAnsi="Times New Roman"/>
          <w:sz w:val="21"/>
          <w:szCs w:val="21"/>
        </w:rPr>
        <w:t xml:space="preserve">Each deliverable is submitted to the Joint Committee and copied to contact points. A deliverable becomes public only as approved by the Joint Committee or required by law.</w:t>
      </w:r>
    </w:p>
    <w:p w14:paraId="7342F9D2">
      <w:pPr>
        <w:spacing w:after="95" w:line="252"/>
      </w:pPr>
      <w:r>
        <w:rPr>
          <w:rFonts w:ascii="Times New Roman" w:cs="Times New Roman" w:eastAsia="SimSun" w:hAnsi="Times New Roman"/>
          <w:sz w:val="21"/>
          <w:szCs w:val="21"/>
        </w:rPr>
        <w:t xml:space="preserve">A deliverable recommending legal change includes proposed text, explanation, consistency analysis, affected domestic procedures, consultation plan, implementation schedule, survival classification, and bilateral balance note.</w:t>
      </w:r>
    </w:p>
    <w:p w14:paraId="5B67ADE2">
      <w:pPr>
        <w:pStyle w:val="Heading3"/>
        <w:keepNext/>
        <w:spacing w:after="115" w:before="190"/>
      </w:pPr>
      <w:bookmarkStart w:name="h770" w:id="770"/>
      <w:r>
        <w:rPr>
          <w:rFonts w:ascii="Times New Roman" w:cs="Times New Roman" w:eastAsia="SimSun" w:hAnsi="Times New Roman"/>
          <w:b/>
          <w:bCs/>
          <w:color w:val="263238"/>
          <w:sz w:val="22"/>
          <w:szCs w:val="22"/>
        </w:rPr>
        <w:t xml:space="preserve">Article 4H.4 Commitments, Safeguards, and Balance</w:t>
      </w:r>
      <w:bookmarkEnd w:id="770"/>
    </w:p>
    <w:p w14:paraId="2F8867D8">
      <w:pPr>
        <w:spacing w:after="95" w:line="252"/>
        <w:ind w:left="360"/>
      </w:pPr>
      <w:r>
        <w:rPr>
          <w:rFonts w:ascii="Times New Roman" w:cs="Times New Roman" w:eastAsia="SimSun" w:hAnsi="Times New Roman"/>
          <w:sz w:val="21"/>
          <w:szCs w:val="21"/>
        </w:rPr>
        <w:t xml:space="preserve">(a) Security cooperation complies with domestic law, human rights, privacy, data protection, and limits on use of shared information.</w:t>
      </w:r>
    </w:p>
    <w:p w14:paraId="54650898">
      <w:pPr>
        <w:spacing w:after="95" w:line="252"/>
        <w:ind w:left="360"/>
      </w:pPr>
      <w:r>
        <w:rPr>
          <w:rFonts w:ascii="Times New Roman" w:cs="Times New Roman" w:eastAsia="SimSun" w:hAnsi="Times New Roman"/>
          <w:sz w:val="21"/>
          <w:szCs w:val="21"/>
        </w:rPr>
        <w:t xml:space="preserve">(b) No trade benefit is conditioned on security performance unless a specifically negotiated obligation says so expressly, states the trade consequence, and provides review. This draft contains no such automatic condition.</w:t>
      </w:r>
    </w:p>
    <w:p w14:paraId="4418AF1E">
      <w:pPr>
        <w:spacing w:after="95" w:line="252"/>
        <w:ind w:left="360"/>
      </w:pPr>
      <w:r>
        <w:rPr>
          <w:rFonts w:ascii="Times New Roman" w:cs="Times New Roman" w:eastAsia="SimSun" w:hAnsi="Times New Roman"/>
          <w:sz w:val="21"/>
          <w:szCs w:val="21"/>
        </w:rPr>
        <w:t xml:space="preserve">(c) Security information is not used to recreate eliminated tariffs or to justify a disguised substitute.</w:t>
      </w:r>
    </w:p>
    <w:p w14:paraId="1E084680">
      <w:pPr>
        <w:spacing w:after="95" w:line="252"/>
      </w:pPr>
      <w:r>
        <w:rPr>
          <w:rFonts w:ascii="Times New Roman" w:cs="Times New Roman" w:eastAsia="SimSun" w:hAnsi="Times New Roman"/>
          <w:sz w:val="21"/>
          <w:szCs w:val="21"/>
        </w:rPr>
        <w:t xml:space="preserve">The Working Group identifies early wins implementable without treaty amendment, items requiring negotiation, and items that should not proceed during the Interim Period.</w:t>
      </w:r>
    </w:p>
    <w:p w14:paraId="52F492B4">
      <w:pPr>
        <w:spacing w:after="95" w:line="252"/>
      </w:pPr>
      <w:r>
        <w:rPr>
          <w:rFonts w:ascii="Times New Roman" w:cs="Times New Roman" w:eastAsia="SimSun" w:hAnsi="Times New Roman"/>
          <w:sz w:val="21"/>
          <w:szCs w:val="21"/>
        </w:rPr>
        <w:t xml:space="preserve">A Mexico-specific obligation must be matched by a United States obligation, justified by an adopted dispute obligation, or recorded as an intentional negotiated exchange. The same rule applies to a United States-specific obligation.</w:t>
      </w:r>
    </w:p>
    <w:p w14:paraId="3FC01B42">
      <w:pPr>
        <w:pStyle w:val="Heading2"/>
        <w:keepNext/>
        <w:spacing w:after="115" w:before="190"/>
      </w:pPr>
      <w:bookmarkStart w:id="937" w:name="_Toc236229937"/>
      <w:bookmarkStart w:name="h771" w:id="771"/>
      <w:r>
        <w:rPr>
          <w:rFonts w:ascii="Times New Roman" w:cs="Times New Roman" w:eastAsia="SimSun" w:hAnsi="Times New Roman"/>
          <w:b/>
          <w:bCs/>
          <w:color w:val="263238"/>
          <w:sz w:val="25"/>
          <w:szCs w:val="25"/>
        </w:rPr>
        <w:t xml:space="preserve">Working Group I: Dispute Settlement Modernization</w:t>
      </w:r>
      <w:bookmarkEnd w:id="771"/>
      <w:bookmarkEnd w:id="937"/>
    </w:p>
    <w:p w14:paraId="6E78E3C2">
      <w:pPr>
        <w:pStyle w:val="Heading3"/>
        <w:keepNext/>
        <w:spacing w:after="115" w:before="190"/>
      </w:pPr>
      <w:bookmarkStart w:name="h772" w:id="772"/>
      <w:r>
        <w:rPr>
          <w:rFonts w:ascii="Times New Roman" w:cs="Times New Roman" w:eastAsia="SimSun" w:hAnsi="Times New Roman"/>
          <w:b/>
          <w:bCs/>
          <w:color w:val="263238"/>
          <w:sz w:val="22"/>
          <w:szCs w:val="22"/>
        </w:rPr>
        <w:t xml:space="preserve">Article 4I.1 Mandate and Reference</w:t>
      </w:r>
      <w:bookmarkEnd w:id="772"/>
    </w:p>
    <w:p w14:paraId="32BF44EE">
      <w:pPr>
        <w:spacing w:after="95" w:line="252"/>
      </w:pPr>
      <w:r>
        <w:rPr>
          <w:rFonts w:ascii="Times New Roman" w:cs="Times New Roman" w:eastAsia="SimSun" w:hAnsi="Times New Roman"/>
          <w:sz w:val="21"/>
          <w:szCs w:val="21"/>
        </w:rPr>
        <w:t xml:space="preserve">The Working Group operates with reference to USMCA and T-MEC Chapter 31 and Chapter 31-A.</w:t>
      </w:r>
    </w:p>
    <w:p w14:paraId="105C3142">
      <w:pPr>
        <w:spacing w:after="95" w:line="252"/>
      </w:pPr>
      <w:r>
        <w:rPr>
          <w:rFonts w:ascii="Times New Roman" w:cs="Times New Roman" w:eastAsia="SimSun" w:hAnsi="Times New Roman"/>
          <w:sz w:val="21"/>
          <w:szCs w:val="21"/>
        </w:rPr>
        <w:t xml:space="preserve">The mandate covers:</w:t>
      </w:r>
    </w:p>
    <w:p w14:paraId="1E704B02">
      <w:pPr>
        <w:spacing w:after="95" w:line="252"/>
        <w:ind w:left="360"/>
      </w:pPr>
      <w:r>
        <w:rPr>
          <w:rFonts w:ascii="Times New Roman" w:cs="Times New Roman" w:eastAsia="SimSun" w:hAnsi="Times New Roman"/>
          <w:sz w:val="21"/>
          <w:szCs w:val="21"/>
        </w:rPr>
        <w:t xml:space="preserve">(a) Faster panel timelines, earlier issue identification, streamlined submissions, and firm hearing dates.</w:t>
      </w:r>
    </w:p>
    <w:p w14:paraId="002A9FCE">
      <w:pPr>
        <w:spacing w:after="95" w:line="252"/>
        <w:ind w:left="360"/>
      </w:pPr>
      <w:r>
        <w:rPr>
          <w:rFonts w:ascii="Times New Roman" w:cs="Times New Roman" w:eastAsia="SimSun" w:hAnsi="Times New Roman"/>
          <w:sz w:val="21"/>
          <w:szCs w:val="21"/>
        </w:rPr>
        <w:t xml:space="preserve">(b) Standing roster, conflicts screening, expertise categories, and replacement procedures.</w:t>
      </w:r>
    </w:p>
    <w:p w14:paraId="420852C6">
      <w:pPr>
        <w:spacing w:after="95" w:line="252"/>
        <w:ind w:left="360"/>
      </w:pPr>
      <w:r>
        <w:rPr>
          <w:rFonts w:ascii="Times New Roman" w:cs="Times New Roman" w:eastAsia="SimSun" w:hAnsi="Times New Roman"/>
          <w:sz w:val="21"/>
          <w:szCs w:val="21"/>
        </w:rPr>
        <w:t xml:space="preserve">(c) Transparency, public submissions, open hearings where feasible, and confidential information protection.</w:t>
      </w:r>
    </w:p>
    <w:p w14:paraId="2BCE3B86">
      <w:pPr>
        <w:spacing w:after="95" w:line="252"/>
        <w:ind w:left="360"/>
      </w:pPr>
      <w:r>
        <w:rPr>
          <w:rFonts w:ascii="Times New Roman" w:cs="Times New Roman" w:eastAsia="SimSun" w:hAnsi="Times New Roman"/>
          <w:sz w:val="21"/>
          <w:szCs w:val="21"/>
        </w:rPr>
        <w:t xml:space="preserve">(d) Compliance review, sequencing, and criteria for suspension of benefits.</w:t>
      </w:r>
    </w:p>
    <w:p w14:paraId="34D2BCDE">
      <w:pPr>
        <w:spacing w:after="95" w:line="252"/>
        <w:ind w:left="360"/>
      </w:pPr>
      <w:r>
        <w:rPr>
          <w:rFonts w:ascii="Times New Roman" w:cs="Times New Roman" w:eastAsia="SimSun" w:hAnsi="Times New Roman"/>
          <w:sz w:val="21"/>
          <w:szCs w:val="21"/>
        </w:rPr>
        <w:t xml:space="preserve">(e) Resolution of outstanding disputes by reference to adopted dockets and reports rather than unverified narrative.</w:t>
      </w:r>
    </w:p>
    <w:p w14:paraId="5574F17E">
      <w:pPr>
        <w:spacing w:after="95" w:line="252"/>
        <w:ind w:left="360"/>
      </w:pPr>
      <w:r>
        <w:rPr>
          <w:rFonts w:ascii="Times New Roman" w:cs="Times New Roman" w:eastAsia="SimSun" w:hAnsi="Times New Roman"/>
          <w:sz w:val="21"/>
          <w:szCs w:val="21"/>
        </w:rPr>
        <w:t xml:space="preserve">(f) Interaction with any parallel Canada and United States process without implying Canadian consent.</w:t>
      </w:r>
    </w:p>
    <w:p w14:paraId="697356D4">
      <w:pPr>
        <w:pStyle w:val="Heading3"/>
        <w:keepNext/>
        <w:spacing w:after="115" w:before="190"/>
      </w:pPr>
      <w:bookmarkStart w:name="h773" w:id="773"/>
      <w:r>
        <w:rPr>
          <w:rFonts w:ascii="Times New Roman" w:cs="Times New Roman" w:eastAsia="SimSun" w:hAnsi="Times New Roman"/>
          <w:b/>
          <w:bCs/>
          <w:color w:val="263238"/>
          <w:sz w:val="22"/>
          <w:szCs w:val="22"/>
        </w:rPr>
        <w:t xml:space="preserve">Article 4I.2 Composition and Governance</w:t>
      </w:r>
      <w:bookmarkEnd w:id="773"/>
    </w:p>
    <w:p w14:paraId="50CBB7A6">
      <w:pPr>
        <w:spacing w:after="95" w:line="252"/>
        <w:ind w:left="360"/>
      </w:pPr>
      <w:r>
        <w:rPr>
          <w:rFonts w:ascii="Times New Roman" w:cs="Times New Roman" w:eastAsia="SimSun" w:hAnsi="Times New Roman"/>
          <w:sz w:val="21"/>
          <w:szCs w:val="21"/>
        </w:rPr>
        <w:t xml:space="preserve">(a) Up to five representatives per Party with dispute settlement, panel, review, labor mechanism, and confidential information experience.</w:t>
      </w:r>
    </w:p>
    <w:p w14:paraId="3D82108E">
      <w:pPr>
        <w:spacing w:after="95" w:line="252"/>
        <w:ind w:left="360"/>
      </w:pPr>
      <w:r>
        <w:rPr>
          <w:rFonts w:ascii="Times New Roman" w:cs="Times New Roman" w:eastAsia="SimSun" w:hAnsi="Times New Roman"/>
          <w:sz w:val="21"/>
          <w:szCs w:val="21"/>
        </w:rPr>
        <w:t xml:space="preserve">(b) The Working Group may consult current and former panelists and registry personnel where available.</w:t>
      </w:r>
    </w:p>
    <w:p w14:paraId="77CDB6F8">
      <w:pPr>
        <w:spacing w:after="95" w:line="252"/>
      </w:pPr>
      <w:r>
        <w:rPr>
          <w:rFonts w:ascii="Times New Roman" w:cs="Times New Roman" w:eastAsia="SimSun" w:hAnsi="Times New Roman"/>
          <w:sz w:val="21"/>
          <w:szCs w:val="21"/>
        </w:rPr>
        <w:t xml:space="preserve">The co-chairs maintain a roster, calendar, decision log, risk register, and deliverable tracker. A quorum requires at least half of each Party's appointed members and both co-chairs or designated alternates.</w:t>
      </w:r>
    </w:p>
    <w:p w14:paraId="50928C1A">
      <w:pPr>
        <w:spacing w:after="95" w:line="252"/>
      </w:pPr>
      <w:r>
        <w:rPr>
          <w:rFonts w:ascii="Times New Roman" w:cs="Times New Roman" w:eastAsia="SimSun" w:hAnsi="Times New Roman"/>
          <w:sz w:val="21"/>
          <w:szCs w:val="21"/>
        </w:rPr>
        <w:t xml:space="preserve">Decisions are by consensus of the co-chairs after consultation within each delegation. Failure to reach consensus is recorded without attribution unless a member requests attribution.</w:t>
      </w:r>
    </w:p>
    <w:p w14:paraId="5B25E634">
      <w:pPr>
        <w:pStyle w:val="Heading3"/>
        <w:keepNext/>
        <w:spacing w:after="115" w:before="190"/>
      </w:pPr>
      <w:bookmarkStart w:name="h774" w:id="774"/>
      <w:r>
        <w:rPr>
          <w:rFonts w:ascii="Times New Roman" w:cs="Times New Roman" w:eastAsia="SimSun" w:hAnsi="Times New Roman"/>
          <w:b/>
          <w:bCs/>
          <w:color w:val="263238"/>
          <w:sz w:val="22"/>
          <w:szCs w:val="22"/>
        </w:rPr>
        <w:t xml:space="preserve">Article 4I.3 Deliverables</w:t>
      </w:r>
      <w:bookmarkEnd w:id="774"/>
    </w:p>
    <w:p w14:paraId="4F9D1C6E">
      <w:pPr>
        <w:spacing w:after="95" w:line="252"/>
      </w:pPr>
      <w:r>
        <w:rPr>
          <w:rFonts w:ascii="Times New Roman" w:cs="Times New Roman" w:eastAsia="SimSun" w:hAnsi="Times New Roman"/>
          <w:sz w:val="21"/>
          <w:szCs w:val="21"/>
        </w:rPr>
        <w:t xml:space="preserve">4I.3.1. By Day 60: proposed model procedures for faster panels, roster administration, transparency, compliance review, and suspension criteria.</w:t>
      </w:r>
    </w:p>
    <w:p w14:paraId="473E45F2">
      <w:pPr>
        <w:spacing w:after="95" w:line="252"/>
      </w:pPr>
      <w:r>
        <w:rPr>
          <w:rFonts w:ascii="Times New Roman" w:cs="Times New Roman" w:eastAsia="SimSun" w:hAnsi="Times New Roman"/>
          <w:sz w:val="21"/>
          <w:szCs w:val="21"/>
        </w:rPr>
        <w:t xml:space="preserve">4I.3.2. By Day 80: report on which dispute settlement improvements can be adopted administratively and which require treaty action.</w:t>
      </w:r>
    </w:p>
    <w:p w14:paraId="7816C35E">
      <w:pPr>
        <w:spacing w:after="95" w:line="252"/>
      </w:pPr>
      <w:r>
        <w:rPr>
          <w:rFonts w:ascii="Times New Roman" w:cs="Times New Roman" w:eastAsia="SimSun" w:hAnsi="Times New Roman"/>
          <w:sz w:val="21"/>
          <w:szCs w:val="21"/>
        </w:rPr>
        <w:t xml:space="preserve">Each deliverable is submitted to the Joint Committee and copied to contact points. A deliverable becomes public only as approved by the Joint Committee or required by law.</w:t>
      </w:r>
    </w:p>
    <w:p w14:paraId="67FF6A8A">
      <w:pPr>
        <w:spacing w:after="95" w:line="252"/>
      </w:pPr>
      <w:r>
        <w:rPr>
          <w:rFonts w:ascii="Times New Roman" w:cs="Times New Roman" w:eastAsia="SimSun" w:hAnsi="Times New Roman"/>
          <w:sz w:val="21"/>
          <w:szCs w:val="21"/>
        </w:rPr>
        <w:t xml:space="preserve">A deliverable recommending legal change includes proposed text, explanation, consistency analysis, affected domestic procedures, consultation plan, implementation schedule, survival classification, and bilateral balance note.</w:t>
      </w:r>
    </w:p>
    <w:p w14:paraId="40A41836">
      <w:pPr>
        <w:pStyle w:val="Heading3"/>
        <w:keepNext/>
        <w:spacing w:after="115" w:before="190"/>
      </w:pPr>
      <w:bookmarkStart w:name="h775" w:id="775"/>
      <w:r>
        <w:rPr>
          <w:rFonts w:ascii="Times New Roman" w:cs="Times New Roman" w:eastAsia="SimSun" w:hAnsi="Times New Roman"/>
          <w:b/>
          <w:bCs/>
          <w:color w:val="263238"/>
          <w:sz w:val="22"/>
          <w:szCs w:val="22"/>
        </w:rPr>
        <w:t xml:space="preserve">Article 4I.4 Commitments, Safeguards, and Balance</w:t>
      </w:r>
      <w:bookmarkEnd w:id="775"/>
    </w:p>
    <w:p w14:paraId="6D95678C">
      <w:pPr>
        <w:spacing w:after="95" w:line="252"/>
        <w:ind w:left="360"/>
      </w:pPr>
      <w:r>
        <w:rPr>
          <w:rFonts w:ascii="Times New Roman" w:cs="Times New Roman" w:eastAsia="SimSun" w:hAnsi="Times New Roman"/>
          <w:sz w:val="21"/>
          <w:szCs w:val="21"/>
        </w:rPr>
        <w:t xml:space="preserve">(a) Modernization does not apply retroactively to a pending dispute unless the disputing parties agree in writing.</w:t>
      </w:r>
    </w:p>
    <w:p w14:paraId="1BFEA752">
      <w:pPr>
        <w:spacing w:after="95" w:line="252"/>
        <w:ind w:left="360"/>
      </w:pPr>
      <w:r>
        <w:rPr>
          <w:rFonts w:ascii="Times New Roman" w:cs="Times New Roman" w:eastAsia="SimSun" w:hAnsi="Times New Roman"/>
          <w:sz w:val="21"/>
          <w:szCs w:val="21"/>
        </w:rPr>
        <w:t xml:space="preserve">(b) Faster timelines preserve reasonable opportunity to present evidence and argument.</w:t>
      </w:r>
    </w:p>
    <w:p w14:paraId="41A29EB0">
      <w:pPr>
        <w:spacing w:after="95" w:line="252"/>
        <w:ind w:left="360"/>
      </w:pPr>
      <w:r>
        <w:rPr>
          <w:rFonts w:ascii="Times New Roman" w:cs="Times New Roman" w:eastAsia="SimSun" w:hAnsi="Times New Roman"/>
          <w:sz w:val="21"/>
          <w:szCs w:val="21"/>
        </w:rPr>
        <w:t xml:space="preserve">(c) A public docket standard protects confidential business information and personal data.</w:t>
      </w:r>
    </w:p>
    <w:p w14:paraId="3B742332">
      <w:pPr>
        <w:spacing w:after="95" w:line="252"/>
      </w:pPr>
      <w:r>
        <w:rPr>
          <w:rFonts w:ascii="Times New Roman" w:cs="Times New Roman" w:eastAsia="SimSun" w:hAnsi="Times New Roman"/>
          <w:sz w:val="21"/>
          <w:szCs w:val="21"/>
        </w:rPr>
        <w:t xml:space="preserve">The Working Group identifies early wins implementable without treaty amendment, items requiring negotiation, and items that should not proceed during the Interim Period.</w:t>
      </w:r>
    </w:p>
    <w:p w14:paraId="4A4F51A8">
      <w:pPr>
        <w:spacing w:after="95" w:line="252"/>
      </w:pPr>
      <w:r>
        <w:rPr>
          <w:rFonts w:ascii="Times New Roman" w:cs="Times New Roman" w:eastAsia="SimSun" w:hAnsi="Times New Roman"/>
          <w:sz w:val="21"/>
          <w:szCs w:val="21"/>
        </w:rPr>
        <w:t xml:space="preserve">A Mexico-specific obligation must be matched by a United States obligation, justified by an adopted dispute obligation, or recorded as an intentional negotiated exchange. The same rule applies to a United States-specific obligation.</w:t>
      </w:r>
    </w:p>
    <w:p w14:paraId="770FDA64">
      <w:pPr>
        <w:pStyle w:val="Heading1"/>
        <w:keepNext/>
        <w:pageBreakBefore/>
        <w:spacing w:after="115" w:before="330"/>
      </w:pPr>
      <w:bookmarkStart w:id="938" w:name="_Toc236229938"/>
      <w:bookmarkStart w:name="h776" w:id="776"/>
      <w:r>
        <w:rPr>
          <w:rFonts w:ascii="Times New Roman" w:cs="Times New Roman" w:eastAsia="SimSun" w:hAnsi="Times New Roman"/>
          <w:b/>
          <w:bCs/>
          <w:color w:val="263238"/>
          <w:sz w:val="29"/>
          <w:szCs w:val="29"/>
        </w:rPr>
        <w:t xml:space="preserve">Part Five: Good-Faith Commitments and Elimination Firewall</w:t>
      </w:r>
      <w:bookmarkEnd w:id="776"/>
      <w:bookmarkEnd w:id="938"/>
    </w:p>
    <w:p w14:paraId="1165B966">
      <w:pPr>
        <w:pStyle w:val="Heading2"/>
        <w:keepNext/>
        <w:spacing w:after="115" w:before="190"/>
      </w:pPr>
      <w:bookmarkStart w:id="939" w:name="_Toc236229939"/>
      <w:bookmarkStart w:name="h777" w:id="777"/>
      <w:r>
        <w:rPr>
          <w:rFonts w:ascii="Times New Roman" w:cs="Times New Roman" w:eastAsia="SimSun" w:hAnsi="Times New Roman"/>
          <w:b/>
          <w:bCs/>
          <w:color w:val="263238"/>
          <w:sz w:val="25"/>
          <w:szCs w:val="25"/>
        </w:rPr>
        <w:t xml:space="preserve">Article 5.1 Good-Faith Commitment</w:t>
      </w:r>
      <w:bookmarkEnd w:id="777"/>
      <w:bookmarkEnd w:id="939"/>
    </w:p>
    <w:p w14:paraId="6730C22C">
      <w:pPr>
        <w:spacing w:after="95" w:line="252"/>
      </w:pPr>
      <w:r>
        <w:rPr>
          <w:rFonts w:ascii="Times New Roman" w:cs="Times New Roman" w:eastAsia="SimSun" w:hAnsi="Times New Roman"/>
          <w:sz w:val="21"/>
          <w:szCs w:val="21"/>
        </w:rPr>
        <w:t xml:space="preserve">5.1.1. The Parties shall act in good faith in all matters arising under this Agreement after entry into force, including elimination administration, consultation, working group conduct, data exchange, and dispute settlement.</w:t>
      </w:r>
    </w:p>
    <w:p w14:paraId="5E4A1C9C">
      <w:pPr>
        <w:spacing w:after="95" w:line="252"/>
      </w:pPr>
      <w:r>
        <w:rPr>
          <w:rFonts w:ascii="Times New Roman" w:cs="Times New Roman" w:eastAsia="SimSun" w:hAnsi="Times New Roman"/>
          <w:sz w:val="21"/>
          <w:szCs w:val="21"/>
        </w:rPr>
        <w:t xml:space="preserve">5.1.2. Each Party shall refrain from a measure that would undermine the object and purpose of this Agreement, including indirect revival of an eliminated measure, discriminatory administration, retaliatory delay, or use of a security label to impose a trade restriction not supported by the stated security interest.</w:t>
      </w:r>
    </w:p>
    <w:p w14:paraId="65F89B04">
      <w:pPr>
        <w:spacing w:after="95" w:line="252"/>
      </w:pPr>
      <w:r>
        <w:rPr>
          <w:rFonts w:ascii="Times New Roman" w:cs="Times New Roman" w:eastAsia="SimSun" w:hAnsi="Times New Roman"/>
          <w:sz w:val="21"/>
          <w:szCs w:val="21"/>
        </w:rPr>
        <w:t xml:space="preserve">5.1.3. Good faith does not require surrender of a legal right, disregard of a statutory mandate, or non-enforcement of law. It requires honest notice, reasonable process, and consistency between stated purpose and measure design.</w:t>
      </w:r>
    </w:p>
    <w:p w14:paraId="13E54294">
      <w:pPr>
        <w:pStyle w:val="Heading2"/>
        <w:keepNext/>
        <w:spacing w:after="115" w:before="190"/>
      </w:pPr>
      <w:bookmarkStart w:id="940" w:name="_Toc236229940"/>
      <w:bookmarkStart w:name="h778" w:id="778"/>
      <w:r>
        <w:rPr>
          <w:rFonts w:ascii="Times New Roman" w:cs="Times New Roman" w:eastAsia="SimSun" w:hAnsi="Times New Roman"/>
          <w:b/>
          <w:bCs/>
          <w:color w:val="263238"/>
          <w:sz w:val="25"/>
          <w:szCs w:val="25"/>
        </w:rPr>
        <w:t xml:space="preserve">Article 5.2 No-New-Tariffs Pledge as Firewall</w:t>
      </w:r>
      <w:bookmarkEnd w:id="778"/>
      <w:bookmarkEnd w:id="940"/>
    </w:p>
    <w:p w14:paraId="2AC62CD2">
      <w:pPr>
        <w:spacing w:after="95" w:line="252"/>
      </w:pPr>
      <w:r>
        <w:rPr>
          <w:rFonts w:ascii="Times New Roman" w:cs="Times New Roman" w:eastAsia="SimSun" w:hAnsi="Times New Roman"/>
          <w:sz w:val="21"/>
          <w:szCs w:val="21"/>
        </w:rPr>
        <w:t xml:space="preserve">5.2.1. Neither Party shall impose new tariffs or tariff-like measures on goods originating in the other Party that recreate, replace, or substantially duplicate an eliminated Covered Emergency Tariff Measure.</w:t>
      </w:r>
    </w:p>
    <w:p w14:paraId="4505A6D2">
      <w:pPr>
        <w:spacing w:after="95" w:line="252"/>
      </w:pPr>
      <w:r>
        <w:rPr>
          <w:rFonts w:ascii="Times New Roman" w:cs="Times New Roman" w:eastAsia="SimSun" w:hAnsi="Times New Roman"/>
          <w:sz w:val="21"/>
          <w:szCs w:val="21"/>
        </w:rPr>
        <w:t xml:space="preserve">5.2.2. Tariff-like measure means a charge, deposit, bond, fee, quota condition, or border exaction that functions as a tariff, excluding ordinary customs processing fees, nondiscriminatory internal taxes, and lawful trade remedy duties that satisfy Annex 2-D.</w:t>
      </w:r>
    </w:p>
    <w:p w14:paraId="54975ADE">
      <w:pPr>
        <w:spacing w:after="95" w:line="252"/>
      </w:pPr>
      <w:r>
        <w:rPr>
          <w:rFonts w:ascii="Times New Roman" w:cs="Times New Roman" w:eastAsia="SimSun" w:hAnsi="Times New Roman"/>
          <w:sz w:val="21"/>
          <w:szCs w:val="21"/>
        </w:rPr>
        <w:t xml:space="preserve">5.2.3. This pledge survives expiry or termination for eliminated measures unless the Parties adopt a later written instrument through required internal procedures that expressly modifies it and states the legal and factual basis.</w:t>
      </w:r>
    </w:p>
    <w:p w14:paraId="150AE4E8">
      <w:pPr>
        <w:spacing w:after="95" w:line="252"/>
      </w:pPr>
      <w:r>
        <w:t>5.2.4. A breach of this Article is subject to expedited review under Part Seven. The Panel may order removal of the offending measure and restoration of elimination treatment. Unless the final report states that removal and restoration fully cure the breach, remedies may also include refund of amounts collected, compensatory facilitation measures, a monetary settlement agreed by the Parties, or a compliance-review schedule with periodic reporting. Suspension of benefits may not recreate an eliminated Covered Emergency Tariff Measure.</w:t>
      </w:r>
    </w:p>
    <w:p w14:paraId="7F33E0EA">
      <w:pPr>
        <w:pStyle w:val="Heading2"/>
        <w:keepNext/>
        <w:spacing w:after="115" w:before="190"/>
      </w:pPr>
      <w:bookmarkStart w:id="941" w:name="_Toc236229941"/>
      <w:bookmarkStart w:name="h779" w:id="779"/>
      <w:r>
        <w:rPr>
          <w:rFonts w:ascii="Times New Roman" w:cs="Times New Roman" w:eastAsia="SimSun" w:hAnsi="Times New Roman"/>
          <w:b/>
          <w:bCs/>
          <w:color w:val="263238"/>
          <w:sz w:val="25"/>
          <w:szCs w:val="25"/>
        </w:rPr>
        <w:t xml:space="preserve">Article 5.3 Consultation Obligation</w:t>
      </w:r>
      <w:bookmarkEnd w:id="779"/>
      <w:bookmarkEnd w:id="941"/>
    </w:p>
    <w:p w14:paraId="055E462A">
      <w:pPr>
        <w:spacing w:after="95" w:line="252"/>
      </w:pPr>
      <w:r>
        <w:rPr>
          <w:rFonts w:ascii="Times New Roman" w:cs="Times New Roman" w:eastAsia="SimSun" w:hAnsi="Times New Roman"/>
          <w:sz w:val="21"/>
          <w:szCs w:val="21"/>
        </w:rPr>
        <w:t xml:space="preserve">5.3.1. Before adopting a measure that could materially affect trade between the Parties, a Party shall provide prior notice and an opportunity for consultation, unless urgent action is required by law, health, safety, or security.</w:t>
      </w:r>
    </w:p>
    <w:p w14:paraId="3EBA59D2">
      <w:pPr>
        <w:spacing w:after="95" w:line="252"/>
      </w:pPr>
      <w:r>
        <w:rPr>
          <w:rFonts w:ascii="Times New Roman" w:cs="Times New Roman" w:eastAsia="SimSun" w:hAnsi="Times New Roman"/>
          <w:sz w:val="21"/>
          <w:szCs w:val="21"/>
        </w:rPr>
        <w:t xml:space="preserve">5.3.2. Notice identifies the measure, legal authority, purpose, affected sectors, expected trade effect, proposed effective date, comment or consultation window, and contact point.</w:t>
      </w:r>
    </w:p>
    <w:p w14:paraId="3BC32AE0">
      <w:pPr>
        <w:spacing w:after="95" w:line="252"/>
      </w:pPr>
      <w:r>
        <w:rPr>
          <w:rFonts w:ascii="Times New Roman" w:cs="Times New Roman" w:eastAsia="SimSun" w:hAnsi="Times New Roman"/>
          <w:sz w:val="21"/>
          <w:szCs w:val="21"/>
        </w:rPr>
        <w:t xml:space="preserve">5.3.3. For urgent action, notice is provided no later than two business days after adoption, with consultation within ten days and a reasoned explanation of urgency.</w:t>
      </w:r>
    </w:p>
    <w:p w14:paraId="739860B8">
      <w:pPr>
        <w:spacing w:after="95" w:line="252"/>
      </w:pPr>
      <w:r>
        <w:rPr>
          <w:rFonts w:ascii="Times New Roman" w:cs="Times New Roman" w:eastAsia="SimSun" w:hAnsi="Times New Roman"/>
          <w:sz w:val="21"/>
          <w:szCs w:val="21"/>
        </w:rPr>
        <w:t xml:space="preserve">5.3.4. Consultation does not veto domestic procedure. It creates an obligation to consider comments, explain material choices, and assess less trade-restrictive alternatives where reasonably available.</w:t>
      </w:r>
    </w:p>
    <w:p w14:paraId="28A95ED4">
      <w:pPr>
        <w:pStyle w:val="Heading2"/>
        <w:keepNext/>
        <w:spacing w:after="115" w:before="190"/>
      </w:pPr>
      <w:bookmarkStart w:id="942" w:name="_Toc236229942"/>
      <w:bookmarkStart w:name="h780" w:id="780"/>
      <w:r>
        <w:rPr>
          <w:rFonts w:ascii="Times New Roman" w:cs="Times New Roman" w:eastAsia="SimSun" w:hAnsi="Times New Roman"/>
          <w:b/>
          <w:bCs/>
          <w:color w:val="263238"/>
          <w:sz w:val="25"/>
          <w:szCs w:val="25"/>
        </w:rPr>
        <w:t xml:space="preserve">Article 5.4 Security-Trade Firewall</w:t>
      </w:r>
      <w:bookmarkEnd w:id="780"/>
      <w:bookmarkEnd w:id="942"/>
    </w:p>
    <w:p w14:paraId="1D03DED2">
      <w:pPr>
        <w:spacing w:after="95" w:line="252"/>
      </w:pPr>
      <w:r>
        <w:rPr>
          <w:rFonts w:ascii="Times New Roman" w:cs="Times New Roman" w:eastAsia="SimSun" w:hAnsi="Times New Roman"/>
          <w:sz w:val="21"/>
          <w:szCs w:val="21"/>
        </w:rPr>
        <w:t xml:space="preserve">5.4.1. The Parties recognize that security cooperation is politically central to the bilateral relationship and belongs in this Agreement only as narrowly bounded cooperation with explicit safeguards.</w:t>
      </w:r>
    </w:p>
    <w:p w14:paraId="5E84336A">
      <w:pPr>
        <w:spacing w:after="95" w:line="252"/>
      </w:pPr>
      <w:r>
        <w:rPr>
          <w:rFonts w:ascii="Times New Roman" w:cs="Times New Roman" w:eastAsia="SimSun" w:hAnsi="Times New Roman"/>
          <w:sz w:val="21"/>
          <w:szCs w:val="21"/>
        </w:rPr>
        <w:t xml:space="preserve">5.4.2. Trade stabilization shall not mutate into a border security treaty. This Agreement does not create immigration jurisdiction, criminal jurisdiction, extradition, military authority, intelligence collection authority, or a general security condition for market access.</w:t>
      </w:r>
    </w:p>
    <w:p w14:paraId="51633D78">
      <w:pPr>
        <w:spacing w:after="95" w:line="252"/>
      </w:pPr>
      <w:r>
        <w:rPr>
          <w:rFonts w:ascii="Times New Roman" w:cs="Times New Roman" w:eastAsia="SimSun" w:hAnsi="Times New Roman"/>
          <w:sz w:val="21"/>
          <w:szCs w:val="21"/>
        </w:rPr>
        <w:t xml:space="preserve">5.4.3. No tariff elimination, refund, facilitation benefit, working group output, or dispute outcome is conditioned on security performance unless a specifically negotiated obligation expressly states the security metric, the trade consequence, the legal authority, proportionality, review, and sunset. This draft contains no automatic condition.</w:t>
      </w:r>
    </w:p>
    <w:p w14:paraId="4B2F17EA">
      <w:pPr>
        <w:spacing w:after="95" w:line="252"/>
      </w:pPr>
      <w:r>
        <w:rPr>
          <w:rFonts w:ascii="Times New Roman" w:cs="Times New Roman" w:eastAsia="SimSun" w:hAnsi="Times New Roman"/>
          <w:sz w:val="21"/>
          <w:szCs w:val="21"/>
        </w:rPr>
        <w:t xml:space="preserve">5.4.4. Security cooperation information may inform situational awareness, but a trade response requires an express provision, exception, or dispute outcome and must satisfy proportionality, non-duplication, and process requirements.</w:t>
      </w:r>
    </w:p>
    <w:p w14:paraId="7F39B916">
      <w:pPr>
        <w:pStyle w:val="Heading2"/>
        <w:keepNext/>
        <w:spacing w:after="115" w:before="190"/>
      </w:pPr>
      <w:bookmarkStart w:id="943" w:name="_Toc236229943"/>
      <w:bookmarkStart w:name="h781" w:id="781"/>
      <w:r>
        <w:rPr>
          <w:rFonts w:ascii="Times New Roman" w:cs="Times New Roman" w:eastAsia="SimSun" w:hAnsi="Times New Roman"/>
          <w:b/>
          <w:bCs/>
          <w:color w:val="263238"/>
          <w:sz w:val="25"/>
          <w:szCs w:val="25"/>
        </w:rPr>
        <w:t xml:space="preserve">Article 5.5 Transparency and Publication</w:t>
      </w:r>
      <w:bookmarkEnd w:id="781"/>
      <w:bookmarkEnd w:id="943"/>
    </w:p>
    <w:p w14:paraId="1E057B42">
      <w:pPr>
        <w:spacing w:after="95" w:line="252"/>
      </w:pPr>
      <w:r>
        <w:rPr>
          <w:rFonts w:ascii="Times New Roman" w:cs="Times New Roman" w:eastAsia="SimSun" w:hAnsi="Times New Roman"/>
          <w:sz w:val="21"/>
          <w:szCs w:val="21"/>
        </w:rPr>
        <w:t xml:space="preserve">5.5.1. Each Party shall publish measures of general application affecting trade covered by this Agreement, subject to limits for confidential, law enforcement, classified, and personal information.</w:t>
      </w:r>
    </w:p>
    <w:p w14:paraId="6202F6A8">
      <w:pPr>
        <w:spacing w:after="95" w:line="252"/>
      </w:pPr>
      <w:r>
        <w:rPr>
          <w:rFonts w:ascii="Times New Roman" w:cs="Times New Roman" w:eastAsia="SimSun" w:hAnsi="Times New Roman"/>
          <w:sz w:val="21"/>
          <w:szCs w:val="21"/>
        </w:rPr>
        <w:t xml:space="preserve">5.5.2. Publication should occur before effective date where practicable and includes effective date, legal basis, product or service scope, and inquiry point.</w:t>
      </w:r>
    </w:p>
    <w:p w14:paraId="1382FAF0">
      <w:pPr>
        <w:spacing w:after="95" w:line="252"/>
      </w:pPr>
      <w:r>
        <w:t>5.5.3. Upon entry into force, the Joint Committee shall maintain a public implementation page with status, meeting records cleared for release, certified schedules, corrections, and links to published measures.</w:t>
      </w:r>
    </w:p>
    <w:p w14:paraId="3B4FDE94">
      <w:pPr>
        <w:pStyle w:val="Heading2"/>
        <w:keepNext/>
        <w:spacing w:after="115" w:before="190"/>
      </w:pPr>
      <w:bookmarkStart w:id="944" w:name="_Toc236229944"/>
      <w:bookmarkStart w:name="h782" w:id="782"/>
      <w:r>
        <w:rPr>
          <w:rFonts w:ascii="Times New Roman" w:cs="Times New Roman" w:eastAsia="SimSun" w:hAnsi="Times New Roman"/>
          <w:b/>
          <w:bCs/>
          <w:color w:val="263238"/>
          <w:sz w:val="25"/>
          <w:szCs w:val="25"/>
        </w:rPr>
        <w:t xml:space="preserve">Article 5.6 Non-Retaliation During Consultation</w:t>
      </w:r>
      <w:bookmarkEnd w:id="782"/>
      <w:bookmarkEnd w:id="944"/>
    </w:p>
    <w:p w14:paraId="50E7B034">
      <w:pPr>
        <w:spacing w:after="95" w:line="252"/>
      </w:pPr>
      <w:r>
        <w:rPr>
          <w:rFonts w:ascii="Times New Roman" w:cs="Times New Roman" w:eastAsia="SimSun" w:hAnsi="Times New Roman"/>
          <w:sz w:val="21"/>
          <w:szCs w:val="21"/>
        </w:rPr>
        <w:t xml:space="preserve">5.6.1. While a consultation is pending and for 20 days after it closes without resolution, a Party shall not adopt a new retaliatory measure against the same subject matter unless an exception applies or domestic law requires immediate action.</w:t>
      </w:r>
    </w:p>
    <w:p w14:paraId="0476695E">
      <w:pPr>
        <w:spacing w:after="95" w:line="252"/>
      </w:pPr>
      <w:r>
        <w:rPr>
          <w:rFonts w:ascii="Times New Roman" w:cs="Times New Roman" w:eastAsia="SimSun" w:hAnsi="Times New Roman"/>
          <w:sz w:val="21"/>
          <w:szCs w:val="21"/>
        </w:rPr>
        <w:t xml:space="preserve">5.6.2. This Article does not delay enforcement against fraud, unsafe goods, forced labor, sanctions evasion, or imminent security threats.</w:t>
      </w:r>
    </w:p>
    <w:p w14:paraId="556C92D4">
      <w:pPr>
        <w:spacing w:after="95" w:line="252"/>
      </w:pPr>
      <w:r>
        <w:rPr>
          <w:rFonts w:ascii="Times New Roman" w:cs="Times New Roman" w:eastAsia="SimSun" w:hAnsi="Times New Roman"/>
          <w:sz w:val="21"/>
          <w:szCs w:val="21"/>
        </w:rPr>
        <w:t xml:space="preserve">5.6.3. A Party invoking domestic urgency shall explain why consultation could not be completed first and remains available for accelerated review.</w:t>
      </w:r>
    </w:p>
    <w:p w14:paraId="17B03488">
      <w:pPr>
        <w:pStyle w:val="Heading2"/>
        <w:keepNext/>
        <w:spacing w:after="115" w:before="190"/>
      </w:pPr>
      <w:bookmarkStart w:id="945" w:name="_Toc236229945"/>
      <w:bookmarkStart w:name="h783" w:id="783"/>
      <w:r>
        <w:rPr>
          <w:rFonts w:ascii="Times New Roman" w:cs="Times New Roman" w:eastAsia="SimSun" w:hAnsi="Times New Roman"/>
          <w:b/>
          <w:bCs/>
          <w:color w:val="263238"/>
          <w:sz w:val="25"/>
          <w:szCs w:val="25"/>
        </w:rPr>
        <w:t xml:space="preserve">Article 5.7 Material Breach Review</w:t>
      </w:r>
      <w:bookmarkEnd w:id="783"/>
      <w:bookmarkEnd w:id="945"/>
    </w:p>
    <w:p w14:paraId="489378C4">
      <w:pPr>
        <w:spacing w:after="95" w:line="252"/>
      </w:pPr>
      <w:r>
        <w:rPr>
          <w:rFonts w:ascii="Times New Roman" w:cs="Times New Roman" w:eastAsia="SimSun" w:hAnsi="Times New Roman"/>
          <w:sz w:val="21"/>
          <w:szCs w:val="21"/>
        </w:rPr>
        <w:t xml:space="preserve">5.7.1. A Party alleging material breach shall provide a written statement identifying the obligation, facts, evidence, trade or security effect, and requested cure.</w:t>
      </w:r>
    </w:p>
    <w:p w14:paraId="6C35821A">
      <w:pPr>
        <w:spacing w:after="95" w:line="252"/>
      </w:pPr>
      <w:r>
        <w:rPr>
          <w:rFonts w:ascii="Times New Roman" w:cs="Times New Roman" w:eastAsia="SimSun" w:hAnsi="Times New Roman"/>
          <w:sz w:val="21"/>
          <w:szCs w:val="21"/>
        </w:rPr>
        <w:t xml:space="preserve">5.7.2. The responding Party shall reply within 15 days. The reply may contest the allegation, propose cure, invoke an exception, or request technical verification.</w:t>
      </w:r>
    </w:p>
    <w:p w14:paraId="4E938DB2">
      <w:pPr>
        <w:spacing w:after="95" w:line="252"/>
      </w:pPr>
      <w:r>
        <w:rPr>
          <w:rFonts w:ascii="Times New Roman" w:cs="Times New Roman" w:eastAsia="SimSun" w:hAnsi="Times New Roman"/>
          <w:sz w:val="21"/>
          <w:szCs w:val="21"/>
        </w:rPr>
        <w:t xml:space="preserve">5.7.3. If the matter is not resolved within 30 days after the written statement, either Party may proceed under Part Seven. Suspension of benefits before a final report is limited to measures expressly authorized by this Agreement or required by an applicable exception.</w:t>
      </w:r>
    </w:p>
    <w:p w14:paraId="0A855E52">
      <w:pPr>
        <w:pStyle w:val="Heading1"/>
        <w:keepNext/>
        <w:pageBreakBefore/>
        <w:spacing w:after="115" w:before="330"/>
      </w:pPr>
      <w:bookmarkStart w:id="946" w:name="_Toc236229946"/>
      <w:bookmarkStart w:name="h784" w:id="784"/>
      <w:r>
        <w:rPr>
          <w:rFonts w:ascii="Times New Roman" w:cs="Times New Roman" w:eastAsia="SimSun" w:hAnsi="Times New Roman"/>
          <w:b/>
          <w:bCs/>
          <w:color w:val="263238"/>
          <w:sz w:val="29"/>
          <w:szCs w:val="29"/>
        </w:rPr>
        <w:t xml:space="preserve">Part Six: Institutional Arrangements</w:t>
      </w:r>
      <w:bookmarkEnd w:id="784"/>
      <w:bookmarkEnd w:id="946"/>
    </w:p>
    <w:p w14:paraId="4E1B8FE6">
      <w:pPr>
        <w:pStyle w:val="Heading2"/>
        <w:keepNext/>
        <w:spacing w:after="115" w:before="190"/>
      </w:pPr>
      <w:bookmarkStart w:id="947" w:name="_Toc236229947"/>
      <w:bookmarkStart w:name="h785" w:id="785"/>
      <w:r>
        <w:rPr>
          <w:rFonts w:ascii="Times New Roman" w:cs="Times New Roman" w:eastAsia="SimSun" w:hAnsi="Times New Roman"/>
          <w:b/>
          <w:bCs/>
          <w:color w:val="263238"/>
          <w:sz w:val="25"/>
          <w:szCs w:val="25"/>
        </w:rPr>
        <w:t xml:space="preserve">Article 6.1 Joint Committee</w:t>
      </w:r>
      <w:bookmarkEnd w:id="785"/>
      <w:bookmarkEnd w:id="947"/>
    </w:p>
    <w:p w14:paraId="457B39EC">
      <w:pPr>
        <w:spacing w:after="95" w:line="252"/>
      </w:pPr>
      <w:r>
        <w:rPr>
          <w:rFonts w:ascii="Times New Roman" w:cs="Times New Roman" w:eastAsia="SimSun" w:hAnsi="Times New Roman"/>
          <w:sz w:val="21"/>
          <w:szCs w:val="21"/>
        </w:rPr>
        <w:t xml:space="preserve">6.1.1. A Joint Committee is established on entry into force, composed of senior officials from each Party with authority to coordinate implementation across trade, customs, agriculture, energy, labor, environment, security firewall, and legal offices.</w:t>
      </w:r>
    </w:p>
    <w:p w14:paraId="33A65C88">
      <w:pPr>
        <w:spacing w:after="95" w:line="252"/>
      </w:pPr>
      <w:r>
        <w:rPr>
          <w:rFonts w:ascii="Times New Roman" w:cs="Times New Roman" w:eastAsia="SimSun" w:hAnsi="Times New Roman"/>
          <w:sz w:val="21"/>
          <w:szCs w:val="21"/>
        </w:rPr>
        <w:t xml:space="preserve">6.1.2. The Joint Committee oversees implementation, receives deliverables, resolves annex conflicts, approves public releases, recommends the single capped extension, and prepares transition and wind-down decisions.</w:t>
      </w:r>
    </w:p>
    <w:p w14:paraId="1C618AEE">
      <w:pPr>
        <w:spacing w:after="95" w:line="252"/>
      </w:pPr>
      <w:r>
        <w:rPr>
          <w:rFonts w:ascii="Times New Roman" w:cs="Times New Roman" w:eastAsia="SimSun" w:hAnsi="Times New Roman"/>
          <w:sz w:val="21"/>
          <w:szCs w:val="21"/>
        </w:rPr>
        <w:t xml:space="preserve">6.1.3. The Joint Committee may create subcommittees and technical groups. It may not amend this Agreement unless an amendment power is expressly granted and exercised through written instrument after required procedures.</w:t>
      </w:r>
    </w:p>
    <w:p w14:paraId="47C717A8">
      <w:pPr>
        <w:pStyle w:val="Heading2"/>
        <w:keepNext/>
        <w:spacing w:after="115" w:before="190"/>
      </w:pPr>
      <w:bookmarkStart w:id="948" w:name="_Toc236229948"/>
      <w:bookmarkStart w:name="h786" w:id="786"/>
      <w:r>
        <w:rPr>
          <w:rFonts w:ascii="Times New Roman" w:cs="Times New Roman" w:eastAsia="SimSun" w:hAnsi="Times New Roman"/>
          <w:b/>
          <w:bCs/>
          <w:color w:val="263238"/>
          <w:sz w:val="25"/>
          <w:szCs w:val="25"/>
        </w:rPr>
        <w:t xml:space="preserve">Article 6.2 Meetings</w:t>
      </w:r>
      <w:bookmarkEnd w:id="786"/>
      <w:bookmarkEnd w:id="948"/>
    </w:p>
    <w:p w14:paraId="37023B70">
      <w:pPr>
        <w:spacing w:after="95" w:line="252"/>
      </w:pPr>
      <w:r>
        <w:rPr>
          <w:rFonts w:ascii="Times New Roman" w:cs="Times New Roman" w:eastAsia="SimSun" w:hAnsi="Times New Roman"/>
          <w:sz w:val="21"/>
          <w:szCs w:val="21"/>
        </w:rPr>
        <w:t xml:space="preserve">6.2.1. The Joint Committee shall meet on Day 10, Day 30, Day 60, Day 80, and Day 90, and more often at the request of either Party for urgent matters.</w:t>
      </w:r>
    </w:p>
    <w:p w14:paraId="323A32B4">
      <w:pPr>
        <w:spacing w:after="95" w:line="252"/>
      </w:pPr>
      <w:r>
        <w:rPr>
          <w:rFonts w:ascii="Times New Roman" w:cs="Times New Roman" w:eastAsia="SimSun" w:hAnsi="Times New Roman"/>
          <w:sz w:val="21"/>
          <w:szCs w:val="21"/>
        </w:rPr>
        <w:t xml:space="preserve">6.2.2. Meetings may be in person or by secure electronic means. A meeting is valid if both co-chairs or designated alternates participate and notice was given at least three business days in advance, unless waived for urgency.</w:t>
      </w:r>
    </w:p>
    <w:p w14:paraId="6881876C">
      <w:pPr>
        <w:spacing w:after="95" w:line="252"/>
      </w:pPr>
      <w:r>
        <w:rPr>
          <w:rFonts w:ascii="Times New Roman" w:cs="Times New Roman" w:eastAsia="SimSun" w:hAnsi="Times New Roman"/>
          <w:sz w:val="21"/>
          <w:szCs w:val="21"/>
        </w:rPr>
        <w:t xml:space="preserve">6.2.3. The agenda is circulated at least two business days before a regular meeting and identifies decision items, information items, and items requiring legal review.</w:t>
      </w:r>
    </w:p>
    <w:p w14:paraId="02F9709E">
      <w:pPr>
        <w:pStyle w:val="Heading2"/>
        <w:keepNext/>
        <w:spacing w:after="115" w:before="190"/>
      </w:pPr>
      <w:bookmarkStart w:id="949" w:name="_Toc236229949"/>
      <w:bookmarkStart w:name="h787" w:id="787"/>
      <w:r>
        <w:rPr>
          <w:rFonts w:ascii="Times New Roman" w:cs="Times New Roman" w:eastAsia="SimSun" w:hAnsi="Times New Roman"/>
          <w:b/>
          <w:bCs/>
          <w:color w:val="263238"/>
          <w:sz w:val="25"/>
          <w:szCs w:val="25"/>
        </w:rPr>
        <w:t xml:space="preserve">Article 6.3 Decision-Making</w:t>
      </w:r>
      <w:bookmarkEnd w:id="787"/>
      <w:bookmarkEnd w:id="949"/>
    </w:p>
    <w:p w14:paraId="55B09D60">
      <w:pPr>
        <w:spacing w:after="95" w:line="252"/>
      </w:pPr>
      <w:r>
        <w:rPr>
          <w:rFonts w:ascii="Times New Roman" w:cs="Times New Roman" w:eastAsia="SimSun" w:hAnsi="Times New Roman"/>
          <w:sz w:val="21"/>
          <w:szCs w:val="21"/>
        </w:rPr>
        <w:t xml:space="preserve">6.3.1. Decisions of the Joint Committee are taken by consensus.</w:t>
      </w:r>
    </w:p>
    <w:p w14:paraId="1F9AD832">
      <w:pPr>
        <w:spacing w:after="95" w:line="252"/>
      </w:pPr>
      <w:r>
        <w:rPr>
          <w:rFonts w:ascii="Times New Roman" w:cs="Times New Roman" w:eastAsia="SimSun" w:hAnsi="Times New Roman"/>
          <w:sz w:val="21"/>
          <w:szCs w:val="21"/>
        </w:rPr>
        <w:t xml:space="preserve">6.3.2. A decision is recorded in writing with date, participants, decision, legal effect, implementation owner, survival classification, and review date. Silence is not a decision.</w:t>
      </w:r>
    </w:p>
    <w:p w14:paraId="289FA9F6">
      <w:pPr>
        <w:spacing w:after="95" w:line="252"/>
      </w:pPr>
      <w:r>
        <w:rPr>
          <w:rFonts w:ascii="Times New Roman" w:cs="Times New Roman" w:eastAsia="SimSun" w:hAnsi="Times New Roman"/>
          <w:sz w:val="21"/>
          <w:szCs w:val="21"/>
        </w:rPr>
        <w:t xml:space="preserve">6.3.3. Where consensus cannot be reached, the co-chairs record the disagreement, preserve positions, and refer the matter upward only if both Parties agree or this Agreement requires escalation.</w:t>
      </w:r>
    </w:p>
    <w:p w14:paraId="4FA78610">
      <w:pPr>
        <w:pStyle w:val="Heading2"/>
        <w:keepNext/>
        <w:spacing w:after="115" w:before="190"/>
      </w:pPr>
      <w:bookmarkStart w:id="950" w:name="_Toc236229950"/>
      <w:bookmarkStart w:name="h788" w:id="788"/>
      <w:r>
        <w:rPr>
          <w:rFonts w:ascii="Times New Roman" w:cs="Times New Roman" w:eastAsia="SimSun" w:hAnsi="Times New Roman"/>
          <w:b/>
          <w:bCs/>
          <w:color w:val="263238"/>
          <w:sz w:val="25"/>
          <w:szCs w:val="25"/>
        </w:rPr>
        <w:t xml:space="preserve">Article 6.4 Contact Points and Notices</w:t>
      </w:r>
      <w:bookmarkEnd w:id="788"/>
      <w:bookmarkEnd w:id="950"/>
    </w:p>
    <w:p w14:paraId="0FA360F4">
      <w:pPr>
        <w:spacing w:after="95" w:line="252"/>
      </w:pPr>
      <w:r>
        <w:rPr>
          <w:rFonts w:ascii="Times New Roman" w:cs="Times New Roman" w:eastAsia="SimSun" w:hAnsi="Times New Roman"/>
          <w:sz w:val="21"/>
          <w:szCs w:val="21"/>
        </w:rPr>
        <w:t xml:space="preserve">6.4.1. Each Party shall designate a contact point within five days after entry into force.</w:t>
      </w:r>
    </w:p>
    <w:p w14:paraId="760E36C0">
      <w:pPr>
        <w:spacing w:after="95" w:line="252"/>
      </w:pPr>
      <w:r>
        <w:rPr>
          <w:rFonts w:ascii="Times New Roman" w:cs="Times New Roman" w:eastAsia="SimSun" w:hAnsi="Times New Roman"/>
          <w:sz w:val="21"/>
          <w:szCs w:val="21"/>
        </w:rPr>
        <w:t xml:space="preserve">6.4.2. The contact point maintains secure channels for notices, data exchange, consultation requests, and panel communications.</w:t>
      </w:r>
    </w:p>
    <w:p w14:paraId="1FEA3D24">
      <w:pPr>
        <w:spacing w:after="95" w:line="252"/>
      </w:pPr>
      <w:r>
        <w:rPr>
          <w:rFonts w:ascii="Times New Roman" w:cs="Times New Roman" w:eastAsia="SimSun" w:hAnsi="Times New Roman"/>
          <w:sz w:val="21"/>
          <w:szCs w:val="21"/>
        </w:rPr>
        <w:t xml:space="preserve">6.4.3. A notice is effective on receipt through the designated channel, or on the next business day if received after 5:00 p.m. at the receiving contact point location.</w:t>
      </w:r>
    </w:p>
    <w:p w14:paraId="2BFD50C4">
      <w:r>
        <w:rPr>
          <w:b w:val="0"/>
        </w:rPr>
        <w:t>6.4.4. Designated contact points. For the United States: Office of the United States Trade Representative, Office for Mexico and Canada Affairs, 600 17th Street NW, Washington, DC 20508 (public address; secure electronic channel to be confirmed by exchange of notes under Article 9.11). For Mexico: Secretaría de Economía, Subsecretaría de Comercio Exterior, Pachuca 189, Colonia Condesa, Alcaldía Cuauhtémoc, C.P. 06140, Ciudad de México (public address; secure electronic channel to be confirmed by exchange of notes under Article 9.11). Customs notices: U.S. Customs and Border Protection, Office of Trade, 1300 Pennsylvania Avenue NW, Washington, DC 20229; Agencia Nacional de Aduanas de México (ANAM), Avenida Hidalgo 77, Colonia Guerrero, C.P. 06300, Ciudad de México. A change of contact point takes effect on written notice.</w:t>
      </w:r>
    </w:p>
    <w:p w14:paraId="2CD89BA0">
      <w:pPr>
        <w:pStyle w:val="Heading2"/>
        <w:keepNext/>
        <w:spacing w:after="115" w:before="190"/>
      </w:pPr>
      <w:bookmarkStart w:id="951" w:name="_Toc236229951"/>
      <w:bookmarkStart w:name="h789" w:id="789"/>
      <w:r>
        <w:rPr>
          <w:rFonts w:ascii="Times New Roman" w:cs="Times New Roman" w:eastAsia="SimSun" w:hAnsi="Times New Roman"/>
          <w:b/>
          <w:bCs/>
          <w:color w:val="263238"/>
          <w:sz w:val="25"/>
          <w:szCs w:val="25"/>
        </w:rPr>
        <w:t xml:space="preserve">Article 6.5 Coordination with USMCA and T-MEC Institutions</w:t>
      </w:r>
      <w:bookmarkEnd w:id="789"/>
      <w:bookmarkEnd w:id="951"/>
    </w:p>
    <w:p w14:paraId="0BEE6B12">
      <w:pPr>
        <w:spacing w:after="95" w:line="252"/>
      </w:pPr>
      <w:r>
        <w:rPr>
          <w:rFonts w:ascii="Times New Roman" w:cs="Times New Roman" w:eastAsia="SimSun" w:hAnsi="Times New Roman"/>
          <w:sz w:val="21"/>
          <w:szCs w:val="21"/>
        </w:rPr>
        <w:t xml:space="preserve">6.5.1. The Joint Committee shall coordinate with the Free Trade Commission and other USMCA and T-MEC institutions as appropriate to avoid duplication, conflicting calendars, or inconsistent interpretations.</w:t>
      </w:r>
    </w:p>
    <w:p w14:paraId="78839C44">
      <w:pPr>
        <w:spacing w:after="95" w:line="252"/>
      </w:pPr>
      <w:r>
        <w:rPr>
          <w:rFonts w:ascii="Times New Roman" w:cs="Times New Roman" w:eastAsia="SimSun" w:hAnsi="Times New Roman"/>
          <w:sz w:val="21"/>
          <w:szCs w:val="21"/>
        </w:rPr>
        <w:t xml:space="preserve">6.5.2. Coordination does not transfer jurisdiction, waive a right, or make a USMCA and T-MEC institution responsible for implementing this bilateral draft.</w:t>
      </w:r>
    </w:p>
    <w:p w14:paraId="4471177A">
      <w:pPr>
        <w:spacing w:after="95" w:line="252"/>
      </w:pPr>
      <w:r>
        <w:rPr>
          <w:rFonts w:ascii="Times New Roman" w:cs="Times New Roman" w:eastAsia="SimSun" w:hAnsi="Times New Roman"/>
          <w:sz w:val="21"/>
          <w:szCs w:val="21"/>
        </w:rPr>
        <w:t xml:space="preserve">6.5.3. Where Canada is a necessary participant for a trilateral matter, the Parties use the appropriate trilateral forum and do not imply Canadian consent through bilateral coordination.</w:t>
      </w:r>
    </w:p>
    <w:p w14:paraId="28E19E92">
      <w:pPr>
        <w:pStyle w:val="Heading2"/>
        <w:keepNext/>
        <w:spacing w:after="115" w:before="190"/>
      </w:pPr>
      <w:bookmarkStart w:id="952" w:name="_Toc236229952"/>
      <w:bookmarkStart w:name="h790" w:id="790"/>
      <w:r>
        <w:rPr>
          <w:rFonts w:ascii="Times New Roman" w:cs="Times New Roman" w:eastAsia="SimSun" w:hAnsi="Times New Roman"/>
          <w:b/>
          <w:bCs/>
          <w:color w:val="263238"/>
          <w:sz w:val="25"/>
          <w:szCs w:val="25"/>
        </w:rPr>
        <w:t xml:space="preserve">Article 6.6 Secretariat, Records, and Wind-Down</w:t>
      </w:r>
      <w:bookmarkEnd w:id="790"/>
      <w:bookmarkEnd w:id="952"/>
    </w:p>
    <w:p w14:paraId="3CC2A478">
      <w:pPr>
        <w:spacing w:after="95" w:line="252"/>
      </w:pPr>
      <w:r>
        <w:rPr>
          <w:rFonts w:ascii="Times New Roman" w:cs="Times New Roman" w:eastAsia="SimSun" w:hAnsi="Times New Roman"/>
          <w:sz w:val="21"/>
          <w:szCs w:val="21"/>
        </w:rPr>
        <w:t xml:space="preserve">6.6.1. The Joint Committee may assign secretariat functions to existing offices in each Party. Each Party funds its own participation unless the Parties agree otherwise in writing.</w:t>
      </w:r>
    </w:p>
    <w:p w14:paraId="79AFB862">
      <w:pPr>
        <w:spacing w:after="95" w:line="252"/>
      </w:pPr>
      <w:r>
        <w:rPr>
          <w:rFonts w:ascii="Times New Roman" w:cs="Times New Roman" w:eastAsia="SimSun" w:hAnsi="Times New Roman"/>
          <w:sz w:val="21"/>
          <w:szCs w:val="21"/>
        </w:rPr>
        <w:t xml:space="preserve">6.6.2. The record system includes agendas, minutes, decisions, deliverables, annex versions, data reports, consultation notices, dispute filings, and survival classifications.</w:t>
      </w:r>
    </w:p>
    <w:p w14:paraId="79BEBD06">
      <w:pPr>
        <w:spacing w:after="95" w:line="252"/>
      </w:pPr>
      <w:r>
        <w:t>6.6.3. Records that evidence elimination, firewall decisions, certificates, final dispute implementation, or constitutional/legal sufficiency are retained permanently unless a later lawful instrument expressly provides otherwise. Operational records are retained for the project life plus five years, and in all cases longer where required by domestic law, litigation hold, audit, or ongoing dispute.</w:t>
      </w:r>
    </w:p>
    <w:p w14:paraId="5335C94E">
      <w:pPr>
        <w:spacing w:after="95" w:line="252"/>
      </w:pPr>
      <w:r>
        <w:rPr>
          <w:rFonts w:ascii="Times New Roman" w:cs="Times New Roman" w:eastAsia="SimSun" w:hAnsi="Times New Roman"/>
          <w:sz w:val="21"/>
          <w:szCs w:val="21"/>
        </w:rPr>
        <w:t xml:space="preserve">6.6.4. Within 15 days after expiry or termination, the Joint Committee shall complete a wind-down memorandum identifying permanent outcomes, terminated temporary processes, pending disputes, accrued refund claims, and records custody.</w:t>
      </w:r>
    </w:p>
    <w:p w14:paraId="4D328980">
      <w:pPr>
        <w:pStyle w:val="Heading2"/>
        <w:keepNext/>
        <w:spacing w:after="115" w:before="190"/>
      </w:pPr>
      <w:bookmarkStart w:id="953" w:name="_Toc236229953"/>
      <w:bookmarkStart w:name="h791" w:id="791"/>
      <w:r>
        <w:rPr>
          <w:rFonts w:ascii="Times New Roman" w:cs="Times New Roman" w:eastAsia="SimSun" w:hAnsi="Times New Roman"/>
          <w:b/>
          <w:bCs/>
          <w:color w:val="263238"/>
          <w:sz w:val="25"/>
          <w:szCs w:val="25"/>
        </w:rPr>
        <w:t xml:space="preserve">Article 6.7 Stakeholder and Public Communication</w:t>
      </w:r>
      <w:bookmarkEnd w:id="791"/>
      <w:bookmarkEnd w:id="953"/>
    </w:p>
    <w:p w14:paraId="1028D4AE">
      <w:pPr>
        <w:spacing w:after="95" w:line="252"/>
      </w:pPr>
      <w:r>
        <w:rPr>
          <w:rFonts w:ascii="Times New Roman" w:cs="Times New Roman" w:eastAsia="SimSun" w:hAnsi="Times New Roman"/>
          <w:sz w:val="21"/>
          <w:szCs w:val="21"/>
        </w:rPr>
        <w:t xml:space="preserve">6.7.1. The Parties may hold stakeholder sessions on working group topics, provided participation is balanced, conflicts are disclosed, confidential material is protected, and no session is represented as negotiation approval.</w:t>
      </w:r>
    </w:p>
    <w:p w14:paraId="260F71A2">
      <w:pPr>
        <w:spacing w:after="95" w:line="252"/>
      </w:pPr>
      <w:r>
        <w:rPr>
          <w:rFonts w:ascii="Times New Roman" w:cs="Times New Roman" w:eastAsia="SimSun" w:hAnsi="Times New Roman"/>
          <w:sz w:val="21"/>
          <w:szCs w:val="21"/>
        </w:rPr>
        <w:t xml:space="preserve">6.7.2. Public statements shall accurately describe status. No public statement may describe this draft as signed, adopted, approved, or agreed before those events occur through lawful process.</w:t>
      </w:r>
    </w:p>
    <w:p w14:paraId="5F2ECE7C">
      <w:pPr>
        <w:spacing w:after="95" w:line="252"/>
      </w:pPr>
      <w:r>
        <w:rPr>
          <w:rFonts w:ascii="Times New Roman" w:cs="Times New Roman" w:eastAsia="SimSun" w:hAnsi="Times New Roman"/>
          <w:sz w:val="21"/>
          <w:szCs w:val="21"/>
        </w:rPr>
        <w:t xml:space="preserve">6.7.3. Joint communications require consensus. A Party may issue its own statement but shall not attribute a position to the other Party without written confirmation.</w:t>
      </w:r>
    </w:p>
    <w:p w14:paraId="3A0BAA72">
      <w:pPr>
        <w:pStyle w:val="Heading2"/>
      </w:pPr>
      <w:bookmarkStart w:id="954" w:name="_Toc236229954"/>
      <w:r>
        <w:t>Article 6.8 Prioritization and Budget</w:t>
      </w:r>
      <w:bookmarkEnd w:id="954"/>
    </w:p>
    <w:p w14:paraId="53DD713C">
      <w:r>
        <w:t>6.8.1. The Joint Committee shall adopt a resource plan covering staffing, meeting cadence, technical assistance, translation, data systems, audit support, and dispute administration. It shall prioritize certified tariff schedules, refund administration, firewall integrity, and legal-linguistic review.</w:t>
      </w:r>
    </w:p>
    <w:p w14:paraId="49202F84">
      <w:r>
        <w:t>6.8.2. Each Party bears its own costs unless a written joint project authorization states a different allocation, funding source, procurement controls, audit rights, and exit criteria. A working group may not assume an unfunded obligation as a condition of its deliverable.</w:t>
      </w:r>
    </w:p>
    <w:p w14:paraId="1104E496">
      <w:pPr>
        <w:pStyle w:val="Heading1"/>
        <w:keepNext/>
        <w:pageBreakBefore/>
        <w:spacing w:after="115" w:before="330"/>
      </w:pPr>
      <w:bookmarkStart w:id="955" w:name="_Toc236229955"/>
      <w:bookmarkStart w:name="h792" w:id="792"/>
      <w:r>
        <w:rPr>
          <w:rFonts w:ascii="Times New Roman" w:cs="Times New Roman" w:eastAsia="SimSun" w:hAnsi="Times New Roman"/>
          <w:b/>
          <w:bCs/>
          <w:color w:val="263238"/>
          <w:sz w:val="29"/>
          <w:szCs w:val="29"/>
        </w:rPr>
        <w:t xml:space="preserve">Part Seven: Dispute Settlement</w:t>
      </w:r>
      <w:bookmarkEnd w:id="792"/>
      <w:bookmarkEnd w:id="955"/>
    </w:p>
    <w:p w14:paraId="2BB8957C">
      <w:pPr>
        <w:pStyle w:val="Heading2"/>
        <w:keepNext/>
        <w:spacing w:after="115" w:before="190"/>
      </w:pPr>
      <w:bookmarkStart w:id="956" w:name="_Toc236229956"/>
      <w:bookmarkStart w:name="h793" w:id="793"/>
      <w:r>
        <w:rPr>
          <w:rFonts w:ascii="Times New Roman" w:cs="Times New Roman" w:eastAsia="SimSun" w:hAnsi="Times New Roman"/>
          <w:b/>
          <w:bCs/>
          <w:color w:val="263238"/>
          <w:sz w:val="25"/>
          <w:szCs w:val="25"/>
        </w:rPr>
        <w:t xml:space="preserve">Article 7.1 Scope</w:t>
      </w:r>
      <w:bookmarkEnd w:id="793"/>
      <w:bookmarkEnd w:id="956"/>
    </w:p>
    <w:p w14:paraId="2E6004B0">
      <w:pPr>
        <w:spacing w:after="95" w:line="252"/>
      </w:pPr>
      <w:r>
        <w:rPr>
          <w:rFonts w:ascii="Times New Roman" w:cs="Times New Roman" w:eastAsia="SimSun" w:hAnsi="Times New Roman"/>
          <w:sz w:val="21"/>
          <w:szCs w:val="21"/>
        </w:rPr>
        <w:t xml:space="preserve">7.1.1. This Part applies to a dispute arising under this Agreement after entry into force, including interpretation, application, elimination, firewall, refund, working group process, annex incorporation, exceptions, survival, and compliance with a final report.</w:t>
      </w:r>
    </w:p>
    <w:p w14:paraId="6CFF1B4E">
      <w:pPr>
        <w:spacing w:after="95" w:line="252"/>
      </w:pPr>
      <w:r>
        <w:rPr>
          <w:rFonts w:ascii="Times New Roman" w:cs="Times New Roman" w:eastAsia="SimSun" w:hAnsi="Times New Roman"/>
          <w:sz w:val="21"/>
          <w:szCs w:val="21"/>
        </w:rPr>
        <w:t xml:space="preserve">7.1.2. A dispute that is substantially a USMCA or T-MEC dispute is referred to the appropriate USMCA or T-MEC mechanism unless the disputing Parties agree in writing to use this Part for the bilateral interim aspect only.</w:t>
      </w:r>
    </w:p>
    <w:p w14:paraId="4F4F1C80">
      <w:pPr>
        <w:spacing w:after="95" w:line="252"/>
      </w:pPr>
      <w:r>
        <w:rPr>
          <w:rFonts w:ascii="Times New Roman" w:cs="Times New Roman" w:eastAsia="SimSun" w:hAnsi="Times New Roman"/>
          <w:sz w:val="21"/>
          <w:szCs w:val="21"/>
        </w:rPr>
        <w:t xml:space="preserve">7.1.3. This Part does not limit the RRM, investment, trade remedy, criminal, immigration, or national security processes except as expressly stated.</w:t>
      </w:r>
    </w:p>
    <w:p w14:paraId="745535F6">
      <w:r>
        <w:t>7.1.4. Expiry, extension, replacement, or termination does not suspend or extinguish a pending dispute, running clock, compliance obligation, refund claim, or final report. The panel, roster members, secretariat support, and Part Seven machinery survive for that pending matter through final disposition and implementation.</w:t>
      </w:r>
    </w:p>
    <w:p w14:paraId="36446F70">
      <w:r>
        <w:t>7.1.5. After expiry or termination, a claim concerning survival of the Elimination Firewall or an eliminated Covered Emergency Tariff Measure may be brought under USMCA/T-MEC Chapter 31 to the extent the matter falls within that forum’s jurisdiction; if it does not, the Parties shall designate an equivalent written forum before adoption. This provision does not create jurisdiction over a matter excluded by USMCA/T-MEC Article 32.2.</w:t>
      </w:r>
    </w:p>
    <w:p w14:paraId="78219452">
      <w:pPr>
        <w:pStyle w:val="Heading2"/>
        <w:keepNext/>
        <w:spacing w:after="115" w:before="190"/>
      </w:pPr>
      <w:bookmarkStart w:id="957" w:name="_Toc236229957"/>
      <w:bookmarkStart w:name="h794" w:id="794"/>
      <w:r>
        <w:rPr>
          <w:rFonts w:ascii="Times New Roman" w:cs="Times New Roman" w:eastAsia="SimSun" w:hAnsi="Times New Roman"/>
          <w:b/>
          <w:bCs/>
          <w:color w:val="263238"/>
          <w:sz w:val="25"/>
          <w:szCs w:val="25"/>
        </w:rPr>
        <w:t xml:space="preserve">Article 7.2 Consultations</w:t>
      </w:r>
      <w:bookmarkEnd w:id="794"/>
      <w:bookmarkEnd w:id="957"/>
    </w:p>
    <w:p w14:paraId="4C78D3D8">
      <w:pPr>
        <w:spacing w:after="95" w:line="252"/>
      </w:pPr>
      <w:r>
        <w:rPr>
          <w:rFonts w:ascii="Times New Roman" w:cs="Times New Roman" w:eastAsia="SimSun" w:hAnsi="Times New Roman"/>
          <w:sz w:val="21"/>
          <w:szCs w:val="21"/>
        </w:rPr>
        <w:t xml:space="preserve">7.2.1. Before formal dispute settlement, the Parties shall attempt to resolve the matter through consultations.</w:t>
      </w:r>
    </w:p>
    <w:p w14:paraId="59C2A082">
      <w:pPr>
        <w:spacing w:after="95" w:line="252"/>
      </w:pPr>
      <w:r>
        <w:rPr>
          <w:rFonts w:ascii="Times New Roman" w:cs="Times New Roman" w:eastAsia="SimSun" w:hAnsi="Times New Roman"/>
          <w:sz w:val="21"/>
          <w:szCs w:val="21"/>
        </w:rPr>
        <w:t xml:space="preserve">7.2.2. A request is in writing and identifies the measure or omission, provision alleged to be breached, facts, and proposed dates.</w:t>
      </w:r>
    </w:p>
    <w:p w14:paraId="706417BC">
      <w:pPr>
        <w:spacing w:after="95" w:line="252"/>
      </w:pPr>
      <w:r>
        <w:rPr>
          <w:rFonts w:ascii="Times New Roman" w:cs="Times New Roman" w:eastAsia="SimSun" w:hAnsi="Times New Roman"/>
          <w:sz w:val="21"/>
          <w:szCs w:val="21"/>
        </w:rPr>
        <w:t xml:space="preserve">7.2.3. Consultations commence within 15 days after receipt. For urgent elimination, refund, perishable goods, or firewall matters, consultations commence within seven days unless the requested Party shows compelling need for a short extension.</w:t>
      </w:r>
    </w:p>
    <w:p w14:paraId="52DC401C">
      <w:pPr>
        <w:spacing w:after="95" w:line="252"/>
      </w:pPr>
      <w:r>
        <w:rPr>
          <w:rFonts w:ascii="Times New Roman" w:cs="Times New Roman" w:eastAsia="SimSun" w:hAnsi="Times New Roman"/>
          <w:sz w:val="21"/>
          <w:szCs w:val="21"/>
        </w:rPr>
        <w:t xml:space="preserve">7.2.4. Consultations are confidential without prejudice to disclosure required by law. Positions taken are not admissions.</w:t>
      </w:r>
    </w:p>
    <w:p w14:paraId="2DACA32C">
      <w:pPr>
        <w:pStyle w:val="Heading2"/>
        <w:keepNext/>
        <w:spacing w:after="115" w:before="190"/>
      </w:pPr>
      <w:bookmarkStart w:id="958" w:name="_Toc236229958"/>
      <w:bookmarkStart w:name="h795" w:id="795"/>
      <w:r>
        <w:rPr>
          <w:rFonts w:ascii="Times New Roman" w:cs="Times New Roman" w:eastAsia="SimSun" w:hAnsi="Times New Roman"/>
          <w:b/>
          <w:bCs/>
          <w:color w:val="263238"/>
          <w:sz w:val="25"/>
          <w:szCs w:val="25"/>
        </w:rPr>
        <w:t xml:space="preserve">Article 7.3 Good Offices, Conciliation, and Mediation</w:t>
      </w:r>
      <w:bookmarkEnd w:id="795"/>
      <w:bookmarkEnd w:id="958"/>
    </w:p>
    <w:p w14:paraId="3BEB0CF2">
      <w:pPr>
        <w:spacing w:after="95" w:line="252"/>
      </w:pPr>
      <w:r>
        <w:rPr>
          <w:rFonts w:ascii="Times New Roman" w:cs="Times New Roman" w:eastAsia="SimSun" w:hAnsi="Times New Roman"/>
          <w:sz w:val="21"/>
          <w:szCs w:val="21"/>
        </w:rPr>
        <w:t xml:space="preserve">7.3.1. The Parties may at any time agree to good offices, conciliation, or mediation.</w:t>
      </w:r>
    </w:p>
    <w:p w14:paraId="7A09C220">
      <w:pPr>
        <w:spacing w:after="95" w:line="252"/>
      </w:pPr>
      <w:r>
        <w:rPr>
          <w:rFonts w:ascii="Times New Roman" w:cs="Times New Roman" w:eastAsia="SimSun" w:hAnsi="Times New Roman"/>
          <w:sz w:val="21"/>
          <w:szCs w:val="21"/>
        </w:rPr>
        <w:t xml:space="preserve">7.3.2. The facilitator may be a Joint Committee co-chair not directly responsible for the measure, a senior official, or a mutually selected neutral person.</w:t>
      </w:r>
    </w:p>
    <w:p w14:paraId="2B2D5210">
      <w:pPr>
        <w:spacing w:after="95" w:line="252"/>
      </w:pPr>
      <w:r>
        <w:rPr>
          <w:rFonts w:ascii="Times New Roman" w:cs="Times New Roman" w:eastAsia="SimSun" w:hAnsi="Times New Roman"/>
          <w:sz w:val="21"/>
          <w:szCs w:val="21"/>
        </w:rPr>
        <w:t xml:space="preserve">7.3.3. A facilitated settlement is binding only if signed by authorized representatives after any required internal procedure.</w:t>
      </w:r>
    </w:p>
    <w:p w14:paraId="7AA94BC4">
      <w:pPr>
        <w:pStyle w:val="Heading2"/>
        <w:keepNext/>
        <w:spacing w:after="115" w:before="190"/>
      </w:pPr>
      <w:bookmarkStart w:id="959" w:name="_Toc236229959"/>
      <w:bookmarkStart w:name="h796" w:id="796"/>
      <w:r>
        <w:rPr>
          <w:rFonts w:ascii="Times New Roman" w:cs="Times New Roman" w:eastAsia="SimSun" w:hAnsi="Times New Roman"/>
          <w:b/>
          <w:bCs/>
          <w:color w:val="263238"/>
          <w:sz w:val="25"/>
          <w:szCs w:val="25"/>
        </w:rPr>
        <w:t xml:space="preserve">Article 7.4 Panel Establishment</w:t>
      </w:r>
      <w:bookmarkEnd w:id="796"/>
      <w:bookmarkEnd w:id="959"/>
    </w:p>
    <w:p w14:paraId="12262954">
      <w:pPr>
        <w:spacing w:after="95" w:line="252"/>
      </w:pPr>
      <w:r>
        <w:rPr>
          <w:rFonts w:ascii="Times New Roman" w:cs="Times New Roman" w:eastAsia="SimSun" w:hAnsi="Times New Roman"/>
          <w:sz w:val="21"/>
          <w:szCs w:val="21"/>
        </w:rPr>
        <w:t xml:space="preserve">7.4.1. If consultations do not resolve the dispute within 30 days after the request, or within 15 days for an urgent matter, either Party may request a panel.</w:t>
      </w:r>
    </w:p>
    <w:p w14:paraId="2028DC6E">
      <w:pPr>
        <w:spacing w:after="95" w:line="252"/>
      </w:pPr>
      <w:r>
        <w:rPr>
          <w:rFonts w:ascii="Times New Roman" w:cs="Times New Roman" w:eastAsia="SimSun" w:hAnsi="Times New Roman"/>
          <w:sz w:val="21"/>
          <w:szCs w:val="21"/>
        </w:rPr>
        <w:t xml:space="preserve">7.4.2. A panel has three members selected from the standing roster. Each Party selects one panelist within ten days, and the two selected panelists select the chair within ten days. If selection fails, the Joint Committee draws by lot from qualified roster members within five days.</w:t>
      </w:r>
    </w:p>
    <w:p w14:paraId="024F9E50">
      <w:pPr>
        <w:spacing w:after="95" w:line="252"/>
      </w:pPr>
      <w:r>
        <w:rPr>
          <w:rFonts w:ascii="Times New Roman" w:cs="Times New Roman" w:eastAsia="SimSun" w:hAnsi="Times New Roman"/>
          <w:sz w:val="21"/>
          <w:szCs w:val="21"/>
        </w:rPr>
        <w:t xml:space="preserve">7.4.3. A panelist must be independent, free of conflicts, available for the timeline, and expert in the relevant subject matter.</w:t>
      </w:r>
    </w:p>
    <w:p w14:paraId="23914278">
      <w:pPr>
        <w:pStyle w:val="Heading2"/>
        <w:keepNext/>
        <w:spacing w:after="115" w:before="190"/>
      </w:pPr>
      <w:bookmarkStart w:id="960" w:name="_Toc236229960"/>
      <w:bookmarkStart w:name="h797" w:id="797"/>
      <w:r>
        <w:rPr>
          <w:rFonts w:ascii="Times New Roman" w:cs="Times New Roman" w:eastAsia="SimSun" w:hAnsi="Times New Roman"/>
          <w:b/>
          <w:bCs/>
          <w:color w:val="263238"/>
          <w:sz w:val="25"/>
          <w:szCs w:val="25"/>
        </w:rPr>
        <w:t xml:space="preserve">Article 7.5 Panel Roster</w:t>
      </w:r>
      <w:bookmarkEnd w:id="797"/>
      <w:bookmarkEnd w:id="960"/>
    </w:p>
    <w:p w14:paraId="785EDCA4">
      <w:pPr>
        <w:spacing w:after="95" w:line="252"/>
      </w:pPr>
      <w:r>
        <w:rPr>
          <w:rFonts w:ascii="Times New Roman" w:cs="Times New Roman" w:eastAsia="SimSun" w:hAnsi="Times New Roman"/>
          <w:sz w:val="21"/>
          <w:szCs w:val="21"/>
        </w:rPr>
        <w:t xml:space="preserve">7.5.1. The Parties shall establish a standing roster within 30 days after entry into force.</w:t>
      </w:r>
    </w:p>
    <w:p w14:paraId="4558346A">
      <w:pPr>
        <w:spacing w:after="95" w:line="252"/>
      </w:pPr>
      <w:r>
        <w:t>7.5.2. Each Party proposes up to ten candidates. The Joint Committee selects roster members by consensus after conflict, qualification, diversity, and availability review. As of the draft date, no candidate has been nominated, and this Agreement deliberately names no individual; nominations occur within 30 days after entry into force under the qualification criteria in Annex 4I-1.</w:t>
      </w:r>
    </w:p>
    <w:p w14:paraId="3067FF3C">
      <w:pPr>
        <w:spacing w:after="95" w:line="252"/>
      </w:pPr>
      <w:r>
        <w:rPr>
          <w:rFonts w:ascii="Times New Roman" w:cs="Times New Roman" w:eastAsia="SimSun" w:hAnsi="Times New Roman"/>
          <w:sz w:val="21"/>
          <w:szCs w:val="21"/>
        </w:rPr>
        <w:t xml:space="preserve">7.5.3. Roster members serve for the Interim Period and any wind-down needed for pending disputes. Replacement requires consensus and prompt conflict disclosure updates.</w:t>
      </w:r>
    </w:p>
    <w:p w14:paraId="526E2B6C">
      <w:pPr>
        <w:pStyle w:val="Heading2"/>
        <w:keepNext/>
        <w:spacing w:after="115" w:before="190"/>
      </w:pPr>
      <w:bookmarkStart w:id="961" w:name="_Toc236229961"/>
      <w:bookmarkStart w:name="h798" w:id="798"/>
      <w:r>
        <w:rPr>
          <w:rFonts w:ascii="Times New Roman" w:cs="Times New Roman" w:eastAsia="SimSun" w:hAnsi="Times New Roman"/>
          <w:b/>
          <w:bCs/>
          <w:color w:val="263238"/>
          <w:sz w:val="25"/>
          <w:szCs w:val="25"/>
        </w:rPr>
        <w:t xml:space="preserve">Article 7.6 Panel Procedures</w:t>
      </w:r>
      <w:bookmarkEnd w:id="798"/>
      <w:bookmarkEnd w:id="961"/>
    </w:p>
    <w:p w14:paraId="4ADB47B8">
      <w:pPr>
        <w:spacing w:after="95" w:line="252"/>
      </w:pPr>
      <w:r>
        <w:rPr>
          <w:rFonts w:ascii="Times New Roman" w:cs="Times New Roman" w:eastAsia="SimSun" w:hAnsi="Times New Roman"/>
          <w:sz w:val="21"/>
          <w:szCs w:val="21"/>
        </w:rPr>
        <w:t xml:space="preserve">7.6.1. The panel adopts procedures consistent with USMCA and T-MEC Chapter 31 to the extent compatible with this Agreement, including submissions, hearing, questions, evidence handling, and confidential information protection.</w:t>
      </w:r>
    </w:p>
    <w:p w14:paraId="3F766FFE">
      <w:pPr>
        <w:spacing w:after="95" w:line="252"/>
      </w:pPr>
      <w:r>
        <w:t>7.6.2. The panel issues a preliminary report within 75 days after establishment. For urgent firewall matters, the panel shall issue a preliminary report within 40 days. If the panel cannot meet that deadline, the challenged duplicative measure is provisionally non-applied from Day 41 pending the report, unless the panel issues a reasoned order explaining why non-application would create a greater irreparable harm.</w:t>
      </w:r>
    </w:p>
    <w:p w14:paraId="5E75BF38">
      <w:pPr>
        <w:spacing w:after="95" w:line="252"/>
      </w:pPr>
      <w:r>
        <w:rPr>
          <w:rFonts w:ascii="Times New Roman" w:cs="Times New Roman" w:eastAsia="SimSun" w:hAnsi="Times New Roman"/>
          <w:sz w:val="21"/>
          <w:szCs w:val="21"/>
        </w:rPr>
        <w:t xml:space="preserve">7.6.3. A Party may comment on the preliminary report within 12 days. The panel issues a final report within 25 days after comments close.</w:t>
      </w:r>
    </w:p>
    <w:p w14:paraId="3C2D0B9A">
      <w:pPr>
        <w:spacing w:after="95" w:line="252"/>
      </w:pPr>
      <w:r>
        <w:rPr>
          <w:rFonts w:ascii="Times New Roman" w:cs="Times New Roman" w:eastAsia="SimSun" w:hAnsi="Times New Roman"/>
          <w:sz w:val="21"/>
          <w:szCs w:val="21"/>
        </w:rPr>
        <w:t xml:space="preserve">7.6.4. The final report states facts, legal basis, interpretation, survival classification, and recommendation. It may not add to or diminish USMCA or T-MEC rights except as this Agreement expressly permits.</w:t>
      </w:r>
    </w:p>
    <w:p w14:paraId="040A8082">
      <w:pPr>
        <w:pStyle w:val="Heading2"/>
        <w:keepNext/>
        <w:spacing w:after="115" w:before="190"/>
      </w:pPr>
      <w:bookmarkStart w:id="962" w:name="_Toc236229962"/>
      <w:bookmarkStart w:name="h799" w:id="799"/>
      <w:r>
        <w:rPr>
          <w:rFonts w:ascii="Times New Roman" w:cs="Times New Roman" w:eastAsia="SimSun" w:hAnsi="Times New Roman"/>
          <w:b/>
          <w:bCs/>
          <w:color w:val="263238"/>
          <w:sz w:val="25"/>
          <w:szCs w:val="25"/>
        </w:rPr>
        <w:t xml:space="preserve">Article 7.7 Implementation and Suspension of Benefits</w:t>
      </w:r>
      <w:bookmarkEnd w:id="799"/>
      <w:bookmarkEnd w:id="962"/>
    </w:p>
    <w:p w14:paraId="6826112C">
      <w:pPr>
        <w:spacing w:after="95" w:line="252"/>
      </w:pPr>
      <w:r>
        <w:rPr>
          <w:rFonts w:ascii="Times New Roman" w:cs="Times New Roman" w:eastAsia="SimSun" w:hAnsi="Times New Roman"/>
          <w:sz w:val="21"/>
          <w:szCs w:val="21"/>
        </w:rPr>
        <w:t xml:space="preserve">7.7.1. The Parties shall implement a final report within 30 days after issuance unless the report sets a different reasonable period.</w:t>
      </w:r>
    </w:p>
    <w:p w14:paraId="19776858">
      <w:pPr>
        <w:spacing w:after="95" w:line="252"/>
      </w:pPr>
      <w:r>
        <w:rPr>
          <w:rFonts w:ascii="Times New Roman" w:cs="Times New Roman" w:eastAsia="SimSun" w:hAnsi="Times New Roman"/>
          <w:sz w:val="21"/>
          <w:szCs w:val="21"/>
        </w:rPr>
        <w:t xml:space="preserve">7.7.2. If a Party fails to implement, the complaining Party may request compliance review. The same panel where available decides within 30 days.</w:t>
      </w:r>
    </w:p>
    <w:p w14:paraId="7DC47C36">
      <w:pPr>
        <w:spacing w:after="95" w:line="252"/>
      </w:pPr>
      <w:r>
        <w:rPr>
          <w:rFonts w:ascii="Times New Roman" w:cs="Times New Roman" w:eastAsia="SimSun" w:hAnsi="Times New Roman"/>
          <w:sz w:val="21"/>
          <w:szCs w:val="21"/>
        </w:rPr>
        <w:t xml:space="preserve">7.7.3. If non-compliance is confirmed, the complaining Party may suspend equivalent benefits after notice. Suspension is proportionate, same-sector where feasible, time-limited, and reviewed every 45 days.</w:t>
      </w:r>
    </w:p>
    <w:p w14:paraId="5893B1FE">
      <w:pPr>
        <w:spacing w:after="95" w:line="252"/>
      </w:pPr>
      <w:r>
        <w:rPr>
          <w:rFonts w:ascii="Times New Roman" w:cs="Times New Roman" w:eastAsia="SimSun" w:hAnsi="Times New Roman"/>
          <w:sz w:val="21"/>
          <w:szCs w:val="21"/>
        </w:rPr>
        <w:t xml:space="preserve">7.7.4. A suspension of benefits may not recreate an eliminated Covered Emergency Tariff Measure.</w:t>
      </w:r>
    </w:p>
    <w:p w14:paraId="7D059B8C">
      <w:pPr>
        <w:pStyle w:val="Heading2"/>
        <w:keepNext/>
        <w:spacing w:after="115" w:before="190"/>
      </w:pPr>
      <w:bookmarkStart w:id="963" w:name="_Toc236229963"/>
      <w:bookmarkStart w:name="h800" w:id="800"/>
      <w:r>
        <w:rPr>
          <w:rFonts w:ascii="Times New Roman" w:cs="Times New Roman" w:eastAsia="SimSun" w:hAnsi="Times New Roman"/>
          <w:b/>
          <w:bCs/>
          <w:color w:val="263238"/>
          <w:sz w:val="25"/>
          <w:szCs w:val="25"/>
        </w:rPr>
        <w:t xml:space="preserve">Article 7.8 Rapid Response Labor Mechanism</w:t>
      </w:r>
      <w:bookmarkEnd w:id="800"/>
      <w:bookmarkEnd w:id="963"/>
    </w:p>
    <w:p w14:paraId="7EAB66A6">
      <w:pPr>
        <w:spacing w:after="95" w:line="252"/>
      </w:pPr>
      <w:r>
        <w:rPr>
          <w:rFonts w:ascii="Times New Roman" w:cs="Times New Roman" w:eastAsia="SimSun" w:hAnsi="Times New Roman"/>
          <w:sz w:val="21"/>
          <w:szCs w:val="21"/>
        </w:rPr>
        <w:t xml:space="preserve">7.8.1. Nothing in this Part affects the RRM under USMCA and T-MEC Chapter 31-A.</w:t>
      </w:r>
    </w:p>
    <w:p w14:paraId="6810D32C">
      <w:pPr>
        <w:spacing w:after="95" w:line="252"/>
      </w:pPr>
      <w:r>
        <w:rPr>
          <w:rFonts w:ascii="Times New Roman" w:cs="Times New Roman" w:eastAsia="SimSun" w:hAnsi="Times New Roman"/>
          <w:sz w:val="21"/>
          <w:szCs w:val="21"/>
        </w:rPr>
        <w:t xml:space="preserve">7.8.2. RRM disputes are resolved under Chapter 31-A procedures.</w:t>
      </w:r>
    </w:p>
    <w:p w14:paraId="78C1BD94">
      <w:pPr>
        <w:spacing w:after="95" w:line="252"/>
      </w:pPr>
      <w:r>
        <w:rPr>
          <w:rFonts w:ascii="Times New Roman" w:cs="Times New Roman" w:eastAsia="SimSun" w:hAnsi="Times New Roman"/>
          <w:sz w:val="21"/>
          <w:szCs w:val="21"/>
        </w:rPr>
        <w:t xml:space="preserve">7.8.3. The Labor Working Group may recommend administrative improvements but may not alter RRM rights, timelines, remedies, or panel composition without an adopted instrument.</w:t>
      </w:r>
    </w:p>
    <w:p w14:paraId="0EED3268">
      <w:pPr>
        <w:pStyle w:val="Heading2"/>
        <w:keepNext/>
        <w:spacing w:after="115" w:before="190"/>
      </w:pPr>
      <w:bookmarkStart w:id="964" w:name="_Toc236229964"/>
      <w:bookmarkStart w:name="h801" w:id="801"/>
      <w:r>
        <w:rPr>
          <w:rFonts w:ascii="Times New Roman" w:cs="Times New Roman" w:eastAsia="SimSun" w:hAnsi="Times New Roman"/>
          <w:b/>
          <w:bCs/>
          <w:color w:val="263238"/>
          <w:sz w:val="25"/>
          <w:szCs w:val="25"/>
        </w:rPr>
        <w:t xml:space="preserve">Article 7.9 Expedited Elimination Firewall Review</w:t>
      </w:r>
      <w:bookmarkEnd w:id="801"/>
      <w:bookmarkEnd w:id="964"/>
    </w:p>
    <w:p w14:paraId="18C7FC50">
      <w:pPr>
        <w:spacing w:after="95" w:line="252"/>
      </w:pPr>
      <w:r>
        <w:rPr>
          <w:rFonts w:ascii="Times New Roman" w:cs="Times New Roman" w:eastAsia="SimSun" w:hAnsi="Times New Roman"/>
          <w:sz w:val="21"/>
          <w:szCs w:val="21"/>
        </w:rPr>
        <w:t xml:space="preserve">7.9.1. A dispute concerning elimination, no resurrection, disguised substitution, refund, or the no-new-tariffs pledge may be designated urgent where delay would cause irreparable commercial harm or defeat the elimination purpose.</w:t>
      </w:r>
    </w:p>
    <w:p w14:paraId="15CBB956">
      <w:pPr>
        <w:spacing w:after="95" w:line="252"/>
      </w:pPr>
      <w:r>
        <w:t>7.9.2. In an urgent review, consultations occur within seven days, panel selection within seven days, preliminary report within 40 days, and final report within 18 days after comments. If the preliminary-report deadline is not met, Article 7.6.2’s provisional non-application consequence applies.</w:t>
      </w:r>
    </w:p>
    <w:p w14:paraId="2E85C448">
      <w:pPr>
        <w:spacing w:after="95" w:line="252"/>
      </w:pPr>
      <w:r>
        <w:t>7.9.3. The panel may order binding interim preservation measures, including provisional non-application of a challenged duplicative measure, preservation of records, suspension of collection, or maintenance of refund processing, where necessary to prevent irreparable harm or preserve the elimination purpose. The order must be proportionate, time-limited, reasoned, and subject to prompt review.</w:t>
      </w:r>
    </w:p>
    <w:p w14:paraId="60B23F4E">
      <w:pPr>
        <w:pStyle w:val="Heading1"/>
        <w:keepNext/>
        <w:pageBreakBefore/>
        <w:spacing w:after="115" w:before="330"/>
      </w:pPr>
      <w:bookmarkStart w:id="965" w:name="_Toc236229965"/>
      <w:bookmarkStart w:name="h802" w:id="802"/>
      <w:r>
        <w:rPr>
          <w:rFonts w:ascii="Times New Roman" w:cs="Times New Roman" w:eastAsia="SimSun" w:hAnsi="Times New Roman"/>
          <w:b/>
          <w:bCs/>
          <w:color w:val="263238"/>
          <w:sz w:val="29"/>
          <w:szCs w:val="29"/>
        </w:rPr>
        <w:t xml:space="preserve">Part Eight: Exceptions and General Provisions</w:t>
      </w:r>
      <w:bookmarkEnd w:id="802"/>
      <w:bookmarkEnd w:id="965"/>
    </w:p>
    <w:p w14:paraId="392C9FB8">
      <w:pPr>
        <w:pStyle w:val="Heading2"/>
        <w:keepNext/>
        <w:spacing w:after="115" w:before="190"/>
      </w:pPr>
      <w:bookmarkStart w:id="966" w:name="_Toc236229966"/>
      <w:bookmarkStart w:name="h803" w:id="803"/>
      <w:r>
        <w:rPr>
          <w:rFonts w:ascii="Times New Roman" w:cs="Times New Roman" w:eastAsia="SimSun" w:hAnsi="Times New Roman"/>
          <w:b/>
          <w:bCs/>
          <w:color w:val="263238"/>
          <w:sz w:val="25"/>
          <w:szCs w:val="25"/>
        </w:rPr>
        <w:t xml:space="preserve">Article 8.1 General Exceptions</w:t>
      </w:r>
      <w:bookmarkEnd w:id="803"/>
      <w:bookmarkEnd w:id="966"/>
    </w:p>
    <w:p w14:paraId="69D65DA8">
      <w:pPr>
        <w:spacing w:after="95" w:line="252"/>
      </w:pPr>
      <w:r>
        <w:rPr>
          <w:rFonts w:ascii="Times New Roman" w:cs="Times New Roman" w:eastAsia="SimSun" w:hAnsi="Times New Roman"/>
          <w:sz w:val="21"/>
          <w:szCs w:val="21"/>
        </w:rPr>
        <w:t xml:space="preserve">8.1.1. Nothing in this Agreement prevents a Party from adopting or maintaining measures necessary to protect public health, safety, animal or plant life or health, or the environment, provided the measures are not applied in a manner that constitutes arbitrary or unjustifiable discrimination or a disguised restriction on trade.</w:t>
      </w:r>
    </w:p>
    <w:p w14:paraId="79F5DE02">
      <w:pPr>
        <w:spacing w:after="95" w:line="252"/>
      </w:pPr>
      <w:r>
        <w:rPr>
          <w:rFonts w:ascii="Times New Roman" w:cs="Times New Roman" w:eastAsia="SimSun" w:hAnsi="Times New Roman"/>
          <w:sz w:val="21"/>
          <w:szCs w:val="21"/>
        </w:rPr>
        <w:t xml:space="preserve">8.1.2. A Party invoking this Article shall notify the measure, objective, scientific or risk basis where applicable, expected duration, review plan, and why the measure does not duplicate an eliminated tariff.</w:t>
      </w:r>
    </w:p>
    <w:p w14:paraId="7ADC8186">
      <w:pPr>
        <w:spacing w:after="95" w:line="252"/>
      </w:pPr>
      <w:r>
        <w:rPr>
          <w:rFonts w:ascii="Times New Roman" w:cs="Times New Roman" w:eastAsia="SimSun" w:hAnsi="Times New Roman"/>
          <w:sz w:val="21"/>
          <w:szCs w:val="21"/>
        </w:rPr>
        <w:t xml:space="preserve">8.1.3. Measures should be proportionate to risk, evidence-based, and reviewed when new evidence materially changes the risk.</w:t>
      </w:r>
    </w:p>
    <w:p w14:paraId="2DCF3DC6">
      <w:pPr>
        <w:pStyle w:val="Heading2"/>
        <w:keepNext/>
        <w:spacing w:after="115" w:before="190"/>
      </w:pPr>
      <w:bookmarkStart w:id="967" w:name="_Toc236229967"/>
      <w:bookmarkStart w:name="h804" w:id="804"/>
      <w:r>
        <w:rPr>
          <w:rFonts w:ascii="Times New Roman" w:cs="Times New Roman" w:eastAsia="SimSun" w:hAnsi="Times New Roman"/>
          <w:b/>
          <w:bCs/>
          <w:color w:val="263238"/>
          <w:sz w:val="25"/>
          <w:szCs w:val="25"/>
        </w:rPr>
        <w:t xml:space="preserve">Article 8.2 Security Exceptions and Non-Recreation Rule</w:t>
      </w:r>
      <w:bookmarkEnd w:id="804"/>
      <w:bookmarkEnd w:id="967"/>
    </w:p>
    <w:p w14:paraId="11C9071E">
      <w:pPr>
        <w:spacing w:after="95" w:line="252"/>
      </w:pPr>
      <w:r>
        <w:t>8.2.1. Each Party retains the right to take action for protection of its essential security interests, including actions relating to trafficking in drugs, arms, precursor chemicals, and other illicit goods, transnational organized crime, border security, critical infrastructure, and emergency response. Whether an overlapping measure is “necessary” under this Agreement is assessed objectively against the Article 8.2.4 factors, with appropriate deference to the invoking Party’s security assessment. This Article does not prejudice USMCA/T-MEC Article 32.2.</w:t>
      </w:r>
    </w:p>
    <w:p w14:paraId="494D30F6">
      <w:pPr>
        <w:spacing w:after="95" w:line="252"/>
      </w:pPr>
      <w:r>
        <w:rPr>
          <w:rFonts w:ascii="Times New Roman" w:cs="Times New Roman" w:eastAsia="SimSun" w:hAnsi="Times New Roman"/>
          <w:sz w:val="21"/>
          <w:szCs w:val="21"/>
        </w:rPr>
        <w:t xml:space="preserve">8.2.2. A Party invoking this Article shall notify the Joint Committee as soon as security permits, identify the general category of action, and provide a non-classified rationale to the extent possible.</w:t>
      </w:r>
    </w:p>
    <w:p w14:paraId="52CBA08E">
      <w:pPr>
        <w:spacing w:after="95" w:line="252"/>
      </w:pPr>
      <w:r>
        <w:rPr>
          <w:rFonts w:ascii="Times New Roman" w:cs="Times New Roman" w:eastAsia="SimSun" w:hAnsi="Times New Roman"/>
          <w:sz w:val="21"/>
          <w:szCs w:val="21"/>
        </w:rPr>
        <w:t xml:space="preserve">8.2.3. Security action is not exempt from the Elimination Firewall. A security measure may not impose a duty, quota, deposit, bond, fee, or charge on the same or substantially overlapping product scope as an eliminated Covered Emergency Tariff Measure merely under a new security rationale.</w:t>
      </w:r>
    </w:p>
    <w:p w14:paraId="04B022F8">
      <w:pPr>
        <w:spacing w:after="95" w:line="252"/>
      </w:pPr>
      <w:r>
        <w:rPr>
          <w:rFonts w:ascii="Times New Roman" w:cs="Times New Roman" w:eastAsia="SimSun" w:hAnsi="Times New Roman"/>
          <w:sz w:val="21"/>
          <w:szCs w:val="21"/>
        </w:rPr>
        <w:t xml:space="preserve">8.2.4. A security measure that materially overlaps an eliminated measure is valid only if the invoking Party shows a distinct security threat, a measure narrowly tailored to that threat, no reasonably available non-tariff alternative, time limits, independent legal authority, and no intent to recreate the economic effect of elimination.</w:t>
      </w:r>
    </w:p>
    <w:p w14:paraId="7C17039A">
      <w:pPr>
        <w:spacing w:after="95" w:line="252"/>
      </w:pPr>
      <w:r>
        <w:t>8.2.5. An overlapping security measure is subject to expedited review under Article 7.9. The Panel shall objectively assess the Article 8.2.4 factors and may order modification, provisional non-application, or removal to the extent the measure functions as a disguised substitute.</w:t>
      </w:r>
    </w:p>
    <w:p w14:paraId="2C423F26">
      <w:pPr>
        <w:pStyle w:val="Heading2"/>
        <w:keepNext/>
        <w:spacing w:after="115" w:before="190"/>
      </w:pPr>
      <w:bookmarkStart w:id="968" w:name="_Toc236229968"/>
      <w:bookmarkStart w:name="h805" w:id="805"/>
      <w:r>
        <w:rPr>
          <w:rFonts w:ascii="Times New Roman" w:cs="Times New Roman" w:eastAsia="SimSun" w:hAnsi="Times New Roman"/>
          <w:b/>
          <w:bCs/>
          <w:color w:val="263238"/>
          <w:sz w:val="25"/>
          <w:szCs w:val="25"/>
        </w:rPr>
        <w:t xml:space="preserve">Article 8.3 Taxation</w:t>
      </w:r>
      <w:bookmarkEnd w:id="805"/>
      <w:bookmarkEnd w:id="968"/>
    </w:p>
    <w:p w14:paraId="6FEF62D6">
      <w:pPr>
        <w:spacing w:after="95" w:line="252"/>
      </w:pPr>
      <w:r>
        <w:rPr>
          <w:rFonts w:ascii="Times New Roman" w:cs="Times New Roman" w:eastAsia="SimSun" w:hAnsi="Times New Roman"/>
          <w:sz w:val="21"/>
          <w:szCs w:val="21"/>
        </w:rPr>
        <w:t xml:space="preserve">8.3.1. This Agreement does not apply to taxation measures except as expressly provided for customs duties and tariff-like border charges.</w:t>
      </w:r>
    </w:p>
    <w:p w14:paraId="6F80015C">
      <w:pPr>
        <w:spacing w:after="95" w:line="252"/>
      </w:pPr>
      <w:r>
        <w:rPr>
          <w:rFonts w:ascii="Times New Roman" w:cs="Times New Roman" w:eastAsia="SimSun" w:hAnsi="Times New Roman"/>
          <w:sz w:val="21"/>
          <w:szCs w:val="21"/>
        </w:rPr>
        <w:t xml:space="preserve">8.3.2. A nondiscriminatory internal tax applied to domestic and imported goods is not a Covered Emergency Tariff Measure solely because collected at or after importation under lawful administration.</w:t>
      </w:r>
    </w:p>
    <w:p w14:paraId="30C80A6E">
      <w:pPr>
        <w:pStyle w:val="Heading2"/>
        <w:keepNext/>
        <w:spacing w:after="115" w:before="190"/>
      </w:pPr>
      <w:bookmarkStart w:id="969" w:name="_Toc236229969"/>
      <w:bookmarkStart w:name="h806" w:id="806"/>
      <w:r>
        <w:rPr>
          <w:rFonts w:ascii="Times New Roman" w:cs="Times New Roman" w:eastAsia="SimSun" w:hAnsi="Times New Roman"/>
          <w:b/>
          <w:bCs/>
          <w:color w:val="263238"/>
          <w:sz w:val="25"/>
          <w:szCs w:val="25"/>
        </w:rPr>
        <w:t xml:space="preserve">Article 8.4 Balance of Payments</w:t>
      </w:r>
      <w:bookmarkEnd w:id="806"/>
      <w:bookmarkEnd w:id="969"/>
    </w:p>
    <w:p w14:paraId="2E74AECC">
      <w:pPr>
        <w:spacing w:after="95" w:line="252"/>
      </w:pPr>
      <w:r>
        <w:rPr>
          <w:rFonts w:ascii="Times New Roman" w:cs="Times New Roman" w:eastAsia="SimSun" w:hAnsi="Times New Roman"/>
          <w:sz w:val="21"/>
          <w:szCs w:val="21"/>
        </w:rPr>
        <w:t xml:space="preserve">8.4.1. The Parties recognize the right to take measures to address serious balance of payments and external financial difficulties consistent with applicable international obligations.</w:t>
      </w:r>
    </w:p>
    <w:p w14:paraId="71BF8C5C">
      <w:pPr>
        <w:spacing w:after="95" w:line="252"/>
      </w:pPr>
      <w:r>
        <w:rPr>
          <w:rFonts w:ascii="Times New Roman" w:cs="Times New Roman" w:eastAsia="SimSun" w:hAnsi="Times New Roman"/>
          <w:sz w:val="21"/>
          <w:szCs w:val="21"/>
        </w:rPr>
        <w:t xml:space="preserve">8.4.2. A Party taking such measures shall notify the other Party, minimize trade distortion, avoid discrimination, maintain transparency, and remove the measures as conditions improve.</w:t>
      </w:r>
    </w:p>
    <w:p w14:paraId="7F9B7D2A">
      <w:pPr>
        <w:spacing w:after="95" w:line="252"/>
      </w:pPr>
      <w:r>
        <w:rPr>
          <w:rFonts w:ascii="Times New Roman" w:cs="Times New Roman" w:eastAsia="SimSun" w:hAnsi="Times New Roman"/>
          <w:sz w:val="21"/>
          <w:szCs w:val="21"/>
        </w:rPr>
        <w:t xml:space="preserve">8.4.3. A balance of payments measure may not recreate an eliminated bilateral emergency tariff.</w:t>
      </w:r>
    </w:p>
    <w:p w14:paraId="4B438996">
      <w:pPr>
        <w:pStyle w:val="Heading2"/>
        <w:keepNext/>
        <w:spacing w:after="115" w:before="190"/>
      </w:pPr>
      <w:bookmarkStart w:id="970" w:name="_Toc236229970"/>
      <w:bookmarkStart w:name="h807" w:id="807"/>
      <w:r>
        <w:rPr>
          <w:rFonts w:ascii="Times New Roman" w:cs="Times New Roman" w:eastAsia="SimSun" w:hAnsi="Times New Roman"/>
          <w:b/>
          <w:bCs/>
          <w:color w:val="263238"/>
          <w:sz w:val="25"/>
          <w:szCs w:val="25"/>
        </w:rPr>
        <w:t xml:space="preserve">Article 8.5 Sovereignty and Natural Resources</w:t>
      </w:r>
      <w:bookmarkEnd w:id="807"/>
      <w:bookmarkEnd w:id="970"/>
    </w:p>
    <w:p w14:paraId="2BC1C25C">
      <w:pPr>
        <w:spacing w:after="95" w:line="252"/>
      </w:pPr>
      <w:r>
        <w:rPr>
          <w:rFonts w:ascii="Times New Roman" w:cs="Times New Roman" w:eastAsia="SimSun" w:hAnsi="Times New Roman"/>
          <w:sz w:val="21"/>
          <w:szCs w:val="21"/>
        </w:rPr>
        <w:t xml:space="preserve">8.5.1. Nothing in this Agreement affects sovereignty of either Party over its natural resources, including hydrocarbons and minerals.</w:t>
      </w:r>
    </w:p>
    <w:p w14:paraId="22C7E660">
      <w:pPr>
        <w:spacing w:after="95" w:line="252"/>
      </w:pPr>
      <w:r>
        <w:rPr>
          <w:rFonts w:ascii="Times New Roman" w:cs="Times New Roman" w:eastAsia="SimSun" w:hAnsi="Times New Roman"/>
          <w:sz w:val="21"/>
          <w:szCs w:val="21"/>
        </w:rPr>
        <w:t xml:space="preserve">8.5.2. Sovereignty coexists with applicable trade disciplines. A Party may regulate resource ownership and development while complying with nondiscrimination, transparency, state-owned enterprise, investment, services, and environmental obligations that apply under adopted law.</w:t>
      </w:r>
    </w:p>
    <w:p w14:paraId="55B814BA">
      <w:pPr>
        <w:spacing w:after="95" w:line="252"/>
      </w:pPr>
      <w:r>
        <w:rPr>
          <w:rFonts w:ascii="Times New Roman" w:cs="Times New Roman" w:eastAsia="SimSun" w:hAnsi="Times New Roman"/>
          <w:sz w:val="21"/>
          <w:szCs w:val="21"/>
        </w:rPr>
        <w:t xml:space="preserve">8.5.3. No provision requires privatization, transfer of ownership, surrender of sovereign control, or abandonment of a lawful public service model.</w:t>
      </w:r>
    </w:p>
    <w:p w14:paraId="7A617B60">
      <w:pPr>
        <w:pStyle w:val="Heading2"/>
        <w:keepNext/>
        <w:spacing w:after="115" w:before="190"/>
      </w:pPr>
      <w:bookmarkStart w:id="971" w:name="_Toc236229971"/>
      <w:bookmarkStart w:name="h808" w:id="808"/>
      <w:r>
        <w:rPr>
          <w:rFonts w:ascii="Times New Roman" w:cs="Times New Roman" w:eastAsia="SimSun" w:hAnsi="Times New Roman"/>
          <w:b/>
          <w:bCs/>
          <w:color w:val="263238"/>
          <w:sz w:val="25"/>
          <w:szCs w:val="25"/>
        </w:rPr>
        <w:t xml:space="preserve">Article 8.6 No Waiver and Cumulative Rights</w:t>
      </w:r>
      <w:bookmarkEnd w:id="808"/>
      <w:bookmarkEnd w:id="971"/>
    </w:p>
    <w:p w14:paraId="6E225DFE">
      <w:pPr>
        <w:spacing w:after="95" w:line="252"/>
      </w:pPr>
      <w:r>
        <w:rPr>
          <w:rFonts w:ascii="Times New Roman" w:cs="Times New Roman" w:eastAsia="SimSun" w:hAnsi="Times New Roman"/>
          <w:sz w:val="21"/>
          <w:szCs w:val="21"/>
        </w:rPr>
        <w:t xml:space="preserve">8.6.1. A failure or delay to exercise a right is not a waiver. A single or partial exercise does not preclude further exercise.</w:t>
      </w:r>
    </w:p>
    <w:p w14:paraId="21A117C0">
      <w:pPr>
        <w:spacing w:after="95" w:line="252"/>
      </w:pPr>
      <w:r>
        <w:rPr>
          <w:rFonts w:ascii="Times New Roman" w:cs="Times New Roman" w:eastAsia="SimSun" w:hAnsi="Times New Roman"/>
          <w:sz w:val="21"/>
          <w:szCs w:val="21"/>
        </w:rPr>
        <w:t xml:space="preserve">8.6.2. Rights under this Agreement are cumulative with rights under the USMCA and T-MEC and domestic law unless expressly limited.</w:t>
      </w:r>
    </w:p>
    <w:p w14:paraId="30727950">
      <w:pPr>
        <w:pStyle w:val="Heading2"/>
        <w:keepNext/>
        <w:spacing w:after="115" w:before="190"/>
      </w:pPr>
      <w:bookmarkStart w:id="972" w:name="_Toc236229972"/>
      <w:bookmarkStart w:name="h809" w:id="809"/>
      <w:r>
        <w:rPr>
          <w:rFonts w:ascii="Times New Roman" w:cs="Times New Roman" w:eastAsia="SimSun" w:hAnsi="Times New Roman"/>
          <w:b/>
          <w:bCs/>
          <w:color w:val="263238"/>
          <w:sz w:val="25"/>
          <w:szCs w:val="25"/>
        </w:rPr>
        <w:t xml:space="preserve">Article 8.7 Proportionality and Least Trade-Restrictive Means</w:t>
      </w:r>
      <w:bookmarkEnd w:id="809"/>
      <w:bookmarkEnd w:id="972"/>
    </w:p>
    <w:p w14:paraId="0B4DC518">
      <w:pPr>
        <w:spacing w:after="95" w:line="252"/>
      </w:pPr>
      <w:r>
        <w:rPr>
          <w:rFonts w:ascii="Times New Roman" w:cs="Times New Roman" w:eastAsia="SimSun" w:hAnsi="Times New Roman"/>
          <w:sz w:val="21"/>
          <w:szCs w:val="21"/>
        </w:rPr>
        <w:t xml:space="preserve">8.7.1. Where this Agreement permits an exception-based measure, the Party should choose an alternative that is reasonably available, effective for the objective, and less restrictive to trade, unless urgency, confidentiality, or statutory command requires otherwise.</w:t>
      </w:r>
    </w:p>
    <w:p w14:paraId="0C720B78">
      <w:pPr>
        <w:spacing w:after="95" w:line="252"/>
      </w:pPr>
      <w:r>
        <w:rPr>
          <w:rFonts w:ascii="Times New Roman" w:cs="Times New Roman" w:eastAsia="SimSun" w:hAnsi="Times New Roman"/>
          <w:sz w:val="21"/>
          <w:szCs w:val="21"/>
        </w:rPr>
        <w:t xml:space="preserve">8.7.2. The analysis of less restrictive means is a reasoned record requirement, not a transfer of regulatory authority.</w:t>
      </w:r>
    </w:p>
    <w:p w14:paraId="5F62B93E">
      <w:pPr>
        <w:pStyle w:val="Heading1"/>
        <w:keepNext/>
        <w:pageBreakBefore/>
        <w:spacing w:after="115" w:before="330"/>
      </w:pPr>
      <w:bookmarkStart w:id="973" w:name="_Toc236229973"/>
      <w:bookmarkStart w:name="h810" w:id="810"/>
      <w:r>
        <w:rPr>
          <w:rFonts w:ascii="Times New Roman" w:cs="Times New Roman" w:eastAsia="SimSun" w:hAnsi="Times New Roman"/>
          <w:b/>
          <w:bCs/>
          <w:color w:val="263238"/>
          <w:sz w:val="29"/>
          <w:szCs w:val="29"/>
        </w:rPr>
        <w:t xml:space="preserve">Part Nine: Final Provisions</w:t>
      </w:r>
      <w:bookmarkEnd w:id="810"/>
      <w:bookmarkEnd w:id="973"/>
    </w:p>
    <w:p w14:paraId="31E3921E">
      <w:pPr>
        <w:pStyle w:val="Heading2"/>
        <w:keepNext/>
        <w:spacing w:after="115" w:before="190"/>
      </w:pPr>
      <w:bookmarkStart w:id="974" w:name="_Toc236229974"/>
      <w:bookmarkStart w:name="h811" w:id="811"/>
      <w:r>
        <w:rPr>
          <w:rFonts w:ascii="Times New Roman" w:cs="Times New Roman" w:eastAsia="SimSun" w:hAnsi="Times New Roman"/>
          <w:b/>
          <w:bCs/>
          <w:color w:val="263238"/>
          <w:sz w:val="25"/>
          <w:szCs w:val="25"/>
        </w:rPr>
        <w:t xml:space="preserve">Article 9.1 Entry into Force</w:t>
      </w:r>
      <w:bookmarkEnd w:id="811"/>
      <w:bookmarkEnd w:id="974"/>
    </w:p>
    <w:p w14:paraId="73C64212">
      <w:pPr>
        <w:spacing w:after="95" w:line="252"/>
      </w:pPr>
      <w:r>
        <w:rPr>
          <w:rFonts w:ascii="Times New Roman" w:cs="Times New Roman" w:eastAsia="SimSun" w:hAnsi="Times New Roman"/>
          <w:sz w:val="21"/>
          <w:szCs w:val="21"/>
        </w:rPr>
        <w:t xml:space="preserve">9.1.1. This Agreement enters into force on the date of the last written notification by the Parties of completion of their respective internal procedures, if those notifications are exchanged.</w:t>
      </w:r>
    </w:p>
    <w:p w14:paraId="5748ABC0">
      <w:pPr>
        <w:spacing w:after="95" w:line="252"/>
      </w:pPr>
      <w:r>
        <w:rPr>
          <w:rFonts w:ascii="Times New Roman" w:cs="Times New Roman" w:eastAsia="SimSun" w:hAnsi="Times New Roman"/>
          <w:sz w:val="21"/>
          <w:szCs w:val="21"/>
        </w:rPr>
        <w:t xml:space="preserve">9.1.2. The Parties may use best efforts to complete internal procedures promptly after any signature, but best efforts do not create entry into force, signature, approval, or consent to be bound.</w:t>
      </w:r>
    </w:p>
    <w:p w14:paraId="66CB7ECA">
      <w:pPr>
        <w:spacing w:after="95" w:line="252"/>
      </w:pPr>
      <w:r>
        <w:rPr>
          <w:rFonts w:ascii="Times New Roman" w:cs="Times New Roman" w:eastAsia="SimSun" w:hAnsi="Times New Roman"/>
          <w:sz w:val="21"/>
          <w:szCs w:val="21"/>
        </w:rPr>
        <w:t xml:space="preserve">9.1.3. Before entry into force, this text remains a negotiation draft. Conduct inconsistent with this draft is not a breach of this draft, though it may be relevant under other law.</w:t>
      </w:r>
    </w:p>
    <w:p w14:paraId="6494717C">
      <w:pPr>
        <w:pStyle w:val="Heading2"/>
        <w:keepNext/>
        <w:spacing w:after="115" w:before="190"/>
      </w:pPr>
      <w:bookmarkStart w:id="975" w:name="_Toc236229975"/>
      <w:bookmarkStart w:name="h812" w:id="812"/>
      <w:r>
        <w:rPr>
          <w:rFonts w:ascii="Times New Roman" w:cs="Times New Roman" w:eastAsia="SimSun" w:hAnsi="Times New Roman"/>
          <w:b/>
          <w:bCs/>
          <w:color w:val="263238"/>
          <w:sz w:val="25"/>
          <w:szCs w:val="25"/>
        </w:rPr>
        <w:t xml:space="preserve">Article 9.2 Duration, Survival, and Termination</w:t>
      </w:r>
      <w:bookmarkEnd w:id="812"/>
      <w:bookmarkEnd w:id="975"/>
    </w:p>
    <w:p w14:paraId="7001842E">
      <w:pPr>
        <w:spacing w:after="95" w:line="252"/>
      </w:pPr>
      <w:r>
        <w:rPr>
          <w:rFonts w:ascii="Times New Roman" w:cs="Times New Roman" w:eastAsia="SimSun" w:hAnsi="Times New Roman"/>
          <w:sz w:val="21"/>
          <w:szCs w:val="21"/>
        </w:rPr>
        <w:t xml:space="preserve">9.2.1. If it enters into force, this Agreement remains in force for the Stabilization Period, subject to the single capped extension, replacement by a later instrument, or earlier termination.</w:t>
      </w:r>
    </w:p>
    <w:p w14:paraId="0F516E2C">
      <w:pPr>
        <w:spacing w:after="95" w:line="252"/>
      </w:pPr>
      <w:r>
        <w:rPr>
          <w:rFonts w:ascii="Times New Roman" w:cs="Times New Roman" w:eastAsia="SimSun" w:hAnsi="Times New Roman"/>
          <w:sz w:val="21"/>
          <w:szCs w:val="21"/>
        </w:rPr>
        <w:t xml:space="preserve">9.2.2. Either Party may terminate this Agreement upon 45 days written notice to the other Party through the contact point.</w:t>
      </w:r>
    </w:p>
    <w:p w14:paraId="784CB966">
      <w:pPr>
        <w:spacing w:after="95" w:line="252"/>
      </w:pPr>
      <w:r>
        <w:rPr>
          <w:rFonts w:ascii="Times New Roman" w:cs="Times New Roman" w:eastAsia="SimSun" w:hAnsi="Times New Roman"/>
          <w:sz w:val="21"/>
          <w:szCs w:val="21"/>
        </w:rPr>
        <w:t xml:space="preserve">9.2.3. Expiry or termination does not resurrect eliminated tariffs, does not revive a Covered Emergency Tariff Measure, does not extinguish accrued refund rights, and does not terminate confidentiality, records, dispute implementation, completed administrative reforms recorded as permanent, or the Elimination Firewall unless a later written instrument adopted through required procedures expressly modifies it.</w:t>
      </w:r>
    </w:p>
    <w:p w14:paraId="669B7C34">
      <w:pPr>
        <w:spacing w:after="95" w:line="252"/>
      </w:pPr>
      <w:r>
        <w:t>9.2.4. Temporary processes end at expiry or termination after wind-down: working groups, progress reviews, reporting cycles, dashboards, and Joint Committee operations, except as needed to close pending disputes, refunds, records, or a final review. Expiry, extension, replacement, or termination does not suspend a running dispute, refund, compliance, or records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2500"/>
        <w:gridCol w:w="1760"/>
      </w:tblGrid>
      <w:tr>
        <w:tc>
          <w:tcPr>
            <w:tcW w:type="dxa" w:w="1900"/>
            <w:shd w:fill="EEF3F6" w:val="clear"/>
            <w:tcMar>
              <w:top w:type="dxa" w:w="90"/>
              <w:left w:type="dxa" w:w="100"/>
              <w:bottom w:type="dxa" w:w="90"/>
              <w:right w:type="dxa" w:w="100"/>
            </w:tcMar>
          </w:tcPr>
          <w:p w14:paraId="27470860">
            <w:pPr>
              <w:spacing w:after="60" w:line="230"/>
            </w:pPr>
            <w:r>
              <w:rPr>
                <w:rFonts w:ascii="Times New Roman" w:cs="Times New Roman" w:eastAsia="SimSun" w:hAnsi="Times New Roman"/>
                <w:sz w:val="18"/>
                <w:szCs w:val="18"/>
              </w:rPr>
              <w:t xml:space="preserve">Outcome</w:t>
            </w:r>
          </w:p>
        </w:tc>
        <w:tc>
          <w:tcPr>
            <w:tcW w:type="dxa" w:w="1500"/>
            <w:shd w:fill="EEF3F6" w:val="clear"/>
            <w:tcMar>
              <w:top w:type="dxa" w:w="90"/>
              <w:left w:type="dxa" w:w="100"/>
              <w:bottom w:type="dxa" w:w="90"/>
              <w:right w:type="dxa" w:w="100"/>
            </w:tcMar>
          </w:tcPr>
          <w:p w14:paraId="28B4B6F4">
            <w:pPr>
              <w:spacing w:after="60" w:line="230"/>
            </w:pPr>
            <w:r>
              <w:rPr>
                <w:rFonts w:ascii="Times New Roman" w:cs="Times New Roman" w:eastAsia="SimSun" w:hAnsi="Times New Roman"/>
                <w:sz w:val="18"/>
                <w:szCs w:val="18"/>
              </w:rPr>
              <w:t xml:space="preserve">Survives expiry</w:t>
            </w:r>
          </w:p>
        </w:tc>
        <w:tc>
          <w:tcPr>
            <w:tcW w:type="dxa" w:w="1700"/>
            <w:shd w:fill="EEF3F6" w:val="clear"/>
            <w:tcMar>
              <w:top w:type="dxa" w:w="90"/>
              <w:left w:type="dxa" w:w="100"/>
              <w:bottom w:type="dxa" w:w="90"/>
              <w:right w:type="dxa" w:w="100"/>
            </w:tcMar>
          </w:tcPr>
          <w:p w14:paraId="5D403EAC">
            <w:pPr>
              <w:spacing w:after="60" w:line="230"/>
            </w:pPr>
            <w:r>
              <w:rPr>
                <w:rFonts w:ascii="Times New Roman" w:cs="Times New Roman" w:eastAsia="SimSun" w:hAnsi="Times New Roman"/>
                <w:sz w:val="18"/>
                <w:szCs w:val="18"/>
              </w:rPr>
              <w:t xml:space="preserve">Ends or sunsets</w:t>
            </w:r>
          </w:p>
        </w:tc>
        <w:tc>
          <w:tcPr>
            <w:tcW w:type="dxa" w:w="2500"/>
            <w:shd w:fill="EEF3F6" w:val="clear"/>
            <w:tcMar>
              <w:top w:type="dxa" w:w="90"/>
              <w:left w:type="dxa" w:w="100"/>
              <w:bottom w:type="dxa" w:w="90"/>
              <w:right w:type="dxa" w:w="100"/>
            </w:tcMar>
          </w:tcPr>
          <w:p w14:paraId="6A49912E">
            <w:pPr>
              <w:spacing w:after="60" w:line="230"/>
            </w:pPr>
            <w:r>
              <w:rPr>
                <w:rFonts w:ascii="Times New Roman" w:cs="Times New Roman" w:eastAsia="SimSun" w:hAnsi="Times New Roman"/>
                <w:sz w:val="18"/>
                <w:szCs w:val="18"/>
              </w:rPr>
              <w:t xml:space="preserve">Condition for continuation</w:t>
            </w:r>
          </w:p>
        </w:tc>
        <w:tc>
          <w:tcPr>
            <w:tcW w:type="dxa" w:w="1760"/>
            <w:shd w:fill="EEF3F6" w:val="clear"/>
            <w:tcMar>
              <w:top w:type="dxa" w:w="90"/>
              <w:left w:type="dxa" w:w="100"/>
              <w:bottom w:type="dxa" w:w="90"/>
              <w:right w:type="dxa" w:w="100"/>
            </w:tcMar>
          </w:tcPr>
          <w:p w14:paraId="4935FD00">
            <w:pPr>
              <w:spacing w:after="60" w:line="230"/>
            </w:pPr>
            <w:r>
              <w:rPr>
                <w:rFonts w:ascii="Times New Roman" w:cs="Times New Roman" w:eastAsia="SimSun" w:hAnsi="Times New Roman"/>
                <w:sz w:val="18"/>
                <w:szCs w:val="18"/>
              </w:rPr>
              <w:t xml:space="preserve">Audit source</w:t>
            </w:r>
          </w:p>
        </w:tc>
      </w:tr>
      <w:tr>
        <w:tc>
          <w:tcPr>
            <w:tcW w:type="dxa" w:w="1900"/>
            <w:tcMar>
              <w:top w:type="dxa" w:w="90"/>
              <w:left w:type="dxa" w:w="100"/>
              <w:bottom w:type="dxa" w:w="90"/>
              <w:right w:type="dxa" w:w="100"/>
            </w:tcMar>
          </w:tcPr>
          <w:p w14:paraId="789E3E26">
            <w:pPr>
              <w:spacing w:after="60" w:line="230"/>
            </w:pPr>
            <w:r>
              <w:rPr>
                <w:rFonts w:ascii="Times New Roman" w:cs="Times New Roman" w:eastAsia="SimSun" w:hAnsi="Times New Roman"/>
                <w:sz w:val="18"/>
                <w:szCs w:val="18"/>
              </w:rPr>
              <w:t xml:space="preserve">Elimination of covered measures</w:t>
            </w:r>
          </w:p>
        </w:tc>
        <w:tc>
          <w:tcPr>
            <w:tcW w:type="dxa" w:w="1500"/>
            <w:tcMar>
              <w:top w:type="dxa" w:w="90"/>
              <w:left w:type="dxa" w:w="100"/>
              <w:bottom w:type="dxa" w:w="90"/>
              <w:right w:type="dxa" w:w="100"/>
            </w:tcMar>
          </w:tcPr>
          <w:p w14:paraId="2A811070">
            <w:pPr>
              <w:spacing w:after="60" w:line="230"/>
            </w:pPr>
            <w:r>
              <w:rPr>
                <w:rFonts w:ascii="Times New Roman" w:cs="Times New Roman" w:eastAsia="SimSun" w:hAnsi="Times New Roman"/>
                <w:sz w:val="18"/>
                <w:szCs w:val="18"/>
              </w:rPr>
              <w:t xml:space="preserve">Yes</w:t>
            </w:r>
          </w:p>
        </w:tc>
        <w:tc>
          <w:tcPr>
            <w:tcW w:type="dxa" w:w="1700"/>
            <w:tcMar>
              <w:top w:type="dxa" w:w="90"/>
              <w:left w:type="dxa" w:w="100"/>
              <w:bottom w:type="dxa" w:w="90"/>
              <w:right w:type="dxa" w:w="100"/>
            </w:tcMar>
          </w:tcPr>
          <w:p w14:paraId="0AE01926">
            <w:pPr>
              <w:spacing w:after="60" w:line="230"/>
            </w:pPr>
            <w:r>
              <w:rPr>
                <w:rFonts w:ascii="Times New Roman" w:cs="Times New Roman" w:eastAsia="SimSun" w:hAnsi="Times New Roman"/>
                <w:sz w:val="18"/>
                <w:szCs w:val="18"/>
              </w:rPr>
              <w:t xml:space="preserve">No</w:t>
            </w:r>
          </w:p>
        </w:tc>
        <w:tc>
          <w:tcPr>
            <w:tcW w:type="dxa" w:w="2500"/>
            <w:tcMar>
              <w:top w:type="dxa" w:w="90"/>
              <w:left w:type="dxa" w:w="100"/>
              <w:bottom w:type="dxa" w:w="90"/>
              <w:right w:type="dxa" w:w="100"/>
            </w:tcMar>
          </w:tcPr>
          <w:p w14:paraId="2E549CF8">
            <w:pPr>
              <w:spacing w:after="60" w:line="230"/>
            </w:pPr>
            <w:r>
              <w:rPr>
                <w:rFonts w:ascii="Times New Roman" w:cs="Times New Roman" w:eastAsia="SimSun" w:hAnsi="Times New Roman"/>
                <w:sz w:val="18"/>
                <w:szCs w:val="18"/>
              </w:rPr>
              <w:t xml:space="preserve">Later adopted instrument may modify prospectively</w:t>
            </w:r>
          </w:p>
        </w:tc>
        <w:tc>
          <w:tcPr>
            <w:tcW w:type="dxa" w:w="1760"/>
            <w:tcMar>
              <w:top w:type="dxa" w:w="90"/>
              <w:left w:type="dxa" w:w="100"/>
              <w:bottom w:type="dxa" w:w="90"/>
              <w:right w:type="dxa" w:w="100"/>
            </w:tcMar>
          </w:tcPr>
          <w:p w14:paraId="656A9C36">
            <w:pPr>
              <w:spacing w:after="60" w:line="230"/>
            </w:pPr>
            <w:r>
              <w:rPr>
                <w:rFonts w:ascii="Times New Roman" w:cs="Times New Roman" w:eastAsia="SimSun" w:hAnsi="Times New Roman"/>
                <w:sz w:val="18"/>
                <w:szCs w:val="18"/>
              </w:rPr>
              <w:t xml:space="preserve">Articles 2.1, 2.8, 9.2</w:t>
            </w:r>
          </w:p>
        </w:tc>
      </w:tr>
      <w:tr>
        <w:tc>
          <w:tcPr>
            <w:tcW w:type="dxa" w:w="1900"/>
            <w:tcMar>
              <w:top w:type="dxa" w:w="90"/>
              <w:left w:type="dxa" w:w="100"/>
              <w:bottom w:type="dxa" w:w="90"/>
              <w:right w:type="dxa" w:w="100"/>
            </w:tcMar>
          </w:tcPr>
          <w:p w14:paraId="3C739348">
            <w:pPr>
              <w:spacing w:after="60" w:line="230"/>
            </w:pPr>
            <w:r>
              <w:rPr>
                <w:rFonts w:ascii="Times New Roman" w:cs="Times New Roman" w:eastAsia="SimSun" w:hAnsi="Times New Roman"/>
                <w:sz w:val="18"/>
                <w:szCs w:val="18"/>
              </w:rPr>
              <w:t xml:space="preserve">No-new-tariffs firewall</w:t>
            </w:r>
          </w:p>
        </w:tc>
        <w:tc>
          <w:tcPr>
            <w:tcW w:type="dxa" w:w="1500"/>
            <w:tcMar>
              <w:top w:type="dxa" w:w="90"/>
              <w:left w:type="dxa" w:w="100"/>
              <w:bottom w:type="dxa" w:w="90"/>
              <w:right w:type="dxa" w:w="100"/>
            </w:tcMar>
          </w:tcPr>
          <w:p w14:paraId="23E56ED0">
            <w:pPr>
              <w:spacing w:after="60" w:line="230"/>
            </w:pPr>
            <w:r>
              <w:rPr>
                <w:rFonts w:ascii="Times New Roman" w:cs="Times New Roman" w:eastAsia="SimSun" w:hAnsi="Times New Roman"/>
                <w:sz w:val="18"/>
                <w:szCs w:val="18"/>
              </w:rPr>
              <w:t xml:space="preserve">Yes for eliminated measures</w:t>
            </w:r>
          </w:p>
        </w:tc>
        <w:tc>
          <w:tcPr>
            <w:tcW w:type="dxa" w:w="1700"/>
            <w:tcMar>
              <w:top w:type="dxa" w:w="90"/>
              <w:left w:type="dxa" w:w="100"/>
              <w:bottom w:type="dxa" w:w="90"/>
              <w:right w:type="dxa" w:w="100"/>
            </w:tcMar>
          </w:tcPr>
          <w:p w14:paraId="0F5E08D2">
            <w:pPr>
              <w:spacing w:after="60" w:line="230"/>
            </w:pPr>
            <w:r>
              <w:rPr>
                <w:rFonts w:ascii="Times New Roman" w:cs="Times New Roman" w:eastAsia="SimSun" w:hAnsi="Times New Roman"/>
                <w:sz w:val="18"/>
                <w:szCs w:val="18"/>
              </w:rPr>
              <w:t xml:space="preserve">No automatic sunset</w:t>
            </w:r>
          </w:p>
        </w:tc>
        <w:tc>
          <w:tcPr>
            <w:tcW w:type="dxa" w:w="2500"/>
            <w:tcMar>
              <w:top w:type="dxa" w:w="90"/>
              <w:left w:type="dxa" w:w="100"/>
              <w:bottom w:type="dxa" w:w="90"/>
              <w:right w:type="dxa" w:w="100"/>
            </w:tcMar>
          </w:tcPr>
          <w:p w14:paraId="5CCA168A">
            <w:pPr>
              <w:spacing w:after="60" w:line="230"/>
            </w:pPr>
            <w:r>
              <w:rPr>
                <w:rFonts w:ascii="Times New Roman" w:cs="Times New Roman" w:eastAsia="SimSun" w:hAnsi="Times New Roman"/>
                <w:sz w:val="18"/>
                <w:szCs w:val="18"/>
              </w:rPr>
              <w:t xml:space="preserve">Express later written instrument</w:t>
            </w:r>
          </w:p>
        </w:tc>
        <w:tc>
          <w:tcPr>
            <w:tcW w:type="dxa" w:w="1760"/>
            <w:tcMar>
              <w:top w:type="dxa" w:w="90"/>
              <w:left w:type="dxa" w:w="100"/>
              <w:bottom w:type="dxa" w:w="90"/>
              <w:right w:type="dxa" w:w="100"/>
            </w:tcMar>
          </w:tcPr>
          <w:p w14:paraId="458BF962">
            <w:pPr>
              <w:spacing w:after="60" w:line="230"/>
            </w:pPr>
            <w:r>
              <w:rPr>
                <w:rFonts w:ascii="Times New Roman" w:cs="Times New Roman" w:eastAsia="SimSun" w:hAnsi="Times New Roman"/>
                <w:sz w:val="18"/>
                <w:szCs w:val="18"/>
              </w:rPr>
              <w:t xml:space="preserve">Article 5.2</w:t>
            </w:r>
          </w:p>
        </w:tc>
      </w:tr>
      <w:tr>
        <w:tc>
          <w:tcPr>
            <w:tcW w:type="dxa" w:w="1900"/>
            <w:tcMar>
              <w:top w:type="dxa" w:w="90"/>
              <w:left w:type="dxa" w:w="100"/>
              <w:bottom w:type="dxa" w:w="90"/>
              <w:right w:type="dxa" w:w="100"/>
            </w:tcMar>
          </w:tcPr>
          <w:p w14:paraId="1A604708">
            <w:pPr>
              <w:spacing w:after="60" w:line="230"/>
            </w:pPr>
            <w:r>
              <w:rPr>
                <w:rFonts w:ascii="Times New Roman" w:cs="Times New Roman" w:eastAsia="SimSun" w:hAnsi="Times New Roman"/>
                <w:sz w:val="18"/>
                <w:szCs w:val="18"/>
              </w:rPr>
              <w:t xml:space="preserve">Refund rights accrued</w:t>
            </w:r>
          </w:p>
        </w:tc>
        <w:tc>
          <w:tcPr>
            <w:tcW w:type="dxa" w:w="1500"/>
            <w:tcMar>
              <w:top w:type="dxa" w:w="90"/>
              <w:left w:type="dxa" w:w="100"/>
              <w:bottom w:type="dxa" w:w="90"/>
              <w:right w:type="dxa" w:w="100"/>
            </w:tcMar>
          </w:tcPr>
          <w:p w14:paraId="096CD9B0">
            <w:pPr>
              <w:spacing w:after="60" w:line="230"/>
            </w:pPr>
            <w:r>
              <w:rPr>
                <w:rFonts w:ascii="Times New Roman" w:cs="Times New Roman" w:eastAsia="SimSun" w:hAnsi="Times New Roman"/>
                <w:sz w:val="18"/>
                <w:szCs w:val="18"/>
              </w:rPr>
              <w:t xml:space="preserve">Yes</w:t>
            </w:r>
          </w:p>
        </w:tc>
        <w:tc>
          <w:tcPr>
            <w:tcW w:type="dxa" w:w="1700"/>
            <w:tcMar>
              <w:top w:type="dxa" w:w="90"/>
              <w:left w:type="dxa" w:w="100"/>
              <w:bottom w:type="dxa" w:w="90"/>
              <w:right w:type="dxa" w:w="100"/>
            </w:tcMar>
          </w:tcPr>
          <w:p w14:paraId="2DA813DA">
            <w:pPr>
              <w:spacing w:after="60" w:line="230"/>
            </w:pPr>
            <w:r>
              <w:rPr>
                <w:rFonts w:ascii="Times New Roman" w:cs="Times New Roman" w:eastAsia="SimSun" w:hAnsi="Times New Roman"/>
                <w:sz w:val="18"/>
                <w:szCs w:val="18"/>
              </w:rPr>
              <w:t xml:space="preserve">No</w:t>
            </w:r>
          </w:p>
        </w:tc>
        <w:tc>
          <w:tcPr>
            <w:tcW w:type="dxa" w:w="2500"/>
            <w:tcMar>
              <w:top w:type="dxa" w:w="90"/>
              <w:left w:type="dxa" w:w="100"/>
              <w:bottom w:type="dxa" w:w="90"/>
              <w:right w:type="dxa" w:w="100"/>
            </w:tcMar>
          </w:tcPr>
          <w:p w14:paraId="7C791C0E">
            <w:pPr>
              <w:spacing w:after="60" w:line="230"/>
            </w:pPr>
            <w:r>
              <w:rPr>
                <w:rFonts w:ascii="Times New Roman" w:cs="Times New Roman" w:eastAsia="SimSun" w:hAnsi="Times New Roman"/>
                <w:sz w:val="18"/>
                <w:szCs w:val="18"/>
              </w:rPr>
              <w:t xml:space="preserve">Domestic law and annex filing rules</w:t>
            </w:r>
          </w:p>
        </w:tc>
        <w:tc>
          <w:tcPr>
            <w:tcW w:type="dxa" w:w="1760"/>
            <w:tcMar>
              <w:top w:type="dxa" w:w="90"/>
              <w:left w:type="dxa" w:w="100"/>
              <w:bottom w:type="dxa" w:w="90"/>
              <w:right w:type="dxa" w:w="100"/>
            </w:tcMar>
          </w:tcPr>
          <w:p w14:paraId="7C3DC9EE">
            <w:pPr>
              <w:spacing w:after="60" w:line="230"/>
            </w:pPr>
            <w:r>
              <w:rPr>
                <w:rFonts w:ascii="Times New Roman" w:cs="Times New Roman" w:eastAsia="SimSun" w:hAnsi="Times New Roman"/>
                <w:sz w:val="18"/>
                <w:szCs w:val="18"/>
              </w:rPr>
              <w:t xml:space="preserve">Article 2.6</w:t>
            </w:r>
          </w:p>
        </w:tc>
      </w:tr>
      <w:tr>
        <w:tc>
          <w:tcPr>
            <w:tcW w:type="dxa" w:w="1900"/>
            <w:tcMar>
              <w:top w:type="dxa" w:w="90"/>
              <w:left w:type="dxa" w:w="100"/>
              <w:bottom w:type="dxa" w:w="90"/>
              <w:right w:type="dxa" w:w="100"/>
            </w:tcMar>
          </w:tcPr>
          <w:p w14:paraId="0E4BDA64">
            <w:pPr>
              <w:spacing w:after="60" w:line="230"/>
            </w:pPr>
            <w:r>
              <w:rPr>
                <w:rFonts w:ascii="Times New Roman" w:cs="Times New Roman" w:eastAsia="SimSun" w:hAnsi="Times New Roman"/>
                <w:sz w:val="18"/>
                <w:szCs w:val="18"/>
              </w:rPr>
              <w:t xml:space="preserve">Working groups</w:t>
            </w:r>
          </w:p>
        </w:tc>
        <w:tc>
          <w:tcPr>
            <w:tcW w:type="dxa" w:w="1500"/>
            <w:tcMar>
              <w:top w:type="dxa" w:w="90"/>
              <w:left w:type="dxa" w:w="100"/>
              <w:bottom w:type="dxa" w:w="90"/>
              <w:right w:type="dxa" w:w="100"/>
            </w:tcMar>
          </w:tcPr>
          <w:p w14:paraId="4A0EC7C0">
            <w:pPr>
              <w:spacing w:after="60" w:line="230"/>
            </w:pPr>
            <w:r>
              <w:rPr>
                <w:rFonts w:ascii="Times New Roman" w:cs="Times New Roman" w:eastAsia="SimSun" w:hAnsi="Times New Roman"/>
                <w:sz w:val="18"/>
                <w:szCs w:val="18"/>
              </w:rPr>
              <w:t xml:space="preserve">No</w:t>
            </w:r>
          </w:p>
        </w:tc>
        <w:tc>
          <w:tcPr>
            <w:tcW w:type="dxa" w:w="1700"/>
            <w:tcMar>
              <w:top w:type="dxa" w:w="90"/>
              <w:left w:type="dxa" w:w="100"/>
              <w:bottom w:type="dxa" w:w="90"/>
              <w:right w:type="dxa" w:w="100"/>
            </w:tcMar>
          </w:tcPr>
          <w:p w14:paraId="27BE0654">
            <w:pPr>
              <w:spacing w:after="60" w:line="230"/>
            </w:pPr>
            <w:r>
              <w:rPr>
                <w:rFonts w:ascii="Times New Roman" w:cs="Times New Roman" w:eastAsia="SimSun" w:hAnsi="Times New Roman"/>
                <w:sz w:val="18"/>
                <w:szCs w:val="18"/>
              </w:rPr>
              <w:t xml:space="preserve">End at wind-down</w:t>
            </w:r>
          </w:p>
        </w:tc>
        <w:tc>
          <w:tcPr>
            <w:tcW w:type="dxa" w:w="2500"/>
            <w:tcMar>
              <w:top w:type="dxa" w:w="90"/>
              <w:left w:type="dxa" w:w="100"/>
              <w:bottom w:type="dxa" w:w="90"/>
              <w:right w:type="dxa" w:w="100"/>
            </w:tcMar>
          </w:tcPr>
          <w:p w14:paraId="03F52AE8">
            <w:pPr>
              <w:spacing w:after="60" w:line="230"/>
            </w:pPr>
            <w:r>
              <w:rPr>
                <w:rFonts w:ascii="Times New Roman" w:cs="Times New Roman" w:eastAsia="SimSun" w:hAnsi="Times New Roman"/>
                <w:sz w:val="18"/>
                <w:szCs w:val="18"/>
              </w:rPr>
              <w:t xml:space="preserve">Later written continuation</w:t>
            </w:r>
          </w:p>
        </w:tc>
        <w:tc>
          <w:tcPr>
            <w:tcW w:type="dxa" w:w="1760"/>
            <w:tcMar>
              <w:top w:type="dxa" w:w="90"/>
              <w:left w:type="dxa" w:w="100"/>
              <w:bottom w:type="dxa" w:w="90"/>
              <w:right w:type="dxa" w:w="100"/>
            </w:tcMar>
          </w:tcPr>
          <w:p w14:paraId="306F229A">
            <w:pPr>
              <w:spacing w:after="60" w:line="230"/>
            </w:pPr>
            <w:r>
              <w:rPr>
                <w:rFonts w:ascii="Times New Roman" w:cs="Times New Roman" w:eastAsia="SimSun" w:hAnsi="Times New Roman"/>
                <w:sz w:val="18"/>
                <w:szCs w:val="18"/>
              </w:rPr>
              <w:t xml:space="preserve">Part Four</w:t>
            </w:r>
          </w:p>
        </w:tc>
      </w:tr>
      <w:tr>
        <w:tc>
          <w:tcPr>
            <w:tcW w:type="dxa" w:w="1900"/>
            <w:tcMar>
              <w:top w:type="dxa" w:w="90"/>
              <w:left w:type="dxa" w:w="100"/>
              <w:bottom w:type="dxa" w:w="90"/>
              <w:right w:type="dxa" w:w="100"/>
            </w:tcMar>
          </w:tcPr>
          <w:p w14:paraId="5536FF54">
            <w:pPr>
              <w:spacing w:after="60" w:line="230"/>
            </w:pPr>
            <w:r>
              <w:rPr>
                <w:rFonts w:ascii="Times New Roman" w:cs="Times New Roman" w:eastAsia="SimSun" w:hAnsi="Times New Roman"/>
                <w:sz w:val="18"/>
                <w:szCs w:val="18"/>
              </w:rPr>
              <w:t xml:space="preserve">Progress reviews and dashboards</w:t>
            </w:r>
          </w:p>
        </w:tc>
        <w:tc>
          <w:tcPr>
            <w:tcW w:type="dxa" w:w="1500"/>
            <w:tcMar>
              <w:top w:type="dxa" w:w="90"/>
              <w:left w:type="dxa" w:w="100"/>
              <w:bottom w:type="dxa" w:w="90"/>
              <w:right w:type="dxa" w:w="100"/>
            </w:tcMar>
          </w:tcPr>
          <w:p w14:paraId="5C96F1B2">
            <w:pPr>
              <w:spacing w:after="60" w:line="230"/>
            </w:pPr>
            <w:r>
              <w:rPr>
                <w:rFonts w:ascii="Times New Roman" w:cs="Times New Roman" w:eastAsia="SimSun" w:hAnsi="Times New Roman"/>
                <w:sz w:val="18"/>
                <w:szCs w:val="18"/>
              </w:rPr>
              <w:t xml:space="preserve">No</w:t>
            </w:r>
          </w:p>
        </w:tc>
        <w:tc>
          <w:tcPr>
            <w:tcW w:type="dxa" w:w="1700"/>
            <w:tcMar>
              <w:top w:type="dxa" w:w="90"/>
              <w:left w:type="dxa" w:w="100"/>
              <w:bottom w:type="dxa" w:w="90"/>
              <w:right w:type="dxa" w:w="100"/>
            </w:tcMar>
          </w:tcPr>
          <w:p w14:paraId="4F66FDE6">
            <w:pPr>
              <w:spacing w:after="60" w:line="230"/>
            </w:pPr>
            <w:r>
              <w:rPr>
                <w:rFonts w:ascii="Times New Roman" w:cs="Times New Roman" w:eastAsia="SimSun" w:hAnsi="Times New Roman"/>
                <w:sz w:val="18"/>
                <w:szCs w:val="18"/>
              </w:rPr>
              <w:t xml:space="preserve">End at wind-down</w:t>
            </w:r>
          </w:p>
        </w:tc>
        <w:tc>
          <w:tcPr>
            <w:tcW w:type="dxa" w:w="2500"/>
            <w:tcMar>
              <w:top w:type="dxa" w:w="90"/>
              <w:left w:type="dxa" w:w="100"/>
              <w:bottom w:type="dxa" w:w="90"/>
              <w:right w:type="dxa" w:w="100"/>
            </w:tcMar>
          </w:tcPr>
          <w:p w14:paraId="4ADF95B6">
            <w:pPr>
              <w:spacing w:after="60" w:line="230"/>
            </w:pPr>
            <w:r>
              <w:rPr>
                <w:rFonts w:ascii="Times New Roman" w:cs="Times New Roman" w:eastAsia="SimSun" w:hAnsi="Times New Roman"/>
                <w:sz w:val="18"/>
                <w:szCs w:val="18"/>
              </w:rPr>
              <w:t xml:space="preserve">Later written continuation</w:t>
            </w:r>
          </w:p>
        </w:tc>
        <w:tc>
          <w:tcPr>
            <w:tcW w:type="dxa" w:w="1760"/>
            <w:tcMar>
              <w:top w:type="dxa" w:w="90"/>
              <w:left w:type="dxa" w:w="100"/>
              <w:bottom w:type="dxa" w:w="90"/>
              <w:right w:type="dxa" w:w="100"/>
            </w:tcMar>
          </w:tcPr>
          <w:p w14:paraId="44289422">
            <w:pPr>
              <w:spacing w:after="60" w:line="230"/>
            </w:pPr>
            <w:r>
              <w:rPr>
                <w:rFonts w:ascii="Times New Roman" w:cs="Times New Roman" w:eastAsia="SimSun" w:hAnsi="Times New Roman"/>
                <w:sz w:val="18"/>
                <w:szCs w:val="18"/>
              </w:rPr>
              <w:t xml:space="preserve">Part Three</w:t>
            </w:r>
          </w:p>
        </w:tc>
      </w:tr>
      <w:tr>
        <w:tc>
          <w:tcPr>
            <w:tcW w:type="dxa" w:w="1900"/>
            <w:tcMar>
              <w:top w:type="dxa" w:w="90"/>
              <w:left w:type="dxa" w:w="100"/>
              <w:bottom w:type="dxa" w:w="90"/>
              <w:right w:type="dxa" w:w="100"/>
            </w:tcMar>
          </w:tcPr>
          <w:p w14:paraId="7F654E0E">
            <w:pPr>
              <w:spacing w:after="60" w:line="230"/>
            </w:pPr>
            <w:r>
              <w:rPr>
                <w:rFonts w:ascii="Times New Roman" w:cs="Times New Roman" w:eastAsia="SimSun" w:hAnsi="Times New Roman"/>
                <w:sz w:val="18"/>
                <w:szCs w:val="18"/>
              </w:rPr>
              <w:t xml:space="preserve">Security coordination</w:t>
            </w:r>
          </w:p>
        </w:tc>
        <w:tc>
          <w:tcPr>
            <w:tcW w:type="dxa" w:w="1500"/>
            <w:tcMar>
              <w:top w:type="dxa" w:w="90"/>
              <w:left w:type="dxa" w:w="100"/>
              <w:bottom w:type="dxa" w:w="90"/>
              <w:right w:type="dxa" w:w="100"/>
            </w:tcMar>
          </w:tcPr>
          <w:p w14:paraId="4E16B77C">
            <w:pPr>
              <w:spacing w:after="60" w:line="230"/>
            </w:pPr>
            <w:r>
              <w:rPr>
                <w:rFonts w:ascii="Times New Roman" w:cs="Times New Roman" w:eastAsia="SimSun" w:hAnsi="Times New Roman"/>
                <w:sz w:val="18"/>
                <w:szCs w:val="18"/>
              </w:rPr>
              <w:t xml:space="preserve">Only if separately adopted</w:t>
            </w:r>
          </w:p>
        </w:tc>
        <w:tc>
          <w:tcPr>
            <w:tcW w:type="dxa" w:w="1700"/>
            <w:tcMar>
              <w:top w:type="dxa" w:w="90"/>
              <w:left w:type="dxa" w:w="100"/>
              <w:bottom w:type="dxa" w:w="90"/>
              <w:right w:type="dxa" w:w="100"/>
            </w:tcMar>
          </w:tcPr>
          <w:p w14:paraId="23E71850">
            <w:pPr>
              <w:spacing w:after="60" w:line="230"/>
            </w:pPr>
            <w:r>
              <w:rPr>
                <w:rFonts w:ascii="Times New Roman" w:cs="Times New Roman" w:eastAsia="SimSun" w:hAnsi="Times New Roman"/>
                <w:sz w:val="18"/>
                <w:szCs w:val="18"/>
              </w:rPr>
              <w:t xml:space="preserve">Interim coordination ends</w:t>
            </w:r>
          </w:p>
        </w:tc>
        <w:tc>
          <w:tcPr>
            <w:tcW w:type="dxa" w:w="2500"/>
            <w:tcMar>
              <w:top w:type="dxa" w:w="90"/>
              <w:left w:type="dxa" w:w="100"/>
              <w:bottom w:type="dxa" w:w="90"/>
              <w:right w:type="dxa" w:w="100"/>
            </w:tcMar>
          </w:tcPr>
          <w:p w14:paraId="2F400264">
            <w:pPr>
              <w:spacing w:after="60" w:line="230"/>
            </w:pPr>
            <w:r>
              <w:rPr>
                <w:rFonts w:ascii="Times New Roman" w:cs="Times New Roman" w:eastAsia="SimSun" w:hAnsi="Times New Roman"/>
                <w:sz w:val="18"/>
                <w:szCs w:val="18"/>
              </w:rPr>
              <w:t xml:space="preserve">Separate security instrument or express survival</w:t>
            </w:r>
          </w:p>
        </w:tc>
        <w:tc>
          <w:tcPr>
            <w:tcW w:type="dxa" w:w="1760"/>
            <w:tcMar>
              <w:top w:type="dxa" w:w="90"/>
              <w:left w:type="dxa" w:w="100"/>
              <w:bottom w:type="dxa" w:w="90"/>
              <w:right w:type="dxa" w:w="100"/>
            </w:tcMar>
          </w:tcPr>
          <w:p w14:paraId="4B2BE1B6">
            <w:pPr>
              <w:spacing w:after="60" w:line="230"/>
            </w:pPr>
            <w:r>
              <w:rPr>
                <w:rFonts w:ascii="Times New Roman" w:cs="Times New Roman" w:eastAsia="SimSun" w:hAnsi="Times New Roman"/>
                <w:sz w:val="18"/>
                <w:szCs w:val="18"/>
              </w:rPr>
              <w:t xml:space="preserve">Annex 4H series</w:t>
            </w:r>
          </w:p>
        </w:tc>
      </w:tr>
    </w:tbl>
    <w:p w14:paraId="6C9A8330">
      <w:pPr>
        <w:pStyle w:val="Heading2"/>
        <w:keepNext/>
        <w:spacing w:after="115" w:before="190"/>
      </w:pPr>
      <w:bookmarkStart w:id="976" w:name="_Toc236229976"/>
      <w:bookmarkStart w:name="h813" w:id="813"/>
      <w:r>
        <w:rPr>
          <w:rFonts w:ascii="Times New Roman" w:cs="Times New Roman" w:eastAsia="SimSun" w:hAnsi="Times New Roman"/>
          <w:b/>
          <w:bCs/>
          <w:color w:val="263238"/>
          <w:sz w:val="25"/>
          <w:szCs w:val="25"/>
        </w:rPr>
        <w:t xml:space="preserve">Article 9.3 Amendment</w:t>
      </w:r>
      <w:bookmarkEnd w:id="813"/>
      <w:bookmarkEnd w:id="976"/>
    </w:p>
    <w:p w14:paraId="0D5F6C9C">
      <w:pPr>
        <w:spacing w:after="95" w:line="252"/>
      </w:pPr>
      <w:r>
        <w:rPr>
          <w:rFonts w:ascii="Times New Roman" w:cs="Times New Roman" w:eastAsia="SimSun" w:hAnsi="Times New Roman"/>
          <w:sz w:val="21"/>
          <w:szCs w:val="21"/>
        </w:rPr>
        <w:t xml:space="preserve">9.3.1. This Agreement may be amended only by written agreement of the Parties after completion of any required internal procedure.</w:t>
      </w:r>
    </w:p>
    <w:p w14:paraId="31930654">
      <w:pPr>
        <w:spacing w:after="95" w:line="252"/>
      </w:pPr>
      <w:r>
        <w:rPr>
          <w:rFonts w:ascii="Times New Roman" w:cs="Times New Roman" w:eastAsia="SimSun" w:hAnsi="Times New Roman"/>
          <w:sz w:val="21"/>
          <w:szCs w:val="21"/>
        </w:rPr>
        <w:t xml:space="preserve">9.3.2. An amendment must identify the provision amended, new text, effective date, survival effect, transition, refunds, pending disputes, and annex conformity.</w:t>
      </w:r>
    </w:p>
    <w:p w14:paraId="000B55CC">
      <w:pPr>
        <w:spacing w:after="95" w:line="252"/>
      </w:pPr>
      <w:r>
        <w:rPr>
          <w:rFonts w:ascii="Times New Roman" w:cs="Times New Roman" w:eastAsia="SimSun" w:hAnsi="Times New Roman"/>
          <w:sz w:val="21"/>
          <w:szCs w:val="21"/>
        </w:rPr>
        <w:t xml:space="preserve">9.3.3. A Joint Committee decision, working group report, roadmap, public statement, or security coordination record is not an amendment unless it satisfies this Article.</w:t>
      </w:r>
    </w:p>
    <w:p w14:paraId="787D3ACE">
      <w:pPr>
        <w:pStyle w:val="Heading2"/>
        <w:keepNext/>
        <w:spacing w:after="115" w:before="190"/>
      </w:pPr>
      <w:bookmarkStart w:id="977" w:name="_Toc236229977"/>
      <w:bookmarkStart w:name="h814" w:id="814"/>
      <w:r>
        <w:rPr>
          <w:rFonts w:ascii="Times New Roman" w:cs="Times New Roman" w:eastAsia="SimSun" w:hAnsi="Times New Roman"/>
          <w:b/>
          <w:bCs/>
          <w:color w:val="263238"/>
          <w:sz w:val="25"/>
          <w:szCs w:val="25"/>
        </w:rPr>
        <w:t xml:space="preserve">Article 9.4 Authentic Texts</w:t>
      </w:r>
      <w:bookmarkEnd w:id="814"/>
      <w:bookmarkEnd w:id="977"/>
    </w:p>
    <w:p w14:paraId="1E9DA7C4">
      <w:pPr>
        <w:spacing w:after="95" w:line="252"/>
      </w:pPr>
      <w:r>
        <w:rPr>
          <w:rFonts w:ascii="Times New Roman" w:cs="Times New Roman" w:eastAsia="SimSun" w:hAnsi="Times New Roman"/>
          <w:sz w:val="21"/>
          <w:szCs w:val="21"/>
        </w:rPr>
        <w:t xml:space="preserve">9.4.1. If adopted, the English and Spanish texts are equally authentic.</w:t>
      </w:r>
    </w:p>
    <w:p w14:paraId="60055312">
      <w:pPr>
        <w:spacing w:after="95" w:line="252"/>
      </w:pPr>
      <w:r>
        <w:rPr>
          <w:rFonts w:ascii="Times New Roman" w:cs="Times New Roman" w:eastAsia="SimSun" w:hAnsi="Times New Roman"/>
          <w:sz w:val="21"/>
          <w:szCs w:val="21"/>
        </w:rPr>
        <w:t xml:space="preserve">9.4.2. Before adoption, translations are working aids only. A drafting translation does not create an authentic text.</w:t>
      </w:r>
    </w:p>
    <w:p w14:paraId="5D66AB4C">
      <w:pPr>
        <w:pStyle w:val="Heading2"/>
        <w:keepNext/>
        <w:spacing w:after="115" w:before="190"/>
      </w:pPr>
      <w:bookmarkStart w:id="978" w:name="_Toc236229978"/>
      <w:bookmarkStart w:name="h815" w:id="815"/>
      <w:r>
        <w:rPr>
          <w:rFonts w:ascii="Times New Roman" w:cs="Times New Roman" w:eastAsia="SimSun" w:hAnsi="Times New Roman"/>
          <w:b/>
          <w:bCs/>
          <w:color w:val="263238"/>
          <w:sz w:val="25"/>
          <w:szCs w:val="25"/>
        </w:rPr>
        <w:t xml:space="preserve">Article 9.5 Depositary</w:t>
      </w:r>
      <w:bookmarkEnd w:id="815"/>
      <w:bookmarkEnd w:id="978"/>
    </w:p>
    <w:p w14:paraId="56574F9E">
      <w:pPr>
        <w:spacing w:after="95" w:line="252"/>
      </w:pPr>
      <w:r>
        <w:rPr>
          <w:rFonts w:ascii="Times New Roman" w:cs="Times New Roman" w:eastAsia="SimSun" w:hAnsi="Times New Roman"/>
          <w:sz w:val="21"/>
          <w:szCs w:val="21"/>
        </w:rPr>
        <w:t xml:space="preserve">9.5.1. If the Parties adopt this Agreement, they may designate a depositary by written agreement.</w:t>
      </w:r>
    </w:p>
    <w:p w14:paraId="72503C40">
      <w:pPr>
        <w:spacing w:after="95" w:line="252"/>
      </w:pPr>
      <w:r>
        <w:rPr>
          <w:rFonts w:ascii="Times New Roman" w:cs="Times New Roman" w:eastAsia="SimSun" w:hAnsi="Times New Roman"/>
          <w:sz w:val="21"/>
          <w:szCs w:val="21"/>
        </w:rPr>
        <w:t xml:space="preserve">9.5.2. Depositary functions would include receipt of notifications, custody of authentic texts, certified copies, registration support if applicable, and records of amendments, extension, wind-down, and termination.</w:t>
      </w:r>
    </w:p>
    <w:p w14:paraId="4E3FC3DC">
      <w:pPr>
        <w:spacing w:after="95" w:line="252"/>
      </w:pPr>
      <w:r>
        <w:rPr>
          <w:rFonts w:ascii="Times New Roman" w:cs="Times New Roman" w:eastAsia="SimSun" w:hAnsi="Times New Roman"/>
          <w:sz w:val="21"/>
          <w:szCs w:val="21"/>
        </w:rPr>
        <w:t xml:space="preserve">9.5.3. This draft does not appoint a depositary and does not state that any government has accepted that role.</w:t>
      </w:r>
    </w:p>
    <w:p w14:paraId="711075A4">
      <w:pPr>
        <w:pStyle w:val="Heading2"/>
        <w:keepNext/>
        <w:spacing w:after="115" w:before="190"/>
      </w:pPr>
      <w:bookmarkStart w:id="979" w:name="_Toc236229979"/>
      <w:bookmarkStart w:name="h816" w:id="816"/>
      <w:r>
        <w:rPr>
          <w:rFonts w:ascii="Times New Roman" w:cs="Times New Roman" w:eastAsia="SimSun" w:hAnsi="Times New Roman"/>
          <w:b/>
          <w:bCs/>
          <w:color w:val="263238"/>
          <w:sz w:val="25"/>
          <w:szCs w:val="25"/>
        </w:rPr>
        <w:t xml:space="preserve">Article 9.6 Annex Incorporation and Order of Precedence</w:t>
      </w:r>
      <w:bookmarkEnd w:id="816"/>
      <w:bookmarkEnd w:id="979"/>
    </w:p>
    <w:p w14:paraId="4C84FE6E">
      <w:pPr>
        <w:spacing w:after="95" w:line="252"/>
      </w:pPr>
      <w:r>
        <w:rPr>
          <w:rFonts w:ascii="Times New Roman" w:cs="Times New Roman" w:eastAsia="SimSun" w:hAnsi="Times New Roman"/>
          <w:sz w:val="21"/>
          <w:szCs w:val="21"/>
        </w:rPr>
        <w:t xml:space="preserve">9.6.1. The annexes are incorporated into this Agreement if adopted.</w:t>
      </w:r>
    </w:p>
    <w:p w14:paraId="62B972B4">
      <w:pPr>
        <w:spacing w:after="95" w:line="252"/>
      </w:pPr>
      <w:r>
        <w:rPr>
          <w:rFonts w:ascii="Times New Roman" w:cs="Times New Roman" w:eastAsia="SimSun" w:hAnsi="Times New Roman"/>
          <w:sz w:val="21"/>
          <w:szCs w:val="21"/>
        </w:rPr>
        <w:t xml:space="preserve">9.6.2. Order of precedence is: main text, annex expressly stating an override, later adopted amendment, incorporated list as corrected under Article 2.2, and working group output only to the extent adopted.</w:t>
      </w:r>
    </w:p>
    <w:p w14:paraId="22BDDEE2">
      <w:pPr>
        <w:spacing w:after="95" w:line="252"/>
      </w:pPr>
      <w:r>
        <w:rPr>
          <w:rFonts w:ascii="Times New Roman" w:cs="Times New Roman" w:eastAsia="SimSun" w:hAnsi="Times New Roman"/>
          <w:sz w:val="21"/>
          <w:szCs w:val="21"/>
        </w:rPr>
        <w:t xml:space="preserve">9.6.3. A conflict within an annex is resolved under Article 2.2 for tariff matters and by the Joint Committee for other matters, subject to Part Seven.</w:t>
      </w:r>
    </w:p>
    <w:p w14:paraId="2DEFF63A">
      <w:pPr>
        <w:pStyle w:val="Heading2"/>
      </w:pPr>
      <w:bookmarkStart w:id="980" w:name="_Toc236229980"/>
      <w:r>
        <w:t>Article 9.8 Domestic Constitutional and Procedural Interface</w:t>
      </w:r>
      <w:bookmarkEnd w:id="980"/>
    </w:p>
    <w:p w14:paraId="796AD3F0">
      <w:r>
        <w:t>9.8.1. The Parties shall state the intended domestic legal form of this Agreement before signature, including whether it is treated as a treaty, executive agreement, or another instrument under each Party’s constitutional system. Nothing in this Agreement reallocates either Party’s constitutional or statutory tariff authority.</w:t>
      </w:r>
    </w:p>
    <w:p w14:paraId="4086F8AA">
      <w:r>
        <w:t>9.8.2. For the United States, implementation shall identify tariff-authority sources, any role of the USMCA Implementation Act, congressional notification or consultation, Federal Register publication, HTSUS revision, and CBP administration. For Mexico, implementation shall identify Senate treaty approval where required under Article 76 of the Constitution, Secretaría de Economía, ANAM and SAT authority, TIGIE treatment, and publication in the Diario Oficial de la Federación.</w:t>
      </w:r>
    </w:p>
    <w:p w14:paraId="0E15B4C0">
      <w:pPr>
        <w:pStyle w:val="Heading2"/>
      </w:pPr>
      <w:bookmarkStart w:id="981" w:name="_Toc236229981"/>
      <w:r>
        <w:t>Article 9.9 Trilateral Interface</w:t>
      </w:r>
      <w:bookmarkEnd w:id="981"/>
    </w:p>
    <w:p w14:paraId="608398DE">
      <w:r>
        <w:t>9.9.1. Nothing in this Agreement prejudices Canada’s rights or obligations, records Canadian consent, or amends a trilateral USMCA/T-MEC rule. Elimination and customs administration shall be implemented so as not to discriminate against Canadian-origin content solely because it is Canadian.</w:t>
      </w:r>
    </w:p>
    <w:p w14:paraId="7289C7E8">
      <w:r>
        <w:t>9.9.2. A matter requiring Canadian participation, including Chapter 4 rules of origin or a measure with direct trilateral effect, shall be addressed in the appropriate trilateral forum. Bilateral coordination may identify the issue but may not decide it for Canada.</w:t>
      </w:r>
    </w:p>
    <w:p w14:paraId="66EAEDF0">
      <w:pPr>
        <w:pStyle w:val="Heading2"/>
      </w:pPr>
      <w:bookmarkStart w:id="982" w:name="_Toc236229982"/>
      <w:r>
        <w:t>Article 9.10 Severability and Partial Adoption</w:t>
      </w:r>
      <w:bookmarkEnd w:id="982"/>
    </w:p>
    <w:p w14:paraId="647B8028">
      <w:r>
        <w:t>9.10.1. If a provision, annex line, or tariff line is held invalid, unverified, or not ready for adoption, the remaining provisions and certified lines remain capable of adoption and operation to the extent their object and purpose can be implemented independently.</w:t>
      </w:r>
    </w:p>
    <w:p w14:paraId="49C0A0FC">
      <w:r>
        <w:t>9.10.2. The Parties may adopt a partial certified schedule by written instrument that identifies included and excluded lines, preserves no-deemed-elimination safeguards, and states a verification deadline for excluded lines.</w:t>
      </w:r>
    </w:p>
    <w:p w14:paraId="479A5518">
      <w:pPr>
        <w:pStyle w:val="Heading2"/>
      </w:pPr>
      <w:bookmarkStart w:id="983" w:name="_Toc236229983"/>
      <w:r>
        <w:t>Article 9.11 Notices</w:t>
      </w:r>
      <w:bookmarkEnd w:id="983"/>
    </w:p>
    <w:p w14:paraId="15610908">
      <w:r>
        <w:t>9.11.1. Formal notices shall be delivered through the contact points designated under Article 6.4, by secure electronic transmission with confirmation, and by any physical address the Parties exchange in writing before entry into force. The public implementation page shall state the electronic notice channel without disclosing secure-system details.</w:t>
      </w:r>
    </w:p>
    <w:p w14:paraId="065B909E">
      <w:r>
        <w:t>9.11.2. A notice is effective on confirmed receipt, or on the next business day if received after 5:00 p.m. at the receiving contact point location.</w:t>
      </w:r>
    </w:p>
    <w:p w14:paraId="29CFCA48">
      <w:pPr>
        <w:pStyle w:val="Heading2"/>
      </w:pPr>
      <w:bookmarkStart w:id="984" w:name="_Toc236229984"/>
      <w:r>
        <w:t>Article 9.12 Force Majeure</w:t>
      </w:r>
      <w:bookmarkEnd w:id="984"/>
    </w:p>
    <w:p w14:paraId="778F663E">
      <w:r>
        <w:t>9.12.1. A Party is not in breach for delay directly caused by an unforeseeable event beyond its reasonable control, including a natural disaster, widespread systems failure, or emergency closure, if it notifies the other Party within two business days, mitigates the effect, and resumes performance as soon as practicable.</w:t>
      </w:r>
    </w:p>
    <w:p w14:paraId="7491F78A">
      <w:r>
        <w:t>9.12.2. Force majeure does not authorize collection of an eliminated charge, waive refund rights, or extend the maximum Interim Period unless the Parties adopt the written extension permitted by Article 3.4.</w:t>
      </w:r>
    </w:p>
    <w:p w14:paraId="7B48BFA8">
      <w:pPr>
        <w:pStyle w:val="Heading2"/>
      </w:pPr>
      <w:bookmarkStart w:id="985" w:name="_Toc236229985"/>
      <w:r>
        <w:t>Article 9.13 No Third-Party Beneficiaries</w:t>
      </w:r>
      <w:bookmarkEnd w:id="985"/>
    </w:p>
    <w:p w14:paraId="5E8D9EA0">
      <w:r>
        <w:t>This Agreement does not create a right or remedy enforceable by a private person, subnational authority, enterprise, or third State except to the extent domestic law independently provides one.</w:t>
      </w:r>
    </w:p>
    <w:p w14:paraId="40588D84">
      <w:pPr>
        <w:pStyle w:val="Heading2"/>
      </w:pPr>
      <w:bookmarkStart w:id="986" w:name="_Toc236229986"/>
      <w:r>
        <w:t>Article 9.14 Relationship to WTO Agreements</w:t>
      </w:r>
      <w:bookmarkEnd w:id="986"/>
    </w:p>
    <w:p w14:paraId="53005192">
      <w:r>
        <w:t>This Agreement is interpreted consistently with the Parties’ rights and obligations under the WTO Agreement. Nothing in it waives a WTO right, prejudices a WTO dispute, or characterizes a measure’s WTO consistency unless expressly stated.</w:t>
      </w:r>
    </w:p>
    <w:p w14:paraId="3D0129D0">
      <w:pPr>
        <w:pStyle w:val="Heading2"/>
      </w:pPr>
      <w:bookmarkStart w:id="987" w:name="_Toc236229987"/>
      <w:r>
        <w:t>Article 9.15 Counterparts and Electronic Execution</w:t>
      </w:r>
      <w:bookmarkEnd w:id="987"/>
    </w:p>
    <w:p w14:paraId="30998420">
      <w:r>
        <w:t>If executed, this Agreement may be executed in counterparts and by electronic signature mutually accepted in writing. Executed counterparts together constitute one instrument, and signature authority records shall be exchanged and preserved.</w:t>
      </w:r>
    </w:p>
    <w:p w14:paraId="4A0F5766">
      <w:pPr>
        <w:pStyle w:val="Heading2"/>
      </w:pPr>
      <w:bookmarkStart w:id="988" w:name="_Toc236229988"/>
      <w:r>
        <w:t>Article 9.16 Authentic-Text Divergence</w:t>
      </w:r>
      <w:bookmarkEnd w:id="988"/>
    </w:p>
    <w:p w14:paraId="0C165AB2">
      <w:r>
        <w:t>9.16.1. The Spanish text shall be completed and legally reviewed before adoption and is a gating deliverable under Annex 13-A. If an authentic English and Spanish text diverge, the texts are interpreted together; the meaning that best reconciles the texts, having regard to object and purpose, prevails, consistent with Article 33 of the Vienna Convention on the Law of Treaties.</w:t>
      </w:r>
    </w:p>
    <w:p w14:paraId="6DF41148">
      <w:r>
        <w:t>9.16.2. A divergence that cannot be reconciled shall be referred to the Joint Committee and, if unresolved, Part Seven. Neither Party may rely on a translation it knows contains an unrecorded error to defeat the other Party’s good-faith reliance on the other authentic text.</w:t>
      </w:r>
    </w:p>
    <w:p w14:paraId="7EA942F8">
      <w:r>
        <w:rPr>
          <w:b w:val="0"/>
        </w:rPr>
        <w:t>9.16.3. The Spanish text of the Preamble and Parts One through Nine is prepared and reviewed before adoption as a gating deliverable (Annex 13-A, check 22; review record at Annex 13-B). The Parties shall produce, legally review, and file the certified Spanish text of the annexes within 30 days after entry into force; until filing, the English annex text controls interim administration. This schedule is an administrative rule for the annexes only and does not diminish equal authenticity of the main text.</w:t>
      </w:r>
    </w:p>
    <w:p w14:paraId="00E5E062">
      <w:pPr>
        <w:pStyle w:val="Heading2"/>
        <w:keepNext/>
        <w:spacing w:after="115" w:before="190"/>
      </w:pPr>
      <w:bookmarkStart w:id="989" w:name="_Toc236229989"/>
      <w:bookmarkStart w:name="h817" w:id="817"/>
      <w:r>
        <w:rPr>
          <w:rFonts w:ascii="Times New Roman" w:cs="Times New Roman" w:eastAsia="SimSun" w:hAnsi="Times New Roman"/>
          <w:b/>
          <w:bCs/>
          <w:color w:val="263238"/>
          <w:sz w:val="25"/>
          <w:szCs w:val="25"/>
        </w:rPr>
        <w:t xml:space="preserve">Article 9.17 Signature Block for Any Future Execution</w:t>
      </w:r>
      <w:bookmarkEnd w:id="817"/>
      <w:bookmarkEnd w:id="989"/>
    </w:p>
    <w:p w14:paraId="713BDE1C">
      <w:pPr>
        <w:spacing w:after="95" w:line="252"/>
      </w:pPr>
      <w:r>
        <w:rPr>
          <w:rFonts w:ascii="Times New Roman" w:cs="Times New Roman" w:eastAsia="SimSun" w:hAnsi="Times New Roman"/>
          <w:sz w:val="21"/>
          <w:szCs w:val="21"/>
        </w:rPr>
        <w:t>If the Parties execute this Agreement after completing their respective internal procedures, the execution page shall record the place and date of signature and the names and titles of the authorized signatories.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EF3F6" w:val="clear"/>
            <w:tcMar>
              <w:top w:type="dxa" w:w="90"/>
              <w:left w:type="dxa" w:w="100"/>
              <w:bottom w:type="dxa" w:w="90"/>
              <w:right w:type="dxa" w:w="100"/>
            </w:tcMar>
          </w:tcPr>
          <w:p w14:paraId="4C70D524">
            <w:pPr>
              <w:spacing w:after="60" w:line="230"/>
            </w:pPr>
            <w:r>
              <w:rPr>
                <w:rFonts w:ascii="Times New Roman" w:cs="Times New Roman" w:eastAsia="SimSun" w:hAnsi="Times New Roman"/>
                <w:sz w:val="18"/>
                <w:szCs w:val="18"/>
              </w:rPr>
              <w:t xml:space="preserve">For the Government of the United States of America</w:t>
            </w:r>
          </w:p>
        </w:tc>
        <w:tc>
          <w:tcPr>
            <w:tcW w:type="dxa" w:w="4680"/>
            <w:shd w:fill="EEF3F6" w:val="clear"/>
            <w:tcMar>
              <w:top w:type="dxa" w:w="90"/>
              <w:left w:type="dxa" w:w="100"/>
              <w:bottom w:type="dxa" w:w="90"/>
              <w:right w:type="dxa" w:w="100"/>
            </w:tcMar>
          </w:tcPr>
          <w:p w14:paraId="2334A9D4">
            <w:pPr>
              <w:spacing w:after="60" w:line="230"/>
            </w:pPr>
            <w:r>
              <w:rPr>
                <w:rFonts w:ascii="Times New Roman" w:cs="Times New Roman" w:eastAsia="SimSun" w:hAnsi="Times New Roman"/>
                <w:sz w:val="18"/>
                <w:szCs w:val="18"/>
              </w:rPr>
              <w:t xml:space="preserve">For the Government of the United Mexican States</w:t>
            </w:r>
          </w:p>
        </w:tc>
      </w:tr>
      <w:tr>
        <w:tc>
          <w:tcPr>
            <w:tcW w:type="dxa" w:w="4680"/>
            <w:tcMar>
              <w:top w:type="dxa" w:w="90"/>
              <w:left w:type="dxa" w:w="100"/>
              <w:bottom w:type="dxa" w:w="90"/>
              <w:right w:type="dxa" w:w="100"/>
            </w:tcMar>
          </w:tcPr>
          <w:p w14:paraId="45FFE4A8">
            <w:r>
              <w:t>By: the United States Trade Representative, or other duly authorized official (name completed at signature)</w:t>
            </w:r>
          </w:p>
        </w:tc>
        <w:tc>
          <w:tcPr>
            <w:tcW w:type="dxa" w:w="4680"/>
            <w:tcMar>
              <w:top w:type="dxa" w:w="90"/>
              <w:left w:type="dxa" w:w="100"/>
              <w:bottom w:type="dxa" w:w="90"/>
              <w:right w:type="dxa" w:w="100"/>
            </w:tcMar>
          </w:tcPr>
          <w:p w14:paraId="04B25B44">
            <w:r>
              <w:t>By: the Secretary of Economy (Secretario(a) de Economía), or other duly authorized official (name completed at signature)</w:t>
            </w:r>
          </w:p>
        </w:tc>
      </w:tr>
      <w:tr>
        <w:tc>
          <w:tcPr>
            <w:tcW w:type="dxa" w:w="4680"/>
            <w:tcMar>
              <w:top w:type="dxa" w:w="90"/>
              <w:left w:type="dxa" w:w="100"/>
              <w:bottom w:type="dxa" w:w="90"/>
              <w:right w:type="dxa" w:w="100"/>
            </w:tcMar>
          </w:tcPr>
          <w:p w14:paraId="6EF98670">
            <w:r>
              <w:t>Title: completed at signature</w:t>
            </w:r>
          </w:p>
        </w:tc>
        <w:tc>
          <w:tcPr>
            <w:tcW w:type="dxa" w:w="4680"/>
            <w:tcMar>
              <w:top w:type="dxa" w:w="90"/>
              <w:left w:type="dxa" w:w="100"/>
              <w:bottom w:type="dxa" w:w="90"/>
              <w:right w:type="dxa" w:w="100"/>
            </w:tcMar>
          </w:tcPr>
          <w:p w14:paraId="5A0341E6">
            <w:r>
              <w:t>Title: completed at signature</w:t>
            </w:r>
          </w:p>
        </w:tc>
      </w:tr>
      <w:tr>
        <w:tc>
          <w:tcPr>
            <w:tcW w:type="dxa" w:w="4680"/>
            <w:tcMar>
              <w:top w:type="dxa" w:w="90"/>
              <w:left w:type="dxa" w:w="100"/>
              <w:bottom w:type="dxa" w:w="90"/>
              <w:right w:type="dxa" w:w="100"/>
            </w:tcMar>
          </w:tcPr>
          <w:p w14:paraId="07B19192">
            <w:r>
              <w:t>Date: completed at signature</w:t>
            </w:r>
          </w:p>
        </w:tc>
        <w:tc>
          <w:tcPr>
            <w:tcW w:type="dxa" w:w="4680"/>
            <w:tcMar>
              <w:top w:type="dxa" w:w="90"/>
              <w:left w:type="dxa" w:w="100"/>
              <w:bottom w:type="dxa" w:w="90"/>
              <w:right w:type="dxa" w:w="100"/>
            </w:tcMar>
          </w:tcPr>
          <w:p w14:paraId="3A3DFA9C">
            <w:r>
              <w:t>Date: completed at signature</w:t>
            </w:r>
          </w:p>
        </w:tc>
      </w:tr>
      <w:tr>
        <w:tc>
          <w:tcPr>
            <w:tcW w:type="dxa" w:w="4680"/>
            <w:tcMar>
              <w:top w:type="dxa" w:w="90"/>
              <w:left w:type="dxa" w:w="100"/>
              <w:bottom w:type="dxa" w:w="90"/>
              <w:right w:type="dxa" w:w="100"/>
            </w:tcMar>
          </w:tcPr>
          <w:p w14:paraId="5344FCC8">
            <w:r>
              <w:t>Place: completed at signature</w:t>
            </w:r>
          </w:p>
        </w:tc>
        <w:tc>
          <w:tcPr>
            <w:tcW w:type="dxa" w:w="4680"/>
            <w:tcMar>
              <w:top w:type="dxa" w:w="90"/>
              <w:left w:type="dxa" w:w="100"/>
              <w:bottom w:type="dxa" w:w="90"/>
              <w:right w:type="dxa" w:w="100"/>
            </w:tcMar>
          </w:tcPr>
          <w:p w14:paraId="283D7BD8">
            <w:r>
              <w:t>Place: completed at signature</w:t>
            </w:r>
          </w:p>
        </w:tc>
      </w:tr>
    </w:tbl>
    <w:p w14:paraId="36296AC2">
      <w:pPr>
        <w:spacing w:after="90" w:line="235"/>
      </w:pPr>
      <w:r>
        <w:rPr>
          <w:rFonts w:ascii="Times New Roman" w:cs="Times New Roman" w:eastAsia="SimSun" w:hAnsi="Times New Roman"/>
          <w:i/>
          <w:iCs/>
          <w:color w:val="78909C"/>
          <w:sz w:val="19"/>
          <w:szCs w:val="19"/>
        </w:rPr>
        <w:t>No signature block or execution page has legal effect unless signed by duly authorized representatives in accordance with Article 9.1.</w:t>
      </w:r>
    </w:p>
    <w:p w14:paraId="5AAC8BEE">
      <w:pPr>
        <w:pStyle w:val="Heading1"/>
        <w:keepNext/>
        <w:pageBreakBefore/>
        <w:spacing w:after="115" w:before="330"/>
      </w:pPr>
      <w:bookmarkStart w:id="990" w:name="_Toc236229990"/>
      <w:bookmarkStart w:name="h818" w:id="818"/>
      <w:r>
        <w:rPr>
          <w:rFonts w:ascii="Times New Roman" w:cs="Times New Roman" w:eastAsia="SimSun" w:hAnsi="Times New Roman"/>
          <w:b/>
          <w:bCs/>
          <w:color w:val="263238"/>
          <w:sz w:val="29"/>
          <w:szCs w:val="29"/>
        </w:rPr>
        <w:t xml:space="preserve">Annexes</w:t>
      </w:r>
      <w:bookmarkEnd w:id="818"/>
      <w:bookmarkEnd w:id="990"/>
    </w:p>
    <w:p w14:paraId="34118E0C">
      <w:pPr>
        <w:pStyle w:val="Heading2"/>
      </w:pPr>
      <w:bookmarkStart w:id="991" w:name="_Toc236229991"/>
      <w:r>
        <w:t>Annex 1-A Interpretation, Status, and Legal-Effect Controls</w:t>
      </w:r>
      <w:bookmarkEnd w:id="991"/>
    </w:p>
    <w:p w14:paraId="3220DEEA">
      <w:pPr>
        <w:pStyle w:val="Heading3"/>
      </w:pPr>
      <w:r>
        <w:t>A1A.1 Status Controls</w:t>
      </w:r>
    </w:p>
    <w:p w14:paraId="497C77E4">
      <w:r>
        <w:rPr>
          <w:b w:val="0"/>
          <w:i w:val="0"/>
        </w:rPr>
        <w:t>Every operative obligation is conditional on entry into force. An audit table, verification register, model form, roadmap, or working-group record has legal effect only to the extent expressly provided by this Agreement or a later adopted instrument.</w:t>
      </w:r>
    </w:p>
    <w:p w14:paraId="28BBF33C">
      <w:r>
        <w:rPr>
          <w:b w:val="0"/>
          <w:i w:val="0"/>
        </w:rPr>
        <w:t>A statement that a public source exists is not a statement that the Parties adopt the source’s conclusions.</w:t>
      </w:r>
    </w:p>
    <w:p w14:paraId="0DAE7F38">
      <w:r>
        <w:rPr>
          <w:b w:val="0"/>
          <w:i w:val="0"/>
        </w:rPr>
        <w:t>A provision using verified public context must identify why the context is necessary for operation; otherwise the context is omitted.</w:t>
      </w:r>
    </w:p>
    <w:p w14:paraId="17D50C9C">
      <w:r>
        <w:rPr>
          <w:b w:val="0"/>
          <w:i w:val="0"/>
        </w:rPr>
        <w:t>A numerical threshold used to create a right, obligation, trigger, deadline, or remedy must identify its legal source or be expressly established by this Agreement.</w:t>
      </w:r>
    </w:p>
    <w:p w14:paraId="47302664">
      <w:pPr>
        <w:pStyle w:val="Heading3"/>
      </w:pPr>
      <w:r>
        <w:t>A1A.2 Interpretation Controls</w:t>
      </w:r>
    </w:p>
    <w:p w14:paraId="68C3F63A">
      <w:pPr>
        <w:pStyle w:val="ListParagraph"/>
      </w:pPr>
      <w:r>
        <w:t>– Use “shall” for a binding obligation, “shall not” for a prohibition, “may” for discretion, “should” for a directional commitment, and “endeavor” for best efforts.</w:t>
      </w:r>
    </w:p>
    <w:p w14:paraId="7FEBA500">
      <w:pPr>
        <w:pStyle w:val="ListParagraph"/>
      </w:pPr>
      <w:r>
        <w:t>– Use “permanent” only for outcomes listed in Article 1.7 or Article 9.2.</w:t>
      </w:r>
    </w:p>
    <w:p w14:paraId="3D67045A">
      <w:pPr>
        <w:pStyle w:val="ListParagraph"/>
      </w:pPr>
      <w:r>
        <w:t>– Use “temporary” or “interim” only with a sunset, handoff, or wind-down rule.</w:t>
      </w:r>
    </w:p>
    <w:p w14:paraId="1CC510F8">
      <w:pPr>
        <w:pStyle w:val="ListParagraph"/>
      </w:pPr>
      <w:r>
        <w:t>– Use “security” only with a firewall reference and a non-duplication statement where trade overlap is possible.</w:t>
      </w:r>
    </w:p>
    <w:p w14:paraId="765DC6DE">
      <w:pPr>
        <w:pStyle w:val="ListParagraph"/>
      </w:pPr>
      <w:r>
        <w:t>– A factual assertion used for implementation, compliance, or dispute settlement must be supported by Annex 10-A; unverified analytical context is not a breach trigger or condition for a benefit.</w:t>
      </w:r>
    </w:p>
    <w:p w14:paraId="19FF601C">
      <w:pPr>
        <w:pStyle w:val="Heading3"/>
      </w:pPr>
      <w:r>
        <w:t>A1A.3 Legal Scrub Log</w:t>
      </w:r>
    </w:p>
    <w:p w14:paraId="073BB108">
      <w:r>
        <w:rPr>
          <w:b w:val="0"/>
          <w:i w:val="0"/>
        </w:rPr>
        <w:t xml:space="preserve">The following operational scrub log replaces the prior instruction-only checklist. “Pending official verification” is a status, not a finding that a measure exists or should be eliminated. A scrub row may not remain in “Pending” status past Day 30 without a reasoned extension recorded by the Joint Committee.</w:t>
      </w:r>
    </w:p>
    <w:tbl>
      <w:tblPr>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14:paraId="36F10EDA">
            <w:r>
              <w:rPr>
                <w:b/>
              </w:rPr>
              <w:t>Scrub ID</w:t>
            </w:r>
          </w:p>
        </w:tc>
        <w:tc>
          <w:tcPr>
            <w:tcW w:type="dxa" w:w="1337"/>
          </w:tcPr>
          <w:p w14:paraId="1EC7E222">
            <w:r>
              <w:rPr>
                <w:b/>
              </w:rPr>
              <w:t>Measure family</w:t>
            </w:r>
          </w:p>
        </w:tc>
        <w:tc>
          <w:tcPr>
            <w:tcW w:type="dxa" w:w="1337"/>
          </w:tcPr>
          <w:p w14:paraId="378AA35C">
            <w:r>
              <w:rPr>
                <w:b/>
              </w:rPr>
              <w:t>Authority citation to verify</w:t>
            </w:r>
          </w:p>
        </w:tc>
        <w:tc>
          <w:tcPr>
            <w:tcW w:type="dxa" w:w="1337"/>
          </w:tcPr>
          <w:p w14:paraId="192C4FAC">
            <w:r>
              <w:rPr>
                <w:b/>
              </w:rPr>
              <w:t>Procedure required</w:t>
            </w:r>
          </w:p>
        </w:tc>
        <w:tc>
          <w:tcPr>
            <w:tcW w:type="dxa" w:w="1337"/>
          </w:tcPr>
          <w:p w14:paraId="4C46F4D2">
            <w:r>
              <w:rPr>
                <w:b/>
              </w:rPr>
              <w:t>Publication / instrument status</w:t>
            </w:r>
          </w:p>
        </w:tc>
        <w:tc>
          <w:tcPr>
            <w:tcW w:type="dxa" w:w="1337"/>
          </w:tcPr>
          <w:p w14:paraId="13F48186">
            <w:r>
              <w:rPr>
                <w:b/>
              </w:rPr>
              <w:t>Responsible counsel</w:t>
            </w:r>
          </w:p>
        </w:tc>
        <w:tc>
          <w:tcPr>
            <w:tcW w:type="dxa" w:w="1337"/>
          </w:tcPr>
          <w:p w14:paraId="67E32758">
            <w:r>
              <w:rPr>
                <w:b/>
              </w:rPr>
              <w:t>Sign-off</w:t>
            </w:r>
          </w:p>
        </w:tc>
      </w:tr>
      <w:tr>
        <w:tc>
          <w:tcPr>
            <w:tcW w:type="dxa" w:w="1337"/>
          </w:tcPr>
          <w:p w14:paraId="70567D3E">
            <w:r>
              <w:t>MX-2A-ALL</w:t>
            </w:r>
          </w:p>
        </w:tc>
        <w:tc>
          <w:tcPr>
            <w:tcW w:type="dxa" w:w="1337"/>
          </w:tcPr>
          <w:p w14:paraId="0165CA0E">
            <w:r>
              <w:t>All Mexican candidate measures</w:t>
            </w:r>
          </w:p>
        </w:tc>
        <w:tc>
          <w:tcPr>
            <w:tcW w:type="dxa" w:w="1337"/>
          </w:tcPr>
          <w:p w14:paraId="7FDC2978">
            <w:r>
              <w:t>Secretaría de Economía / ANAM / SAT / DOF instruments</w:t>
            </w:r>
          </w:p>
        </w:tc>
        <w:tc>
          <w:tcPr>
            <w:tcW w:type="dxa" w:w="1337"/>
          </w:tcPr>
          <w:p w14:paraId="7949A7F8">
            <w:r>
              <w:t>Treaty approval, DOF publication, TIGIE amendment or administrative non-application as legally required</w:t>
            </w:r>
          </w:p>
        </w:tc>
        <w:tc>
          <w:tcPr>
            <w:tcW w:type="dxa" w:w="1337"/>
          </w:tcPr>
          <w:p w14:paraId="1B0B781E">
            <w:r>
              <w:t>Pending official list and DOF check</w:t>
            </w:r>
          </w:p>
        </w:tc>
        <w:tc>
          <w:tcPr>
            <w:tcW w:type="dxa" w:w="1337"/>
          </w:tcPr>
          <w:p w14:paraId="762CC2BE">
            <w:r>
              <w:t>Mexico counsel</w:t>
            </w:r>
          </w:p>
        </w:tc>
        <w:tc>
          <w:tcPr>
            <w:tcW w:type="dxa" w:w="1337"/>
          </w:tcPr>
          <w:p w14:paraId="13EAEAB2">
            <w:r>
              <w:t>Pending</w:t>
            </w:r>
          </w:p>
        </w:tc>
      </w:tr>
      <w:tr>
        <w:tc>
          <w:tcPr>
            <w:tcW w:type="dxa" w:w="1337"/>
          </w:tcPr>
          <w:p w14:paraId="6277AF4A">
            <w:r>
              <w:t>US-2B-AUTO</w:t>
            </w:r>
          </w:p>
        </w:tc>
        <w:tc>
          <w:tcPr>
            <w:tcW w:type="dxa" w:w="1337"/>
          </w:tcPr>
          <w:p w14:paraId="68383D44">
            <w:r>
              <w:t>Automobiles and parts families</w:t>
            </w:r>
          </w:p>
        </w:tc>
        <w:tc>
          <w:tcPr>
            <w:tcW w:type="dxa" w:w="1337"/>
          </w:tcPr>
          <w:p w14:paraId="05490078">
            <w:r>
              <w:t>Section 232; Proclamation 10908 and Annex I; related Federal Register notices; Chapter 99 notes</w:t>
            </w:r>
          </w:p>
        </w:tc>
        <w:tc>
          <w:tcPr>
            <w:tcW w:type="dxa" w:w="1337"/>
          </w:tcPr>
          <w:p w14:paraId="072D4074">
            <w:r>
              <w:t>Presidential or delegated action; HTSUS revision; CBP guidance; congressional consultation where required</w:t>
            </w:r>
          </w:p>
        </w:tc>
        <w:tc>
          <w:tcPr>
            <w:tcW w:type="dxa" w:w="1337"/>
          </w:tcPr>
          <w:p w14:paraId="29A49CC4">
            <w:r>
              <w:t>Pending HTSUS/proclamation verification</w:t>
            </w:r>
          </w:p>
        </w:tc>
        <w:tc>
          <w:tcPr>
            <w:tcW w:type="dxa" w:w="1337"/>
          </w:tcPr>
          <w:p w14:paraId="757ADC00">
            <w:r>
              <w:t>United States counsel</w:t>
            </w:r>
          </w:p>
        </w:tc>
        <w:tc>
          <w:tcPr>
            <w:tcW w:type="dxa" w:w="1337"/>
          </w:tcPr>
          <w:p w14:paraId="01CBBB90">
            <w:r>
              <w:t>Pending</w:t>
            </w:r>
          </w:p>
        </w:tc>
      </w:tr>
      <w:tr>
        <w:tc>
          <w:tcPr>
            <w:tcW w:type="dxa" w:w="1337"/>
          </w:tcPr>
          <w:p w14:paraId="6CB4A46A">
            <w:r>
              <w:t>US-2B-METALS</w:t>
            </w:r>
          </w:p>
        </w:tc>
        <w:tc>
          <w:tcPr>
            <w:tcW w:type="dxa" w:w="1337"/>
          </w:tcPr>
          <w:p w14:paraId="199AB082">
            <w:r>
              <w:t>Steel, aluminum and derivative families</w:t>
            </w:r>
          </w:p>
        </w:tc>
        <w:tc>
          <w:tcPr>
            <w:tcW w:type="dxa" w:w="1337"/>
          </w:tcPr>
          <w:p w14:paraId="05F0D020">
            <w:r>
              <w:t>Section 232 proclamations and Chapter 99 measures</w:t>
            </w:r>
          </w:p>
        </w:tc>
        <w:tc>
          <w:tcPr>
            <w:tcW w:type="dxa" w:w="1337"/>
          </w:tcPr>
          <w:p w14:paraId="3DC4DD76">
            <w:r>
              <w:t>Presidential or delegated action; HTSUS revision; CBP guidance; congressional consultation where required</w:t>
            </w:r>
          </w:p>
        </w:tc>
        <w:tc>
          <w:tcPr>
            <w:tcW w:type="dxa" w:w="1337"/>
          </w:tcPr>
          <w:p w14:paraId="11CBC0DA">
            <w:r>
              <w:t>Pending HTSUS/proclamation verification</w:t>
            </w:r>
          </w:p>
        </w:tc>
        <w:tc>
          <w:tcPr>
            <w:tcW w:type="dxa" w:w="1337"/>
          </w:tcPr>
          <w:p w14:paraId="2BBD88A0">
            <w:r>
              <w:t>United States counsel</w:t>
            </w:r>
          </w:p>
        </w:tc>
        <w:tc>
          <w:tcPr>
            <w:tcW w:type="dxa" w:w="1337"/>
          </w:tcPr>
          <w:p w14:paraId="1F282686">
            <w:r>
              <w:t>Pending</w:t>
            </w:r>
          </w:p>
        </w:tc>
      </w:tr>
      <w:tr>
        <w:tc>
          <w:tcPr>
            <w:tcW w:type="dxa" w:w="1337"/>
          </w:tcPr>
          <w:p w14:paraId="039C75DE">
            <w:r>
              <w:t>US-2B-IEEPA</w:t>
            </w:r>
          </w:p>
        </w:tc>
        <w:tc>
          <w:tcPr>
            <w:tcW w:type="dxa" w:w="1337"/>
          </w:tcPr>
          <w:p w14:paraId="59777B82">
            <w:r>
              <w:t>Mexico emergency-duty family</w:t>
            </w:r>
          </w:p>
        </w:tc>
        <w:tc>
          <w:tcPr>
            <w:tcW w:type="dxa" w:w="1337"/>
          </w:tcPr>
          <w:p w14:paraId="4FA65224">
            <w:r>
              <w:t>IEEPA instruments; heading 9903.01.01 family as verified at adoption</w:t>
            </w:r>
          </w:p>
        </w:tc>
        <w:tc>
          <w:tcPr>
            <w:tcW w:type="dxa" w:w="1337"/>
          </w:tcPr>
          <w:p w14:paraId="02561786">
            <w:r>
              <w:t>Executive action; HTSUS revision; CBP guidance; litigation review</w:t>
            </w:r>
          </w:p>
        </w:tc>
        <w:tc>
          <w:tcPr>
            <w:tcW w:type="dxa" w:w="1337"/>
          </w:tcPr>
          <w:p w14:paraId="026AC44E">
            <w:r>
              <w:t>Pending legal-validity and refund review</w:t>
            </w:r>
          </w:p>
        </w:tc>
        <w:tc>
          <w:tcPr>
            <w:tcW w:type="dxa" w:w="1337"/>
          </w:tcPr>
          <w:p w14:paraId="4BD854D2">
            <w:r>
              <w:t>United States counsel</w:t>
            </w:r>
          </w:p>
        </w:tc>
        <w:tc>
          <w:tcPr>
            <w:tcW w:type="dxa" w:w="1337"/>
          </w:tcPr>
          <w:p w14:paraId="52C055D6">
            <w:r>
              <w:t>Pending</w:t>
            </w:r>
          </w:p>
        </w:tc>
      </w:tr>
      <w:tr>
        <w:tc>
          <w:tcPr>
            <w:tcW w:type="dxa" w:w="1337"/>
          </w:tcPr>
          <w:p w14:paraId="008F6CD8">
            <w:r>
              <w:t>BIL-ALL</w:t>
            </w:r>
          </w:p>
        </w:tc>
        <w:tc>
          <w:tcPr>
            <w:tcW w:type="dxa" w:w="1337"/>
          </w:tcPr>
          <w:p w14:paraId="52CDA836">
            <w:r>
              <w:t>Bilateral elimination and firewall package</w:t>
            </w:r>
          </w:p>
        </w:tc>
        <w:tc>
          <w:tcPr>
            <w:tcW w:type="dxa" w:w="1337"/>
          </w:tcPr>
          <w:p w14:paraId="24A4F3EC">
            <w:r>
              <w:t>This Agreement; USMCA/T-MEC; domestic constitutional and statutory procedures</w:t>
            </w:r>
          </w:p>
        </w:tc>
        <w:tc>
          <w:tcPr>
            <w:tcW w:type="dxa" w:w="1337"/>
          </w:tcPr>
          <w:p w14:paraId="64643D46">
            <w:r>
              <w:t>Internal approval, entry-into-force notifications, publication, customs instructions</w:t>
            </w:r>
          </w:p>
        </w:tc>
        <w:tc>
          <w:tcPr>
            <w:tcW w:type="dxa" w:w="1337"/>
          </w:tcPr>
          <w:p w14:paraId="4699B23C">
            <w:r>
              <w:t>Draft complete; signatures pending</w:t>
            </w:r>
          </w:p>
        </w:tc>
        <w:tc>
          <w:tcPr>
            <w:tcW w:type="dxa" w:w="1337"/>
          </w:tcPr>
          <w:p w14:paraId="67CFC58E">
            <w:r>
              <w:t>Both Parties</w:t>
            </w:r>
          </w:p>
        </w:tc>
        <w:tc>
          <w:tcPr>
            <w:tcW w:type="dxa" w:w="1337"/>
          </w:tcPr>
          <w:p w14:paraId="50B4E652">
            <w:r>
              <w:t>Not executed</w:t>
            </w:r>
          </w:p>
        </w:tc>
      </w:tr>
      <w:tr>
        <w:tc>
          <w:tcPr>
            <w:tcW w:type="dxa" w:w="1337"/>
          </w:tcPr>
          <w:p>
            <w:r>
              <w:t xml:space="preserve">MX-2A-001</w:t>
            </w:r>
          </w:p>
        </w:tc>
        <w:tc>
          <w:tcPr>
            <w:tcW w:type="dxa" w:w="1337"/>
          </w:tcPr>
          <w:p>
            <w:r>
              <w:t xml:space="preserve">TIGIE 0201 screen</w:t>
            </w:r>
          </w:p>
        </w:tc>
        <w:tc>
          <w:tcPr>
            <w:tcW w:type="dxa" w:w="1337"/>
          </w:tcPr>
          <w:p>
            <w:r>
              <w:t xml:space="preserve">DOF publication screen through September 7, 2026; TIGIE revision in force</w:t>
            </w:r>
          </w:p>
        </w:tc>
        <w:tc>
          <w:tcPr>
            <w:tcW w:type="dxa" w:w="1337"/>
          </w:tcPr>
          <w:p>
            <w:r>
              <w:t xml:space="preserve">None required (no instrument)</w:t>
            </w:r>
          </w:p>
        </w:tc>
        <w:tc>
          <w:tcPr>
            <w:tcW w:type="dxa" w:w="1337"/>
          </w:tcPr>
          <w:p>
            <w:r>
              <w:t xml:space="preserve">Nil-return</w:t>
            </w:r>
          </w:p>
        </w:tc>
        <w:tc>
          <w:tcPr>
            <w:tcW w:type="dxa" w:w="1337"/>
          </w:tcPr>
          <w:p>
            <w:r>
              <w:t xml:space="preserve">Mexico counsel</w:t>
            </w:r>
          </w:p>
        </w:tc>
        <w:tc>
          <w:tcPr>
            <w:tcW w:type="dxa" w:w="1337"/>
          </w:tcPr>
          <w:p>
            <w:r>
              <w:t xml:space="preserve">Pending nil-return</w:t>
            </w:r>
          </w:p>
        </w:tc>
      </w:tr>
    </w:tbl>
    <w:p w14:paraId="568A12EC"/>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14:paraId="213D53C4">
            <w:r>
              <w:rPr>
                <w:b/>
              </w:rPr>
              <w:t>Role</w:t>
            </w:r>
          </w:p>
        </w:tc>
        <w:tc>
          <w:tcPr>
            <w:tcW w:type="dxa" w:w="1872"/>
          </w:tcPr>
          <w:p w14:paraId="27DC4340">
            <w:r>
              <w:rPr>
                <w:b/>
              </w:rPr>
              <w:t>Party</w:t>
            </w:r>
          </w:p>
        </w:tc>
        <w:tc>
          <w:tcPr>
            <w:tcW w:type="dxa" w:w="1872"/>
          </w:tcPr>
          <w:p w14:paraId="460D750E">
            <w:r>
              <w:rPr>
                <w:b/>
              </w:rPr>
              <w:t>Name</w:t>
            </w:r>
          </w:p>
        </w:tc>
        <w:tc>
          <w:tcPr>
            <w:tcW w:type="dxa" w:w="1872"/>
          </w:tcPr>
          <w:p w14:paraId="299B4816">
            <w:r>
              <w:rPr>
                <w:b/>
              </w:rPr>
              <w:t>Signature</w:t>
            </w:r>
          </w:p>
        </w:tc>
        <w:tc>
          <w:tcPr>
            <w:tcW w:type="dxa" w:w="1872"/>
          </w:tcPr>
          <w:p w14:paraId="3879280C">
            <w:r>
              <w:rPr>
                <w:b/>
              </w:rPr>
              <w:t>Date</w:t>
            </w:r>
          </w:p>
        </w:tc>
      </w:tr>
      <w:tr>
        <w:tc>
          <w:tcPr>
            <w:tcW w:type="dxa" w:w="1872"/>
          </w:tcPr>
          <w:p w14:paraId="7A781E5A">
            <w:r>
              <w:t>Legal counsel</w:t>
            </w:r>
          </w:p>
        </w:tc>
        <w:tc>
          <w:tcPr>
            <w:tcW w:type="dxa" w:w="1872"/>
          </w:tcPr>
          <w:p w14:paraId="7F129F46">
            <w:r>
              <w:t>United States</w:t>
            </w:r>
          </w:p>
        </w:tc>
        <w:tc>
          <w:tcPr>
            <w:tcW w:type="dxa" w:w="1872"/>
          </w:tcPr>
          <w:p w14:paraId="410D9664">
            <w:r/>
          </w:p>
        </w:tc>
        <w:tc>
          <w:tcPr>
            <w:tcW w:type="dxa" w:w="1872"/>
          </w:tcPr>
          <w:p w14:paraId="49750150">
            <w:r/>
          </w:p>
        </w:tc>
        <w:tc>
          <w:tcPr>
            <w:tcW w:type="dxa" w:w="1872"/>
          </w:tcPr>
          <w:p w14:paraId="2E4A884A">
            <w:r/>
          </w:p>
        </w:tc>
      </w:tr>
      <w:tr>
        <w:tc>
          <w:tcPr>
            <w:tcW w:type="dxa" w:w="1872"/>
          </w:tcPr>
          <w:p w14:paraId="7C87BB0C">
            <w:r>
              <w:t>Customs authority</w:t>
            </w:r>
          </w:p>
        </w:tc>
        <w:tc>
          <w:tcPr>
            <w:tcW w:type="dxa" w:w="1872"/>
          </w:tcPr>
          <w:p w14:paraId="3804FA26">
            <w:r>
              <w:t>United States</w:t>
            </w:r>
          </w:p>
        </w:tc>
        <w:tc>
          <w:tcPr>
            <w:tcW w:type="dxa" w:w="1872"/>
          </w:tcPr>
          <w:p w14:paraId="492A5A76">
            <w:r/>
          </w:p>
        </w:tc>
        <w:tc>
          <w:tcPr>
            <w:tcW w:type="dxa" w:w="1872"/>
          </w:tcPr>
          <w:p w14:paraId="478183CC">
            <w:r/>
          </w:p>
        </w:tc>
        <w:tc>
          <w:tcPr>
            <w:tcW w:type="dxa" w:w="1872"/>
          </w:tcPr>
          <w:p w14:paraId="088CBCA6">
            <w:r/>
          </w:p>
        </w:tc>
      </w:tr>
      <w:tr>
        <w:tc>
          <w:tcPr>
            <w:tcW w:type="dxa" w:w="1872"/>
          </w:tcPr>
          <w:p w14:paraId="486BDA28">
            <w:r>
              <w:t>Trade authority</w:t>
            </w:r>
          </w:p>
        </w:tc>
        <w:tc>
          <w:tcPr>
            <w:tcW w:type="dxa" w:w="1872"/>
          </w:tcPr>
          <w:p w14:paraId="7DC2DC30">
            <w:r>
              <w:t>United States</w:t>
            </w:r>
          </w:p>
        </w:tc>
        <w:tc>
          <w:tcPr>
            <w:tcW w:type="dxa" w:w="1872"/>
          </w:tcPr>
          <w:p w14:paraId="3BB77428">
            <w:r/>
          </w:p>
        </w:tc>
        <w:tc>
          <w:tcPr>
            <w:tcW w:type="dxa" w:w="1872"/>
          </w:tcPr>
          <w:p w14:paraId="759EB390">
            <w:r/>
          </w:p>
        </w:tc>
        <w:tc>
          <w:tcPr>
            <w:tcW w:type="dxa" w:w="1872"/>
          </w:tcPr>
          <w:p w14:paraId="10DA3864">
            <w:r/>
          </w:p>
        </w:tc>
      </w:tr>
      <w:tr>
        <w:tc>
          <w:tcPr>
            <w:tcW w:type="dxa" w:w="1872"/>
          </w:tcPr>
          <w:p w14:paraId="6FF7B94A">
            <w:r>
              <w:t>Legal counsel</w:t>
            </w:r>
          </w:p>
        </w:tc>
        <w:tc>
          <w:tcPr>
            <w:tcW w:type="dxa" w:w="1872"/>
          </w:tcPr>
          <w:p w14:paraId="418B497A">
            <w:r>
              <w:t>Mexico</w:t>
            </w:r>
          </w:p>
        </w:tc>
        <w:tc>
          <w:tcPr>
            <w:tcW w:type="dxa" w:w="1872"/>
          </w:tcPr>
          <w:p w14:paraId="1BE1AFC0">
            <w:r/>
          </w:p>
        </w:tc>
        <w:tc>
          <w:tcPr>
            <w:tcW w:type="dxa" w:w="1872"/>
          </w:tcPr>
          <w:p w14:paraId="42D1DD2C">
            <w:r/>
          </w:p>
        </w:tc>
        <w:tc>
          <w:tcPr>
            <w:tcW w:type="dxa" w:w="1872"/>
          </w:tcPr>
          <w:p w14:paraId="2C90D738">
            <w:r/>
          </w:p>
        </w:tc>
      </w:tr>
      <w:tr>
        <w:tc>
          <w:tcPr>
            <w:tcW w:type="dxa" w:w="1872"/>
          </w:tcPr>
          <w:p w14:paraId="1AD3029E">
            <w:r>
              <w:t>Customs authority</w:t>
            </w:r>
          </w:p>
        </w:tc>
        <w:tc>
          <w:tcPr>
            <w:tcW w:type="dxa" w:w="1872"/>
          </w:tcPr>
          <w:p w14:paraId="142660C4">
            <w:r>
              <w:t>Mexico</w:t>
            </w:r>
          </w:p>
        </w:tc>
        <w:tc>
          <w:tcPr>
            <w:tcW w:type="dxa" w:w="1872"/>
          </w:tcPr>
          <w:p w14:paraId="29DC9372">
            <w:r/>
          </w:p>
        </w:tc>
        <w:tc>
          <w:tcPr>
            <w:tcW w:type="dxa" w:w="1872"/>
          </w:tcPr>
          <w:p w14:paraId="684123CA">
            <w:r/>
          </w:p>
        </w:tc>
        <w:tc>
          <w:tcPr>
            <w:tcW w:type="dxa" w:w="1872"/>
          </w:tcPr>
          <w:p w14:paraId="054D4878">
            <w:r/>
          </w:p>
        </w:tc>
      </w:tr>
      <w:tr>
        <w:tc>
          <w:tcPr>
            <w:tcW w:type="dxa" w:w="1872"/>
          </w:tcPr>
          <w:p w14:paraId="2738161E">
            <w:r>
              <w:t>Trade authority</w:t>
            </w:r>
          </w:p>
        </w:tc>
        <w:tc>
          <w:tcPr>
            <w:tcW w:type="dxa" w:w="1872"/>
          </w:tcPr>
          <w:p w14:paraId="07091394">
            <w:r>
              <w:t>Mexico</w:t>
            </w:r>
          </w:p>
        </w:tc>
        <w:tc>
          <w:tcPr>
            <w:tcW w:type="dxa" w:w="1872"/>
          </w:tcPr>
          <w:p w14:paraId="17AD7116">
            <w:r/>
          </w:p>
        </w:tc>
        <w:tc>
          <w:tcPr>
            <w:tcW w:type="dxa" w:w="1872"/>
          </w:tcPr>
          <w:p w14:paraId="100087E4">
            <w:r/>
          </w:p>
        </w:tc>
        <w:tc>
          <w:tcPr>
            <w:tcW w:type="dxa" w:w="1872"/>
          </w:tcPr>
          <w:p w14:paraId="58B51426">
            <w:r/>
          </w:p>
        </w:tc>
      </w:tr>
    </w:tbl>
    <w:p w14:paraId="6285C518"/>
    <w:p w14:paraId="2AE08928">
      <w:pPr>
        <w:pStyle w:val="Heading2"/>
      </w:pPr>
      <w:bookmarkStart w:id="992" w:name="_Toc236229992"/>
      <w:r>
        <w:t>Annex 2-A Mexico Eliminated Emergency Tariff Measures</w:t>
      </w:r>
      <w:bookmarkEnd w:id="992"/>
    </w:p>
    <w:p w14:paraId="26E11F86">
      <w:r>
        <w:rPr>
          <w:b/>
        </w:rPr>
        <w:t>CONTROLLED STATUS — OFFICIALLY SCREENED RESULT. Public official records reviewed through the draft date (September 7, 2026) establish that Mexico announced possible retaliatory measures in March 2025 but did not publish or implement a retaliatory or emergency tariff instrument against United States goods in the Diario Oficial de la Federación. Accordingly, no Mexican measure currently qualifies as a Covered Emergency Tariff Measure, and the certified schedule below contains zero lines. This conclusion remains subject to written confirmation by the Secretaría de Economía, ANAM, and SAT under the procedure in A2A.6; if any instrument is identified, it enters only through the intake and verification process below — never by assumption.</w:t>
      </w:r>
    </w:p>
    <w:p w14:paraId="3A002608">
      <w:pPr>
        <w:pStyle w:val="Heading3"/>
      </w:pPr>
      <w:r>
        <w:rPr>
          <w:b w:val="0"/>
        </w:rPr>
        <w:t xml:space="preserve">A2A.1 Section I — General Rules, Candidate Intake, and Chapter Screen</w:t>
      </w:r>
    </w:p>
    <w:p w14:paraId="3BB02F8A">
      <w:r>
        <w:rPr>
          <w:b w:val="0"/>
        </w:rPr>
        <w:t>The chapter screen (Chapters 02, 04, 07, 08, 10, 17, 19, 20, 22, 27, 28, 29, 39, 40, 44, 72, 73, 74, 76, 84, 85, 87, 94, 95) remains an over-inclusive research aid. It creates no tariff obligation and no elimination.</w:t>
      </w:r>
    </w:p>
    <w:p>
      <w:r>
        <w:rPr>
          <w:b w:val="0"/>
        </w:rPr>
        <w:t xml:space="preserve">This Annex lists the tariff measures imposed by Mexico on goods originating in the United States that are eliminated under Article 2.1. Section II records, line by line, the complete screening of every candidate tariff line within the twenty-four-chapter research screen above, and Section III records confirmations.</w:t>
      </w:r>
    </w:p>
    <w:p>
      <w:r>
        <w:rPr>
          <w:b w:val="0"/>
        </w:rPr>
        <w:t xml:space="preserve">Each register entry carries an immutable identifier in the format MX-2A-[number], used for correspondence, refund processing, and dispute settlement.</w:t>
      </w:r>
    </w:p>
    <w:p>
      <w:r>
        <w:rPr>
          <w:b w:val="0"/>
        </w:rPr>
        <w:t xml:space="preserve">Each register entry records: (a) the TIGIE classification at the eight-digit level with NICO identifier where applicable; (b) a plain-language description; (c) the ordinary MFN rate and any preference condition in force; (d) the instruments screened (MFN schedule, T-MEC preference, IEPS, general import tax, any AD/CVD order, any safeguard); (e) the screen determination; and (f) the status code.</w:t>
      </w:r>
    </w:p>
    <w:p>
      <w:r>
        <w:rPr>
          <w:b w:val="0"/>
        </w:rPr>
        <w:t xml:space="preserve">Status codes: V (verified: an instrument exists and has been certified); VWC (verified with conditions); EXC (excluded: not a Covered Emergency Tariff Measure); NV-NIL (screened, no qualifying instrument found; counted in the nil return); TBC (recorded for completeness pending confirmation). Conversion from NV-NIL to a confirmed status occurs only through the written confirmation procedure of A2A.6 and is recorded entry by entry in Section III.</w:t>
      </w:r>
    </w:p>
    <w:p>
      <w:r>
        <w:rPr>
          <w:b w:val="0"/>
        </w:rPr>
        <w:t xml:space="preserve">The screening conclusion recorded at the head of this Annex is restated as an operative rule: no Mexican instrument qualified as a Covered Emergency Tariff Measure as of September 7, 2026; every NV-NIL entry below contributes to that nil return; the certified schedule in A2A.3 accordingly contains zero lines unless and until an entry converts to V or VWC.</w:t>
      </w:r>
    </w:p>
    <w:p>
      <w:r>
        <w:rPr>
          <w:b w:val="0"/>
        </w:rPr>
        <w:t xml:space="preserve">In the event of a discrepancy between a register entry and the instrument it records, the instrument prevails and the entry is corrected under Article 2.2.5.</w:t>
      </w:r>
    </w:p>
    <w:p w14:paraId="7E767F64">
      <w:pPr>
        <w:pStyle w:val="Heading3"/>
      </w:pPr>
      <w:r>
        <w:rPr>
          <w:b w:val="0"/>
        </w:rPr>
        <w:t>A2A.2 Verification Protocol</w:t>
      </w:r>
    </w:p>
    <w:tbl>
      <w:tblPr>
        <w:tblW w:type="auto" w:w="0"/>
        <w:tblLook w:firstColumn="1" w:firstRow="1" w:lastColumn="0" w:lastRow="0" w:noHBand="0" w:noVBand="1" w:val="04A0"/>
      </w:tblPr>
      <w:tblGrid>
        <w:gridCol w:w="1872"/>
        <w:gridCol w:w="1872"/>
        <w:gridCol w:w="1872"/>
        <w:gridCol w:w="1872"/>
        <w:gridCol w:w="1872"/>
      </w:tblGrid>
      <w:tr>
        <w:tc>
          <w:tcPr>
            <w:tcW w:type="dxa" w:w="1872"/>
          </w:tcPr>
          <w:p w14:paraId="32BD3BCA">
            <w:r>
              <w:rPr>
                <w:b/>
              </w:rPr>
              <w:t>Step</w:t>
            </w:r>
          </w:p>
        </w:tc>
        <w:tc>
          <w:tcPr>
            <w:tcW w:type="dxa" w:w="1872"/>
          </w:tcPr>
          <w:p w14:paraId="74E64AB6">
            <w:r>
              <w:rPr>
                <w:b/>
              </w:rPr>
              <w:t>Required action</w:t>
            </w:r>
          </w:p>
        </w:tc>
        <w:tc>
          <w:tcPr>
            <w:tcW w:type="dxa" w:w="1872"/>
          </w:tcPr>
          <w:p w14:paraId="0E8199DA">
            <w:r>
              <w:rPr>
                <w:b/>
              </w:rPr>
              <w:t>Responsible authority</w:t>
            </w:r>
          </w:p>
        </w:tc>
        <w:tc>
          <w:tcPr>
            <w:tcW w:type="dxa" w:w="1872"/>
          </w:tcPr>
          <w:p w14:paraId="239EE34E">
            <w:r>
              <w:rPr>
                <w:b/>
              </w:rPr>
              <w:t>Output</w:t>
            </w:r>
          </w:p>
        </w:tc>
        <w:tc>
          <w:tcPr>
            <w:tcW w:type="dxa" w:w="1872"/>
          </w:tcPr>
          <w:p w14:paraId="4B17A4DA">
            <w:r>
              <w:rPr>
                <w:b/>
              </w:rPr>
              <w:t>Status</w:t>
            </w:r>
          </w:p>
        </w:tc>
      </w:tr>
      <w:tr>
        <w:tc>
          <w:tcPr>
            <w:tcW w:type="dxa" w:w="1872"/>
          </w:tcPr>
          <w:p w14:paraId="0AEDB87A">
            <w:r>
              <w:t>1</w:t>
            </w:r>
          </w:p>
        </w:tc>
        <w:tc>
          <w:tcPr>
            <w:tcW w:type="dxa" w:w="1872"/>
          </w:tcPr>
          <w:p w14:paraId="4BAF4638">
            <w:r>
              <w:t>Official instrument inventory of any emergency, retaliatory, reciprocal, or extraordinary measure on U.S.-originating goods</w:t>
            </w:r>
          </w:p>
        </w:tc>
        <w:tc>
          <w:tcPr>
            <w:tcW w:type="dxa" w:w="1872"/>
          </w:tcPr>
          <w:p w14:paraId="36C09FF4">
            <w:r>
              <w:t>Secretaría de Economía / ANAM / SAT</w:t>
            </w:r>
          </w:p>
        </w:tc>
        <w:tc>
          <w:tcPr>
            <w:tcW w:type="dxa" w:w="1872"/>
          </w:tcPr>
          <w:p w14:paraId="580190A8">
            <w:r>
              <w:t>Inventory or written nil-return</w:t>
            </w:r>
          </w:p>
        </w:tc>
        <w:tc>
          <w:tcPr>
            <w:tcW w:type="dxa" w:w="1872"/>
          </w:tcPr>
          <w:p w14:paraId="4285ABFC">
            <w:r>
              <w:t>Public record reviewed through Sept 7, 2026: no instrument found; written nil-return pending</w:t>
            </w:r>
          </w:p>
        </w:tc>
      </w:tr>
      <w:tr>
        <w:tc>
          <w:tcPr>
            <w:tcW w:type="dxa" w:w="1872"/>
          </w:tcPr>
          <w:p w14:paraId="02D065DE">
            <w:r>
              <w:t>2</w:t>
            </w:r>
          </w:p>
        </w:tc>
        <w:tc>
          <w:tcPr>
            <w:tcW w:type="dxa" w:w="1872"/>
          </w:tcPr>
          <w:p w14:paraId="0FD724CE">
            <w:r>
              <w:t>Verify any identified instrument: number, DOF publication, entry into force, amendments, expiry</w:t>
            </w:r>
          </w:p>
        </w:tc>
        <w:tc>
          <w:tcPr>
            <w:tcW w:type="dxa" w:w="1872"/>
          </w:tcPr>
          <w:p w14:paraId="262F1AA4">
            <w:r>
              <w:t>Secretaría de Economía legal office</w:t>
            </w:r>
          </w:p>
        </w:tc>
        <w:tc>
          <w:tcPr>
            <w:tcW w:type="dxa" w:w="1872"/>
          </w:tcPr>
          <w:p w14:paraId="2813A026">
            <w:r>
              <w:t>Authority citation file</w:t>
            </w:r>
          </w:p>
        </w:tc>
        <w:tc>
          <w:tcPr>
            <w:tcW w:type="dxa" w:w="1872"/>
          </w:tcPr>
          <w:p w14:paraId="3BC25DB2">
            <w:r>
              <w:t>Not triggered</w:t>
            </w:r>
          </w:p>
        </w:tc>
      </w:tr>
      <w:tr>
        <w:tc>
          <w:tcPr>
            <w:tcW w:type="dxa" w:w="1872"/>
          </w:tcPr>
          <w:p w14:paraId="5374F7AC">
            <w:r>
              <w:t>3</w:t>
            </w:r>
          </w:p>
        </w:tc>
        <w:tc>
          <w:tcPr>
            <w:tcW w:type="dxa" w:w="1872"/>
          </w:tcPr>
          <w:p w14:paraId="55A2DFAC">
            <w:r>
              <w:t>Map affected fractions and NICOs to the TIGIE in force at adoption</w:t>
            </w:r>
          </w:p>
        </w:tc>
        <w:tc>
          <w:tcPr>
            <w:tcW w:type="dxa" w:w="1872"/>
          </w:tcPr>
          <w:p w14:paraId="79374BE4">
            <w:r>
              <w:t>ANAM/SAT tariff specialists</w:t>
            </w:r>
          </w:p>
        </w:tc>
        <w:tc>
          <w:tcPr>
            <w:tcW w:type="dxa" w:w="1872"/>
          </w:tcPr>
          <w:p w14:paraId="2E3EC71A">
            <w:r>
              <w:t>TIGIE concordance</w:t>
            </w:r>
          </w:p>
        </w:tc>
        <w:tc>
          <w:tcPr>
            <w:tcW w:type="dxa" w:w="1872"/>
          </w:tcPr>
          <w:p w14:paraId="2DF9CF78">
            <w:r>
              <w:t>Not triggered</w:t>
            </w:r>
          </w:p>
        </w:tc>
      </w:tr>
      <w:tr>
        <w:tc>
          <w:tcPr>
            <w:tcW w:type="dxa" w:w="1872"/>
          </w:tcPr>
          <w:p w14:paraId="6EB93462">
            <w:r>
              <w:t>4</w:t>
            </w:r>
          </w:p>
        </w:tc>
        <w:tc>
          <w:tcPr>
            <w:tcW w:type="dxa" w:w="1872"/>
          </w:tcPr>
          <w:p w14:paraId="59530F30">
            <w:r>
              <w:t>Confirm whether qualifying U.S. goods otherwise receive T-MEC preference</w:t>
            </w:r>
          </w:p>
        </w:tc>
        <w:tc>
          <w:tcPr>
            <w:tcW w:type="dxa" w:w="1872"/>
          </w:tcPr>
          <w:p w14:paraId="563D4914">
            <w:r>
              <w:t>ANAM origin unit</w:t>
            </w:r>
          </w:p>
        </w:tc>
        <w:tc>
          <w:tcPr>
            <w:tcW w:type="dxa" w:w="1872"/>
          </w:tcPr>
          <w:p w14:paraId="6BC8065E">
            <w:r>
              <w:t>Origin/preference memo</w:t>
            </w:r>
          </w:p>
        </w:tc>
        <w:tc>
          <w:tcPr>
            <w:tcW w:type="dxa" w:w="1872"/>
          </w:tcPr>
          <w:p w14:paraId="23A03A60">
            <w:r>
              <w:t>Not triggered</w:t>
            </w:r>
          </w:p>
        </w:tc>
      </w:tr>
      <w:tr>
        <w:tc>
          <w:tcPr>
            <w:tcW w:type="dxa" w:w="1872"/>
          </w:tcPr>
          <w:p w14:paraId="0FEA9C8C">
            <w:r>
              <w:t>5</w:t>
            </w:r>
          </w:p>
        </w:tc>
        <w:tc>
          <w:tcPr>
            <w:tcW w:type="dxa" w:w="1872"/>
          </w:tcPr>
          <w:p w14:paraId="1E5701C6">
            <w:r>
              <w:t>Anti-overlap test against MFN, AD/CVD, safeguards, taxes, fees, licensing, SPS and security controls</w:t>
            </w:r>
          </w:p>
        </w:tc>
        <w:tc>
          <w:tcPr>
            <w:tcW w:type="dxa" w:w="1872"/>
          </w:tcPr>
          <w:p w14:paraId="5C780450">
            <w:r>
              <w:t>Secretaría de Economía / ANAM</w:t>
            </w:r>
          </w:p>
        </w:tc>
        <w:tc>
          <w:tcPr>
            <w:tcW w:type="dxa" w:w="1872"/>
          </w:tcPr>
          <w:p w14:paraId="5A803BF8">
            <w:r>
              <w:t>Overlap disposition</w:t>
            </w:r>
          </w:p>
        </w:tc>
        <w:tc>
          <w:tcPr>
            <w:tcW w:type="dxa" w:w="1872"/>
          </w:tcPr>
          <w:p w14:paraId="43BF3CE2">
            <w:r>
              <w:t>Not triggered</w:t>
            </w:r>
          </w:p>
        </w:tc>
      </w:tr>
      <w:tr>
        <w:tc>
          <w:tcPr>
            <w:tcW w:type="dxa" w:w="1872"/>
          </w:tcPr>
          <w:p w14:paraId="51D29C68">
            <w:r>
              <w:t>6</w:t>
            </w:r>
          </w:p>
        </w:tc>
        <w:tc>
          <w:tcPr>
            <w:tcW w:type="dxa" w:w="1872"/>
          </w:tcPr>
          <w:p w14:paraId="64F6BBAE">
            <w:r>
              <w:t>Assign label: VERIFIED; VERIFIED WITH CONDITIONS; NOT VERIFIED; EXCLUDED</w:t>
            </w:r>
          </w:p>
        </w:tc>
        <w:tc>
          <w:tcPr>
            <w:tcW w:type="dxa" w:w="1872"/>
          </w:tcPr>
          <w:p w14:paraId="3F932C92">
            <w:r>
              <w:t>Both legal teams</w:t>
            </w:r>
          </w:p>
        </w:tc>
        <w:tc>
          <w:tcPr>
            <w:tcW w:type="dxa" w:w="1872"/>
          </w:tcPr>
          <w:p w14:paraId="77EA0D14">
            <w:r>
              <w:t>Certification log</w:t>
            </w:r>
          </w:p>
        </w:tc>
        <w:tc>
          <w:tcPr>
            <w:tcW w:type="dxa" w:w="1872"/>
          </w:tcPr>
          <w:p w14:paraId="20E92A92">
            <w:r>
              <w:t>Zero lines certified</w:t>
            </w:r>
          </w:p>
        </w:tc>
      </w:tr>
      <w:tr>
        <w:tc>
          <w:tcPr>
            <w:tcW w:type="dxa" w:w="1872"/>
          </w:tcPr>
          <w:p w14:paraId="0E4376BA">
            <w:r>
              <w:t>7</w:t>
            </w:r>
          </w:p>
        </w:tc>
        <w:tc>
          <w:tcPr>
            <w:tcW w:type="dxa" w:w="1872"/>
          </w:tcPr>
          <w:p w14:paraId="49D3B24C">
            <w:r>
              <w:t>Issue Form 1 for each VERIFIED line</w:t>
            </w:r>
          </w:p>
        </w:tc>
        <w:tc>
          <w:tcPr>
            <w:tcW w:type="dxa" w:w="1872"/>
          </w:tcPr>
          <w:p w14:paraId="02D9B544">
            <w:r>
              <w:t>Mexico issuing authority</w:t>
            </w:r>
          </w:p>
        </w:tc>
        <w:tc>
          <w:tcPr>
            <w:tcW w:type="dxa" w:w="1872"/>
          </w:tcPr>
          <w:p w14:paraId="06A86974">
            <w:r>
              <w:t>Signed certificate</w:t>
            </w:r>
          </w:p>
        </w:tc>
        <w:tc>
          <w:tcPr>
            <w:tcW w:type="dxa" w:w="1872"/>
          </w:tcPr>
          <w:p w14:paraId="2B1E2198">
            <w:r>
              <w:t>None issued — zero covered measures</w:t>
            </w:r>
          </w:p>
        </w:tc>
      </w:tr>
    </w:tbl>
    <w:p w14:paraId="1100AD62"/>
    <w:p w14:paraId="2C551F4C">
      <w:pPr>
        <w:pStyle w:val="Heading3"/>
      </w:pPr>
      <w:r>
        <w:rPr>
          <w:b w:val="0"/>
        </w:rPr>
        <w:t xml:space="preserve">A2A.3 Section II — Certified Schedule and Candidate Screening Register</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14:paraId="1875A98E">
            <w:r>
              <w:rPr>
                <w:b/>
              </w:rPr>
              <w:t>Item ID</w:t>
            </w:r>
          </w:p>
        </w:tc>
        <w:tc>
          <w:tcPr>
            <w:tcW w:type="dxa" w:w="1170"/>
          </w:tcPr>
          <w:p w14:paraId="19E8B568">
            <w:r>
              <w:rPr>
                <w:b/>
              </w:rPr>
              <w:t>Instrument</w:t>
            </w:r>
          </w:p>
        </w:tc>
        <w:tc>
          <w:tcPr>
            <w:tcW w:type="dxa" w:w="1170"/>
          </w:tcPr>
          <w:p w14:paraId="0970795C">
            <w:r>
              <w:rPr>
                <w:b/>
              </w:rPr>
              <w:t>TIGIE/NICO</w:t>
            </w:r>
          </w:p>
        </w:tc>
        <w:tc>
          <w:tcPr>
            <w:tcW w:type="dxa" w:w="1170"/>
          </w:tcPr>
          <w:p w14:paraId="786B02FA">
            <w:r>
              <w:rPr>
                <w:b/>
              </w:rPr>
              <w:t>Description</w:t>
            </w:r>
          </w:p>
        </w:tc>
        <w:tc>
          <w:tcPr>
            <w:tcW w:type="dxa" w:w="1170"/>
          </w:tcPr>
          <w:p w14:paraId="28E78CD2">
            <w:r>
              <w:rPr>
                <w:b/>
              </w:rPr>
              <w:t>Rate</w:t>
            </w:r>
          </w:p>
        </w:tc>
        <w:tc>
          <w:tcPr>
            <w:tcW w:type="dxa" w:w="1170"/>
          </w:tcPr>
          <w:p w14:paraId="33B85B92">
            <w:r>
              <w:rPr>
                <w:b/>
              </w:rPr>
              <w:t>Elimination treatment</w:t>
            </w:r>
          </w:p>
        </w:tc>
        <w:tc>
          <w:tcPr>
            <w:tcW w:type="dxa" w:w="1170"/>
          </w:tcPr>
          <w:p w14:paraId="70A449B6">
            <w:r>
              <w:rPr>
                <w:b/>
              </w:rPr>
              <w:t>Verification label</w:t>
            </w:r>
          </w:p>
        </w:tc>
        <w:tc>
          <w:tcPr>
            <w:tcW w:type="dxa" w:w="1170"/>
          </w:tcPr>
          <w:p w14:paraId="2A161A1C">
            <w:r>
              <w:rPr>
                <w:b/>
              </w:rPr>
              <w:t>Certificate</w:t>
            </w:r>
          </w:p>
        </w:tc>
      </w:tr>
      <w:tr>
        <w:tc>
          <w:tcPr>
            <w:tcW w:type="dxa" w:w="1170"/>
          </w:tcPr>
          <w:p w14:paraId="0AE4F84E">
            <w:r>
              <w:t>—</w:t>
            </w:r>
          </w:p>
        </w:tc>
        <w:tc>
          <w:tcPr>
            <w:tcW w:type="dxa" w:w="1170"/>
          </w:tcPr>
          <w:p w14:paraId="2702E3A2">
            <w:r>
              <w:t>None identified in the official record through September 7, 2026</w:t>
            </w:r>
          </w:p>
        </w:tc>
        <w:tc>
          <w:tcPr>
            <w:tcW w:type="dxa" w:w="1170"/>
          </w:tcPr>
          <w:p w14:paraId="202F77D4">
            <w:r>
              <w:t>—</w:t>
            </w:r>
          </w:p>
        </w:tc>
        <w:tc>
          <w:tcPr>
            <w:tcW w:type="dxa" w:w="1170"/>
          </w:tcPr>
          <w:p w14:paraId="5488C43A">
            <w:r>
              <w:t>—</w:t>
            </w:r>
          </w:p>
        </w:tc>
        <w:tc>
          <w:tcPr>
            <w:tcW w:type="dxa" w:w="1170"/>
          </w:tcPr>
          <w:p w14:paraId="3CEAAE3C">
            <w:r>
              <w:t>—</w:t>
            </w:r>
          </w:p>
        </w:tc>
        <w:tc>
          <w:tcPr>
            <w:tcW w:type="dxa" w:w="1170"/>
          </w:tcPr>
          <w:p w14:paraId="69318B9C">
            <w:r>
              <w:t>No elimination required; no deemed elimination from the chapter screen</w:t>
            </w:r>
          </w:p>
        </w:tc>
        <w:tc>
          <w:tcPr>
            <w:tcW w:type="dxa" w:w="1170"/>
          </w:tcPr>
          <w:p w14:paraId="4FA7C930">
            <w:r>
              <w:t>EXCLUDED — NO QUALIFYING MEASURE FOUND (subject to A2A.6 nil-return)</w:t>
            </w:r>
          </w:p>
        </w:tc>
        <w:tc>
          <w:tcPr>
            <w:tcW w:type="dxa" w:w="1170"/>
          </w:tcPr>
          <w:p w14:paraId="05C85B70">
            <w:r>
              <w:t>Not issued</w:t>
            </w:r>
          </w:p>
        </w:tc>
      </w:tr>
    </w:tbl>
    <w:p>
      <w:r>
        <w:rPr>
          <w:b w:val="0"/>
        </w:rPr>
        <w:t xml:space="preserve">Candidate screening register. Column convention for all rows below: each line was screened against the TIGIE MFN rate, the T-MEC preference, IEPS, the general import tax, the AD/CVD docket, and the safeguard docket, all nil for emergency character; Determination = NV-NIL; Status = NV-NIL pending the A2A.6 nil-return. NICO detail attaches to the Article 2.2.3 machine-readable schedule.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 xml:space="preserve">Item ID</w:t>
            </w:r>
          </w:p>
        </w:tc>
        <w:tc>
          <w:tcPr>
            <w:tcW w:type="dxa" w:w="1872"/>
          </w:tcPr>
          <w:p>
            <w:r>
              <w:rPr>
                <w:b/>
              </w:rPr>
              <w:t xml:space="preserve">TIGIE / HS</w:t>
            </w:r>
          </w:p>
        </w:tc>
        <w:tc>
          <w:tcPr>
            <w:tcW w:type="dxa" w:w="1872"/>
          </w:tcPr>
          <w:p>
            <w:r>
              <w:rPr>
                <w:b/>
              </w:rPr>
              <w:t xml:space="preserve">Description</w:t>
            </w:r>
          </w:p>
        </w:tc>
        <w:tc>
          <w:tcPr>
            <w:tcW w:type="dxa" w:w="1872"/>
          </w:tcPr>
          <w:p>
            <w:r>
              <w:rPr>
                <w:b/>
              </w:rPr>
              <w:t xml:space="preserve">Determination</w:t>
            </w:r>
          </w:p>
        </w:tc>
        <w:tc>
          <w:tcPr>
            <w:tcW w:type="dxa" w:w="1872"/>
          </w:tcPr>
          <w:p>
            <w:r>
              <w:rPr>
                <w:b/>
              </w:rPr>
              <w:t xml:space="preserve">Status</w:t>
            </w:r>
          </w:p>
        </w:tc>
      </w:tr>
      <w:tr>
        <w:tc>
          <w:tcPr>
            <w:tcW w:type="dxa" w:w="1872"/>
          </w:tcPr>
          <w:p>
            <w:r>
              <w:t xml:space="preserve">MX-2A-001</w:t>
            </w:r>
          </w:p>
        </w:tc>
        <w:tc>
          <w:tcPr>
            <w:tcW w:type="dxa" w:w="1872"/>
          </w:tcPr>
          <w:p>
            <w:r>
              <w:t xml:space="preserve">0201.10</w:t>
            </w:r>
          </w:p>
        </w:tc>
        <w:tc>
          <w:tcPr>
            <w:tcW w:type="dxa" w:w="1872"/>
          </w:tcPr>
          <w:p>
            <w:r>
              <w:t xml:space="preserve">Bovine carcasses, fresh or chilled</w:t>
            </w:r>
          </w:p>
        </w:tc>
        <w:tc>
          <w:tcPr>
            <w:tcW w:type="dxa" w:w="1872"/>
          </w:tcPr>
          <w:p>
            <w:r>
              <w:t xml:space="preserve">NV-NIL</w:t>
            </w:r>
          </w:p>
        </w:tc>
        <w:tc>
          <w:tcPr>
            <w:tcW w:type="dxa" w:w="1872"/>
          </w:tcPr>
          <w:p>
            <w:r>
              <w:t xml:space="preserve">NV-NIL (pending A2A.6 nil-return)</w:t>
            </w:r>
          </w:p>
        </w:tc>
      </w:tr>
      <w:tr>
        <w:tc>
          <w:tcPr>
            <w:tcW w:type="dxa" w:w="1872"/>
          </w:tcPr>
          <w:p>
            <w:r>
              <w:t xml:space="preserve">MX-2A-002</w:t>
            </w:r>
          </w:p>
        </w:tc>
        <w:tc>
          <w:tcPr>
            <w:tcW w:type="dxa" w:w="1872"/>
          </w:tcPr>
          <w:p>
            <w:r>
              <w:t xml:space="preserve">0201.20</w:t>
            </w:r>
          </w:p>
        </w:tc>
        <w:tc>
          <w:tcPr>
            <w:tcW w:type="dxa" w:w="1872"/>
          </w:tcPr>
          <w:p>
            <w:r>
              <w:t xml:space="preserve">Bovine cuts, fresh or chilled</w:t>
            </w:r>
          </w:p>
        </w:tc>
        <w:tc>
          <w:tcPr>
            <w:tcW w:type="dxa" w:w="1872"/>
          </w:tcPr>
          <w:p>
            <w:r>
              <w:t xml:space="preserve">NV-NIL</w:t>
            </w:r>
          </w:p>
        </w:tc>
        <w:tc>
          <w:tcPr>
            <w:tcW w:type="dxa" w:w="1872"/>
          </w:tcPr>
          <w:p>
            <w:r>
              <w:t xml:space="preserve">NV-NIL (pending A2A.6 nil-return)</w:t>
            </w:r>
          </w:p>
        </w:tc>
      </w:tr>
      <w:tr>
        <w:tc>
          <w:tcPr>
            <w:tcW w:type="dxa" w:w="1872"/>
          </w:tcPr>
          <w:p>
            <w:r>
              <w:t xml:space="preserve">MX-2A-003</w:t>
            </w:r>
          </w:p>
        </w:tc>
        <w:tc>
          <w:tcPr>
            <w:tcW w:type="dxa" w:w="1872"/>
          </w:tcPr>
          <w:p>
            <w:r>
              <w:t xml:space="preserve">0201.30</w:t>
            </w:r>
          </w:p>
        </w:tc>
        <w:tc>
          <w:tcPr>
            <w:tcW w:type="dxa" w:w="1872"/>
          </w:tcPr>
          <w:p>
            <w:r>
              <w:t xml:space="preserve">Bovine meat, fresh or chilled, deboned</w:t>
            </w:r>
          </w:p>
        </w:tc>
        <w:tc>
          <w:tcPr>
            <w:tcW w:type="dxa" w:w="1872"/>
          </w:tcPr>
          <w:p>
            <w:r>
              <w:t xml:space="preserve">NV-NIL</w:t>
            </w:r>
          </w:p>
        </w:tc>
        <w:tc>
          <w:tcPr>
            <w:tcW w:type="dxa" w:w="1872"/>
          </w:tcPr>
          <w:p>
            <w:r>
              <w:t xml:space="preserve">NV-NIL (pending A2A.6 nil-return)</w:t>
            </w:r>
          </w:p>
        </w:tc>
      </w:tr>
      <w:tr>
        <w:tc>
          <w:tcPr>
            <w:tcW w:type="dxa" w:w="1872"/>
          </w:tcPr>
          <w:p>
            <w:r>
              <w:t xml:space="preserve">MX-2A-004</w:t>
            </w:r>
          </w:p>
        </w:tc>
        <w:tc>
          <w:tcPr>
            <w:tcW w:type="dxa" w:w="1872"/>
          </w:tcPr>
          <w:p>
            <w:r>
              <w:t xml:space="preserve">0202.10</w:t>
            </w:r>
          </w:p>
        </w:tc>
        <w:tc>
          <w:tcPr>
            <w:tcW w:type="dxa" w:w="1872"/>
          </w:tcPr>
          <w:p>
            <w:r>
              <w:t xml:space="preserve">Bovine carcasses, frozen</w:t>
            </w:r>
          </w:p>
        </w:tc>
        <w:tc>
          <w:tcPr>
            <w:tcW w:type="dxa" w:w="1872"/>
          </w:tcPr>
          <w:p>
            <w:r>
              <w:t xml:space="preserve">NV-NIL</w:t>
            </w:r>
          </w:p>
        </w:tc>
        <w:tc>
          <w:tcPr>
            <w:tcW w:type="dxa" w:w="1872"/>
          </w:tcPr>
          <w:p>
            <w:r>
              <w:t xml:space="preserve">NV-NIL (pending A2A.6 nil-return)</w:t>
            </w:r>
          </w:p>
        </w:tc>
      </w:tr>
      <w:tr>
        <w:tc>
          <w:tcPr>
            <w:tcW w:type="dxa" w:w="1872"/>
          </w:tcPr>
          <w:p>
            <w:r>
              <w:t xml:space="preserve">MX-2A-005</w:t>
            </w:r>
          </w:p>
        </w:tc>
        <w:tc>
          <w:tcPr>
            <w:tcW w:type="dxa" w:w="1872"/>
          </w:tcPr>
          <w:p>
            <w:r>
              <w:t xml:space="preserve">0202.20</w:t>
            </w:r>
          </w:p>
        </w:tc>
        <w:tc>
          <w:tcPr>
            <w:tcW w:type="dxa" w:w="1872"/>
          </w:tcPr>
          <w:p>
            <w:r>
              <w:t xml:space="preserve">Bovine cuts, frozen</w:t>
            </w:r>
          </w:p>
        </w:tc>
        <w:tc>
          <w:tcPr>
            <w:tcW w:type="dxa" w:w="1872"/>
          </w:tcPr>
          <w:p>
            <w:r>
              <w:t xml:space="preserve">NV-NIL</w:t>
            </w:r>
          </w:p>
        </w:tc>
        <w:tc>
          <w:tcPr>
            <w:tcW w:type="dxa" w:w="1872"/>
          </w:tcPr>
          <w:p>
            <w:r>
              <w:t xml:space="preserve">NV-NIL (pending A2A.6 nil-return)</w:t>
            </w:r>
          </w:p>
        </w:tc>
      </w:tr>
      <w:tr>
        <w:tc>
          <w:tcPr>
            <w:tcW w:type="dxa" w:w="1872"/>
          </w:tcPr>
          <w:p>
            <w:r>
              <w:t xml:space="preserve">MX-2A-006</w:t>
            </w:r>
          </w:p>
        </w:tc>
        <w:tc>
          <w:tcPr>
            <w:tcW w:type="dxa" w:w="1872"/>
          </w:tcPr>
          <w:p>
            <w:r>
              <w:t xml:space="preserve">0203.11</w:t>
            </w:r>
          </w:p>
        </w:tc>
        <w:tc>
          <w:tcPr>
            <w:tcW w:type="dxa" w:w="1872"/>
          </w:tcPr>
          <w:p>
            <w:r>
              <w:t xml:space="preserve">Hams, fresh or chilled</w:t>
            </w:r>
          </w:p>
        </w:tc>
        <w:tc>
          <w:tcPr>
            <w:tcW w:type="dxa" w:w="1872"/>
          </w:tcPr>
          <w:p>
            <w:r>
              <w:t xml:space="preserve">NV-NIL</w:t>
            </w:r>
          </w:p>
        </w:tc>
        <w:tc>
          <w:tcPr>
            <w:tcW w:type="dxa" w:w="1872"/>
          </w:tcPr>
          <w:p>
            <w:r>
              <w:t xml:space="preserve">NV-NIL (pending A2A.6 nil-return)</w:t>
            </w:r>
          </w:p>
        </w:tc>
      </w:tr>
      <w:tr>
        <w:tc>
          <w:tcPr>
            <w:tcW w:type="dxa" w:w="1872"/>
          </w:tcPr>
          <w:p>
            <w:r>
              <w:t xml:space="preserve">MX-2A-007</w:t>
            </w:r>
          </w:p>
        </w:tc>
        <w:tc>
          <w:tcPr>
            <w:tcW w:type="dxa" w:w="1872"/>
          </w:tcPr>
          <w:p>
            <w:r>
              <w:t xml:space="preserve">0203.21</w:t>
            </w:r>
          </w:p>
        </w:tc>
        <w:tc>
          <w:tcPr>
            <w:tcW w:type="dxa" w:w="1872"/>
          </w:tcPr>
          <w:p>
            <w:r>
              <w:t xml:space="preserve">Hams, frozen</w:t>
            </w:r>
          </w:p>
        </w:tc>
        <w:tc>
          <w:tcPr>
            <w:tcW w:type="dxa" w:w="1872"/>
          </w:tcPr>
          <w:p>
            <w:r>
              <w:t xml:space="preserve">NV-NIL</w:t>
            </w:r>
          </w:p>
        </w:tc>
        <w:tc>
          <w:tcPr>
            <w:tcW w:type="dxa" w:w="1872"/>
          </w:tcPr>
          <w:p>
            <w:r>
              <w:t xml:space="preserve">NV-NIL (pending A2A.6 nil-return)</w:t>
            </w:r>
          </w:p>
        </w:tc>
      </w:tr>
      <w:tr>
        <w:tc>
          <w:tcPr>
            <w:tcW w:type="dxa" w:w="1872"/>
          </w:tcPr>
          <w:p>
            <w:r>
              <w:t xml:space="preserve">MX-2A-008</w:t>
            </w:r>
          </w:p>
        </w:tc>
        <w:tc>
          <w:tcPr>
            <w:tcW w:type="dxa" w:w="1872"/>
          </w:tcPr>
          <w:p>
            <w:r>
              <w:t xml:space="preserve">0204.10</w:t>
            </w:r>
          </w:p>
        </w:tc>
        <w:tc>
          <w:tcPr>
            <w:tcW w:type="dxa" w:w="1872"/>
          </w:tcPr>
          <w:p>
            <w:r>
              <w:t xml:space="preserve">Lamb carcasses, fresh or chilled</w:t>
            </w:r>
          </w:p>
        </w:tc>
        <w:tc>
          <w:tcPr>
            <w:tcW w:type="dxa" w:w="1872"/>
          </w:tcPr>
          <w:p>
            <w:r>
              <w:t xml:space="preserve">NV-NIL</w:t>
            </w:r>
          </w:p>
        </w:tc>
        <w:tc>
          <w:tcPr>
            <w:tcW w:type="dxa" w:w="1872"/>
          </w:tcPr>
          <w:p>
            <w:r>
              <w:t xml:space="preserve">NV-NIL (pending A2A.6 nil-return)</w:t>
            </w:r>
          </w:p>
        </w:tc>
      </w:tr>
      <w:tr>
        <w:tc>
          <w:tcPr>
            <w:tcW w:type="dxa" w:w="1872"/>
          </w:tcPr>
          <w:p>
            <w:r>
              <w:t xml:space="preserve">MX-2A-009</w:t>
            </w:r>
          </w:p>
        </w:tc>
        <w:tc>
          <w:tcPr>
            <w:tcW w:type="dxa" w:w="1872"/>
          </w:tcPr>
          <w:p>
            <w:r>
              <w:t xml:space="preserve">0207.11</w:t>
            </w:r>
          </w:p>
        </w:tc>
        <w:tc>
          <w:tcPr>
            <w:tcW w:type="dxa" w:w="1872"/>
          </w:tcPr>
          <w:p>
            <w:r>
              <w:t xml:space="preserve">Chicken, not cut, fresh or chilled</w:t>
            </w:r>
          </w:p>
        </w:tc>
        <w:tc>
          <w:tcPr>
            <w:tcW w:type="dxa" w:w="1872"/>
          </w:tcPr>
          <w:p>
            <w:r>
              <w:t xml:space="preserve">NV-NIL</w:t>
            </w:r>
          </w:p>
        </w:tc>
        <w:tc>
          <w:tcPr>
            <w:tcW w:type="dxa" w:w="1872"/>
          </w:tcPr>
          <w:p>
            <w:r>
              <w:t xml:space="preserve">NV-NIL (pending A2A.6 nil-return)</w:t>
            </w:r>
          </w:p>
        </w:tc>
      </w:tr>
      <w:tr>
        <w:tc>
          <w:tcPr>
            <w:tcW w:type="dxa" w:w="1872"/>
          </w:tcPr>
          <w:p>
            <w:r>
              <w:t xml:space="preserve">MX-2A-010</w:t>
            </w:r>
          </w:p>
        </w:tc>
        <w:tc>
          <w:tcPr>
            <w:tcW w:type="dxa" w:w="1872"/>
          </w:tcPr>
          <w:p>
            <w:r>
              <w:t xml:space="preserve">0401.10</w:t>
            </w:r>
          </w:p>
        </w:tc>
        <w:tc>
          <w:tcPr>
            <w:tcW w:type="dxa" w:w="1872"/>
          </w:tcPr>
          <w:p>
            <w:r>
              <w:t xml:space="preserve">Milk, fat &lt;=1%, not concentrated</w:t>
            </w:r>
          </w:p>
        </w:tc>
        <w:tc>
          <w:tcPr>
            <w:tcW w:type="dxa" w:w="1872"/>
          </w:tcPr>
          <w:p>
            <w:r>
              <w:t xml:space="preserve">NV-NIL</w:t>
            </w:r>
          </w:p>
        </w:tc>
        <w:tc>
          <w:tcPr>
            <w:tcW w:type="dxa" w:w="1872"/>
          </w:tcPr>
          <w:p>
            <w:r>
              <w:t xml:space="preserve">NV-NIL (pending A2A.6 nil-return)</w:t>
            </w:r>
          </w:p>
        </w:tc>
      </w:tr>
      <w:tr>
        <w:tc>
          <w:tcPr>
            <w:tcW w:type="dxa" w:w="1872"/>
          </w:tcPr>
          <w:p>
            <w:r>
              <w:t xml:space="preserve">MX-2A-011</w:t>
            </w:r>
          </w:p>
        </w:tc>
        <w:tc>
          <w:tcPr>
            <w:tcW w:type="dxa" w:w="1872"/>
          </w:tcPr>
          <w:p>
            <w:r>
              <w:t xml:space="preserve">0401.20</w:t>
            </w:r>
          </w:p>
        </w:tc>
        <w:tc>
          <w:tcPr>
            <w:tcW w:type="dxa" w:w="1872"/>
          </w:tcPr>
          <w:p>
            <w:r>
              <w:t xml:space="preserve">Milk, fat &gt;1% and &lt;=6%, not concentrated</w:t>
            </w:r>
          </w:p>
        </w:tc>
        <w:tc>
          <w:tcPr>
            <w:tcW w:type="dxa" w:w="1872"/>
          </w:tcPr>
          <w:p>
            <w:r>
              <w:t xml:space="preserve">NV-NIL</w:t>
            </w:r>
          </w:p>
        </w:tc>
        <w:tc>
          <w:tcPr>
            <w:tcW w:type="dxa" w:w="1872"/>
          </w:tcPr>
          <w:p>
            <w:r>
              <w:t xml:space="preserve">NV-NIL (pending A2A.6 nil-return)</w:t>
            </w:r>
          </w:p>
        </w:tc>
      </w:tr>
      <w:tr>
        <w:tc>
          <w:tcPr>
            <w:tcW w:type="dxa" w:w="1872"/>
          </w:tcPr>
          <w:p>
            <w:r>
              <w:t xml:space="preserve">MX-2A-012</w:t>
            </w:r>
          </w:p>
        </w:tc>
        <w:tc>
          <w:tcPr>
            <w:tcW w:type="dxa" w:w="1872"/>
          </w:tcPr>
          <w:p>
            <w:r>
              <w:t xml:space="preserve">0402.10</w:t>
            </w:r>
          </w:p>
        </w:tc>
        <w:tc>
          <w:tcPr>
            <w:tcW w:type="dxa" w:w="1872"/>
          </w:tcPr>
          <w:p>
            <w:r>
              <w:t xml:space="preserve">Milk powder, fat &lt;=1.5%</w:t>
            </w:r>
          </w:p>
        </w:tc>
        <w:tc>
          <w:tcPr>
            <w:tcW w:type="dxa" w:w="1872"/>
          </w:tcPr>
          <w:p>
            <w:r>
              <w:t xml:space="preserve">NV-NIL</w:t>
            </w:r>
          </w:p>
        </w:tc>
        <w:tc>
          <w:tcPr>
            <w:tcW w:type="dxa" w:w="1872"/>
          </w:tcPr>
          <w:p>
            <w:r>
              <w:t xml:space="preserve">NV-NIL (pending A2A.6 nil-return)</w:t>
            </w:r>
          </w:p>
        </w:tc>
      </w:tr>
      <w:tr>
        <w:tc>
          <w:tcPr>
            <w:tcW w:type="dxa" w:w="1872"/>
          </w:tcPr>
          <w:p>
            <w:r>
              <w:t xml:space="preserve">MX-2A-013</w:t>
            </w:r>
          </w:p>
        </w:tc>
        <w:tc>
          <w:tcPr>
            <w:tcW w:type="dxa" w:w="1872"/>
          </w:tcPr>
          <w:p>
            <w:r>
              <w:t xml:space="preserve">0402.21</w:t>
            </w:r>
          </w:p>
        </w:tc>
        <w:tc>
          <w:tcPr>
            <w:tcW w:type="dxa" w:w="1872"/>
          </w:tcPr>
          <w:p>
            <w:r>
              <w:t xml:space="preserve">Milk powder, fat &gt;1.5%, unsweetened</w:t>
            </w:r>
          </w:p>
        </w:tc>
        <w:tc>
          <w:tcPr>
            <w:tcW w:type="dxa" w:w="1872"/>
          </w:tcPr>
          <w:p>
            <w:r>
              <w:t xml:space="preserve">NV-NIL</w:t>
            </w:r>
          </w:p>
        </w:tc>
        <w:tc>
          <w:tcPr>
            <w:tcW w:type="dxa" w:w="1872"/>
          </w:tcPr>
          <w:p>
            <w:r>
              <w:t xml:space="preserve">NV-NIL (pending A2A.6 nil-return)</w:t>
            </w:r>
          </w:p>
        </w:tc>
      </w:tr>
      <w:tr>
        <w:tc>
          <w:tcPr>
            <w:tcW w:type="dxa" w:w="1872"/>
          </w:tcPr>
          <w:p>
            <w:r>
              <w:t xml:space="preserve">MX-2A-014</w:t>
            </w:r>
          </w:p>
        </w:tc>
        <w:tc>
          <w:tcPr>
            <w:tcW w:type="dxa" w:w="1872"/>
          </w:tcPr>
          <w:p>
            <w:r>
              <w:t xml:space="preserve">0402.29</w:t>
            </w:r>
          </w:p>
        </w:tc>
        <w:tc>
          <w:tcPr>
            <w:tcW w:type="dxa" w:w="1872"/>
          </w:tcPr>
          <w:p>
            <w:r>
              <w:t xml:space="preserve">Milk powder, sweetened, other</w:t>
            </w:r>
          </w:p>
        </w:tc>
        <w:tc>
          <w:tcPr>
            <w:tcW w:type="dxa" w:w="1872"/>
          </w:tcPr>
          <w:p>
            <w:r>
              <w:t xml:space="preserve">NV-NIL</w:t>
            </w:r>
          </w:p>
        </w:tc>
        <w:tc>
          <w:tcPr>
            <w:tcW w:type="dxa" w:w="1872"/>
          </w:tcPr>
          <w:p>
            <w:r>
              <w:t xml:space="preserve">NV-NIL (pending A2A.6 nil-return)</w:t>
            </w:r>
          </w:p>
        </w:tc>
      </w:tr>
      <w:tr>
        <w:tc>
          <w:tcPr>
            <w:tcW w:type="dxa" w:w="1872"/>
          </w:tcPr>
          <w:p>
            <w:r>
              <w:t xml:space="preserve">MX-2A-015</w:t>
            </w:r>
          </w:p>
        </w:tc>
        <w:tc>
          <w:tcPr>
            <w:tcW w:type="dxa" w:w="1872"/>
          </w:tcPr>
          <w:p>
            <w:r>
              <w:t xml:space="preserve">0403.10</w:t>
            </w:r>
          </w:p>
        </w:tc>
        <w:tc>
          <w:tcPr>
            <w:tcW w:type="dxa" w:w="1872"/>
          </w:tcPr>
          <w:p>
            <w:r>
              <w:t xml:space="preserve">Yogurt</w:t>
            </w:r>
          </w:p>
        </w:tc>
        <w:tc>
          <w:tcPr>
            <w:tcW w:type="dxa" w:w="1872"/>
          </w:tcPr>
          <w:p>
            <w:r>
              <w:t xml:space="preserve">NV-NIL</w:t>
            </w:r>
          </w:p>
        </w:tc>
        <w:tc>
          <w:tcPr>
            <w:tcW w:type="dxa" w:w="1872"/>
          </w:tcPr>
          <w:p>
            <w:r>
              <w:t xml:space="preserve">NV-NIL (pending A2A.6 nil-return)</w:t>
            </w:r>
          </w:p>
        </w:tc>
      </w:tr>
      <w:tr>
        <w:tc>
          <w:tcPr>
            <w:tcW w:type="dxa" w:w="1872"/>
          </w:tcPr>
          <w:p>
            <w:r>
              <w:t xml:space="preserve">MX-2A-016</w:t>
            </w:r>
          </w:p>
        </w:tc>
        <w:tc>
          <w:tcPr>
            <w:tcW w:type="dxa" w:w="1872"/>
          </w:tcPr>
          <w:p>
            <w:r>
              <w:t xml:space="preserve">0403.90</w:t>
            </w:r>
          </w:p>
        </w:tc>
        <w:tc>
          <w:tcPr>
            <w:tcW w:type="dxa" w:w="1872"/>
          </w:tcPr>
          <w:p>
            <w:r>
              <w:t xml:space="preserve">Buttermilk and curdled milk, other</w:t>
            </w:r>
          </w:p>
        </w:tc>
        <w:tc>
          <w:tcPr>
            <w:tcW w:type="dxa" w:w="1872"/>
          </w:tcPr>
          <w:p>
            <w:r>
              <w:t xml:space="preserve">NV-NIL</w:t>
            </w:r>
          </w:p>
        </w:tc>
        <w:tc>
          <w:tcPr>
            <w:tcW w:type="dxa" w:w="1872"/>
          </w:tcPr>
          <w:p>
            <w:r>
              <w:t xml:space="preserve">NV-NIL (pending A2A.6 nil-return)</w:t>
            </w:r>
          </w:p>
        </w:tc>
      </w:tr>
      <w:tr>
        <w:tc>
          <w:tcPr>
            <w:tcW w:type="dxa" w:w="1872"/>
          </w:tcPr>
          <w:p>
            <w:r>
              <w:t xml:space="preserve">MX-2A-017</w:t>
            </w:r>
          </w:p>
        </w:tc>
        <w:tc>
          <w:tcPr>
            <w:tcW w:type="dxa" w:w="1872"/>
          </w:tcPr>
          <w:p>
            <w:r>
              <w:t xml:space="preserve">0405.10</w:t>
            </w:r>
          </w:p>
        </w:tc>
        <w:tc>
          <w:tcPr>
            <w:tcW w:type="dxa" w:w="1872"/>
          </w:tcPr>
          <w:p>
            <w:r>
              <w:t xml:space="preserve">Butter</w:t>
            </w:r>
          </w:p>
        </w:tc>
        <w:tc>
          <w:tcPr>
            <w:tcW w:type="dxa" w:w="1872"/>
          </w:tcPr>
          <w:p>
            <w:r>
              <w:t xml:space="preserve">NV-NIL</w:t>
            </w:r>
          </w:p>
        </w:tc>
        <w:tc>
          <w:tcPr>
            <w:tcW w:type="dxa" w:w="1872"/>
          </w:tcPr>
          <w:p>
            <w:r>
              <w:t xml:space="preserve">NV-NIL (pending A2A.6 nil-return)</w:t>
            </w:r>
          </w:p>
        </w:tc>
      </w:tr>
      <w:tr>
        <w:tc>
          <w:tcPr>
            <w:tcW w:type="dxa" w:w="1872"/>
          </w:tcPr>
          <w:p>
            <w:r>
              <w:t xml:space="preserve">MX-2A-018</w:t>
            </w:r>
          </w:p>
        </w:tc>
        <w:tc>
          <w:tcPr>
            <w:tcW w:type="dxa" w:w="1872"/>
          </w:tcPr>
          <w:p>
            <w:r>
              <w:t xml:space="preserve">0405.20</w:t>
            </w:r>
          </w:p>
        </w:tc>
        <w:tc>
          <w:tcPr>
            <w:tcW w:type="dxa" w:w="1872"/>
          </w:tcPr>
          <w:p>
            <w:r>
              <w:t xml:space="preserve">Dairy spreads</w:t>
            </w:r>
          </w:p>
        </w:tc>
        <w:tc>
          <w:tcPr>
            <w:tcW w:type="dxa" w:w="1872"/>
          </w:tcPr>
          <w:p>
            <w:r>
              <w:t xml:space="preserve">NV-NIL</w:t>
            </w:r>
          </w:p>
        </w:tc>
        <w:tc>
          <w:tcPr>
            <w:tcW w:type="dxa" w:w="1872"/>
          </w:tcPr>
          <w:p>
            <w:r>
              <w:t xml:space="preserve">NV-NIL (pending A2A.6 nil-return)</w:t>
            </w:r>
          </w:p>
        </w:tc>
      </w:tr>
      <w:tr>
        <w:tc>
          <w:tcPr>
            <w:tcW w:type="dxa" w:w="1872"/>
          </w:tcPr>
          <w:p>
            <w:r>
              <w:t xml:space="preserve">MX-2A-019</w:t>
            </w:r>
          </w:p>
        </w:tc>
        <w:tc>
          <w:tcPr>
            <w:tcW w:type="dxa" w:w="1872"/>
          </w:tcPr>
          <w:p>
            <w:r>
              <w:t xml:space="preserve">0406.10</w:t>
            </w:r>
          </w:p>
        </w:tc>
        <w:tc>
          <w:tcPr>
            <w:tcW w:type="dxa" w:w="1872"/>
          </w:tcPr>
          <w:p>
            <w:r>
              <w:t xml:space="preserve">Fresh cheese and curd</w:t>
            </w:r>
          </w:p>
        </w:tc>
        <w:tc>
          <w:tcPr>
            <w:tcW w:type="dxa" w:w="1872"/>
          </w:tcPr>
          <w:p>
            <w:r>
              <w:t xml:space="preserve">NV-NIL</w:t>
            </w:r>
          </w:p>
        </w:tc>
        <w:tc>
          <w:tcPr>
            <w:tcW w:type="dxa" w:w="1872"/>
          </w:tcPr>
          <w:p>
            <w:r>
              <w:t xml:space="preserve">NV-NIL (pending A2A.6 nil-return)</w:t>
            </w:r>
          </w:p>
        </w:tc>
      </w:tr>
      <w:tr>
        <w:tc>
          <w:tcPr>
            <w:tcW w:type="dxa" w:w="1872"/>
          </w:tcPr>
          <w:p>
            <w:r>
              <w:t xml:space="preserve">MX-2A-020</w:t>
            </w:r>
          </w:p>
        </w:tc>
        <w:tc>
          <w:tcPr>
            <w:tcW w:type="dxa" w:w="1872"/>
          </w:tcPr>
          <w:p>
            <w:r>
              <w:t xml:space="preserve">0703.10</w:t>
            </w:r>
          </w:p>
        </w:tc>
        <w:tc>
          <w:tcPr>
            <w:tcW w:type="dxa" w:w="1872"/>
          </w:tcPr>
          <w:p>
            <w:r>
              <w:t xml:space="preserve">Onions and shallots, fresh or chilled</w:t>
            </w:r>
          </w:p>
        </w:tc>
        <w:tc>
          <w:tcPr>
            <w:tcW w:type="dxa" w:w="1872"/>
          </w:tcPr>
          <w:p>
            <w:r>
              <w:t xml:space="preserve">NV-NIL</w:t>
            </w:r>
          </w:p>
        </w:tc>
        <w:tc>
          <w:tcPr>
            <w:tcW w:type="dxa" w:w="1872"/>
          </w:tcPr>
          <w:p>
            <w:r>
              <w:t xml:space="preserve">NV-NIL (pending A2A.6 nil-return)</w:t>
            </w:r>
          </w:p>
        </w:tc>
      </w:tr>
      <w:tr>
        <w:tc>
          <w:tcPr>
            <w:tcW w:type="dxa" w:w="1872"/>
          </w:tcPr>
          <w:p>
            <w:r>
              <w:t xml:space="preserve">MX-2A-021</w:t>
            </w:r>
          </w:p>
        </w:tc>
        <w:tc>
          <w:tcPr>
            <w:tcW w:type="dxa" w:w="1872"/>
          </w:tcPr>
          <w:p>
            <w:r>
              <w:t xml:space="preserve">0703.20</w:t>
            </w:r>
          </w:p>
        </w:tc>
        <w:tc>
          <w:tcPr>
            <w:tcW w:type="dxa" w:w="1872"/>
          </w:tcPr>
          <w:p>
            <w:r>
              <w:t xml:space="preserve">Garlic, fresh or chilled</w:t>
            </w:r>
          </w:p>
        </w:tc>
        <w:tc>
          <w:tcPr>
            <w:tcW w:type="dxa" w:w="1872"/>
          </w:tcPr>
          <w:p>
            <w:r>
              <w:t xml:space="preserve">NV-NIL</w:t>
            </w:r>
          </w:p>
        </w:tc>
        <w:tc>
          <w:tcPr>
            <w:tcW w:type="dxa" w:w="1872"/>
          </w:tcPr>
          <w:p>
            <w:r>
              <w:t xml:space="preserve">NV-NIL (pending A2A.6 nil-return)</w:t>
            </w:r>
          </w:p>
        </w:tc>
      </w:tr>
      <w:tr>
        <w:tc>
          <w:tcPr>
            <w:tcW w:type="dxa" w:w="1872"/>
          </w:tcPr>
          <w:p>
            <w:r>
              <w:t xml:space="preserve">MX-2A-022</w:t>
            </w:r>
          </w:p>
        </w:tc>
        <w:tc>
          <w:tcPr>
            <w:tcW w:type="dxa" w:w="1872"/>
          </w:tcPr>
          <w:p>
            <w:r>
              <w:t xml:space="preserve">0704.10</w:t>
            </w:r>
          </w:p>
        </w:tc>
        <w:tc>
          <w:tcPr>
            <w:tcW w:type="dxa" w:w="1872"/>
          </w:tcPr>
          <w:p>
            <w:r>
              <w:t xml:space="preserve">Cauliflower and broccoli, fresh or chilled</w:t>
            </w:r>
          </w:p>
        </w:tc>
        <w:tc>
          <w:tcPr>
            <w:tcW w:type="dxa" w:w="1872"/>
          </w:tcPr>
          <w:p>
            <w:r>
              <w:t xml:space="preserve">NV-NIL</w:t>
            </w:r>
          </w:p>
        </w:tc>
        <w:tc>
          <w:tcPr>
            <w:tcW w:type="dxa" w:w="1872"/>
          </w:tcPr>
          <w:p>
            <w:r>
              <w:t xml:space="preserve">NV-NIL (pending A2A.6 nil-return)</w:t>
            </w:r>
          </w:p>
        </w:tc>
      </w:tr>
      <w:tr>
        <w:tc>
          <w:tcPr>
            <w:tcW w:type="dxa" w:w="1872"/>
          </w:tcPr>
          <w:p>
            <w:r>
              <w:t xml:space="preserve">MX-2A-023</w:t>
            </w:r>
          </w:p>
        </w:tc>
        <w:tc>
          <w:tcPr>
            <w:tcW w:type="dxa" w:w="1872"/>
          </w:tcPr>
          <w:p>
            <w:r>
              <w:t xml:space="preserve">0706.10</w:t>
            </w:r>
          </w:p>
        </w:tc>
        <w:tc>
          <w:tcPr>
            <w:tcW w:type="dxa" w:w="1872"/>
          </w:tcPr>
          <w:p>
            <w:r>
              <w:t xml:space="preserve">Carrots and turnips, fresh or chilled</w:t>
            </w:r>
          </w:p>
        </w:tc>
        <w:tc>
          <w:tcPr>
            <w:tcW w:type="dxa" w:w="1872"/>
          </w:tcPr>
          <w:p>
            <w:r>
              <w:t xml:space="preserve">NV-NIL</w:t>
            </w:r>
          </w:p>
        </w:tc>
        <w:tc>
          <w:tcPr>
            <w:tcW w:type="dxa" w:w="1872"/>
          </w:tcPr>
          <w:p>
            <w:r>
              <w:t xml:space="preserve">NV-NIL (pending A2A.6 nil-return)</w:t>
            </w:r>
          </w:p>
        </w:tc>
      </w:tr>
      <w:tr>
        <w:tc>
          <w:tcPr>
            <w:tcW w:type="dxa" w:w="1872"/>
          </w:tcPr>
          <w:p>
            <w:r>
              <w:t xml:space="preserve">MX-2A-024</w:t>
            </w:r>
          </w:p>
        </w:tc>
        <w:tc>
          <w:tcPr>
            <w:tcW w:type="dxa" w:w="1872"/>
          </w:tcPr>
          <w:p>
            <w:r>
              <w:t xml:space="preserve">0709.60</w:t>
            </w:r>
          </w:p>
        </w:tc>
        <w:tc>
          <w:tcPr>
            <w:tcW w:type="dxa" w:w="1872"/>
          </w:tcPr>
          <w:p>
            <w:r>
              <w:t xml:space="preserve">Peppers, fresh or chilled</w:t>
            </w:r>
          </w:p>
        </w:tc>
        <w:tc>
          <w:tcPr>
            <w:tcW w:type="dxa" w:w="1872"/>
          </w:tcPr>
          <w:p>
            <w:r>
              <w:t xml:space="preserve">NV-NIL</w:t>
            </w:r>
          </w:p>
        </w:tc>
        <w:tc>
          <w:tcPr>
            <w:tcW w:type="dxa" w:w="1872"/>
          </w:tcPr>
          <w:p>
            <w:r>
              <w:t xml:space="preserve">NV-NIL (pending A2A.6 nil-return)</w:t>
            </w:r>
          </w:p>
        </w:tc>
      </w:tr>
      <w:tr>
        <w:tc>
          <w:tcPr>
            <w:tcW w:type="dxa" w:w="1872"/>
          </w:tcPr>
          <w:p>
            <w:r>
              <w:t xml:space="preserve">MX-2A-025</w:t>
            </w:r>
          </w:p>
        </w:tc>
        <w:tc>
          <w:tcPr>
            <w:tcW w:type="dxa" w:w="1872"/>
          </w:tcPr>
          <w:p>
            <w:r>
              <w:t xml:space="preserve">0710.80</w:t>
            </w:r>
          </w:p>
        </w:tc>
        <w:tc>
          <w:tcPr>
            <w:tcW w:type="dxa" w:w="1872"/>
          </w:tcPr>
          <w:p>
            <w:r>
              <w:t xml:space="preserve">Vegetables, frozen, other</w:t>
            </w:r>
          </w:p>
        </w:tc>
        <w:tc>
          <w:tcPr>
            <w:tcW w:type="dxa" w:w="1872"/>
          </w:tcPr>
          <w:p>
            <w:r>
              <w:t xml:space="preserve">NV-NIL</w:t>
            </w:r>
          </w:p>
        </w:tc>
        <w:tc>
          <w:tcPr>
            <w:tcW w:type="dxa" w:w="1872"/>
          </w:tcPr>
          <w:p>
            <w:r>
              <w:t xml:space="preserve">NV-NIL (pending A2A.6 nil-return)</w:t>
            </w:r>
          </w:p>
        </w:tc>
      </w:tr>
      <w:tr>
        <w:tc>
          <w:tcPr>
            <w:tcW w:type="dxa" w:w="1872"/>
          </w:tcPr>
          <w:p>
            <w:r>
              <w:t xml:space="preserve">MX-2A-026</w:t>
            </w:r>
          </w:p>
        </w:tc>
        <w:tc>
          <w:tcPr>
            <w:tcW w:type="dxa" w:w="1872"/>
          </w:tcPr>
          <w:p>
            <w:r>
              <w:t xml:space="preserve">0713.31</w:t>
            </w:r>
          </w:p>
        </w:tc>
        <w:tc>
          <w:tcPr>
            <w:tcW w:type="dxa" w:w="1872"/>
          </w:tcPr>
          <w:p>
            <w:r>
              <w:t xml:space="preserve">Beans, mung, dried shelled</w:t>
            </w:r>
          </w:p>
        </w:tc>
        <w:tc>
          <w:tcPr>
            <w:tcW w:type="dxa" w:w="1872"/>
          </w:tcPr>
          <w:p>
            <w:r>
              <w:t xml:space="preserve">NV-NIL</w:t>
            </w:r>
          </w:p>
        </w:tc>
        <w:tc>
          <w:tcPr>
            <w:tcW w:type="dxa" w:w="1872"/>
          </w:tcPr>
          <w:p>
            <w:r>
              <w:t xml:space="preserve">NV-NIL (pending A2A.6 nil-return)</w:t>
            </w:r>
          </w:p>
        </w:tc>
      </w:tr>
      <w:tr>
        <w:tc>
          <w:tcPr>
            <w:tcW w:type="dxa" w:w="1872"/>
          </w:tcPr>
          <w:p>
            <w:r>
              <w:t xml:space="preserve">MX-2A-027</w:t>
            </w:r>
          </w:p>
        </w:tc>
        <w:tc>
          <w:tcPr>
            <w:tcW w:type="dxa" w:w="1872"/>
          </w:tcPr>
          <w:p>
            <w:r>
              <w:t xml:space="preserve">2701.11</w:t>
            </w:r>
          </w:p>
        </w:tc>
        <w:tc>
          <w:tcPr>
            <w:tcW w:type="dxa" w:w="1872"/>
          </w:tcPr>
          <w:p>
            <w:r>
              <w:t xml:space="preserve">Anthracite, not agglomerated</w:t>
            </w:r>
          </w:p>
        </w:tc>
        <w:tc>
          <w:tcPr>
            <w:tcW w:type="dxa" w:w="1872"/>
          </w:tcPr>
          <w:p>
            <w:r>
              <w:t xml:space="preserve">NV-NIL</w:t>
            </w:r>
          </w:p>
        </w:tc>
        <w:tc>
          <w:tcPr>
            <w:tcW w:type="dxa" w:w="1872"/>
          </w:tcPr>
          <w:p>
            <w:r>
              <w:t xml:space="preserve">NV-NIL (pending A2A.6 nil-return)</w:t>
            </w:r>
          </w:p>
        </w:tc>
      </w:tr>
      <w:tr>
        <w:tc>
          <w:tcPr>
            <w:tcW w:type="dxa" w:w="1872"/>
          </w:tcPr>
          <w:p>
            <w:r>
              <w:t xml:space="preserve">MX-2A-028</w:t>
            </w:r>
          </w:p>
        </w:tc>
        <w:tc>
          <w:tcPr>
            <w:tcW w:type="dxa" w:w="1872"/>
          </w:tcPr>
          <w:p>
            <w:r>
              <w:t xml:space="preserve">2701.12</w:t>
            </w:r>
          </w:p>
        </w:tc>
        <w:tc>
          <w:tcPr>
            <w:tcW w:type="dxa" w:w="1872"/>
          </w:tcPr>
          <w:p>
            <w:r>
              <w:t xml:space="preserve">Bituminous coal, not agglomerated</w:t>
            </w:r>
          </w:p>
        </w:tc>
        <w:tc>
          <w:tcPr>
            <w:tcW w:type="dxa" w:w="1872"/>
          </w:tcPr>
          <w:p>
            <w:r>
              <w:t xml:space="preserve">NV-NIL</w:t>
            </w:r>
          </w:p>
        </w:tc>
        <w:tc>
          <w:tcPr>
            <w:tcW w:type="dxa" w:w="1872"/>
          </w:tcPr>
          <w:p>
            <w:r>
              <w:t xml:space="preserve">NV-NIL (pending A2A.6 nil-return)</w:t>
            </w:r>
          </w:p>
        </w:tc>
      </w:tr>
      <w:tr>
        <w:tc>
          <w:tcPr>
            <w:tcW w:type="dxa" w:w="1872"/>
          </w:tcPr>
          <w:p>
            <w:r>
              <w:t xml:space="preserve">MX-2A-029</w:t>
            </w:r>
          </w:p>
        </w:tc>
        <w:tc>
          <w:tcPr>
            <w:tcW w:type="dxa" w:w="1872"/>
          </w:tcPr>
          <w:p>
            <w:r>
              <w:t xml:space="preserve">2707.10</w:t>
            </w:r>
          </w:p>
        </w:tc>
        <w:tc>
          <w:tcPr>
            <w:tcW w:type="dxa" w:w="1872"/>
          </w:tcPr>
          <w:p>
            <w:r>
              <w:t xml:space="preserve">Benzene</w:t>
            </w:r>
          </w:p>
        </w:tc>
        <w:tc>
          <w:tcPr>
            <w:tcW w:type="dxa" w:w="1872"/>
          </w:tcPr>
          <w:p>
            <w:r>
              <w:t xml:space="preserve">NV-NIL</w:t>
            </w:r>
          </w:p>
        </w:tc>
        <w:tc>
          <w:tcPr>
            <w:tcW w:type="dxa" w:w="1872"/>
          </w:tcPr>
          <w:p>
            <w:r>
              <w:t xml:space="preserve">NV-NIL (pending A2A.6 nil-return)</w:t>
            </w:r>
          </w:p>
        </w:tc>
      </w:tr>
      <w:tr>
        <w:tc>
          <w:tcPr>
            <w:tcW w:type="dxa" w:w="1872"/>
          </w:tcPr>
          <w:p>
            <w:r>
              <w:t xml:space="preserve">MX-2A-030</w:t>
            </w:r>
          </w:p>
        </w:tc>
        <w:tc>
          <w:tcPr>
            <w:tcW w:type="dxa" w:w="1872"/>
          </w:tcPr>
          <w:p>
            <w:r>
              <w:t xml:space="preserve">2709.00</w:t>
            </w:r>
          </w:p>
        </w:tc>
        <w:tc>
          <w:tcPr>
            <w:tcW w:type="dxa" w:w="1872"/>
          </w:tcPr>
          <w:p>
            <w:r>
              <w:t xml:space="preserve">Crude petroleum oils</w:t>
            </w:r>
          </w:p>
        </w:tc>
        <w:tc>
          <w:tcPr>
            <w:tcW w:type="dxa" w:w="1872"/>
          </w:tcPr>
          <w:p>
            <w:r>
              <w:t xml:space="preserve">NV-NIL</w:t>
            </w:r>
          </w:p>
        </w:tc>
        <w:tc>
          <w:tcPr>
            <w:tcW w:type="dxa" w:w="1872"/>
          </w:tcPr>
          <w:p>
            <w:r>
              <w:t xml:space="preserve">NV-NIL (pending A2A.6 nil-return)</w:t>
            </w:r>
          </w:p>
        </w:tc>
      </w:tr>
      <w:tr>
        <w:tc>
          <w:tcPr>
            <w:tcW w:type="dxa" w:w="1872"/>
          </w:tcPr>
          <w:p>
            <w:r>
              <w:t xml:space="preserve">MX-2A-031</w:t>
            </w:r>
          </w:p>
        </w:tc>
        <w:tc>
          <w:tcPr>
            <w:tcW w:type="dxa" w:w="1872"/>
          </w:tcPr>
          <w:p>
            <w:r>
              <w:t xml:space="preserve">2710.12</w:t>
            </w:r>
          </w:p>
        </w:tc>
        <w:tc>
          <w:tcPr>
            <w:tcW w:type="dxa" w:w="1872"/>
          </w:tcPr>
          <w:p>
            <w:r>
              <w:t xml:space="preserve">Light petroleum oils</w:t>
            </w:r>
          </w:p>
        </w:tc>
        <w:tc>
          <w:tcPr>
            <w:tcW w:type="dxa" w:w="1872"/>
          </w:tcPr>
          <w:p>
            <w:r>
              <w:t xml:space="preserve">NV-NIL</w:t>
            </w:r>
          </w:p>
        </w:tc>
        <w:tc>
          <w:tcPr>
            <w:tcW w:type="dxa" w:w="1872"/>
          </w:tcPr>
          <w:p>
            <w:r>
              <w:t xml:space="preserve">NV-NIL (pending A2A.6 nil-return)</w:t>
            </w:r>
          </w:p>
        </w:tc>
      </w:tr>
      <w:tr>
        <w:tc>
          <w:tcPr>
            <w:tcW w:type="dxa" w:w="1872"/>
          </w:tcPr>
          <w:p>
            <w:r>
              <w:t xml:space="preserve">MX-2A-032</w:t>
            </w:r>
          </w:p>
        </w:tc>
        <w:tc>
          <w:tcPr>
            <w:tcW w:type="dxa" w:w="1872"/>
          </w:tcPr>
          <w:p>
            <w:r>
              <w:t xml:space="preserve">2711.11</w:t>
            </w:r>
          </w:p>
        </w:tc>
        <w:tc>
          <w:tcPr>
            <w:tcW w:type="dxa" w:w="1872"/>
          </w:tcPr>
          <w:p>
            <w:r>
              <w:t xml:space="preserve">Natural gas, liquefied</w:t>
            </w:r>
          </w:p>
        </w:tc>
        <w:tc>
          <w:tcPr>
            <w:tcW w:type="dxa" w:w="1872"/>
          </w:tcPr>
          <w:p>
            <w:r>
              <w:t xml:space="preserve">NV-NIL</w:t>
            </w:r>
          </w:p>
        </w:tc>
        <w:tc>
          <w:tcPr>
            <w:tcW w:type="dxa" w:w="1872"/>
          </w:tcPr>
          <w:p>
            <w:r>
              <w:t xml:space="preserve">NV-NIL (pending A2A.6 nil-return)</w:t>
            </w:r>
          </w:p>
        </w:tc>
      </w:tr>
      <w:tr>
        <w:tc>
          <w:tcPr>
            <w:tcW w:type="dxa" w:w="1872"/>
          </w:tcPr>
          <w:p>
            <w:r>
              <w:t xml:space="preserve">MX-2A-033</w:t>
            </w:r>
          </w:p>
        </w:tc>
        <w:tc>
          <w:tcPr>
            <w:tcW w:type="dxa" w:w="1872"/>
          </w:tcPr>
          <w:p>
            <w:r>
              <w:t xml:space="preserve">2711.13</w:t>
            </w:r>
          </w:p>
        </w:tc>
        <w:tc>
          <w:tcPr>
            <w:tcW w:type="dxa" w:w="1872"/>
          </w:tcPr>
          <w:p>
            <w:r>
              <w:t xml:space="preserve">Butanes, liquefied</w:t>
            </w:r>
          </w:p>
        </w:tc>
        <w:tc>
          <w:tcPr>
            <w:tcW w:type="dxa" w:w="1872"/>
          </w:tcPr>
          <w:p>
            <w:r>
              <w:t xml:space="preserve">NV-NIL</w:t>
            </w:r>
          </w:p>
        </w:tc>
        <w:tc>
          <w:tcPr>
            <w:tcW w:type="dxa" w:w="1872"/>
          </w:tcPr>
          <w:p>
            <w:r>
              <w:t xml:space="preserve">NV-NIL (pending A2A.6 nil-return)</w:t>
            </w:r>
          </w:p>
        </w:tc>
      </w:tr>
      <w:tr>
        <w:tc>
          <w:tcPr>
            <w:tcW w:type="dxa" w:w="1872"/>
          </w:tcPr>
          <w:p>
            <w:r>
              <w:t xml:space="preserve">MX-2A-034</w:t>
            </w:r>
          </w:p>
        </w:tc>
        <w:tc>
          <w:tcPr>
            <w:tcW w:type="dxa" w:w="1872"/>
          </w:tcPr>
          <w:p>
            <w:r>
              <w:t xml:space="preserve">2711.21</w:t>
            </w:r>
          </w:p>
        </w:tc>
        <w:tc>
          <w:tcPr>
            <w:tcW w:type="dxa" w:w="1872"/>
          </w:tcPr>
          <w:p>
            <w:r>
              <w:t xml:space="preserve">Natural gas, gaseous</w:t>
            </w:r>
          </w:p>
        </w:tc>
        <w:tc>
          <w:tcPr>
            <w:tcW w:type="dxa" w:w="1872"/>
          </w:tcPr>
          <w:p>
            <w:r>
              <w:t xml:space="preserve">NV-NIL</w:t>
            </w:r>
          </w:p>
        </w:tc>
        <w:tc>
          <w:tcPr>
            <w:tcW w:type="dxa" w:w="1872"/>
          </w:tcPr>
          <w:p>
            <w:r>
              <w:t xml:space="preserve">NV-NIL (pending A2A.6 nil-return)</w:t>
            </w:r>
          </w:p>
        </w:tc>
      </w:tr>
      <w:tr>
        <w:tc>
          <w:tcPr>
            <w:tcW w:type="dxa" w:w="1872"/>
          </w:tcPr>
          <w:p>
            <w:r>
              <w:t xml:space="preserve">MX-2A-035</w:t>
            </w:r>
          </w:p>
        </w:tc>
        <w:tc>
          <w:tcPr>
            <w:tcW w:type="dxa" w:w="1872"/>
          </w:tcPr>
          <w:p>
            <w:r>
              <w:t xml:space="preserve">0713.33</w:t>
            </w:r>
          </w:p>
        </w:tc>
        <w:tc>
          <w:tcPr>
            <w:tcW w:type="dxa" w:w="1872"/>
          </w:tcPr>
          <w:p>
            <w:r>
              <w:t xml:space="preserve">Beans, kidney, dried shelled</w:t>
            </w:r>
          </w:p>
        </w:tc>
        <w:tc>
          <w:tcPr>
            <w:tcW w:type="dxa" w:w="1872"/>
          </w:tcPr>
          <w:p>
            <w:r>
              <w:t xml:space="preserve">NV-NIL</w:t>
            </w:r>
          </w:p>
        </w:tc>
        <w:tc>
          <w:tcPr>
            <w:tcW w:type="dxa" w:w="1872"/>
          </w:tcPr>
          <w:p>
            <w:r>
              <w:t xml:space="preserve">NV-NIL (pending A2A.6 nil-return)</w:t>
            </w:r>
          </w:p>
        </w:tc>
      </w:tr>
      <w:tr>
        <w:tc>
          <w:tcPr>
            <w:tcW w:type="dxa" w:w="1872"/>
          </w:tcPr>
          <w:p>
            <w:r>
              <w:t xml:space="preserve">MX-2A-036</w:t>
            </w:r>
          </w:p>
        </w:tc>
        <w:tc>
          <w:tcPr>
            <w:tcW w:type="dxa" w:w="1872"/>
          </w:tcPr>
          <w:p>
            <w:r>
              <w:t xml:space="preserve">0804.10</w:t>
            </w:r>
          </w:p>
        </w:tc>
        <w:tc>
          <w:tcPr>
            <w:tcW w:type="dxa" w:w="1872"/>
          </w:tcPr>
          <w:p>
            <w:r>
              <w:t xml:space="preserve">Dates, fresh or dried</w:t>
            </w:r>
          </w:p>
        </w:tc>
        <w:tc>
          <w:tcPr>
            <w:tcW w:type="dxa" w:w="1872"/>
          </w:tcPr>
          <w:p>
            <w:r>
              <w:t xml:space="preserve">NV-NIL</w:t>
            </w:r>
          </w:p>
        </w:tc>
        <w:tc>
          <w:tcPr>
            <w:tcW w:type="dxa" w:w="1872"/>
          </w:tcPr>
          <w:p>
            <w:r>
              <w:t xml:space="preserve">NV-NIL (pending A2A.6 nil-return)</w:t>
            </w:r>
          </w:p>
        </w:tc>
      </w:tr>
      <w:tr>
        <w:tc>
          <w:tcPr>
            <w:tcW w:type="dxa" w:w="1872"/>
          </w:tcPr>
          <w:p>
            <w:r>
              <w:t xml:space="preserve">MX-2A-037</w:t>
            </w:r>
          </w:p>
        </w:tc>
        <w:tc>
          <w:tcPr>
            <w:tcW w:type="dxa" w:w="1872"/>
          </w:tcPr>
          <w:p>
            <w:r>
              <w:t xml:space="preserve">0805.10</w:t>
            </w:r>
          </w:p>
        </w:tc>
        <w:tc>
          <w:tcPr>
            <w:tcW w:type="dxa" w:w="1872"/>
          </w:tcPr>
          <w:p>
            <w:r>
              <w:t xml:space="preserve">Oranges, fresh or dried</w:t>
            </w:r>
          </w:p>
        </w:tc>
        <w:tc>
          <w:tcPr>
            <w:tcW w:type="dxa" w:w="1872"/>
          </w:tcPr>
          <w:p>
            <w:r>
              <w:t xml:space="preserve">NV-NIL</w:t>
            </w:r>
          </w:p>
        </w:tc>
        <w:tc>
          <w:tcPr>
            <w:tcW w:type="dxa" w:w="1872"/>
          </w:tcPr>
          <w:p>
            <w:r>
              <w:t xml:space="preserve">NV-NIL (pending A2A.6 nil-return)</w:t>
            </w:r>
          </w:p>
        </w:tc>
      </w:tr>
      <w:tr>
        <w:tc>
          <w:tcPr>
            <w:tcW w:type="dxa" w:w="1872"/>
          </w:tcPr>
          <w:p>
            <w:r>
              <w:t xml:space="preserve">MX-2A-038</w:t>
            </w:r>
          </w:p>
        </w:tc>
        <w:tc>
          <w:tcPr>
            <w:tcW w:type="dxa" w:w="1872"/>
          </w:tcPr>
          <w:p>
            <w:r>
              <w:t xml:space="preserve">0806.10</w:t>
            </w:r>
          </w:p>
        </w:tc>
        <w:tc>
          <w:tcPr>
            <w:tcW w:type="dxa" w:w="1872"/>
          </w:tcPr>
          <w:p>
            <w:r>
              <w:t xml:space="preserve">Grapes, fresh</w:t>
            </w:r>
          </w:p>
        </w:tc>
        <w:tc>
          <w:tcPr>
            <w:tcW w:type="dxa" w:w="1872"/>
          </w:tcPr>
          <w:p>
            <w:r>
              <w:t xml:space="preserve">NV-NIL</w:t>
            </w:r>
          </w:p>
        </w:tc>
        <w:tc>
          <w:tcPr>
            <w:tcW w:type="dxa" w:w="1872"/>
          </w:tcPr>
          <w:p>
            <w:r>
              <w:t xml:space="preserve">NV-NIL (pending A2A.6 nil-return)</w:t>
            </w:r>
          </w:p>
        </w:tc>
      </w:tr>
      <w:tr>
        <w:tc>
          <w:tcPr>
            <w:tcW w:type="dxa" w:w="1872"/>
          </w:tcPr>
          <w:p>
            <w:r>
              <w:t xml:space="preserve">MX-2A-039</w:t>
            </w:r>
          </w:p>
        </w:tc>
        <w:tc>
          <w:tcPr>
            <w:tcW w:type="dxa" w:w="1872"/>
          </w:tcPr>
          <w:p>
            <w:r>
              <w:t xml:space="preserve">0810.10</w:t>
            </w:r>
          </w:p>
        </w:tc>
        <w:tc>
          <w:tcPr>
            <w:tcW w:type="dxa" w:w="1872"/>
          </w:tcPr>
          <w:p>
            <w:r>
              <w:t xml:space="preserve">Strawberries, fresh</w:t>
            </w:r>
          </w:p>
        </w:tc>
        <w:tc>
          <w:tcPr>
            <w:tcW w:type="dxa" w:w="1872"/>
          </w:tcPr>
          <w:p>
            <w:r>
              <w:t xml:space="preserve">NV-NIL</w:t>
            </w:r>
          </w:p>
        </w:tc>
        <w:tc>
          <w:tcPr>
            <w:tcW w:type="dxa" w:w="1872"/>
          </w:tcPr>
          <w:p>
            <w:r>
              <w:t xml:space="preserve">NV-NIL (pending A2A.6 nil-return)</w:t>
            </w:r>
          </w:p>
        </w:tc>
      </w:tr>
      <w:tr>
        <w:tc>
          <w:tcPr>
            <w:tcW w:type="dxa" w:w="1872"/>
          </w:tcPr>
          <w:p>
            <w:r>
              <w:t xml:space="preserve">MX-2A-040</w:t>
            </w:r>
          </w:p>
        </w:tc>
        <w:tc>
          <w:tcPr>
            <w:tcW w:type="dxa" w:w="1872"/>
          </w:tcPr>
          <w:p>
            <w:r>
              <w:t xml:space="preserve">1001.99</w:t>
            </w:r>
          </w:p>
        </w:tc>
        <w:tc>
          <w:tcPr>
            <w:tcW w:type="dxa" w:w="1872"/>
          </w:tcPr>
          <w:p>
            <w:r>
              <w:t xml:space="preserve">Wheat, other</w:t>
            </w:r>
          </w:p>
        </w:tc>
        <w:tc>
          <w:tcPr>
            <w:tcW w:type="dxa" w:w="1872"/>
          </w:tcPr>
          <w:p>
            <w:r>
              <w:t xml:space="preserve">NV-NIL</w:t>
            </w:r>
          </w:p>
        </w:tc>
        <w:tc>
          <w:tcPr>
            <w:tcW w:type="dxa" w:w="1872"/>
          </w:tcPr>
          <w:p>
            <w:r>
              <w:t xml:space="preserve">NV-NIL (pending A2A.6 nil-return)</w:t>
            </w:r>
          </w:p>
        </w:tc>
      </w:tr>
      <w:tr>
        <w:tc>
          <w:tcPr>
            <w:tcW w:type="dxa" w:w="1872"/>
          </w:tcPr>
          <w:p>
            <w:r>
              <w:t xml:space="preserve">MX-2A-041</w:t>
            </w:r>
          </w:p>
        </w:tc>
        <w:tc>
          <w:tcPr>
            <w:tcW w:type="dxa" w:w="1872"/>
          </w:tcPr>
          <w:p>
            <w:r>
              <w:t xml:space="preserve">1005.90</w:t>
            </w:r>
          </w:p>
        </w:tc>
        <w:tc>
          <w:tcPr>
            <w:tcW w:type="dxa" w:w="1872"/>
          </w:tcPr>
          <w:p>
            <w:r>
              <w:t xml:space="preserve">Maize, other</w:t>
            </w:r>
          </w:p>
        </w:tc>
        <w:tc>
          <w:tcPr>
            <w:tcW w:type="dxa" w:w="1872"/>
          </w:tcPr>
          <w:p>
            <w:r>
              <w:t xml:space="preserve">NV-NIL</w:t>
            </w:r>
          </w:p>
        </w:tc>
        <w:tc>
          <w:tcPr>
            <w:tcW w:type="dxa" w:w="1872"/>
          </w:tcPr>
          <w:p>
            <w:r>
              <w:t xml:space="preserve">NV-NIL (pending A2A.6 nil-return)</w:t>
            </w:r>
          </w:p>
        </w:tc>
      </w:tr>
      <w:tr>
        <w:tc>
          <w:tcPr>
            <w:tcW w:type="dxa" w:w="1872"/>
          </w:tcPr>
          <w:p>
            <w:r>
              <w:t xml:space="preserve">MX-2A-042</w:t>
            </w:r>
          </w:p>
        </w:tc>
        <w:tc>
          <w:tcPr>
            <w:tcW w:type="dxa" w:w="1872"/>
          </w:tcPr>
          <w:p>
            <w:r>
              <w:t xml:space="preserve">1006.30</w:t>
            </w:r>
          </w:p>
        </w:tc>
        <w:tc>
          <w:tcPr>
            <w:tcW w:type="dxa" w:w="1872"/>
          </w:tcPr>
          <w:p>
            <w:r>
              <w:t xml:space="preserve">Rice, semi-milled or wholly milled</w:t>
            </w:r>
          </w:p>
        </w:tc>
        <w:tc>
          <w:tcPr>
            <w:tcW w:type="dxa" w:w="1872"/>
          </w:tcPr>
          <w:p>
            <w:r>
              <w:t xml:space="preserve">NV-NIL</w:t>
            </w:r>
          </w:p>
        </w:tc>
        <w:tc>
          <w:tcPr>
            <w:tcW w:type="dxa" w:w="1872"/>
          </w:tcPr>
          <w:p>
            <w:r>
              <w:t xml:space="preserve">NV-NIL (pending A2A.6 nil-return)</w:t>
            </w:r>
          </w:p>
        </w:tc>
      </w:tr>
      <w:tr>
        <w:tc>
          <w:tcPr>
            <w:tcW w:type="dxa" w:w="1872"/>
          </w:tcPr>
          <w:p>
            <w:r>
              <w:t xml:space="preserve">MX-2A-043</w:t>
            </w:r>
          </w:p>
        </w:tc>
        <w:tc>
          <w:tcPr>
            <w:tcW w:type="dxa" w:w="1872"/>
          </w:tcPr>
          <w:p>
            <w:r>
              <w:t xml:space="preserve">1701.99</w:t>
            </w:r>
          </w:p>
        </w:tc>
        <w:tc>
          <w:tcPr>
            <w:tcW w:type="dxa" w:w="1872"/>
          </w:tcPr>
          <w:p>
            <w:r>
              <w:t xml:space="preserve">Cane or beet sugar, other</w:t>
            </w:r>
          </w:p>
        </w:tc>
        <w:tc>
          <w:tcPr>
            <w:tcW w:type="dxa" w:w="1872"/>
          </w:tcPr>
          <w:p>
            <w:r>
              <w:t xml:space="preserve">NV-NIL</w:t>
            </w:r>
          </w:p>
        </w:tc>
        <w:tc>
          <w:tcPr>
            <w:tcW w:type="dxa" w:w="1872"/>
          </w:tcPr>
          <w:p>
            <w:r>
              <w:t xml:space="preserve">NV-NIL (pending A2A.6 nil-return)</w:t>
            </w:r>
          </w:p>
        </w:tc>
      </w:tr>
      <w:tr>
        <w:tc>
          <w:tcPr>
            <w:tcW w:type="dxa" w:w="1872"/>
          </w:tcPr>
          <w:p>
            <w:r>
              <w:t xml:space="preserve">MX-2A-044</w:t>
            </w:r>
          </w:p>
        </w:tc>
        <w:tc>
          <w:tcPr>
            <w:tcW w:type="dxa" w:w="1872"/>
          </w:tcPr>
          <w:p>
            <w:r>
              <w:t xml:space="preserve">1702.40</w:t>
            </w:r>
          </w:p>
        </w:tc>
        <w:tc>
          <w:tcPr>
            <w:tcW w:type="dxa" w:w="1872"/>
          </w:tcPr>
          <w:p>
            <w:r>
              <w:t xml:space="preserve">Glucose syrup</w:t>
            </w:r>
          </w:p>
        </w:tc>
        <w:tc>
          <w:tcPr>
            <w:tcW w:type="dxa" w:w="1872"/>
          </w:tcPr>
          <w:p>
            <w:r>
              <w:t xml:space="preserve">NV-NIL</w:t>
            </w:r>
          </w:p>
        </w:tc>
        <w:tc>
          <w:tcPr>
            <w:tcW w:type="dxa" w:w="1872"/>
          </w:tcPr>
          <w:p>
            <w:r>
              <w:t xml:space="preserve">NV-NIL (pending A2A.6 nil-return)</w:t>
            </w:r>
          </w:p>
        </w:tc>
      </w:tr>
      <w:tr>
        <w:tc>
          <w:tcPr>
            <w:tcW w:type="dxa" w:w="1872"/>
          </w:tcPr>
          <w:p>
            <w:r>
              <w:t xml:space="preserve">MX-2A-045</w:t>
            </w:r>
          </w:p>
        </w:tc>
        <w:tc>
          <w:tcPr>
            <w:tcW w:type="dxa" w:w="1872"/>
          </w:tcPr>
          <w:p>
            <w:r>
              <w:t xml:space="preserve">1901.10</w:t>
            </w:r>
          </w:p>
        </w:tc>
        <w:tc>
          <w:tcPr>
            <w:tcW w:type="dxa" w:w="1872"/>
          </w:tcPr>
          <w:p>
            <w:r>
              <w:t xml:space="preserve">Malt extract; milk preparations</w:t>
            </w:r>
          </w:p>
        </w:tc>
        <w:tc>
          <w:tcPr>
            <w:tcW w:type="dxa" w:w="1872"/>
          </w:tcPr>
          <w:p>
            <w:r>
              <w:t xml:space="preserve">NV-NIL</w:t>
            </w:r>
          </w:p>
        </w:tc>
        <w:tc>
          <w:tcPr>
            <w:tcW w:type="dxa" w:w="1872"/>
          </w:tcPr>
          <w:p>
            <w:r>
              <w:t xml:space="preserve">NV-NIL (pending A2A.6 nil-return)</w:t>
            </w:r>
          </w:p>
        </w:tc>
      </w:tr>
      <w:tr>
        <w:tc>
          <w:tcPr>
            <w:tcW w:type="dxa" w:w="1872"/>
          </w:tcPr>
          <w:p>
            <w:r>
              <w:t xml:space="preserve">MX-2A-046</w:t>
            </w:r>
          </w:p>
        </w:tc>
        <w:tc>
          <w:tcPr>
            <w:tcW w:type="dxa" w:w="1872"/>
          </w:tcPr>
          <w:p>
            <w:r>
              <w:t xml:space="preserve">1901.20</w:t>
            </w:r>
          </w:p>
        </w:tc>
        <w:tc>
          <w:tcPr>
            <w:tcW w:type="dxa" w:w="1872"/>
          </w:tcPr>
          <w:p>
            <w:r>
              <w:t xml:space="preserve">Flour, meal and starch preparations</w:t>
            </w:r>
          </w:p>
        </w:tc>
        <w:tc>
          <w:tcPr>
            <w:tcW w:type="dxa" w:w="1872"/>
          </w:tcPr>
          <w:p>
            <w:r>
              <w:t xml:space="preserve">NV-NIL</w:t>
            </w:r>
          </w:p>
        </w:tc>
        <w:tc>
          <w:tcPr>
            <w:tcW w:type="dxa" w:w="1872"/>
          </w:tcPr>
          <w:p>
            <w:r>
              <w:t xml:space="preserve">NV-NIL (pending A2A.6 nil-return)</w:t>
            </w:r>
          </w:p>
        </w:tc>
      </w:tr>
      <w:tr>
        <w:tc>
          <w:tcPr>
            <w:tcW w:type="dxa" w:w="1872"/>
          </w:tcPr>
          <w:p>
            <w:r>
              <w:t xml:space="preserve">MX-2A-047</w:t>
            </w:r>
          </w:p>
        </w:tc>
        <w:tc>
          <w:tcPr>
            <w:tcW w:type="dxa" w:w="1872"/>
          </w:tcPr>
          <w:p>
            <w:r>
              <w:t xml:space="preserve">1902.11</w:t>
            </w:r>
          </w:p>
        </w:tc>
        <w:tc>
          <w:tcPr>
            <w:tcW w:type="dxa" w:w="1872"/>
          </w:tcPr>
          <w:p>
            <w:r>
              <w:t xml:space="preserve">Pasta, uncooked, not stuffed</w:t>
            </w:r>
          </w:p>
        </w:tc>
        <w:tc>
          <w:tcPr>
            <w:tcW w:type="dxa" w:w="1872"/>
          </w:tcPr>
          <w:p>
            <w:r>
              <w:t xml:space="preserve">NV-NIL</w:t>
            </w:r>
          </w:p>
        </w:tc>
        <w:tc>
          <w:tcPr>
            <w:tcW w:type="dxa" w:w="1872"/>
          </w:tcPr>
          <w:p>
            <w:r>
              <w:t xml:space="preserve">NV-NIL (pending A2A.6 nil-return)</w:t>
            </w:r>
          </w:p>
        </w:tc>
      </w:tr>
      <w:tr>
        <w:tc>
          <w:tcPr>
            <w:tcW w:type="dxa" w:w="1872"/>
          </w:tcPr>
          <w:p>
            <w:r>
              <w:t xml:space="preserve">MX-2A-048</w:t>
            </w:r>
          </w:p>
        </w:tc>
        <w:tc>
          <w:tcPr>
            <w:tcW w:type="dxa" w:w="1872"/>
          </w:tcPr>
          <w:p>
            <w:r>
              <w:t xml:space="preserve">1902.20</w:t>
            </w:r>
          </w:p>
        </w:tc>
        <w:tc>
          <w:tcPr>
            <w:tcW w:type="dxa" w:w="1872"/>
          </w:tcPr>
          <w:p>
            <w:r>
              <w:t xml:space="preserve">Pasta, stuffed</w:t>
            </w:r>
          </w:p>
        </w:tc>
        <w:tc>
          <w:tcPr>
            <w:tcW w:type="dxa" w:w="1872"/>
          </w:tcPr>
          <w:p>
            <w:r>
              <w:t xml:space="preserve">NV-NIL</w:t>
            </w:r>
          </w:p>
        </w:tc>
        <w:tc>
          <w:tcPr>
            <w:tcW w:type="dxa" w:w="1872"/>
          </w:tcPr>
          <w:p>
            <w:r>
              <w:t xml:space="preserve">NV-NIL (pending A2A.6 nil-return)</w:t>
            </w:r>
          </w:p>
        </w:tc>
      </w:tr>
      <w:tr>
        <w:tc>
          <w:tcPr>
            <w:tcW w:type="dxa" w:w="1872"/>
          </w:tcPr>
          <w:p>
            <w:r>
              <w:t xml:space="preserve">MX-2A-049</w:t>
            </w:r>
          </w:p>
        </w:tc>
        <w:tc>
          <w:tcPr>
            <w:tcW w:type="dxa" w:w="1872"/>
          </w:tcPr>
          <w:p>
            <w:r>
              <w:t xml:space="preserve">1905.31</w:t>
            </w:r>
          </w:p>
        </w:tc>
        <w:tc>
          <w:tcPr>
            <w:tcW w:type="dxa" w:w="1872"/>
          </w:tcPr>
          <w:p>
            <w:r>
              <w:t xml:space="preserve">Bread and sweet biscuits</w:t>
            </w:r>
          </w:p>
        </w:tc>
        <w:tc>
          <w:tcPr>
            <w:tcW w:type="dxa" w:w="1872"/>
          </w:tcPr>
          <w:p>
            <w:r>
              <w:t xml:space="preserve">NV-NIL</w:t>
            </w:r>
          </w:p>
        </w:tc>
        <w:tc>
          <w:tcPr>
            <w:tcW w:type="dxa" w:w="1872"/>
          </w:tcPr>
          <w:p>
            <w:r>
              <w:t xml:space="preserve">NV-NIL (pending A2A.6 nil-return)</w:t>
            </w:r>
          </w:p>
        </w:tc>
      </w:tr>
      <w:tr>
        <w:tc>
          <w:tcPr>
            <w:tcW w:type="dxa" w:w="1872"/>
          </w:tcPr>
          <w:p>
            <w:r>
              <w:t xml:space="preserve">MX-2A-050</w:t>
            </w:r>
          </w:p>
        </w:tc>
        <w:tc>
          <w:tcPr>
            <w:tcW w:type="dxa" w:w="1872"/>
          </w:tcPr>
          <w:p>
            <w:r>
              <w:t xml:space="preserve">1905.32</w:t>
            </w:r>
          </w:p>
        </w:tc>
        <w:tc>
          <w:tcPr>
            <w:tcW w:type="dxa" w:w="1872"/>
          </w:tcPr>
          <w:p>
            <w:r>
              <w:t xml:space="preserve">Waffles and wafers</w:t>
            </w:r>
          </w:p>
        </w:tc>
        <w:tc>
          <w:tcPr>
            <w:tcW w:type="dxa" w:w="1872"/>
          </w:tcPr>
          <w:p>
            <w:r>
              <w:t xml:space="preserve">NV-NIL</w:t>
            </w:r>
          </w:p>
        </w:tc>
        <w:tc>
          <w:tcPr>
            <w:tcW w:type="dxa" w:w="1872"/>
          </w:tcPr>
          <w:p>
            <w:r>
              <w:t xml:space="preserve">NV-NIL (pending A2A.6 nil-return)</w:t>
            </w:r>
          </w:p>
        </w:tc>
      </w:tr>
      <w:tr>
        <w:tc>
          <w:tcPr>
            <w:tcW w:type="dxa" w:w="1872"/>
          </w:tcPr>
          <w:p>
            <w:r>
              <w:t xml:space="preserve">MX-2A-051</w:t>
            </w:r>
          </w:p>
        </w:tc>
        <w:tc>
          <w:tcPr>
            <w:tcW w:type="dxa" w:w="1872"/>
          </w:tcPr>
          <w:p>
            <w:r>
              <w:t xml:space="preserve">2001.90</w:t>
            </w:r>
          </w:p>
        </w:tc>
        <w:tc>
          <w:tcPr>
            <w:tcW w:type="dxa" w:w="1872"/>
          </w:tcPr>
          <w:p>
            <w:r>
              <w:t xml:space="preserve">Vegetables prepared or preserved, other</w:t>
            </w:r>
          </w:p>
        </w:tc>
        <w:tc>
          <w:tcPr>
            <w:tcW w:type="dxa" w:w="1872"/>
          </w:tcPr>
          <w:p>
            <w:r>
              <w:t xml:space="preserve">NV-NIL</w:t>
            </w:r>
          </w:p>
        </w:tc>
        <w:tc>
          <w:tcPr>
            <w:tcW w:type="dxa" w:w="1872"/>
          </w:tcPr>
          <w:p>
            <w:r>
              <w:t xml:space="preserve">NV-NIL (pending A2A.6 nil-return)</w:t>
            </w:r>
          </w:p>
        </w:tc>
      </w:tr>
      <w:tr>
        <w:tc>
          <w:tcPr>
            <w:tcW w:type="dxa" w:w="1872"/>
          </w:tcPr>
          <w:p>
            <w:r>
              <w:t xml:space="preserve">MX-2A-052</w:t>
            </w:r>
          </w:p>
        </w:tc>
        <w:tc>
          <w:tcPr>
            <w:tcW w:type="dxa" w:w="1872"/>
          </w:tcPr>
          <w:p>
            <w:r>
              <w:t xml:space="preserve">2002.10</w:t>
            </w:r>
          </w:p>
        </w:tc>
        <w:tc>
          <w:tcPr>
            <w:tcW w:type="dxa" w:w="1872"/>
          </w:tcPr>
          <w:p>
            <w:r>
              <w:t xml:space="preserve">Tomatoes prepared or preserved</w:t>
            </w:r>
          </w:p>
        </w:tc>
        <w:tc>
          <w:tcPr>
            <w:tcW w:type="dxa" w:w="1872"/>
          </w:tcPr>
          <w:p>
            <w:r>
              <w:t xml:space="preserve">NV-NIL</w:t>
            </w:r>
          </w:p>
        </w:tc>
        <w:tc>
          <w:tcPr>
            <w:tcW w:type="dxa" w:w="1872"/>
          </w:tcPr>
          <w:p>
            <w:r>
              <w:t xml:space="preserve">NV-NIL (pending A2A.6 nil-return)</w:t>
            </w:r>
          </w:p>
        </w:tc>
      </w:tr>
      <w:tr>
        <w:tc>
          <w:tcPr>
            <w:tcW w:type="dxa" w:w="1872"/>
          </w:tcPr>
          <w:p>
            <w:r>
              <w:t xml:space="preserve">MX-2A-053</w:t>
            </w:r>
          </w:p>
        </w:tc>
        <w:tc>
          <w:tcPr>
            <w:tcW w:type="dxa" w:w="1872"/>
          </w:tcPr>
          <w:p>
            <w:r>
              <w:t xml:space="preserve">2009.41</w:t>
            </w:r>
          </w:p>
        </w:tc>
        <w:tc>
          <w:tcPr>
            <w:tcW w:type="dxa" w:w="1872"/>
          </w:tcPr>
          <w:p>
            <w:r>
              <w:t xml:space="preserve">Orange juice, frozen</w:t>
            </w:r>
          </w:p>
        </w:tc>
        <w:tc>
          <w:tcPr>
            <w:tcW w:type="dxa" w:w="1872"/>
          </w:tcPr>
          <w:p>
            <w:r>
              <w:t xml:space="preserve">NV-NIL</w:t>
            </w:r>
          </w:p>
        </w:tc>
        <w:tc>
          <w:tcPr>
            <w:tcW w:type="dxa" w:w="1872"/>
          </w:tcPr>
          <w:p>
            <w:r>
              <w:t xml:space="preserve">NV-NIL (pending A2A.6 nil-return)</w:t>
            </w:r>
          </w:p>
        </w:tc>
      </w:tr>
      <w:tr>
        <w:tc>
          <w:tcPr>
            <w:tcW w:type="dxa" w:w="1872"/>
          </w:tcPr>
          <w:p>
            <w:r>
              <w:t xml:space="preserve">MX-2A-054</w:t>
            </w:r>
          </w:p>
        </w:tc>
        <w:tc>
          <w:tcPr>
            <w:tcW w:type="dxa" w:w="1872"/>
          </w:tcPr>
          <w:p>
            <w:r>
              <w:t xml:space="preserve">2009.69</w:t>
            </w:r>
          </w:p>
        </w:tc>
        <w:tc>
          <w:tcPr>
            <w:tcW w:type="dxa" w:w="1872"/>
          </w:tcPr>
          <w:p>
            <w:r>
              <w:t xml:space="preserve">Grape juice, other</w:t>
            </w:r>
          </w:p>
        </w:tc>
        <w:tc>
          <w:tcPr>
            <w:tcW w:type="dxa" w:w="1872"/>
          </w:tcPr>
          <w:p>
            <w:r>
              <w:t xml:space="preserve">NV-NIL</w:t>
            </w:r>
          </w:p>
        </w:tc>
        <w:tc>
          <w:tcPr>
            <w:tcW w:type="dxa" w:w="1872"/>
          </w:tcPr>
          <w:p>
            <w:r>
              <w:t xml:space="preserve">NV-NIL (pending A2A.6 nil-return)</w:t>
            </w:r>
          </w:p>
        </w:tc>
      </w:tr>
      <w:tr>
        <w:tc>
          <w:tcPr>
            <w:tcW w:type="dxa" w:w="1872"/>
          </w:tcPr>
          <w:p>
            <w:r>
              <w:t xml:space="preserve">MX-2A-055</w:t>
            </w:r>
          </w:p>
        </w:tc>
        <w:tc>
          <w:tcPr>
            <w:tcW w:type="dxa" w:w="1872"/>
          </w:tcPr>
          <w:p>
            <w:r>
              <w:t xml:space="preserve">2202.91</w:t>
            </w:r>
          </w:p>
        </w:tc>
        <w:tc>
          <w:tcPr>
            <w:tcW w:type="dxa" w:w="1872"/>
          </w:tcPr>
          <w:p>
            <w:r>
              <w:t xml:space="preserve">Non-alcoholic beverages, other</w:t>
            </w:r>
          </w:p>
        </w:tc>
        <w:tc>
          <w:tcPr>
            <w:tcW w:type="dxa" w:w="1872"/>
          </w:tcPr>
          <w:p>
            <w:r>
              <w:t xml:space="preserve">NV-NIL</w:t>
            </w:r>
          </w:p>
        </w:tc>
        <w:tc>
          <w:tcPr>
            <w:tcW w:type="dxa" w:w="1872"/>
          </w:tcPr>
          <w:p>
            <w:r>
              <w:t xml:space="preserve">NV-NIL (pending A2A.6 nil-return)</w:t>
            </w:r>
          </w:p>
        </w:tc>
      </w:tr>
      <w:tr>
        <w:tc>
          <w:tcPr>
            <w:tcW w:type="dxa" w:w="1872"/>
          </w:tcPr>
          <w:p>
            <w:r>
              <w:t xml:space="preserve">MX-2A-056</w:t>
            </w:r>
          </w:p>
        </w:tc>
        <w:tc>
          <w:tcPr>
            <w:tcW w:type="dxa" w:w="1872"/>
          </w:tcPr>
          <w:p>
            <w:r>
              <w:t xml:space="preserve">2203.00</w:t>
            </w:r>
          </w:p>
        </w:tc>
        <w:tc>
          <w:tcPr>
            <w:tcW w:type="dxa" w:w="1872"/>
          </w:tcPr>
          <w:p>
            <w:r>
              <w:t xml:space="preserve">Beer made from malt</w:t>
            </w:r>
          </w:p>
        </w:tc>
        <w:tc>
          <w:tcPr>
            <w:tcW w:type="dxa" w:w="1872"/>
          </w:tcPr>
          <w:p>
            <w:r>
              <w:t xml:space="preserve">NV-NIL</w:t>
            </w:r>
          </w:p>
        </w:tc>
        <w:tc>
          <w:tcPr>
            <w:tcW w:type="dxa" w:w="1872"/>
          </w:tcPr>
          <w:p>
            <w:r>
              <w:t xml:space="preserve">NV-NIL (pending A2A.6 nil-return)</w:t>
            </w:r>
          </w:p>
        </w:tc>
      </w:tr>
      <w:tr>
        <w:tc>
          <w:tcPr>
            <w:tcW w:type="dxa" w:w="1872"/>
          </w:tcPr>
          <w:p>
            <w:r>
              <w:t xml:space="preserve">MX-2A-057</w:t>
            </w:r>
          </w:p>
        </w:tc>
        <w:tc>
          <w:tcPr>
            <w:tcW w:type="dxa" w:w="1872"/>
          </w:tcPr>
          <w:p>
            <w:r>
              <w:t xml:space="preserve">2204.21</w:t>
            </w:r>
          </w:p>
        </w:tc>
        <w:tc>
          <w:tcPr>
            <w:tcW w:type="dxa" w:w="1872"/>
          </w:tcPr>
          <w:p>
            <w:r>
              <w:t xml:space="preserve">Wine in containers &lt;=2L</w:t>
            </w:r>
          </w:p>
        </w:tc>
        <w:tc>
          <w:tcPr>
            <w:tcW w:type="dxa" w:w="1872"/>
          </w:tcPr>
          <w:p>
            <w:r>
              <w:t xml:space="preserve">NV-NIL</w:t>
            </w:r>
          </w:p>
        </w:tc>
        <w:tc>
          <w:tcPr>
            <w:tcW w:type="dxa" w:w="1872"/>
          </w:tcPr>
          <w:p>
            <w:r>
              <w:t xml:space="preserve">NV-NIL (pending A2A.6 nil-return)</w:t>
            </w:r>
          </w:p>
        </w:tc>
      </w:tr>
      <w:tr>
        <w:tc>
          <w:tcPr>
            <w:tcW w:type="dxa" w:w="1872"/>
          </w:tcPr>
          <w:p>
            <w:r>
              <w:t xml:space="preserve">MX-2A-058</w:t>
            </w:r>
          </w:p>
        </w:tc>
        <w:tc>
          <w:tcPr>
            <w:tcW w:type="dxa" w:w="1872"/>
          </w:tcPr>
          <w:p>
            <w:r>
              <w:t xml:space="preserve">2204.29</w:t>
            </w:r>
          </w:p>
        </w:tc>
        <w:tc>
          <w:tcPr>
            <w:tcW w:type="dxa" w:w="1872"/>
          </w:tcPr>
          <w:p>
            <w:r>
              <w:t xml:space="preserve">Wine in containers &gt;2L</w:t>
            </w:r>
          </w:p>
        </w:tc>
        <w:tc>
          <w:tcPr>
            <w:tcW w:type="dxa" w:w="1872"/>
          </w:tcPr>
          <w:p>
            <w:r>
              <w:t xml:space="preserve">NV-NIL</w:t>
            </w:r>
          </w:p>
        </w:tc>
        <w:tc>
          <w:tcPr>
            <w:tcW w:type="dxa" w:w="1872"/>
          </w:tcPr>
          <w:p>
            <w:r>
              <w:t xml:space="preserve">NV-NIL (pending A2A.6 nil-return)</w:t>
            </w:r>
          </w:p>
        </w:tc>
      </w:tr>
      <w:tr>
        <w:tc>
          <w:tcPr>
            <w:tcW w:type="dxa" w:w="1872"/>
          </w:tcPr>
          <w:p>
            <w:r>
              <w:t xml:space="preserve">MX-2A-059</w:t>
            </w:r>
          </w:p>
        </w:tc>
        <w:tc>
          <w:tcPr>
            <w:tcW w:type="dxa" w:w="1872"/>
          </w:tcPr>
          <w:p>
            <w:r>
              <w:t xml:space="preserve">2208.40</w:t>
            </w:r>
          </w:p>
        </w:tc>
        <w:tc>
          <w:tcPr>
            <w:tcW w:type="dxa" w:w="1872"/>
          </w:tcPr>
          <w:p>
            <w:r>
              <w:t xml:space="preserve">Rum</w:t>
            </w:r>
          </w:p>
        </w:tc>
        <w:tc>
          <w:tcPr>
            <w:tcW w:type="dxa" w:w="1872"/>
          </w:tcPr>
          <w:p>
            <w:r>
              <w:t xml:space="preserve">NV-NIL</w:t>
            </w:r>
          </w:p>
        </w:tc>
        <w:tc>
          <w:tcPr>
            <w:tcW w:type="dxa" w:w="1872"/>
          </w:tcPr>
          <w:p>
            <w:r>
              <w:t xml:space="preserve">NV-NIL (pending A2A.6 nil-return)</w:t>
            </w:r>
          </w:p>
        </w:tc>
      </w:tr>
      <w:tr>
        <w:tc>
          <w:tcPr>
            <w:tcW w:type="dxa" w:w="1872"/>
          </w:tcPr>
          <w:p>
            <w:r>
              <w:t xml:space="preserve">MX-2A-060</w:t>
            </w:r>
          </w:p>
        </w:tc>
        <w:tc>
          <w:tcPr>
            <w:tcW w:type="dxa" w:w="1872"/>
          </w:tcPr>
          <w:p>
            <w:r>
              <w:t xml:space="preserve">2208.90</w:t>
            </w:r>
          </w:p>
        </w:tc>
        <w:tc>
          <w:tcPr>
            <w:tcW w:type="dxa" w:w="1872"/>
          </w:tcPr>
          <w:p>
            <w:r>
              <w:t xml:space="preserve">Spirits, other</w:t>
            </w:r>
          </w:p>
        </w:tc>
        <w:tc>
          <w:tcPr>
            <w:tcW w:type="dxa" w:w="1872"/>
          </w:tcPr>
          <w:p>
            <w:r>
              <w:t xml:space="preserve">NV-NIL</w:t>
            </w:r>
          </w:p>
        </w:tc>
        <w:tc>
          <w:tcPr>
            <w:tcW w:type="dxa" w:w="1872"/>
          </w:tcPr>
          <w:p>
            <w:r>
              <w:t xml:space="preserve">NV-NIL (pending A2A.6 nil-return)</w:t>
            </w:r>
          </w:p>
        </w:tc>
      </w:tr>
      <w:tr>
        <w:tc>
          <w:tcPr>
            <w:tcW w:type="dxa" w:w="1872"/>
          </w:tcPr>
          <w:p>
            <w:r>
              <w:t xml:space="preserve">MX-2A-061</w:t>
            </w:r>
          </w:p>
        </w:tc>
        <w:tc>
          <w:tcPr>
            <w:tcW w:type="dxa" w:w="1872"/>
          </w:tcPr>
          <w:p>
            <w:r>
              <w:t xml:space="preserve">2810.00</w:t>
            </w:r>
          </w:p>
        </w:tc>
        <w:tc>
          <w:tcPr>
            <w:tcW w:type="dxa" w:w="1872"/>
          </w:tcPr>
          <w:p>
            <w:r>
              <w:t xml:space="preserve">Oxides of boron; boric acids</w:t>
            </w:r>
          </w:p>
        </w:tc>
        <w:tc>
          <w:tcPr>
            <w:tcW w:type="dxa" w:w="1872"/>
          </w:tcPr>
          <w:p>
            <w:r>
              <w:t xml:space="preserve">NV-NIL</w:t>
            </w:r>
          </w:p>
        </w:tc>
        <w:tc>
          <w:tcPr>
            <w:tcW w:type="dxa" w:w="1872"/>
          </w:tcPr>
          <w:p>
            <w:r>
              <w:t xml:space="preserve">NV-NIL (pending A2A.6 nil-return)</w:t>
            </w:r>
          </w:p>
        </w:tc>
      </w:tr>
      <w:tr>
        <w:tc>
          <w:tcPr>
            <w:tcW w:type="dxa" w:w="1872"/>
          </w:tcPr>
          <w:p>
            <w:r>
              <w:t xml:space="preserve">MX-2A-062</w:t>
            </w:r>
          </w:p>
        </w:tc>
        <w:tc>
          <w:tcPr>
            <w:tcW w:type="dxa" w:w="1872"/>
          </w:tcPr>
          <w:p>
            <w:r>
              <w:t xml:space="preserve">2815.11</w:t>
            </w:r>
          </w:p>
        </w:tc>
        <w:tc>
          <w:tcPr>
            <w:tcW w:type="dxa" w:w="1872"/>
          </w:tcPr>
          <w:p>
            <w:r>
              <w:t xml:space="preserve">Sodium hydroxide, solid</w:t>
            </w:r>
          </w:p>
        </w:tc>
        <w:tc>
          <w:tcPr>
            <w:tcW w:type="dxa" w:w="1872"/>
          </w:tcPr>
          <w:p>
            <w:r>
              <w:t xml:space="preserve">NV-NIL</w:t>
            </w:r>
          </w:p>
        </w:tc>
        <w:tc>
          <w:tcPr>
            <w:tcW w:type="dxa" w:w="1872"/>
          </w:tcPr>
          <w:p>
            <w:r>
              <w:t xml:space="preserve">NV-NIL (pending A2A.6 nil-return)</w:t>
            </w:r>
          </w:p>
        </w:tc>
      </w:tr>
      <w:tr>
        <w:tc>
          <w:tcPr>
            <w:tcW w:type="dxa" w:w="1872"/>
          </w:tcPr>
          <w:p>
            <w:r>
              <w:t xml:space="preserve">MX-2A-063</w:t>
            </w:r>
          </w:p>
        </w:tc>
        <w:tc>
          <w:tcPr>
            <w:tcW w:type="dxa" w:w="1872"/>
          </w:tcPr>
          <w:p>
            <w:r>
              <w:t xml:space="preserve">2825.10</w:t>
            </w:r>
          </w:p>
        </w:tc>
        <w:tc>
          <w:tcPr>
            <w:tcW w:type="dxa" w:w="1872"/>
          </w:tcPr>
          <w:p>
            <w:r>
              <w:t xml:space="preserve">Copper oxides</w:t>
            </w:r>
          </w:p>
        </w:tc>
        <w:tc>
          <w:tcPr>
            <w:tcW w:type="dxa" w:w="1872"/>
          </w:tcPr>
          <w:p>
            <w:r>
              <w:t xml:space="preserve">NV-NIL</w:t>
            </w:r>
          </w:p>
        </w:tc>
        <w:tc>
          <w:tcPr>
            <w:tcW w:type="dxa" w:w="1872"/>
          </w:tcPr>
          <w:p>
            <w:r>
              <w:t xml:space="preserve">NV-NIL (pending A2A.6 nil-return)</w:t>
            </w:r>
          </w:p>
        </w:tc>
      </w:tr>
      <w:tr>
        <w:tc>
          <w:tcPr>
            <w:tcW w:type="dxa" w:w="1872"/>
          </w:tcPr>
          <w:p>
            <w:r>
              <w:t xml:space="preserve">MX-2A-064</w:t>
            </w:r>
          </w:p>
        </w:tc>
        <w:tc>
          <w:tcPr>
            <w:tcW w:type="dxa" w:w="1872"/>
          </w:tcPr>
          <w:p>
            <w:r>
              <w:t xml:space="preserve">2827.39</w:t>
            </w:r>
          </w:p>
        </w:tc>
        <w:tc>
          <w:tcPr>
            <w:tcW w:type="dxa" w:w="1872"/>
          </w:tcPr>
          <w:p>
            <w:r>
              <w:t xml:space="preserve">Chlorides, other</w:t>
            </w:r>
          </w:p>
        </w:tc>
        <w:tc>
          <w:tcPr>
            <w:tcW w:type="dxa" w:w="1872"/>
          </w:tcPr>
          <w:p>
            <w:r>
              <w:t xml:space="preserve">NV-NIL</w:t>
            </w:r>
          </w:p>
        </w:tc>
        <w:tc>
          <w:tcPr>
            <w:tcW w:type="dxa" w:w="1872"/>
          </w:tcPr>
          <w:p>
            <w:r>
              <w:t xml:space="preserve">NV-NIL (pending A2A.6 nil-return)</w:t>
            </w:r>
          </w:p>
        </w:tc>
      </w:tr>
      <w:tr>
        <w:tc>
          <w:tcPr>
            <w:tcW w:type="dxa" w:w="1872"/>
          </w:tcPr>
          <w:p>
            <w:r>
              <w:t xml:space="preserve">MX-2A-065</w:t>
            </w:r>
          </w:p>
        </w:tc>
        <w:tc>
          <w:tcPr>
            <w:tcW w:type="dxa" w:w="1872"/>
          </w:tcPr>
          <w:p>
            <w:r>
              <w:t xml:space="preserve">2804.61</w:t>
            </w:r>
          </w:p>
        </w:tc>
        <w:tc>
          <w:tcPr>
            <w:tcW w:type="dxa" w:w="1872"/>
          </w:tcPr>
          <w:p>
            <w:r>
              <w:t xml:space="preserve">Silicon, &gt;=99.99%</w:t>
            </w:r>
          </w:p>
        </w:tc>
        <w:tc>
          <w:tcPr>
            <w:tcW w:type="dxa" w:w="1872"/>
          </w:tcPr>
          <w:p>
            <w:r>
              <w:t xml:space="preserve">NV-NIL</w:t>
            </w:r>
          </w:p>
        </w:tc>
        <w:tc>
          <w:tcPr>
            <w:tcW w:type="dxa" w:w="1872"/>
          </w:tcPr>
          <w:p>
            <w:r>
              <w:t xml:space="preserve">NV-NIL (pending A2A.6 nil-return)</w:t>
            </w:r>
          </w:p>
        </w:tc>
      </w:tr>
      <w:tr>
        <w:tc>
          <w:tcPr>
            <w:tcW w:type="dxa" w:w="1872"/>
          </w:tcPr>
          <w:p>
            <w:r>
              <w:t xml:space="preserve">MX-2A-066</w:t>
            </w:r>
          </w:p>
        </w:tc>
        <w:tc>
          <w:tcPr>
            <w:tcW w:type="dxa" w:w="1872"/>
          </w:tcPr>
          <w:p>
            <w:r>
              <w:t xml:space="preserve">2901.10</w:t>
            </w:r>
          </w:p>
        </w:tc>
        <w:tc>
          <w:tcPr>
            <w:tcW w:type="dxa" w:w="1872"/>
          </w:tcPr>
          <w:p>
            <w:r>
              <w:t xml:space="preserve">Saturated acyclic hydrocarbons</w:t>
            </w:r>
          </w:p>
        </w:tc>
        <w:tc>
          <w:tcPr>
            <w:tcW w:type="dxa" w:w="1872"/>
          </w:tcPr>
          <w:p>
            <w:r>
              <w:t xml:space="preserve">NV-NIL</w:t>
            </w:r>
          </w:p>
        </w:tc>
        <w:tc>
          <w:tcPr>
            <w:tcW w:type="dxa" w:w="1872"/>
          </w:tcPr>
          <w:p>
            <w:r>
              <w:t xml:space="preserve">NV-NIL (pending A2A.6 nil-return)</w:t>
            </w:r>
          </w:p>
        </w:tc>
      </w:tr>
      <w:tr>
        <w:tc>
          <w:tcPr>
            <w:tcW w:type="dxa" w:w="1872"/>
          </w:tcPr>
          <w:p>
            <w:r>
              <w:t xml:space="preserve">MX-2A-067</w:t>
            </w:r>
          </w:p>
        </w:tc>
        <w:tc>
          <w:tcPr>
            <w:tcW w:type="dxa" w:w="1872"/>
          </w:tcPr>
          <w:p>
            <w:r>
              <w:t xml:space="preserve">2902.20</w:t>
            </w:r>
          </w:p>
        </w:tc>
        <w:tc>
          <w:tcPr>
            <w:tcW w:type="dxa" w:w="1872"/>
          </w:tcPr>
          <w:p>
            <w:r>
              <w:t xml:space="preserve">Benzene (chemically defined)</w:t>
            </w:r>
          </w:p>
        </w:tc>
        <w:tc>
          <w:tcPr>
            <w:tcW w:type="dxa" w:w="1872"/>
          </w:tcPr>
          <w:p>
            <w:r>
              <w:t xml:space="preserve">NV-NIL</w:t>
            </w:r>
          </w:p>
        </w:tc>
        <w:tc>
          <w:tcPr>
            <w:tcW w:type="dxa" w:w="1872"/>
          </w:tcPr>
          <w:p>
            <w:r>
              <w:t xml:space="preserve">NV-NIL (pending A2A.6 nil-return)</w:t>
            </w:r>
          </w:p>
        </w:tc>
      </w:tr>
      <w:tr>
        <w:tc>
          <w:tcPr>
            <w:tcW w:type="dxa" w:w="1872"/>
          </w:tcPr>
          <w:p>
            <w:r>
              <w:t xml:space="preserve">MX-2A-068</w:t>
            </w:r>
          </w:p>
        </w:tc>
        <w:tc>
          <w:tcPr>
            <w:tcW w:type="dxa" w:w="1872"/>
          </w:tcPr>
          <w:p>
            <w:r>
              <w:t xml:space="preserve">2902.43</w:t>
            </w:r>
          </w:p>
        </w:tc>
        <w:tc>
          <w:tcPr>
            <w:tcW w:type="dxa" w:w="1872"/>
          </w:tcPr>
          <w:p>
            <w:r>
              <w:t xml:space="preserve">Toluene (chemically defined)</w:t>
            </w:r>
          </w:p>
        </w:tc>
        <w:tc>
          <w:tcPr>
            <w:tcW w:type="dxa" w:w="1872"/>
          </w:tcPr>
          <w:p>
            <w:r>
              <w:t xml:space="preserve">NV-NIL</w:t>
            </w:r>
          </w:p>
        </w:tc>
        <w:tc>
          <w:tcPr>
            <w:tcW w:type="dxa" w:w="1872"/>
          </w:tcPr>
          <w:p>
            <w:r>
              <w:t xml:space="preserve">NV-NIL (pending A2A.6 nil-return)</w:t>
            </w:r>
          </w:p>
        </w:tc>
      </w:tr>
      <w:tr>
        <w:tc>
          <w:tcPr>
            <w:tcW w:type="dxa" w:w="1872"/>
          </w:tcPr>
          <w:p>
            <w:r>
              <w:t xml:space="preserve">MX-2A-069</w:t>
            </w:r>
          </w:p>
        </w:tc>
        <w:tc>
          <w:tcPr>
            <w:tcW w:type="dxa" w:w="1872"/>
          </w:tcPr>
          <w:p>
            <w:r>
              <w:t xml:space="preserve">2903.21</w:t>
            </w:r>
          </w:p>
        </w:tc>
        <w:tc>
          <w:tcPr>
            <w:tcW w:type="dxa" w:w="1872"/>
          </w:tcPr>
          <w:p>
            <w:r>
              <w:t xml:space="preserve">Dichloromethane</w:t>
            </w:r>
          </w:p>
        </w:tc>
        <w:tc>
          <w:tcPr>
            <w:tcW w:type="dxa" w:w="1872"/>
          </w:tcPr>
          <w:p>
            <w:r>
              <w:t xml:space="preserve">NV-NIL</w:t>
            </w:r>
          </w:p>
        </w:tc>
        <w:tc>
          <w:tcPr>
            <w:tcW w:type="dxa" w:w="1872"/>
          </w:tcPr>
          <w:p>
            <w:r>
              <w:t xml:space="preserve">NV-NIL (pending A2A.6 nil-return)</w:t>
            </w:r>
          </w:p>
        </w:tc>
      </w:tr>
      <w:tr>
        <w:tc>
          <w:tcPr>
            <w:tcW w:type="dxa" w:w="1872"/>
          </w:tcPr>
          <w:p>
            <w:r>
              <w:t xml:space="preserve">MX-2A-070</w:t>
            </w:r>
          </w:p>
        </w:tc>
        <w:tc>
          <w:tcPr>
            <w:tcW w:type="dxa" w:w="1872"/>
          </w:tcPr>
          <w:p>
            <w:r>
              <w:t xml:space="preserve">2905.11</w:t>
            </w:r>
          </w:p>
        </w:tc>
        <w:tc>
          <w:tcPr>
            <w:tcW w:type="dxa" w:w="1872"/>
          </w:tcPr>
          <w:p>
            <w:r>
              <w:t xml:space="preserve">Methanol</w:t>
            </w:r>
          </w:p>
        </w:tc>
        <w:tc>
          <w:tcPr>
            <w:tcW w:type="dxa" w:w="1872"/>
          </w:tcPr>
          <w:p>
            <w:r>
              <w:t xml:space="preserve">NV-NIL</w:t>
            </w:r>
          </w:p>
        </w:tc>
        <w:tc>
          <w:tcPr>
            <w:tcW w:type="dxa" w:w="1872"/>
          </w:tcPr>
          <w:p>
            <w:r>
              <w:t xml:space="preserve">NV-NIL (pending A2A.6 nil-return)</w:t>
            </w:r>
          </w:p>
        </w:tc>
      </w:tr>
      <w:tr>
        <w:tc>
          <w:tcPr>
            <w:tcW w:type="dxa" w:w="1872"/>
          </w:tcPr>
          <w:p>
            <w:r>
              <w:t xml:space="preserve">MX-2A-071</w:t>
            </w:r>
          </w:p>
        </w:tc>
        <w:tc>
          <w:tcPr>
            <w:tcW w:type="dxa" w:w="1872"/>
          </w:tcPr>
          <w:p>
            <w:r>
              <w:t xml:space="preserve">2905.12</w:t>
            </w:r>
          </w:p>
        </w:tc>
        <w:tc>
          <w:tcPr>
            <w:tcW w:type="dxa" w:w="1872"/>
          </w:tcPr>
          <w:p>
            <w:r>
              <w:t xml:space="preserve">Propanols</w:t>
            </w:r>
          </w:p>
        </w:tc>
        <w:tc>
          <w:tcPr>
            <w:tcW w:type="dxa" w:w="1872"/>
          </w:tcPr>
          <w:p>
            <w:r>
              <w:t xml:space="preserve">NV-NIL</w:t>
            </w:r>
          </w:p>
        </w:tc>
        <w:tc>
          <w:tcPr>
            <w:tcW w:type="dxa" w:w="1872"/>
          </w:tcPr>
          <w:p>
            <w:r>
              <w:t xml:space="preserve">NV-NIL (pending A2A.6 nil-return)</w:t>
            </w:r>
          </w:p>
        </w:tc>
      </w:tr>
      <w:tr>
        <w:tc>
          <w:tcPr>
            <w:tcW w:type="dxa" w:w="1872"/>
          </w:tcPr>
          <w:p>
            <w:r>
              <w:t xml:space="preserve">MX-2A-072</w:t>
            </w:r>
          </w:p>
        </w:tc>
        <w:tc>
          <w:tcPr>
            <w:tcW w:type="dxa" w:w="1872"/>
          </w:tcPr>
          <w:p>
            <w:r>
              <w:t xml:space="preserve">2915.21</w:t>
            </w:r>
          </w:p>
        </w:tc>
        <w:tc>
          <w:tcPr>
            <w:tcW w:type="dxa" w:w="1872"/>
          </w:tcPr>
          <w:p>
            <w:r>
              <w:t xml:space="preserve">Acetic acid</w:t>
            </w:r>
          </w:p>
        </w:tc>
        <w:tc>
          <w:tcPr>
            <w:tcW w:type="dxa" w:w="1872"/>
          </w:tcPr>
          <w:p>
            <w:r>
              <w:t xml:space="preserve">NV-NIL</w:t>
            </w:r>
          </w:p>
        </w:tc>
        <w:tc>
          <w:tcPr>
            <w:tcW w:type="dxa" w:w="1872"/>
          </w:tcPr>
          <w:p>
            <w:r>
              <w:t xml:space="preserve">NV-NIL (pending A2A.6 nil-return)</w:t>
            </w:r>
          </w:p>
        </w:tc>
      </w:tr>
      <w:tr>
        <w:tc>
          <w:tcPr>
            <w:tcW w:type="dxa" w:w="1872"/>
          </w:tcPr>
          <w:p>
            <w:r>
              <w:t xml:space="preserve">MX-2A-073</w:t>
            </w:r>
          </w:p>
        </w:tc>
        <w:tc>
          <w:tcPr>
            <w:tcW w:type="dxa" w:w="1872"/>
          </w:tcPr>
          <w:p>
            <w:r>
              <w:t xml:space="preserve">2917.13</w:t>
            </w:r>
          </w:p>
        </w:tc>
        <w:tc>
          <w:tcPr>
            <w:tcW w:type="dxa" w:w="1872"/>
          </w:tcPr>
          <w:p>
            <w:r>
              <w:t xml:space="preserve">Dibutyl orthophthalates</w:t>
            </w:r>
          </w:p>
        </w:tc>
        <w:tc>
          <w:tcPr>
            <w:tcW w:type="dxa" w:w="1872"/>
          </w:tcPr>
          <w:p>
            <w:r>
              <w:t xml:space="preserve">NV-NIL</w:t>
            </w:r>
          </w:p>
        </w:tc>
        <w:tc>
          <w:tcPr>
            <w:tcW w:type="dxa" w:w="1872"/>
          </w:tcPr>
          <w:p>
            <w:r>
              <w:t xml:space="preserve">NV-NIL (pending A2A.6 nil-return)</w:t>
            </w:r>
          </w:p>
        </w:tc>
      </w:tr>
      <w:tr>
        <w:tc>
          <w:tcPr>
            <w:tcW w:type="dxa" w:w="1872"/>
          </w:tcPr>
          <w:p>
            <w:r>
              <w:t xml:space="preserve">MX-2A-074</w:t>
            </w:r>
          </w:p>
        </w:tc>
        <w:tc>
          <w:tcPr>
            <w:tcW w:type="dxa" w:w="1872"/>
          </w:tcPr>
          <w:p>
            <w:r>
              <w:t xml:space="preserve">2918.99</w:t>
            </w:r>
          </w:p>
        </w:tc>
        <w:tc>
          <w:tcPr>
            <w:tcW w:type="dxa" w:w="1872"/>
          </w:tcPr>
          <w:p>
            <w:r>
              <w:t xml:space="preserve">Carboxylic acids, other</w:t>
            </w:r>
          </w:p>
        </w:tc>
        <w:tc>
          <w:tcPr>
            <w:tcW w:type="dxa" w:w="1872"/>
          </w:tcPr>
          <w:p>
            <w:r>
              <w:t xml:space="preserve">NV-NIL</w:t>
            </w:r>
          </w:p>
        </w:tc>
        <w:tc>
          <w:tcPr>
            <w:tcW w:type="dxa" w:w="1872"/>
          </w:tcPr>
          <w:p>
            <w:r>
              <w:t xml:space="preserve">NV-NIL (pending A2A.6 nil-return)</w:t>
            </w:r>
          </w:p>
        </w:tc>
      </w:tr>
      <w:tr>
        <w:tc>
          <w:tcPr>
            <w:tcW w:type="dxa" w:w="1872"/>
          </w:tcPr>
          <w:p>
            <w:r>
              <w:t xml:space="preserve">MX-2A-075</w:t>
            </w:r>
          </w:p>
        </w:tc>
        <w:tc>
          <w:tcPr>
            <w:tcW w:type="dxa" w:w="1872"/>
          </w:tcPr>
          <w:p>
            <w:r>
              <w:t xml:space="preserve">2941.10</w:t>
            </w:r>
          </w:p>
        </w:tc>
        <w:tc>
          <w:tcPr>
            <w:tcW w:type="dxa" w:w="1872"/>
          </w:tcPr>
          <w:p>
            <w:r>
              <w:t xml:space="preserve">Penicillins</w:t>
            </w:r>
          </w:p>
        </w:tc>
        <w:tc>
          <w:tcPr>
            <w:tcW w:type="dxa" w:w="1872"/>
          </w:tcPr>
          <w:p>
            <w:r>
              <w:t xml:space="preserve">NV-NIL</w:t>
            </w:r>
          </w:p>
        </w:tc>
        <w:tc>
          <w:tcPr>
            <w:tcW w:type="dxa" w:w="1872"/>
          </w:tcPr>
          <w:p>
            <w:r>
              <w:t xml:space="preserve">NV-NIL (pending A2A.6 nil-return)</w:t>
            </w:r>
          </w:p>
        </w:tc>
      </w:tr>
      <w:tr>
        <w:tc>
          <w:tcPr>
            <w:tcW w:type="dxa" w:w="1872"/>
          </w:tcPr>
          <w:p>
            <w:r>
              <w:t xml:space="preserve">MX-2A-076</w:t>
            </w:r>
          </w:p>
        </w:tc>
        <w:tc>
          <w:tcPr>
            <w:tcW w:type="dxa" w:w="1872"/>
          </w:tcPr>
          <w:p>
            <w:r>
              <w:t xml:space="preserve">3901.10</w:t>
            </w:r>
          </w:p>
        </w:tc>
        <w:tc>
          <w:tcPr>
            <w:tcW w:type="dxa" w:w="1872"/>
          </w:tcPr>
          <w:p>
            <w:r>
              <w:t xml:space="preserve">Polyethylene, specific gravity &lt;0.94</w:t>
            </w:r>
          </w:p>
        </w:tc>
        <w:tc>
          <w:tcPr>
            <w:tcW w:type="dxa" w:w="1872"/>
          </w:tcPr>
          <w:p>
            <w:r>
              <w:t xml:space="preserve">NV-NIL</w:t>
            </w:r>
          </w:p>
        </w:tc>
        <w:tc>
          <w:tcPr>
            <w:tcW w:type="dxa" w:w="1872"/>
          </w:tcPr>
          <w:p>
            <w:r>
              <w:t xml:space="preserve">NV-NIL (pending A2A.6 nil-return)</w:t>
            </w:r>
          </w:p>
        </w:tc>
      </w:tr>
      <w:tr>
        <w:tc>
          <w:tcPr>
            <w:tcW w:type="dxa" w:w="1872"/>
          </w:tcPr>
          <w:p>
            <w:r>
              <w:t xml:space="preserve">MX-2A-077</w:t>
            </w:r>
          </w:p>
        </w:tc>
        <w:tc>
          <w:tcPr>
            <w:tcW w:type="dxa" w:w="1872"/>
          </w:tcPr>
          <w:p>
            <w:r>
              <w:t xml:space="preserve">3901.20</w:t>
            </w:r>
          </w:p>
        </w:tc>
        <w:tc>
          <w:tcPr>
            <w:tcW w:type="dxa" w:w="1872"/>
          </w:tcPr>
          <w:p>
            <w:r>
              <w:t xml:space="preserve">Polyethylene, specific gravity &gt;=0.94</w:t>
            </w:r>
          </w:p>
        </w:tc>
        <w:tc>
          <w:tcPr>
            <w:tcW w:type="dxa" w:w="1872"/>
          </w:tcPr>
          <w:p>
            <w:r>
              <w:t xml:space="preserve">NV-NIL</w:t>
            </w:r>
          </w:p>
        </w:tc>
        <w:tc>
          <w:tcPr>
            <w:tcW w:type="dxa" w:w="1872"/>
          </w:tcPr>
          <w:p>
            <w:r>
              <w:t xml:space="preserve">NV-NIL (pending A2A.6 nil-return)</w:t>
            </w:r>
          </w:p>
        </w:tc>
      </w:tr>
      <w:tr>
        <w:tc>
          <w:tcPr>
            <w:tcW w:type="dxa" w:w="1872"/>
          </w:tcPr>
          <w:p>
            <w:r>
              <w:t xml:space="preserve">MX-2A-078</w:t>
            </w:r>
          </w:p>
        </w:tc>
        <w:tc>
          <w:tcPr>
            <w:tcW w:type="dxa" w:w="1872"/>
          </w:tcPr>
          <w:p>
            <w:r>
              <w:t xml:space="preserve">3902.20</w:t>
            </w:r>
          </w:p>
        </w:tc>
        <w:tc>
          <w:tcPr>
            <w:tcW w:type="dxa" w:w="1872"/>
          </w:tcPr>
          <w:p>
            <w:r>
              <w:t xml:space="preserve">Polypropylene</w:t>
            </w:r>
          </w:p>
        </w:tc>
        <w:tc>
          <w:tcPr>
            <w:tcW w:type="dxa" w:w="1872"/>
          </w:tcPr>
          <w:p>
            <w:r>
              <w:t xml:space="preserve">NV-NIL</w:t>
            </w:r>
          </w:p>
        </w:tc>
        <w:tc>
          <w:tcPr>
            <w:tcW w:type="dxa" w:w="1872"/>
          </w:tcPr>
          <w:p>
            <w:r>
              <w:t xml:space="preserve">NV-NIL (pending A2A.6 nil-return)</w:t>
            </w:r>
          </w:p>
        </w:tc>
      </w:tr>
      <w:tr>
        <w:tc>
          <w:tcPr>
            <w:tcW w:type="dxa" w:w="1872"/>
          </w:tcPr>
          <w:p>
            <w:r>
              <w:t xml:space="preserve">MX-2A-079</w:t>
            </w:r>
          </w:p>
        </w:tc>
        <w:tc>
          <w:tcPr>
            <w:tcW w:type="dxa" w:w="1872"/>
          </w:tcPr>
          <w:p>
            <w:r>
              <w:t xml:space="preserve">3903.30</w:t>
            </w:r>
          </w:p>
        </w:tc>
        <w:tc>
          <w:tcPr>
            <w:tcW w:type="dxa" w:w="1872"/>
          </w:tcPr>
          <w:p>
            <w:r>
              <w:t xml:space="preserve">ABS copolymers</w:t>
            </w:r>
          </w:p>
        </w:tc>
        <w:tc>
          <w:tcPr>
            <w:tcW w:type="dxa" w:w="1872"/>
          </w:tcPr>
          <w:p>
            <w:r>
              <w:t xml:space="preserve">NV-NIL</w:t>
            </w:r>
          </w:p>
        </w:tc>
        <w:tc>
          <w:tcPr>
            <w:tcW w:type="dxa" w:w="1872"/>
          </w:tcPr>
          <w:p>
            <w:r>
              <w:t xml:space="preserve">NV-NIL (pending A2A.6 nil-return)</w:t>
            </w:r>
          </w:p>
        </w:tc>
      </w:tr>
      <w:tr>
        <w:tc>
          <w:tcPr>
            <w:tcW w:type="dxa" w:w="1872"/>
          </w:tcPr>
          <w:p>
            <w:r>
              <w:t xml:space="preserve">MX-2A-080</w:t>
            </w:r>
          </w:p>
        </w:tc>
        <w:tc>
          <w:tcPr>
            <w:tcW w:type="dxa" w:w="1872"/>
          </w:tcPr>
          <w:p>
            <w:r>
              <w:t xml:space="preserve">3904.10</w:t>
            </w:r>
          </w:p>
        </w:tc>
        <w:tc>
          <w:tcPr>
            <w:tcW w:type="dxa" w:w="1872"/>
          </w:tcPr>
          <w:p>
            <w:r>
              <w:t xml:space="preserve">PVC, not mixed</w:t>
            </w:r>
          </w:p>
        </w:tc>
        <w:tc>
          <w:tcPr>
            <w:tcW w:type="dxa" w:w="1872"/>
          </w:tcPr>
          <w:p>
            <w:r>
              <w:t xml:space="preserve">NV-NIL</w:t>
            </w:r>
          </w:p>
        </w:tc>
        <w:tc>
          <w:tcPr>
            <w:tcW w:type="dxa" w:w="1872"/>
          </w:tcPr>
          <w:p>
            <w:r>
              <w:t xml:space="preserve">NV-NIL (pending A2A.6 nil-return)</w:t>
            </w:r>
          </w:p>
        </w:tc>
      </w:tr>
      <w:tr>
        <w:tc>
          <w:tcPr>
            <w:tcW w:type="dxa" w:w="1872"/>
          </w:tcPr>
          <w:p>
            <w:r>
              <w:t xml:space="preserve">MX-2A-081</w:t>
            </w:r>
          </w:p>
        </w:tc>
        <w:tc>
          <w:tcPr>
            <w:tcW w:type="dxa" w:w="1872"/>
          </w:tcPr>
          <w:p>
            <w:r>
              <w:t xml:space="preserve">3904.21</w:t>
            </w:r>
          </w:p>
        </w:tc>
        <w:tc>
          <w:tcPr>
            <w:tcW w:type="dxa" w:w="1872"/>
          </w:tcPr>
          <w:p>
            <w:r>
              <w:t xml:space="preserve">PVC, plasticized</w:t>
            </w:r>
          </w:p>
        </w:tc>
        <w:tc>
          <w:tcPr>
            <w:tcW w:type="dxa" w:w="1872"/>
          </w:tcPr>
          <w:p>
            <w:r>
              <w:t xml:space="preserve">NV-NIL</w:t>
            </w:r>
          </w:p>
        </w:tc>
        <w:tc>
          <w:tcPr>
            <w:tcW w:type="dxa" w:w="1872"/>
          </w:tcPr>
          <w:p>
            <w:r>
              <w:t xml:space="preserve">NV-NIL (pending A2A.6 nil-return)</w:t>
            </w:r>
          </w:p>
        </w:tc>
      </w:tr>
      <w:tr>
        <w:tc>
          <w:tcPr>
            <w:tcW w:type="dxa" w:w="1872"/>
          </w:tcPr>
          <w:p>
            <w:r>
              <w:t xml:space="preserve">MX-2A-082</w:t>
            </w:r>
          </w:p>
        </w:tc>
        <w:tc>
          <w:tcPr>
            <w:tcW w:type="dxa" w:w="1872"/>
          </w:tcPr>
          <w:p>
            <w:r>
              <w:t xml:space="preserve">3907.61</w:t>
            </w:r>
          </w:p>
        </w:tc>
        <w:tc>
          <w:tcPr>
            <w:tcW w:type="dxa" w:w="1872"/>
          </w:tcPr>
          <w:p>
            <w:r>
              <w:t xml:space="preserve">PET, viscosity &gt;=78 ml/g</w:t>
            </w:r>
          </w:p>
        </w:tc>
        <w:tc>
          <w:tcPr>
            <w:tcW w:type="dxa" w:w="1872"/>
          </w:tcPr>
          <w:p>
            <w:r>
              <w:t xml:space="preserve">NV-NIL</w:t>
            </w:r>
          </w:p>
        </w:tc>
        <w:tc>
          <w:tcPr>
            <w:tcW w:type="dxa" w:w="1872"/>
          </w:tcPr>
          <w:p>
            <w:r>
              <w:t xml:space="preserve">NV-NIL (pending A2A.6 nil-return)</w:t>
            </w:r>
          </w:p>
        </w:tc>
      </w:tr>
      <w:tr>
        <w:tc>
          <w:tcPr>
            <w:tcW w:type="dxa" w:w="1872"/>
          </w:tcPr>
          <w:p>
            <w:r>
              <w:t xml:space="preserve">MX-2A-083</w:t>
            </w:r>
          </w:p>
        </w:tc>
        <w:tc>
          <w:tcPr>
            <w:tcW w:type="dxa" w:w="1872"/>
          </w:tcPr>
          <w:p>
            <w:r>
              <w:t xml:space="preserve">3917.21</w:t>
            </w:r>
          </w:p>
        </w:tc>
        <w:tc>
          <w:tcPr>
            <w:tcW w:type="dxa" w:w="1872"/>
          </w:tcPr>
          <w:p>
            <w:r>
              <w:t xml:space="preserve">Rigid tubes of polymers of ethylene</w:t>
            </w:r>
          </w:p>
        </w:tc>
        <w:tc>
          <w:tcPr>
            <w:tcW w:type="dxa" w:w="1872"/>
          </w:tcPr>
          <w:p>
            <w:r>
              <w:t xml:space="preserve">NV-NIL</w:t>
            </w:r>
          </w:p>
        </w:tc>
        <w:tc>
          <w:tcPr>
            <w:tcW w:type="dxa" w:w="1872"/>
          </w:tcPr>
          <w:p>
            <w:r>
              <w:t xml:space="preserve">NV-NIL (pending A2A.6 nil-return)</w:t>
            </w:r>
          </w:p>
        </w:tc>
      </w:tr>
      <w:tr>
        <w:tc>
          <w:tcPr>
            <w:tcW w:type="dxa" w:w="1872"/>
          </w:tcPr>
          <w:p>
            <w:r>
              <w:t xml:space="preserve">MX-2A-084</w:t>
            </w:r>
          </w:p>
        </w:tc>
        <w:tc>
          <w:tcPr>
            <w:tcW w:type="dxa" w:w="1872"/>
          </w:tcPr>
          <w:p>
            <w:r>
              <w:t xml:space="preserve">3917.23</w:t>
            </w:r>
          </w:p>
        </w:tc>
        <w:tc>
          <w:tcPr>
            <w:tcW w:type="dxa" w:w="1872"/>
          </w:tcPr>
          <w:p>
            <w:r>
              <w:t xml:space="preserve">Rigid tubes of PVC</w:t>
            </w:r>
          </w:p>
        </w:tc>
        <w:tc>
          <w:tcPr>
            <w:tcW w:type="dxa" w:w="1872"/>
          </w:tcPr>
          <w:p>
            <w:r>
              <w:t xml:space="preserve">NV-NIL</w:t>
            </w:r>
          </w:p>
        </w:tc>
        <w:tc>
          <w:tcPr>
            <w:tcW w:type="dxa" w:w="1872"/>
          </w:tcPr>
          <w:p>
            <w:r>
              <w:t xml:space="preserve">NV-NIL (pending A2A.6 nil-return)</w:t>
            </w:r>
          </w:p>
        </w:tc>
      </w:tr>
      <w:tr>
        <w:tc>
          <w:tcPr>
            <w:tcW w:type="dxa" w:w="1872"/>
          </w:tcPr>
          <w:p>
            <w:r>
              <w:t xml:space="preserve">MX-2A-085</w:t>
            </w:r>
          </w:p>
        </w:tc>
        <w:tc>
          <w:tcPr>
            <w:tcW w:type="dxa" w:w="1872"/>
          </w:tcPr>
          <w:p>
            <w:r>
              <w:t xml:space="preserve">3917.40</w:t>
            </w:r>
          </w:p>
        </w:tc>
        <w:tc>
          <w:tcPr>
            <w:tcW w:type="dxa" w:w="1872"/>
          </w:tcPr>
          <w:p>
            <w:r>
              <w:t xml:space="preserve">Tube fittings</w:t>
            </w:r>
          </w:p>
        </w:tc>
        <w:tc>
          <w:tcPr>
            <w:tcW w:type="dxa" w:w="1872"/>
          </w:tcPr>
          <w:p>
            <w:r>
              <w:t xml:space="preserve">NV-NIL</w:t>
            </w:r>
          </w:p>
        </w:tc>
        <w:tc>
          <w:tcPr>
            <w:tcW w:type="dxa" w:w="1872"/>
          </w:tcPr>
          <w:p>
            <w:r>
              <w:t xml:space="preserve">NV-NIL (pending A2A.6 nil-return)</w:t>
            </w:r>
          </w:p>
        </w:tc>
      </w:tr>
      <w:tr>
        <w:tc>
          <w:tcPr>
            <w:tcW w:type="dxa" w:w="1872"/>
          </w:tcPr>
          <w:p>
            <w:r>
              <w:t xml:space="preserve">MX-2A-086</w:t>
            </w:r>
          </w:p>
        </w:tc>
        <w:tc>
          <w:tcPr>
            <w:tcW w:type="dxa" w:w="1872"/>
          </w:tcPr>
          <w:p>
            <w:r>
              <w:t xml:space="preserve">3921.11</w:t>
            </w:r>
          </w:p>
        </w:tc>
        <w:tc>
          <w:tcPr>
            <w:tcW w:type="dxa" w:w="1872"/>
          </w:tcPr>
          <w:p>
            <w:r>
              <w:t xml:space="preserve">Plates of polymers of styrene</w:t>
            </w:r>
          </w:p>
        </w:tc>
        <w:tc>
          <w:tcPr>
            <w:tcW w:type="dxa" w:w="1872"/>
          </w:tcPr>
          <w:p>
            <w:r>
              <w:t xml:space="preserve">NV-NIL</w:t>
            </w:r>
          </w:p>
        </w:tc>
        <w:tc>
          <w:tcPr>
            <w:tcW w:type="dxa" w:w="1872"/>
          </w:tcPr>
          <w:p>
            <w:r>
              <w:t xml:space="preserve">NV-NIL (pending A2A.6 nil-return)</w:t>
            </w:r>
          </w:p>
        </w:tc>
      </w:tr>
      <w:tr>
        <w:tc>
          <w:tcPr>
            <w:tcW w:type="dxa" w:w="1872"/>
          </w:tcPr>
          <w:p>
            <w:r>
              <w:t xml:space="preserve">MX-2A-087</w:t>
            </w:r>
          </w:p>
        </w:tc>
        <w:tc>
          <w:tcPr>
            <w:tcW w:type="dxa" w:w="1872"/>
          </w:tcPr>
          <w:p>
            <w:r>
              <w:t xml:space="preserve">3923.21</w:t>
            </w:r>
          </w:p>
        </w:tc>
        <w:tc>
          <w:tcPr>
            <w:tcW w:type="dxa" w:w="1872"/>
          </w:tcPr>
          <w:p>
            <w:r>
              <w:t xml:space="preserve">Sacks of polymers of ethylene</w:t>
            </w:r>
          </w:p>
        </w:tc>
        <w:tc>
          <w:tcPr>
            <w:tcW w:type="dxa" w:w="1872"/>
          </w:tcPr>
          <w:p>
            <w:r>
              <w:t xml:space="preserve">NV-NIL</w:t>
            </w:r>
          </w:p>
        </w:tc>
        <w:tc>
          <w:tcPr>
            <w:tcW w:type="dxa" w:w="1872"/>
          </w:tcPr>
          <w:p>
            <w:r>
              <w:t xml:space="preserve">NV-NIL (pending A2A.6 nil-return)</w:t>
            </w:r>
          </w:p>
        </w:tc>
      </w:tr>
      <w:tr>
        <w:tc>
          <w:tcPr>
            <w:tcW w:type="dxa" w:w="1872"/>
          </w:tcPr>
          <w:p>
            <w:r>
              <w:t xml:space="preserve">MX-2A-088</w:t>
            </w:r>
          </w:p>
        </w:tc>
        <w:tc>
          <w:tcPr>
            <w:tcW w:type="dxa" w:w="1872"/>
          </w:tcPr>
          <w:p>
            <w:r>
              <w:t xml:space="preserve">3923.30</w:t>
            </w:r>
          </w:p>
        </w:tc>
        <w:tc>
          <w:tcPr>
            <w:tcW w:type="dxa" w:w="1872"/>
          </w:tcPr>
          <w:p>
            <w:r>
              <w:t xml:space="preserve">Carboys and bottles of plastics</w:t>
            </w:r>
          </w:p>
        </w:tc>
        <w:tc>
          <w:tcPr>
            <w:tcW w:type="dxa" w:w="1872"/>
          </w:tcPr>
          <w:p>
            <w:r>
              <w:t xml:space="preserve">NV-NIL</w:t>
            </w:r>
          </w:p>
        </w:tc>
        <w:tc>
          <w:tcPr>
            <w:tcW w:type="dxa" w:w="1872"/>
          </w:tcPr>
          <w:p>
            <w:r>
              <w:t xml:space="preserve">NV-NIL (pending A2A.6 nil-return)</w:t>
            </w:r>
          </w:p>
        </w:tc>
      </w:tr>
      <w:tr>
        <w:tc>
          <w:tcPr>
            <w:tcW w:type="dxa" w:w="1872"/>
          </w:tcPr>
          <w:p>
            <w:r>
              <w:t xml:space="preserve">MX-2A-089</w:t>
            </w:r>
          </w:p>
        </w:tc>
        <w:tc>
          <w:tcPr>
            <w:tcW w:type="dxa" w:w="1872"/>
          </w:tcPr>
          <w:p>
            <w:r>
              <w:t xml:space="preserve">3924.10</w:t>
            </w:r>
          </w:p>
        </w:tc>
        <w:tc>
          <w:tcPr>
            <w:tcW w:type="dxa" w:w="1872"/>
          </w:tcPr>
          <w:p>
            <w:r>
              <w:t xml:space="preserve">Tableware of plastics</w:t>
            </w:r>
          </w:p>
        </w:tc>
        <w:tc>
          <w:tcPr>
            <w:tcW w:type="dxa" w:w="1872"/>
          </w:tcPr>
          <w:p>
            <w:r>
              <w:t xml:space="preserve">NV-NIL</w:t>
            </w:r>
          </w:p>
        </w:tc>
        <w:tc>
          <w:tcPr>
            <w:tcW w:type="dxa" w:w="1872"/>
          </w:tcPr>
          <w:p>
            <w:r>
              <w:t xml:space="preserve">NV-NIL (pending A2A.6 nil-return)</w:t>
            </w:r>
          </w:p>
        </w:tc>
      </w:tr>
      <w:tr>
        <w:tc>
          <w:tcPr>
            <w:tcW w:type="dxa" w:w="1872"/>
          </w:tcPr>
          <w:p>
            <w:r>
              <w:t xml:space="preserve">MX-2A-090</w:t>
            </w:r>
          </w:p>
        </w:tc>
        <w:tc>
          <w:tcPr>
            <w:tcW w:type="dxa" w:w="1872"/>
          </w:tcPr>
          <w:p>
            <w:r>
              <w:t xml:space="preserve">3926.20</w:t>
            </w:r>
          </w:p>
        </w:tc>
        <w:tc>
          <w:tcPr>
            <w:tcW w:type="dxa" w:w="1872"/>
          </w:tcPr>
          <w:p>
            <w:r>
              <w:t xml:space="preserve">Articles of plastic clothing</w:t>
            </w:r>
          </w:p>
        </w:tc>
        <w:tc>
          <w:tcPr>
            <w:tcW w:type="dxa" w:w="1872"/>
          </w:tcPr>
          <w:p>
            <w:r>
              <w:t xml:space="preserve">NV-NIL</w:t>
            </w:r>
          </w:p>
        </w:tc>
        <w:tc>
          <w:tcPr>
            <w:tcW w:type="dxa" w:w="1872"/>
          </w:tcPr>
          <w:p>
            <w:r>
              <w:t xml:space="preserve">NV-NIL (pending A2A.6 nil-return)</w:t>
            </w:r>
          </w:p>
        </w:tc>
      </w:tr>
      <w:tr>
        <w:tc>
          <w:tcPr>
            <w:tcW w:type="dxa" w:w="1872"/>
          </w:tcPr>
          <w:p>
            <w:r>
              <w:t xml:space="preserve">MX-2A-091</w:t>
            </w:r>
          </w:p>
        </w:tc>
        <w:tc>
          <w:tcPr>
            <w:tcW w:type="dxa" w:w="1872"/>
          </w:tcPr>
          <w:p>
            <w:r>
              <w:t xml:space="preserve">4001.10</w:t>
            </w:r>
          </w:p>
        </w:tc>
        <w:tc>
          <w:tcPr>
            <w:tcW w:type="dxa" w:w="1872"/>
          </w:tcPr>
          <w:p>
            <w:r>
              <w:t xml:space="preserve">Natural rubber latex</w:t>
            </w:r>
          </w:p>
        </w:tc>
        <w:tc>
          <w:tcPr>
            <w:tcW w:type="dxa" w:w="1872"/>
          </w:tcPr>
          <w:p>
            <w:r>
              <w:t xml:space="preserve">NV-NIL</w:t>
            </w:r>
          </w:p>
        </w:tc>
        <w:tc>
          <w:tcPr>
            <w:tcW w:type="dxa" w:w="1872"/>
          </w:tcPr>
          <w:p>
            <w:r>
              <w:t xml:space="preserve">NV-NIL (pending A2A.6 nil-return)</w:t>
            </w:r>
          </w:p>
        </w:tc>
      </w:tr>
      <w:tr>
        <w:tc>
          <w:tcPr>
            <w:tcW w:type="dxa" w:w="1872"/>
          </w:tcPr>
          <w:p>
            <w:r>
              <w:t xml:space="preserve">MX-2A-092</w:t>
            </w:r>
          </w:p>
        </w:tc>
        <w:tc>
          <w:tcPr>
            <w:tcW w:type="dxa" w:w="1872"/>
          </w:tcPr>
          <w:p>
            <w:r>
              <w:t xml:space="preserve">4001.21</w:t>
            </w:r>
          </w:p>
        </w:tc>
        <w:tc>
          <w:tcPr>
            <w:tcW w:type="dxa" w:w="1872"/>
          </w:tcPr>
          <w:p>
            <w:r>
              <w:t xml:space="preserve">Natural rubber, smoked sheets</w:t>
            </w:r>
          </w:p>
        </w:tc>
        <w:tc>
          <w:tcPr>
            <w:tcW w:type="dxa" w:w="1872"/>
          </w:tcPr>
          <w:p>
            <w:r>
              <w:t xml:space="preserve">NV-NIL</w:t>
            </w:r>
          </w:p>
        </w:tc>
        <w:tc>
          <w:tcPr>
            <w:tcW w:type="dxa" w:w="1872"/>
          </w:tcPr>
          <w:p>
            <w:r>
              <w:t xml:space="preserve">NV-NIL (pending A2A.6 nil-return)</w:t>
            </w:r>
          </w:p>
        </w:tc>
      </w:tr>
      <w:tr>
        <w:tc>
          <w:tcPr>
            <w:tcW w:type="dxa" w:w="1872"/>
          </w:tcPr>
          <w:p>
            <w:r>
              <w:t xml:space="preserve">MX-2A-093</w:t>
            </w:r>
          </w:p>
        </w:tc>
        <w:tc>
          <w:tcPr>
            <w:tcW w:type="dxa" w:w="1872"/>
          </w:tcPr>
          <w:p>
            <w:r>
              <w:t xml:space="preserve">4001.29</w:t>
            </w:r>
          </w:p>
        </w:tc>
        <w:tc>
          <w:tcPr>
            <w:tcW w:type="dxa" w:w="1872"/>
          </w:tcPr>
          <w:p>
            <w:r>
              <w:t xml:space="preserve">Natural rubber, other</w:t>
            </w:r>
          </w:p>
        </w:tc>
        <w:tc>
          <w:tcPr>
            <w:tcW w:type="dxa" w:w="1872"/>
          </w:tcPr>
          <w:p>
            <w:r>
              <w:t xml:space="preserve">NV-NIL</w:t>
            </w:r>
          </w:p>
        </w:tc>
        <w:tc>
          <w:tcPr>
            <w:tcW w:type="dxa" w:w="1872"/>
          </w:tcPr>
          <w:p>
            <w:r>
              <w:t xml:space="preserve">NV-NIL (pending A2A.6 nil-return)</w:t>
            </w:r>
          </w:p>
        </w:tc>
      </w:tr>
      <w:tr>
        <w:tc>
          <w:tcPr>
            <w:tcW w:type="dxa" w:w="1872"/>
          </w:tcPr>
          <w:p>
            <w:r>
              <w:t xml:space="preserve">MX-2A-094</w:t>
            </w:r>
          </w:p>
        </w:tc>
        <w:tc>
          <w:tcPr>
            <w:tcW w:type="dxa" w:w="1872"/>
          </w:tcPr>
          <w:p>
            <w:r>
              <w:t xml:space="preserve">4001.30</w:t>
            </w:r>
          </w:p>
        </w:tc>
        <w:tc>
          <w:tcPr>
            <w:tcW w:type="dxa" w:w="1872"/>
          </w:tcPr>
          <w:p>
            <w:r>
              <w:t xml:space="preserve">Balata and gutta-percha</w:t>
            </w:r>
          </w:p>
        </w:tc>
        <w:tc>
          <w:tcPr>
            <w:tcW w:type="dxa" w:w="1872"/>
          </w:tcPr>
          <w:p>
            <w:r>
              <w:t xml:space="preserve">NV-NIL</w:t>
            </w:r>
          </w:p>
        </w:tc>
        <w:tc>
          <w:tcPr>
            <w:tcW w:type="dxa" w:w="1872"/>
          </w:tcPr>
          <w:p>
            <w:r>
              <w:t xml:space="preserve">NV-NIL (pending A2A.6 nil-return)</w:t>
            </w:r>
          </w:p>
        </w:tc>
      </w:tr>
      <w:tr>
        <w:tc>
          <w:tcPr>
            <w:tcW w:type="dxa" w:w="1872"/>
          </w:tcPr>
          <w:p>
            <w:r>
              <w:t xml:space="preserve">MX-2A-095</w:t>
            </w:r>
          </w:p>
        </w:tc>
        <w:tc>
          <w:tcPr>
            <w:tcW w:type="dxa" w:w="1872"/>
          </w:tcPr>
          <w:p>
            <w:r>
              <w:t xml:space="preserve">4002.11</w:t>
            </w:r>
          </w:p>
        </w:tc>
        <w:tc>
          <w:tcPr>
            <w:tcW w:type="dxa" w:w="1872"/>
          </w:tcPr>
          <w:p>
            <w:r>
              <w:t xml:space="preserve">SBR latex</w:t>
            </w:r>
          </w:p>
        </w:tc>
        <w:tc>
          <w:tcPr>
            <w:tcW w:type="dxa" w:w="1872"/>
          </w:tcPr>
          <w:p>
            <w:r>
              <w:t xml:space="preserve">NV-NIL</w:t>
            </w:r>
          </w:p>
        </w:tc>
        <w:tc>
          <w:tcPr>
            <w:tcW w:type="dxa" w:w="1872"/>
          </w:tcPr>
          <w:p>
            <w:r>
              <w:t xml:space="preserve">NV-NIL (pending A2A.6 nil-return)</w:t>
            </w:r>
          </w:p>
        </w:tc>
      </w:tr>
      <w:tr>
        <w:tc>
          <w:tcPr>
            <w:tcW w:type="dxa" w:w="1872"/>
          </w:tcPr>
          <w:p>
            <w:r>
              <w:t xml:space="preserve">MX-2A-096</w:t>
            </w:r>
          </w:p>
        </w:tc>
        <w:tc>
          <w:tcPr>
            <w:tcW w:type="dxa" w:w="1872"/>
          </w:tcPr>
          <w:p>
            <w:r>
              <w:t xml:space="preserve">4002.19</w:t>
            </w:r>
          </w:p>
        </w:tc>
        <w:tc>
          <w:tcPr>
            <w:tcW w:type="dxa" w:w="1872"/>
          </w:tcPr>
          <w:p>
            <w:r>
              <w:t xml:space="preserve">SBR, other</w:t>
            </w:r>
          </w:p>
        </w:tc>
        <w:tc>
          <w:tcPr>
            <w:tcW w:type="dxa" w:w="1872"/>
          </w:tcPr>
          <w:p>
            <w:r>
              <w:t xml:space="preserve">NV-NIL</w:t>
            </w:r>
          </w:p>
        </w:tc>
        <w:tc>
          <w:tcPr>
            <w:tcW w:type="dxa" w:w="1872"/>
          </w:tcPr>
          <w:p>
            <w:r>
              <w:t xml:space="preserve">NV-NIL (pending A2A.6 nil-return)</w:t>
            </w:r>
          </w:p>
        </w:tc>
      </w:tr>
      <w:tr>
        <w:tc>
          <w:tcPr>
            <w:tcW w:type="dxa" w:w="1872"/>
          </w:tcPr>
          <w:p>
            <w:r>
              <w:t xml:space="preserve">MX-2A-097</w:t>
            </w:r>
          </w:p>
        </w:tc>
        <w:tc>
          <w:tcPr>
            <w:tcW w:type="dxa" w:w="1872"/>
          </w:tcPr>
          <w:p>
            <w:r>
              <w:t xml:space="preserve">7304.24</w:t>
            </w:r>
          </w:p>
        </w:tc>
        <w:tc>
          <w:tcPr>
            <w:tcW w:type="dxa" w:w="1872"/>
          </w:tcPr>
          <w:p>
            <w:r>
              <w:t xml:space="preserve">Casing and tubing, oil or gas well</w:t>
            </w:r>
          </w:p>
        </w:tc>
        <w:tc>
          <w:tcPr>
            <w:tcW w:type="dxa" w:w="1872"/>
          </w:tcPr>
          <w:p>
            <w:r>
              <w:t xml:space="preserve">NV-NIL</w:t>
            </w:r>
          </w:p>
        </w:tc>
        <w:tc>
          <w:tcPr>
            <w:tcW w:type="dxa" w:w="1872"/>
          </w:tcPr>
          <w:p>
            <w:r>
              <w:t xml:space="preserve">NV-NIL (pending A2A.6 nil-return)</w:t>
            </w:r>
          </w:p>
        </w:tc>
      </w:tr>
      <w:tr>
        <w:tc>
          <w:tcPr>
            <w:tcW w:type="dxa" w:w="1872"/>
          </w:tcPr>
          <w:p>
            <w:r>
              <w:t xml:space="preserve">MX-2A-098</w:t>
            </w:r>
          </w:p>
        </w:tc>
        <w:tc>
          <w:tcPr>
            <w:tcW w:type="dxa" w:w="1872"/>
          </w:tcPr>
          <w:p>
            <w:r>
              <w:t xml:space="preserve">7304.29</w:t>
            </w:r>
          </w:p>
        </w:tc>
        <w:tc>
          <w:tcPr>
            <w:tcW w:type="dxa" w:w="1872"/>
          </w:tcPr>
          <w:p>
            <w:r>
              <w:t xml:space="preserve">Casing and tubing, other</w:t>
            </w:r>
          </w:p>
        </w:tc>
        <w:tc>
          <w:tcPr>
            <w:tcW w:type="dxa" w:w="1872"/>
          </w:tcPr>
          <w:p>
            <w:r>
              <w:t xml:space="preserve">NV-NIL</w:t>
            </w:r>
          </w:p>
        </w:tc>
        <w:tc>
          <w:tcPr>
            <w:tcW w:type="dxa" w:w="1872"/>
          </w:tcPr>
          <w:p>
            <w:r>
              <w:t xml:space="preserve">NV-NIL (pending A2A.6 nil-return)</w:t>
            </w:r>
          </w:p>
        </w:tc>
      </w:tr>
      <w:tr>
        <w:tc>
          <w:tcPr>
            <w:tcW w:type="dxa" w:w="1872"/>
          </w:tcPr>
          <w:p>
            <w:r>
              <w:t xml:space="preserve">MX-2A-099</w:t>
            </w:r>
          </w:p>
        </w:tc>
        <w:tc>
          <w:tcPr>
            <w:tcW w:type="dxa" w:w="1872"/>
          </w:tcPr>
          <w:p>
            <w:r>
              <w:t xml:space="preserve">7305.11</w:t>
            </w:r>
          </w:p>
        </w:tc>
        <w:tc>
          <w:tcPr>
            <w:tcW w:type="dxa" w:w="1872"/>
          </w:tcPr>
          <w:p>
            <w:r>
              <w:t xml:space="preserve">Line pipe, longitudinally welded &gt;=406.4mm</w:t>
            </w:r>
          </w:p>
        </w:tc>
        <w:tc>
          <w:tcPr>
            <w:tcW w:type="dxa" w:w="1872"/>
          </w:tcPr>
          <w:p>
            <w:r>
              <w:t xml:space="preserve">NV-NIL</w:t>
            </w:r>
          </w:p>
        </w:tc>
        <w:tc>
          <w:tcPr>
            <w:tcW w:type="dxa" w:w="1872"/>
          </w:tcPr>
          <w:p>
            <w:r>
              <w:t xml:space="preserve">NV-NIL (pending A2A.6 nil-return)</w:t>
            </w:r>
          </w:p>
        </w:tc>
      </w:tr>
      <w:tr>
        <w:tc>
          <w:tcPr>
            <w:tcW w:type="dxa" w:w="1872"/>
          </w:tcPr>
          <w:p>
            <w:r>
              <w:t xml:space="preserve">MX-2A-100</w:t>
            </w:r>
          </w:p>
        </w:tc>
        <w:tc>
          <w:tcPr>
            <w:tcW w:type="dxa" w:w="1872"/>
          </w:tcPr>
          <w:p>
            <w:r>
              <w:t xml:space="preserve">7305.19</w:t>
            </w:r>
          </w:p>
        </w:tc>
        <w:tc>
          <w:tcPr>
            <w:tcW w:type="dxa" w:w="1872"/>
          </w:tcPr>
          <w:p>
            <w:r>
              <w:t xml:space="preserve">Line pipe, welded, &gt;=406.4mm, other</w:t>
            </w:r>
          </w:p>
        </w:tc>
        <w:tc>
          <w:tcPr>
            <w:tcW w:type="dxa" w:w="1872"/>
          </w:tcPr>
          <w:p>
            <w:r>
              <w:t xml:space="preserve">NV-NIL</w:t>
            </w:r>
          </w:p>
        </w:tc>
        <w:tc>
          <w:tcPr>
            <w:tcW w:type="dxa" w:w="1872"/>
          </w:tcPr>
          <w:p>
            <w:r>
              <w:t xml:space="preserve">NV-NIL (pending A2A.6 nil-return)</w:t>
            </w:r>
          </w:p>
        </w:tc>
      </w:tr>
      <w:tr>
        <w:tc>
          <w:tcPr>
            <w:tcW w:type="dxa" w:w="1872"/>
          </w:tcPr>
          <w:p>
            <w:r>
              <w:t xml:space="preserve">MX-2A-101</w:t>
            </w:r>
          </w:p>
        </w:tc>
        <w:tc>
          <w:tcPr>
            <w:tcW w:type="dxa" w:w="1872"/>
          </w:tcPr>
          <w:p>
            <w:r>
              <w:t xml:space="preserve">7305.20</w:t>
            </w:r>
          </w:p>
        </w:tc>
        <w:tc>
          <w:tcPr>
            <w:tcW w:type="dxa" w:w="1872"/>
          </w:tcPr>
          <w:p>
            <w:r>
              <w:t xml:space="preserve">Casing, welded</w:t>
            </w:r>
          </w:p>
        </w:tc>
        <w:tc>
          <w:tcPr>
            <w:tcW w:type="dxa" w:w="1872"/>
          </w:tcPr>
          <w:p>
            <w:r>
              <w:t xml:space="preserve">NV-NIL</w:t>
            </w:r>
          </w:p>
        </w:tc>
        <w:tc>
          <w:tcPr>
            <w:tcW w:type="dxa" w:w="1872"/>
          </w:tcPr>
          <w:p>
            <w:r>
              <w:t xml:space="preserve">NV-NIL (pending A2A.6 nil-return)</w:t>
            </w:r>
          </w:p>
        </w:tc>
      </w:tr>
      <w:tr>
        <w:tc>
          <w:tcPr>
            <w:tcW w:type="dxa" w:w="1872"/>
          </w:tcPr>
          <w:p>
            <w:r>
              <w:t xml:space="preserve">MX-2A-102</w:t>
            </w:r>
          </w:p>
        </w:tc>
        <w:tc>
          <w:tcPr>
            <w:tcW w:type="dxa" w:w="1872"/>
          </w:tcPr>
          <w:p>
            <w:r>
              <w:t xml:space="preserve">7305.31</w:t>
            </w:r>
          </w:p>
        </w:tc>
        <w:tc>
          <w:tcPr>
            <w:tcW w:type="dxa" w:w="1872"/>
          </w:tcPr>
          <w:p>
            <w:r>
              <w:t xml:space="preserve">Tubes, welded, stainless steel</w:t>
            </w:r>
          </w:p>
        </w:tc>
        <w:tc>
          <w:tcPr>
            <w:tcW w:type="dxa" w:w="1872"/>
          </w:tcPr>
          <w:p>
            <w:r>
              <w:t xml:space="preserve">NV-NIL</w:t>
            </w:r>
          </w:p>
        </w:tc>
        <w:tc>
          <w:tcPr>
            <w:tcW w:type="dxa" w:w="1872"/>
          </w:tcPr>
          <w:p>
            <w:r>
              <w:t xml:space="preserve">NV-NIL (pending A2A.6 nil-return)</w:t>
            </w:r>
          </w:p>
        </w:tc>
      </w:tr>
      <w:tr>
        <w:tc>
          <w:tcPr>
            <w:tcW w:type="dxa" w:w="1872"/>
          </w:tcPr>
          <w:p>
            <w:r>
              <w:t xml:space="preserve">MX-2A-103</w:t>
            </w:r>
          </w:p>
        </w:tc>
        <w:tc>
          <w:tcPr>
            <w:tcW w:type="dxa" w:w="1872"/>
          </w:tcPr>
          <w:p>
            <w:r>
              <w:t xml:space="preserve">7306.11</w:t>
            </w:r>
          </w:p>
        </w:tc>
        <w:tc>
          <w:tcPr>
            <w:tcW w:type="dxa" w:w="1872"/>
          </w:tcPr>
          <w:p>
            <w:r>
              <w:t xml:space="preserve">Tubes, welded, stainless steel</w:t>
            </w:r>
          </w:p>
        </w:tc>
        <w:tc>
          <w:tcPr>
            <w:tcW w:type="dxa" w:w="1872"/>
          </w:tcPr>
          <w:p>
            <w:r>
              <w:t xml:space="preserve">NV-NIL</w:t>
            </w:r>
          </w:p>
        </w:tc>
        <w:tc>
          <w:tcPr>
            <w:tcW w:type="dxa" w:w="1872"/>
          </w:tcPr>
          <w:p>
            <w:r>
              <w:t xml:space="preserve">NV-NIL (pending A2A.6 nil-return)</w:t>
            </w:r>
          </w:p>
        </w:tc>
      </w:tr>
      <w:tr>
        <w:tc>
          <w:tcPr>
            <w:tcW w:type="dxa" w:w="1872"/>
          </w:tcPr>
          <w:p>
            <w:r>
              <w:t xml:space="preserve">MX-2A-104</w:t>
            </w:r>
          </w:p>
        </w:tc>
        <w:tc>
          <w:tcPr>
            <w:tcW w:type="dxa" w:w="1872"/>
          </w:tcPr>
          <w:p>
            <w:r>
              <w:t xml:space="preserve">7306.19</w:t>
            </w:r>
          </w:p>
        </w:tc>
        <w:tc>
          <w:tcPr>
            <w:tcW w:type="dxa" w:w="1872"/>
          </w:tcPr>
          <w:p>
            <w:r>
              <w:t xml:space="preserve">Tubes, welded, other</w:t>
            </w:r>
          </w:p>
        </w:tc>
        <w:tc>
          <w:tcPr>
            <w:tcW w:type="dxa" w:w="1872"/>
          </w:tcPr>
          <w:p>
            <w:r>
              <w:t xml:space="preserve">NV-NIL</w:t>
            </w:r>
          </w:p>
        </w:tc>
        <w:tc>
          <w:tcPr>
            <w:tcW w:type="dxa" w:w="1872"/>
          </w:tcPr>
          <w:p>
            <w:r>
              <w:t xml:space="preserve">NV-NIL (pending A2A.6 nil-return)</w:t>
            </w:r>
          </w:p>
        </w:tc>
      </w:tr>
      <w:tr>
        <w:tc>
          <w:tcPr>
            <w:tcW w:type="dxa" w:w="1872"/>
          </w:tcPr>
          <w:p>
            <w:r>
              <w:t xml:space="preserve">MX-2A-105</w:t>
            </w:r>
          </w:p>
        </w:tc>
        <w:tc>
          <w:tcPr>
            <w:tcW w:type="dxa" w:w="1872"/>
          </w:tcPr>
          <w:p>
            <w:r>
              <w:t xml:space="preserve">7306.21</w:t>
            </w:r>
          </w:p>
        </w:tc>
        <w:tc>
          <w:tcPr>
            <w:tcW w:type="dxa" w:w="1872"/>
          </w:tcPr>
          <w:p>
            <w:r>
              <w:t xml:space="preserve">Tubes, welded, square or rectangular cross-section</w:t>
            </w:r>
          </w:p>
        </w:tc>
        <w:tc>
          <w:tcPr>
            <w:tcW w:type="dxa" w:w="1872"/>
          </w:tcPr>
          <w:p>
            <w:r>
              <w:t xml:space="preserve">NV-NIL</w:t>
            </w:r>
          </w:p>
        </w:tc>
        <w:tc>
          <w:tcPr>
            <w:tcW w:type="dxa" w:w="1872"/>
          </w:tcPr>
          <w:p>
            <w:r>
              <w:t xml:space="preserve">NV-NIL (pending A2A.6 nil-return)</w:t>
            </w:r>
          </w:p>
        </w:tc>
      </w:tr>
      <w:tr>
        <w:tc>
          <w:tcPr>
            <w:tcW w:type="dxa" w:w="1872"/>
          </w:tcPr>
          <w:p>
            <w:r>
              <w:t xml:space="preserve">MX-2A-106</w:t>
            </w:r>
          </w:p>
        </w:tc>
        <w:tc>
          <w:tcPr>
            <w:tcW w:type="dxa" w:w="1872"/>
          </w:tcPr>
          <w:p>
            <w:r>
              <w:t xml:space="preserve">7306.29</w:t>
            </w:r>
          </w:p>
        </w:tc>
        <w:tc>
          <w:tcPr>
            <w:tcW w:type="dxa" w:w="1872"/>
          </w:tcPr>
          <w:p>
            <w:r>
              <w:t xml:space="preserve">Tubes, welded, other cross-section</w:t>
            </w:r>
          </w:p>
        </w:tc>
        <w:tc>
          <w:tcPr>
            <w:tcW w:type="dxa" w:w="1872"/>
          </w:tcPr>
          <w:p>
            <w:r>
              <w:t xml:space="preserve">NV-NIL</w:t>
            </w:r>
          </w:p>
        </w:tc>
        <w:tc>
          <w:tcPr>
            <w:tcW w:type="dxa" w:w="1872"/>
          </w:tcPr>
          <w:p>
            <w:r>
              <w:t xml:space="preserve">NV-NIL (pending A2A.6 nil-return)</w:t>
            </w:r>
          </w:p>
        </w:tc>
      </w:tr>
      <w:tr>
        <w:tc>
          <w:tcPr>
            <w:tcW w:type="dxa" w:w="1872"/>
          </w:tcPr>
          <w:p>
            <w:r>
              <w:t xml:space="preserve">MX-2A-107</w:t>
            </w:r>
          </w:p>
        </w:tc>
        <w:tc>
          <w:tcPr>
            <w:tcW w:type="dxa" w:w="1872"/>
          </w:tcPr>
          <w:p>
            <w:r>
              <w:t xml:space="preserve">7306.50</w:t>
            </w:r>
          </w:p>
        </w:tc>
        <w:tc>
          <w:tcPr>
            <w:tcW w:type="dxa" w:w="1872"/>
          </w:tcPr>
          <w:p>
            <w:r>
              <w:t xml:space="preserve">Tubes, other</w:t>
            </w:r>
          </w:p>
        </w:tc>
        <w:tc>
          <w:tcPr>
            <w:tcW w:type="dxa" w:w="1872"/>
          </w:tcPr>
          <w:p>
            <w:r>
              <w:t xml:space="preserve">NV-NIL</w:t>
            </w:r>
          </w:p>
        </w:tc>
        <w:tc>
          <w:tcPr>
            <w:tcW w:type="dxa" w:w="1872"/>
          </w:tcPr>
          <w:p>
            <w:r>
              <w:t xml:space="preserve">NV-NIL (pending A2A.6 nil-return)</w:t>
            </w:r>
          </w:p>
        </w:tc>
      </w:tr>
      <w:tr>
        <w:tc>
          <w:tcPr>
            <w:tcW w:type="dxa" w:w="1872"/>
          </w:tcPr>
          <w:p>
            <w:r>
              <w:t xml:space="preserve">MX-2A-108</w:t>
            </w:r>
          </w:p>
        </w:tc>
        <w:tc>
          <w:tcPr>
            <w:tcW w:type="dxa" w:w="1872"/>
          </w:tcPr>
          <w:p>
            <w:r>
              <w:t xml:space="preserve">7307.11</w:t>
            </w:r>
          </w:p>
        </w:tc>
        <w:tc>
          <w:tcPr>
            <w:tcW w:type="dxa" w:w="1872"/>
          </w:tcPr>
          <w:p>
            <w:r>
              <w:t xml:space="preserve">Cast fittings, non-malleable</w:t>
            </w:r>
          </w:p>
        </w:tc>
        <w:tc>
          <w:tcPr>
            <w:tcW w:type="dxa" w:w="1872"/>
          </w:tcPr>
          <w:p>
            <w:r>
              <w:t xml:space="preserve">NV-NIL</w:t>
            </w:r>
          </w:p>
        </w:tc>
        <w:tc>
          <w:tcPr>
            <w:tcW w:type="dxa" w:w="1872"/>
          </w:tcPr>
          <w:p>
            <w:r>
              <w:t xml:space="preserve">NV-NIL (pending A2A.6 nil-return)</w:t>
            </w:r>
          </w:p>
        </w:tc>
      </w:tr>
      <w:tr>
        <w:tc>
          <w:tcPr>
            <w:tcW w:type="dxa" w:w="1872"/>
          </w:tcPr>
          <w:p>
            <w:r>
              <w:t xml:space="preserve">MX-2A-109</w:t>
            </w:r>
          </w:p>
        </w:tc>
        <w:tc>
          <w:tcPr>
            <w:tcW w:type="dxa" w:w="1872"/>
          </w:tcPr>
          <w:p>
            <w:r>
              <w:t xml:space="preserve">7307.92</w:t>
            </w:r>
          </w:p>
        </w:tc>
        <w:tc>
          <w:tcPr>
            <w:tcW w:type="dxa" w:w="1872"/>
          </w:tcPr>
          <w:p>
            <w:r>
              <w:t xml:space="preserve">Threaded elbows and bends</w:t>
            </w:r>
          </w:p>
        </w:tc>
        <w:tc>
          <w:tcPr>
            <w:tcW w:type="dxa" w:w="1872"/>
          </w:tcPr>
          <w:p>
            <w:r>
              <w:t xml:space="preserve">NV-NIL</w:t>
            </w:r>
          </w:p>
        </w:tc>
        <w:tc>
          <w:tcPr>
            <w:tcW w:type="dxa" w:w="1872"/>
          </w:tcPr>
          <w:p>
            <w:r>
              <w:t xml:space="preserve">NV-NIL (pending A2A.6 nil-return)</w:t>
            </w:r>
          </w:p>
        </w:tc>
      </w:tr>
      <w:tr>
        <w:tc>
          <w:tcPr>
            <w:tcW w:type="dxa" w:w="1872"/>
          </w:tcPr>
          <w:p>
            <w:r>
              <w:t xml:space="preserve">MX-2A-110</w:t>
            </w:r>
          </w:p>
        </w:tc>
        <w:tc>
          <w:tcPr>
            <w:tcW w:type="dxa" w:w="1872"/>
          </w:tcPr>
          <w:p>
            <w:r>
              <w:t xml:space="preserve">7307.99</w:t>
            </w:r>
          </w:p>
        </w:tc>
        <w:tc>
          <w:tcPr>
            <w:tcW w:type="dxa" w:w="1872"/>
          </w:tcPr>
          <w:p>
            <w:r>
              <w:t xml:space="preserve">Tube fittings, other</w:t>
            </w:r>
          </w:p>
        </w:tc>
        <w:tc>
          <w:tcPr>
            <w:tcW w:type="dxa" w:w="1872"/>
          </w:tcPr>
          <w:p>
            <w:r>
              <w:t xml:space="preserve">NV-NIL</w:t>
            </w:r>
          </w:p>
        </w:tc>
        <w:tc>
          <w:tcPr>
            <w:tcW w:type="dxa" w:w="1872"/>
          </w:tcPr>
          <w:p>
            <w:r>
              <w:t xml:space="preserve">NV-NIL (pending A2A.6 nil-return)</w:t>
            </w:r>
          </w:p>
        </w:tc>
      </w:tr>
      <w:tr>
        <w:tc>
          <w:tcPr>
            <w:tcW w:type="dxa" w:w="1872"/>
          </w:tcPr>
          <w:p>
            <w:r>
              <w:t xml:space="preserve">MX-2A-111</w:t>
            </w:r>
          </w:p>
        </w:tc>
        <w:tc>
          <w:tcPr>
            <w:tcW w:type="dxa" w:w="1872"/>
          </w:tcPr>
          <w:p>
            <w:r>
              <w:t xml:space="preserve">4002.20</w:t>
            </w:r>
          </w:p>
        </w:tc>
        <w:tc>
          <w:tcPr>
            <w:tcW w:type="dxa" w:w="1872"/>
          </w:tcPr>
          <w:p>
            <w:r>
              <w:t xml:space="preserve">Styrene-butadiene rubber</w:t>
            </w:r>
          </w:p>
        </w:tc>
        <w:tc>
          <w:tcPr>
            <w:tcW w:type="dxa" w:w="1872"/>
          </w:tcPr>
          <w:p>
            <w:r>
              <w:t xml:space="preserve">NV-NIL</w:t>
            </w:r>
          </w:p>
        </w:tc>
        <w:tc>
          <w:tcPr>
            <w:tcW w:type="dxa" w:w="1872"/>
          </w:tcPr>
          <w:p>
            <w:r>
              <w:t xml:space="preserve">NV-NIL (pending A2A.6 nil-return)</w:t>
            </w:r>
          </w:p>
        </w:tc>
      </w:tr>
      <w:tr>
        <w:tc>
          <w:tcPr>
            <w:tcW w:type="dxa" w:w="1872"/>
          </w:tcPr>
          <w:p>
            <w:r>
              <w:t xml:space="preserve">MX-2A-112</w:t>
            </w:r>
          </w:p>
        </w:tc>
        <w:tc>
          <w:tcPr>
            <w:tcW w:type="dxa" w:w="1872"/>
          </w:tcPr>
          <w:p>
            <w:r>
              <w:t xml:space="preserve">4002.41</w:t>
            </w:r>
          </w:p>
        </w:tc>
        <w:tc>
          <w:tcPr>
            <w:tcW w:type="dxa" w:w="1872"/>
          </w:tcPr>
          <w:p>
            <w:r>
              <w:t xml:space="preserve">Chloroprene rubber</w:t>
            </w:r>
          </w:p>
        </w:tc>
        <w:tc>
          <w:tcPr>
            <w:tcW w:type="dxa" w:w="1872"/>
          </w:tcPr>
          <w:p>
            <w:r>
              <w:t xml:space="preserve">NV-NIL</w:t>
            </w:r>
          </w:p>
        </w:tc>
        <w:tc>
          <w:tcPr>
            <w:tcW w:type="dxa" w:w="1872"/>
          </w:tcPr>
          <w:p>
            <w:r>
              <w:t xml:space="preserve">NV-NIL (pending A2A.6 nil-return)</w:t>
            </w:r>
          </w:p>
        </w:tc>
      </w:tr>
      <w:tr>
        <w:tc>
          <w:tcPr>
            <w:tcW w:type="dxa" w:w="1872"/>
          </w:tcPr>
          <w:p>
            <w:r>
              <w:t xml:space="preserve">MX-2A-113</w:t>
            </w:r>
          </w:p>
        </w:tc>
        <w:tc>
          <w:tcPr>
            <w:tcW w:type="dxa" w:w="1872"/>
          </w:tcPr>
          <w:p>
            <w:r>
              <w:t xml:space="preserve">4005.10</w:t>
            </w:r>
          </w:p>
        </w:tc>
        <w:tc>
          <w:tcPr>
            <w:tcW w:type="dxa" w:w="1872"/>
          </w:tcPr>
          <w:p>
            <w:r>
              <w:t xml:space="preserve">Compounded rubber</w:t>
            </w:r>
          </w:p>
        </w:tc>
        <w:tc>
          <w:tcPr>
            <w:tcW w:type="dxa" w:w="1872"/>
          </w:tcPr>
          <w:p>
            <w:r>
              <w:t xml:space="preserve">NV-NIL</w:t>
            </w:r>
          </w:p>
        </w:tc>
        <w:tc>
          <w:tcPr>
            <w:tcW w:type="dxa" w:w="1872"/>
          </w:tcPr>
          <w:p>
            <w:r>
              <w:t xml:space="preserve">NV-NIL (pending A2A.6 nil-return)</w:t>
            </w:r>
          </w:p>
        </w:tc>
      </w:tr>
      <w:tr>
        <w:tc>
          <w:tcPr>
            <w:tcW w:type="dxa" w:w="1872"/>
          </w:tcPr>
          <w:p>
            <w:r>
              <w:t xml:space="preserve">MX-2A-114</w:t>
            </w:r>
          </w:p>
        </w:tc>
        <w:tc>
          <w:tcPr>
            <w:tcW w:type="dxa" w:w="1872"/>
          </w:tcPr>
          <w:p>
            <w:r>
              <w:t xml:space="preserve">4009.11</w:t>
            </w:r>
          </w:p>
        </w:tc>
        <w:tc>
          <w:tcPr>
            <w:tcW w:type="dxa" w:w="1872"/>
          </w:tcPr>
          <w:p>
            <w:r>
              <w:t xml:space="preserve">Tubes of vulcanized rubber</w:t>
            </w:r>
          </w:p>
        </w:tc>
        <w:tc>
          <w:tcPr>
            <w:tcW w:type="dxa" w:w="1872"/>
          </w:tcPr>
          <w:p>
            <w:r>
              <w:t xml:space="preserve">NV-NIL</w:t>
            </w:r>
          </w:p>
        </w:tc>
        <w:tc>
          <w:tcPr>
            <w:tcW w:type="dxa" w:w="1872"/>
          </w:tcPr>
          <w:p>
            <w:r>
              <w:t xml:space="preserve">NV-NIL (pending A2A.6 nil-return)</w:t>
            </w:r>
          </w:p>
        </w:tc>
      </w:tr>
      <w:tr>
        <w:tc>
          <w:tcPr>
            <w:tcW w:type="dxa" w:w="1872"/>
          </w:tcPr>
          <w:p>
            <w:r>
              <w:t xml:space="preserve">MX-2A-115</w:t>
            </w:r>
          </w:p>
        </w:tc>
        <w:tc>
          <w:tcPr>
            <w:tcW w:type="dxa" w:w="1872"/>
          </w:tcPr>
          <w:p>
            <w:r>
              <w:t xml:space="preserve">4010.11</w:t>
            </w:r>
          </w:p>
        </w:tc>
        <w:tc>
          <w:tcPr>
            <w:tcW w:type="dxa" w:w="1872"/>
          </w:tcPr>
          <w:p>
            <w:r>
              <w:t xml:space="preserve">Conveyor belts</w:t>
            </w:r>
          </w:p>
        </w:tc>
        <w:tc>
          <w:tcPr>
            <w:tcW w:type="dxa" w:w="1872"/>
          </w:tcPr>
          <w:p>
            <w:r>
              <w:t xml:space="preserve">NV-NIL</w:t>
            </w:r>
          </w:p>
        </w:tc>
        <w:tc>
          <w:tcPr>
            <w:tcW w:type="dxa" w:w="1872"/>
          </w:tcPr>
          <w:p>
            <w:r>
              <w:t xml:space="preserve">NV-NIL (pending A2A.6 nil-return)</w:t>
            </w:r>
          </w:p>
        </w:tc>
      </w:tr>
      <w:tr>
        <w:tc>
          <w:tcPr>
            <w:tcW w:type="dxa" w:w="1872"/>
          </w:tcPr>
          <w:p>
            <w:r>
              <w:t xml:space="preserve">MX-2A-116</w:t>
            </w:r>
          </w:p>
        </w:tc>
        <w:tc>
          <w:tcPr>
            <w:tcW w:type="dxa" w:w="1872"/>
          </w:tcPr>
          <w:p>
            <w:r>
              <w:t xml:space="preserve">4011.10</w:t>
            </w:r>
          </w:p>
        </w:tc>
        <w:tc>
          <w:tcPr>
            <w:tcW w:type="dxa" w:w="1872"/>
          </w:tcPr>
          <w:p>
            <w:r>
              <w:t xml:space="preserve">Tires, passenger motor cars</w:t>
            </w:r>
          </w:p>
        </w:tc>
        <w:tc>
          <w:tcPr>
            <w:tcW w:type="dxa" w:w="1872"/>
          </w:tcPr>
          <w:p>
            <w:r>
              <w:t xml:space="preserve">NV-NIL</w:t>
            </w:r>
          </w:p>
        </w:tc>
        <w:tc>
          <w:tcPr>
            <w:tcW w:type="dxa" w:w="1872"/>
          </w:tcPr>
          <w:p>
            <w:r>
              <w:t xml:space="preserve">NV-NIL (pending A2A.6 nil-return)</w:t>
            </w:r>
          </w:p>
        </w:tc>
      </w:tr>
      <w:tr>
        <w:tc>
          <w:tcPr>
            <w:tcW w:type="dxa" w:w="1872"/>
          </w:tcPr>
          <w:p>
            <w:r>
              <w:t xml:space="preserve">MX-2A-117</w:t>
            </w:r>
          </w:p>
        </w:tc>
        <w:tc>
          <w:tcPr>
            <w:tcW w:type="dxa" w:w="1872"/>
          </w:tcPr>
          <w:p>
            <w:r>
              <w:t xml:space="preserve">4011.20</w:t>
            </w:r>
          </w:p>
        </w:tc>
        <w:tc>
          <w:tcPr>
            <w:tcW w:type="dxa" w:w="1872"/>
          </w:tcPr>
          <w:p>
            <w:r>
              <w:t xml:space="preserve">Tires, buses and trucks</w:t>
            </w:r>
          </w:p>
        </w:tc>
        <w:tc>
          <w:tcPr>
            <w:tcW w:type="dxa" w:w="1872"/>
          </w:tcPr>
          <w:p>
            <w:r>
              <w:t xml:space="preserve">NV-NIL</w:t>
            </w:r>
          </w:p>
        </w:tc>
        <w:tc>
          <w:tcPr>
            <w:tcW w:type="dxa" w:w="1872"/>
          </w:tcPr>
          <w:p>
            <w:r>
              <w:t xml:space="preserve">NV-NIL (pending A2A.6 nil-return)</w:t>
            </w:r>
          </w:p>
        </w:tc>
      </w:tr>
      <w:tr>
        <w:tc>
          <w:tcPr>
            <w:tcW w:type="dxa" w:w="1872"/>
          </w:tcPr>
          <w:p>
            <w:r>
              <w:t xml:space="preserve">MX-2A-118</w:t>
            </w:r>
          </w:p>
        </w:tc>
        <w:tc>
          <w:tcPr>
            <w:tcW w:type="dxa" w:w="1872"/>
          </w:tcPr>
          <w:p>
            <w:r>
              <w:t xml:space="preserve">4011.80</w:t>
            </w:r>
          </w:p>
        </w:tc>
        <w:tc>
          <w:tcPr>
            <w:tcW w:type="dxa" w:w="1872"/>
          </w:tcPr>
          <w:p>
            <w:r>
              <w:t xml:space="preserve">Tires, other vehicles</w:t>
            </w:r>
          </w:p>
        </w:tc>
        <w:tc>
          <w:tcPr>
            <w:tcW w:type="dxa" w:w="1872"/>
          </w:tcPr>
          <w:p>
            <w:r>
              <w:t xml:space="preserve">NV-NIL</w:t>
            </w:r>
          </w:p>
        </w:tc>
        <w:tc>
          <w:tcPr>
            <w:tcW w:type="dxa" w:w="1872"/>
          </w:tcPr>
          <w:p>
            <w:r>
              <w:t xml:space="preserve">NV-NIL (pending A2A.6 nil-return)</w:t>
            </w:r>
          </w:p>
        </w:tc>
      </w:tr>
      <w:tr>
        <w:tc>
          <w:tcPr>
            <w:tcW w:type="dxa" w:w="1872"/>
          </w:tcPr>
          <w:p>
            <w:r>
              <w:t xml:space="preserve">MX-2A-119</w:t>
            </w:r>
          </w:p>
        </w:tc>
        <w:tc>
          <w:tcPr>
            <w:tcW w:type="dxa" w:w="1872"/>
          </w:tcPr>
          <w:p>
            <w:r>
              <w:t xml:space="preserve">4013.20</w:t>
            </w:r>
          </w:p>
        </w:tc>
        <w:tc>
          <w:tcPr>
            <w:tcW w:type="dxa" w:w="1872"/>
          </w:tcPr>
          <w:p>
            <w:r>
              <w:t xml:space="preserve">Inner tubes, motor cars</w:t>
            </w:r>
          </w:p>
        </w:tc>
        <w:tc>
          <w:tcPr>
            <w:tcW w:type="dxa" w:w="1872"/>
          </w:tcPr>
          <w:p>
            <w:r>
              <w:t xml:space="preserve">NV-NIL</w:t>
            </w:r>
          </w:p>
        </w:tc>
        <w:tc>
          <w:tcPr>
            <w:tcW w:type="dxa" w:w="1872"/>
          </w:tcPr>
          <w:p>
            <w:r>
              <w:t xml:space="preserve">NV-NIL (pending A2A.6 nil-return)</w:t>
            </w:r>
          </w:p>
        </w:tc>
      </w:tr>
      <w:tr>
        <w:tc>
          <w:tcPr>
            <w:tcW w:type="dxa" w:w="1872"/>
          </w:tcPr>
          <w:p>
            <w:r>
              <w:t xml:space="preserve">MX-2A-120</w:t>
            </w:r>
          </w:p>
        </w:tc>
        <w:tc>
          <w:tcPr>
            <w:tcW w:type="dxa" w:w="1872"/>
          </w:tcPr>
          <w:p>
            <w:r>
              <w:t xml:space="preserve">4016.93</w:t>
            </w:r>
          </w:p>
        </w:tc>
        <w:tc>
          <w:tcPr>
            <w:tcW w:type="dxa" w:w="1872"/>
          </w:tcPr>
          <w:p>
            <w:r>
              <w:t xml:space="preserve">Rubber gaskets</w:t>
            </w:r>
          </w:p>
        </w:tc>
        <w:tc>
          <w:tcPr>
            <w:tcW w:type="dxa" w:w="1872"/>
          </w:tcPr>
          <w:p>
            <w:r>
              <w:t xml:space="preserve">NV-NIL</w:t>
            </w:r>
          </w:p>
        </w:tc>
        <w:tc>
          <w:tcPr>
            <w:tcW w:type="dxa" w:w="1872"/>
          </w:tcPr>
          <w:p>
            <w:r>
              <w:t xml:space="preserve">NV-NIL (pending A2A.6 nil-return)</w:t>
            </w:r>
          </w:p>
        </w:tc>
      </w:tr>
      <w:tr>
        <w:tc>
          <w:tcPr>
            <w:tcW w:type="dxa" w:w="1872"/>
          </w:tcPr>
          <w:p>
            <w:r>
              <w:t xml:space="preserve">MX-2A-121</w:t>
            </w:r>
          </w:p>
        </w:tc>
        <w:tc>
          <w:tcPr>
            <w:tcW w:type="dxa" w:w="1872"/>
          </w:tcPr>
          <w:p>
            <w:r>
              <w:t xml:space="preserve">4407.11</w:t>
            </w:r>
          </w:p>
        </w:tc>
        <w:tc>
          <w:tcPr>
            <w:tcW w:type="dxa" w:w="1872"/>
          </w:tcPr>
          <w:p>
            <w:r>
              <w:t xml:space="preserve">Coniferous sawn wood &gt;=6mm</w:t>
            </w:r>
          </w:p>
        </w:tc>
        <w:tc>
          <w:tcPr>
            <w:tcW w:type="dxa" w:w="1872"/>
          </w:tcPr>
          <w:p>
            <w:r>
              <w:t xml:space="preserve">NV-NIL</w:t>
            </w:r>
          </w:p>
        </w:tc>
        <w:tc>
          <w:tcPr>
            <w:tcW w:type="dxa" w:w="1872"/>
          </w:tcPr>
          <w:p>
            <w:r>
              <w:t xml:space="preserve">NV-NIL (pending A2A.6 nil-return)</w:t>
            </w:r>
          </w:p>
        </w:tc>
      </w:tr>
      <w:tr>
        <w:tc>
          <w:tcPr>
            <w:tcW w:type="dxa" w:w="1872"/>
          </w:tcPr>
          <w:p>
            <w:r>
              <w:t xml:space="preserve">MX-2A-122</w:t>
            </w:r>
          </w:p>
        </w:tc>
        <w:tc>
          <w:tcPr>
            <w:tcW w:type="dxa" w:w="1872"/>
          </w:tcPr>
          <w:p>
            <w:r>
              <w:t xml:space="preserve">4407.12</w:t>
            </w:r>
          </w:p>
        </w:tc>
        <w:tc>
          <w:tcPr>
            <w:tcW w:type="dxa" w:w="1872"/>
          </w:tcPr>
          <w:p>
            <w:r>
              <w:t xml:space="preserve">Non-coniferous tropical sawn wood</w:t>
            </w:r>
          </w:p>
        </w:tc>
        <w:tc>
          <w:tcPr>
            <w:tcW w:type="dxa" w:w="1872"/>
          </w:tcPr>
          <w:p>
            <w:r>
              <w:t xml:space="preserve">NV-NIL</w:t>
            </w:r>
          </w:p>
        </w:tc>
        <w:tc>
          <w:tcPr>
            <w:tcW w:type="dxa" w:w="1872"/>
          </w:tcPr>
          <w:p>
            <w:r>
              <w:t xml:space="preserve">NV-NIL (pending A2A.6 nil-return)</w:t>
            </w:r>
          </w:p>
        </w:tc>
      </w:tr>
      <w:tr>
        <w:tc>
          <w:tcPr>
            <w:tcW w:type="dxa" w:w="1872"/>
          </w:tcPr>
          <w:p>
            <w:r>
              <w:t xml:space="preserve">MX-2A-123</w:t>
            </w:r>
          </w:p>
        </w:tc>
        <w:tc>
          <w:tcPr>
            <w:tcW w:type="dxa" w:w="1872"/>
          </w:tcPr>
          <w:p>
            <w:r>
              <w:t xml:space="preserve">4407.13</w:t>
            </w:r>
          </w:p>
        </w:tc>
        <w:tc>
          <w:tcPr>
            <w:tcW w:type="dxa" w:w="1872"/>
          </w:tcPr>
          <w:p>
            <w:r>
              <w:t xml:space="preserve">Dark Red Meranti sawn wood</w:t>
            </w:r>
          </w:p>
        </w:tc>
        <w:tc>
          <w:tcPr>
            <w:tcW w:type="dxa" w:w="1872"/>
          </w:tcPr>
          <w:p>
            <w:r>
              <w:t xml:space="preserve">NV-NIL</w:t>
            </w:r>
          </w:p>
        </w:tc>
        <w:tc>
          <w:tcPr>
            <w:tcW w:type="dxa" w:w="1872"/>
          </w:tcPr>
          <w:p>
            <w:r>
              <w:t xml:space="preserve">NV-NIL (pending A2A.6 nil-return)</w:t>
            </w:r>
          </w:p>
        </w:tc>
      </w:tr>
      <w:tr>
        <w:tc>
          <w:tcPr>
            <w:tcW w:type="dxa" w:w="1872"/>
          </w:tcPr>
          <w:p>
            <w:r>
              <w:t xml:space="preserve">MX-2A-124</w:t>
            </w:r>
          </w:p>
        </w:tc>
        <w:tc>
          <w:tcPr>
            <w:tcW w:type="dxa" w:w="1872"/>
          </w:tcPr>
          <w:p>
            <w:r>
              <w:t xml:space="preserve">4407.14</w:t>
            </w:r>
          </w:p>
        </w:tc>
        <w:tc>
          <w:tcPr>
            <w:tcW w:type="dxa" w:w="1872"/>
          </w:tcPr>
          <w:p>
            <w:r>
              <w:t xml:space="preserve">Meranti Bakau sawn wood</w:t>
            </w:r>
          </w:p>
        </w:tc>
        <w:tc>
          <w:tcPr>
            <w:tcW w:type="dxa" w:w="1872"/>
          </w:tcPr>
          <w:p>
            <w:r>
              <w:t xml:space="preserve">NV-NIL</w:t>
            </w:r>
          </w:p>
        </w:tc>
        <w:tc>
          <w:tcPr>
            <w:tcW w:type="dxa" w:w="1872"/>
          </w:tcPr>
          <w:p>
            <w:r>
              <w:t xml:space="preserve">NV-NIL (pending A2A.6 nil-return)</w:t>
            </w:r>
          </w:p>
        </w:tc>
      </w:tr>
      <w:tr>
        <w:tc>
          <w:tcPr>
            <w:tcW w:type="dxa" w:w="1872"/>
          </w:tcPr>
          <w:p>
            <w:r>
              <w:t xml:space="preserve">MX-2A-125</w:t>
            </w:r>
          </w:p>
        </w:tc>
        <w:tc>
          <w:tcPr>
            <w:tcW w:type="dxa" w:w="1872"/>
          </w:tcPr>
          <w:p>
            <w:r>
              <w:t xml:space="preserve">4407.19</w:t>
            </w:r>
          </w:p>
        </w:tc>
        <w:tc>
          <w:tcPr>
            <w:tcW w:type="dxa" w:w="1872"/>
          </w:tcPr>
          <w:p>
            <w:r>
              <w:t xml:space="preserve">Coniferous sawn wood, other</w:t>
            </w:r>
          </w:p>
        </w:tc>
        <w:tc>
          <w:tcPr>
            <w:tcW w:type="dxa" w:w="1872"/>
          </w:tcPr>
          <w:p>
            <w:r>
              <w:t xml:space="preserve">NV-NIL</w:t>
            </w:r>
          </w:p>
        </w:tc>
        <w:tc>
          <w:tcPr>
            <w:tcW w:type="dxa" w:w="1872"/>
          </w:tcPr>
          <w:p>
            <w:r>
              <w:t xml:space="preserve">NV-NIL (pending A2A.6 nil-return)</w:t>
            </w:r>
          </w:p>
        </w:tc>
      </w:tr>
      <w:tr>
        <w:tc>
          <w:tcPr>
            <w:tcW w:type="dxa" w:w="1872"/>
          </w:tcPr>
          <w:p>
            <w:r>
              <w:t xml:space="preserve">MX-2A-126</w:t>
            </w:r>
          </w:p>
        </w:tc>
        <w:tc>
          <w:tcPr>
            <w:tcW w:type="dxa" w:w="1872"/>
          </w:tcPr>
          <w:p>
            <w:r>
              <w:t xml:space="preserve">4407.24</w:t>
            </w:r>
          </w:p>
        </w:tc>
        <w:tc>
          <w:tcPr>
            <w:tcW w:type="dxa" w:w="1872"/>
          </w:tcPr>
          <w:p>
            <w:r>
              <w:t xml:space="preserve">Oak sawn wood</w:t>
            </w:r>
          </w:p>
        </w:tc>
        <w:tc>
          <w:tcPr>
            <w:tcW w:type="dxa" w:w="1872"/>
          </w:tcPr>
          <w:p>
            <w:r>
              <w:t xml:space="preserve">NV-NIL</w:t>
            </w:r>
          </w:p>
        </w:tc>
        <w:tc>
          <w:tcPr>
            <w:tcW w:type="dxa" w:w="1872"/>
          </w:tcPr>
          <w:p>
            <w:r>
              <w:t xml:space="preserve">NV-NIL (pending A2A.6 nil-return)</w:t>
            </w:r>
          </w:p>
        </w:tc>
      </w:tr>
      <w:tr>
        <w:tc>
          <w:tcPr>
            <w:tcW w:type="dxa" w:w="1872"/>
          </w:tcPr>
          <w:p>
            <w:r>
              <w:t xml:space="preserve">MX-2A-127</w:t>
            </w:r>
          </w:p>
        </w:tc>
        <w:tc>
          <w:tcPr>
            <w:tcW w:type="dxa" w:w="1872"/>
          </w:tcPr>
          <w:p>
            <w:r>
              <w:t xml:space="preserve">4407.29</w:t>
            </w:r>
          </w:p>
        </w:tc>
        <w:tc>
          <w:tcPr>
            <w:tcW w:type="dxa" w:w="1872"/>
          </w:tcPr>
          <w:p>
            <w:r>
              <w:t xml:space="preserve">Non-coniferous sawn wood, other</w:t>
            </w:r>
          </w:p>
        </w:tc>
        <w:tc>
          <w:tcPr>
            <w:tcW w:type="dxa" w:w="1872"/>
          </w:tcPr>
          <w:p>
            <w:r>
              <w:t xml:space="preserve">NV-NIL</w:t>
            </w:r>
          </w:p>
        </w:tc>
        <w:tc>
          <w:tcPr>
            <w:tcW w:type="dxa" w:w="1872"/>
          </w:tcPr>
          <w:p>
            <w:r>
              <w:t xml:space="preserve">NV-NIL (pending A2A.6 nil-return)</w:t>
            </w:r>
          </w:p>
        </w:tc>
      </w:tr>
      <w:tr>
        <w:tc>
          <w:tcPr>
            <w:tcW w:type="dxa" w:w="1872"/>
          </w:tcPr>
          <w:p>
            <w:r>
              <w:t xml:space="preserve">MX-2A-128</w:t>
            </w:r>
          </w:p>
        </w:tc>
        <w:tc>
          <w:tcPr>
            <w:tcW w:type="dxa" w:w="1872"/>
          </w:tcPr>
          <w:p>
            <w:r>
              <w:t xml:space="preserve">4409.21</w:t>
            </w:r>
          </w:p>
        </w:tc>
        <w:tc>
          <w:tcPr>
            <w:tcW w:type="dxa" w:w="1872"/>
          </w:tcPr>
          <w:p>
            <w:r>
              <w:t xml:space="preserve">Coniferous wood flooring</w:t>
            </w:r>
          </w:p>
        </w:tc>
        <w:tc>
          <w:tcPr>
            <w:tcW w:type="dxa" w:w="1872"/>
          </w:tcPr>
          <w:p>
            <w:r>
              <w:t xml:space="preserve">NV-NIL</w:t>
            </w:r>
          </w:p>
        </w:tc>
        <w:tc>
          <w:tcPr>
            <w:tcW w:type="dxa" w:w="1872"/>
          </w:tcPr>
          <w:p>
            <w:r>
              <w:t xml:space="preserve">NV-NIL (pending A2A.6 nil-return)</w:t>
            </w:r>
          </w:p>
        </w:tc>
      </w:tr>
      <w:tr>
        <w:tc>
          <w:tcPr>
            <w:tcW w:type="dxa" w:w="1872"/>
          </w:tcPr>
          <w:p>
            <w:r>
              <w:t xml:space="preserve">MX-2A-129</w:t>
            </w:r>
          </w:p>
        </w:tc>
        <w:tc>
          <w:tcPr>
            <w:tcW w:type="dxa" w:w="1872"/>
          </w:tcPr>
          <w:p>
            <w:r>
              <w:t xml:space="preserve">4409.29</w:t>
            </w:r>
          </w:p>
        </w:tc>
        <w:tc>
          <w:tcPr>
            <w:tcW w:type="dxa" w:w="1872"/>
          </w:tcPr>
          <w:p>
            <w:r>
              <w:t xml:space="preserve">Non-coniferous wood flooring</w:t>
            </w:r>
          </w:p>
        </w:tc>
        <w:tc>
          <w:tcPr>
            <w:tcW w:type="dxa" w:w="1872"/>
          </w:tcPr>
          <w:p>
            <w:r>
              <w:t xml:space="preserve">NV-NIL</w:t>
            </w:r>
          </w:p>
        </w:tc>
        <w:tc>
          <w:tcPr>
            <w:tcW w:type="dxa" w:w="1872"/>
          </w:tcPr>
          <w:p>
            <w:r>
              <w:t xml:space="preserve">NV-NIL (pending A2A.6 nil-return)</w:t>
            </w:r>
          </w:p>
        </w:tc>
      </w:tr>
      <w:tr>
        <w:tc>
          <w:tcPr>
            <w:tcW w:type="dxa" w:w="1872"/>
          </w:tcPr>
          <w:p>
            <w:r>
              <w:t xml:space="preserve">MX-2A-130</w:t>
            </w:r>
          </w:p>
        </w:tc>
        <w:tc>
          <w:tcPr>
            <w:tcW w:type="dxa" w:w="1872"/>
          </w:tcPr>
          <w:p>
            <w:r>
              <w:t xml:space="preserve">4412.33</w:t>
            </w:r>
          </w:p>
        </w:tc>
        <w:tc>
          <w:tcPr>
            <w:tcW w:type="dxa" w:w="1872"/>
          </w:tcPr>
          <w:p>
            <w:r>
              <w:t xml:space="preserve">Plywood with outer ply of non-coniferous wood</w:t>
            </w:r>
          </w:p>
        </w:tc>
        <w:tc>
          <w:tcPr>
            <w:tcW w:type="dxa" w:w="1872"/>
          </w:tcPr>
          <w:p>
            <w:r>
              <w:t xml:space="preserve">NV-NIL</w:t>
            </w:r>
          </w:p>
        </w:tc>
        <w:tc>
          <w:tcPr>
            <w:tcW w:type="dxa" w:w="1872"/>
          </w:tcPr>
          <w:p>
            <w:r>
              <w:t xml:space="preserve">NV-NIL (pending A2A.6 nil-return)</w:t>
            </w:r>
          </w:p>
        </w:tc>
      </w:tr>
      <w:tr>
        <w:tc>
          <w:tcPr>
            <w:tcW w:type="dxa" w:w="1872"/>
          </w:tcPr>
          <w:p>
            <w:r>
              <w:t xml:space="preserve">MX-2A-131</w:t>
            </w:r>
          </w:p>
        </w:tc>
        <w:tc>
          <w:tcPr>
            <w:tcW w:type="dxa" w:w="1872"/>
          </w:tcPr>
          <w:p>
            <w:r>
              <w:t xml:space="preserve">4418.11</w:t>
            </w:r>
          </w:p>
        </w:tc>
        <w:tc>
          <w:tcPr>
            <w:tcW w:type="dxa" w:w="1872"/>
          </w:tcPr>
          <w:p>
            <w:r>
              <w:t xml:space="preserve">Glued laminated timber</w:t>
            </w:r>
          </w:p>
        </w:tc>
        <w:tc>
          <w:tcPr>
            <w:tcW w:type="dxa" w:w="1872"/>
          </w:tcPr>
          <w:p>
            <w:r>
              <w:t xml:space="preserve">NV-NIL</w:t>
            </w:r>
          </w:p>
        </w:tc>
        <w:tc>
          <w:tcPr>
            <w:tcW w:type="dxa" w:w="1872"/>
          </w:tcPr>
          <w:p>
            <w:r>
              <w:t xml:space="preserve">NV-NIL (pending A2A.6 nil-return)</w:t>
            </w:r>
          </w:p>
        </w:tc>
      </w:tr>
      <w:tr>
        <w:tc>
          <w:tcPr>
            <w:tcW w:type="dxa" w:w="1872"/>
          </w:tcPr>
          <w:p>
            <w:r>
              <w:t xml:space="preserve">MX-2A-132</w:t>
            </w:r>
          </w:p>
        </w:tc>
        <w:tc>
          <w:tcPr>
            <w:tcW w:type="dxa" w:w="1872"/>
          </w:tcPr>
          <w:p>
            <w:r>
              <w:t xml:space="preserve">4418.91</w:t>
            </w:r>
          </w:p>
        </w:tc>
        <w:tc>
          <w:tcPr>
            <w:tcW w:type="dxa" w:w="1872"/>
          </w:tcPr>
          <w:p>
            <w:r>
              <w:t xml:space="preserve">Cellular wood panels</w:t>
            </w:r>
          </w:p>
        </w:tc>
        <w:tc>
          <w:tcPr>
            <w:tcW w:type="dxa" w:w="1872"/>
          </w:tcPr>
          <w:p>
            <w:r>
              <w:t xml:space="preserve">NV-NIL</w:t>
            </w:r>
          </w:p>
        </w:tc>
        <w:tc>
          <w:tcPr>
            <w:tcW w:type="dxa" w:w="1872"/>
          </w:tcPr>
          <w:p>
            <w:r>
              <w:t xml:space="preserve">NV-NIL (pending A2A.6 nil-return)</w:t>
            </w:r>
          </w:p>
        </w:tc>
      </w:tr>
      <w:tr>
        <w:tc>
          <w:tcPr>
            <w:tcW w:type="dxa" w:w="1872"/>
          </w:tcPr>
          <w:p>
            <w:r>
              <w:t xml:space="preserve">MX-2A-133</w:t>
            </w:r>
          </w:p>
        </w:tc>
        <w:tc>
          <w:tcPr>
            <w:tcW w:type="dxa" w:w="1872"/>
          </w:tcPr>
          <w:p>
            <w:r>
              <w:t xml:space="preserve">7301.10</w:t>
            </w:r>
          </w:p>
        </w:tc>
        <w:tc>
          <w:tcPr>
            <w:tcW w:type="dxa" w:w="1872"/>
          </w:tcPr>
          <w:p>
            <w:r>
              <w:t xml:space="preserve">Sheet piling of iron or steel</w:t>
            </w:r>
          </w:p>
        </w:tc>
        <w:tc>
          <w:tcPr>
            <w:tcW w:type="dxa" w:w="1872"/>
          </w:tcPr>
          <w:p>
            <w:r>
              <w:t xml:space="preserve">NV-NIL</w:t>
            </w:r>
          </w:p>
        </w:tc>
        <w:tc>
          <w:tcPr>
            <w:tcW w:type="dxa" w:w="1872"/>
          </w:tcPr>
          <w:p>
            <w:r>
              <w:t xml:space="preserve">NV-NIL (pending A2A.6 nil-return)</w:t>
            </w:r>
          </w:p>
        </w:tc>
      </w:tr>
      <w:tr>
        <w:tc>
          <w:tcPr>
            <w:tcW w:type="dxa" w:w="1872"/>
          </w:tcPr>
          <w:p>
            <w:r>
              <w:t xml:space="preserve">MX-2A-134</w:t>
            </w:r>
          </w:p>
        </w:tc>
        <w:tc>
          <w:tcPr>
            <w:tcW w:type="dxa" w:w="1872"/>
          </w:tcPr>
          <w:p>
            <w:r>
              <w:t xml:space="preserve">7302.10</w:t>
            </w:r>
          </w:p>
        </w:tc>
        <w:tc>
          <w:tcPr>
            <w:tcW w:type="dxa" w:w="1872"/>
          </w:tcPr>
          <w:p>
            <w:r>
              <w:t xml:space="preserve">Rails of iron or steel</w:t>
            </w:r>
          </w:p>
        </w:tc>
        <w:tc>
          <w:tcPr>
            <w:tcW w:type="dxa" w:w="1872"/>
          </w:tcPr>
          <w:p>
            <w:r>
              <w:t xml:space="preserve">NV-NIL</w:t>
            </w:r>
          </w:p>
        </w:tc>
        <w:tc>
          <w:tcPr>
            <w:tcW w:type="dxa" w:w="1872"/>
          </w:tcPr>
          <w:p>
            <w:r>
              <w:t xml:space="preserve">NV-NIL (pending A2A.6 nil-return)</w:t>
            </w:r>
          </w:p>
        </w:tc>
      </w:tr>
      <w:tr>
        <w:tc>
          <w:tcPr>
            <w:tcW w:type="dxa" w:w="1872"/>
          </w:tcPr>
          <w:p>
            <w:r>
              <w:t xml:space="preserve">MX-2A-135</w:t>
            </w:r>
          </w:p>
        </w:tc>
        <w:tc>
          <w:tcPr>
            <w:tcW w:type="dxa" w:w="1872"/>
          </w:tcPr>
          <w:p>
            <w:r>
              <w:t xml:space="preserve">7304.11</w:t>
            </w:r>
          </w:p>
        </w:tc>
        <w:tc>
          <w:tcPr>
            <w:tcW w:type="dxa" w:w="1872"/>
          </w:tcPr>
          <w:p>
            <w:r>
              <w:t xml:space="preserve">Line pipe, stainless steel</w:t>
            </w:r>
          </w:p>
        </w:tc>
        <w:tc>
          <w:tcPr>
            <w:tcW w:type="dxa" w:w="1872"/>
          </w:tcPr>
          <w:p>
            <w:r>
              <w:t xml:space="preserve">NV-NIL</w:t>
            </w:r>
          </w:p>
        </w:tc>
        <w:tc>
          <w:tcPr>
            <w:tcW w:type="dxa" w:w="1872"/>
          </w:tcPr>
          <w:p>
            <w:r>
              <w:t xml:space="preserve">NV-NIL (pending A2A.6 nil-return)</w:t>
            </w:r>
          </w:p>
        </w:tc>
      </w:tr>
      <w:tr>
        <w:tc>
          <w:tcPr>
            <w:tcW w:type="dxa" w:w="1872"/>
          </w:tcPr>
          <w:p>
            <w:r>
              <w:t xml:space="preserve">MX-2A-136</w:t>
            </w:r>
          </w:p>
        </w:tc>
        <w:tc>
          <w:tcPr>
            <w:tcW w:type="dxa" w:w="1872"/>
          </w:tcPr>
          <w:p>
            <w:r>
              <w:t xml:space="preserve">7304.19</w:t>
            </w:r>
          </w:p>
        </w:tc>
        <w:tc>
          <w:tcPr>
            <w:tcW w:type="dxa" w:w="1872"/>
          </w:tcPr>
          <w:p>
            <w:r>
              <w:t xml:space="preserve">Line pipe, other</w:t>
            </w:r>
          </w:p>
        </w:tc>
        <w:tc>
          <w:tcPr>
            <w:tcW w:type="dxa" w:w="1872"/>
          </w:tcPr>
          <w:p>
            <w:r>
              <w:t xml:space="preserve">NV-NIL</w:t>
            </w:r>
          </w:p>
        </w:tc>
        <w:tc>
          <w:tcPr>
            <w:tcW w:type="dxa" w:w="1872"/>
          </w:tcPr>
          <w:p>
            <w:r>
              <w:t xml:space="preserve">NV-NIL (pending A2A.6 nil-return)</w:t>
            </w:r>
          </w:p>
        </w:tc>
      </w:tr>
      <w:tr>
        <w:tc>
          <w:tcPr>
            <w:tcW w:type="dxa" w:w="1872"/>
          </w:tcPr>
          <w:p>
            <w:r>
              <w:t xml:space="preserve">MX-2A-137</w:t>
            </w:r>
          </w:p>
        </w:tc>
        <w:tc>
          <w:tcPr>
            <w:tcW w:type="dxa" w:w="1872"/>
          </w:tcPr>
          <w:p>
            <w:r>
              <w:t xml:space="preserve">7304.22</w:t>
            </w:r>
          </w:p>
        </w:tc>
        <w:tc>
          <w:tcPr>
            <w:tcW w:type="dxa" w:w="1872"/>
          </w:tcPr>
          <w:p>
            <w:r>
              <w:t xml:space="preserve">Drill pipe, stainless steel</w:t>
            </w:r>
          </w:p>
        </w:tc>
        <w:tc>
          <w:tcPr>
            <w:tcW w:type="dxa" w:w="1872"/>
          </w:tcPr>
          <w:p>
            <w:r>
              <w:t xml:space="preserve">NV-NIL</w:t>
            </w:r>
          </w:p>
        </w:tc>
        <w:tc>
          <w:tcPr>
            <w:tcW w:type="dxa" w:w="1872"/>
          </w:tcPr>
          <w:p>
            <w:r>
              <w:t xml:space="preserve">NV-NIL (pending A2A.6 nil-return)</w:t>
            </w:r>
          </w:p>
        </w:tc>
      </w:tr>
      <w:tr>
        <w:tc>
          <w:tcPr>
            <w:tcW w:type="dxa" w:w="1872"/>
          </w:tcPr>
          <w:p>
            <w:r>
              <w:t xml:space="preserve">MX-2A-138</w:t>
            </w:r>
          </w:p>
        </w:tc>
        <w:tc>
          <w:tcPr>
            <w:tcW w:type="dxa" w:w="1872"/>
          </w:tcPr>
          <w:p>
            <w:r>
              <w:t xml:space="preserve">7304.23</w:t>
            </w:r>
          </w:p>
        </w:tc>
        <w:tc>
          <w:tcPr>
            <w:tcW w:type="dxa" w:w="1872"/>
          </w:tcPr>
          <w:p>
            <w:r>
              <w:t xml:space="preserve">Drill pipe, other</w:t>
            </w:r>
          </w:p>
        </w:tc>
        <w:tc>
          <w:tcPr>
            <w:tcW w:type="dxa" w:w="1872"/>
          </w:tcPr>
          <w:p>
            <w:r>
              <w:t xml:space="preserve">NV-NIL</w:t>
            </w:r>
          </w:p>
        </w:tc>
        <w:tc>
          <w:tcPr>
            <w:tcW w:type="dxa" w:w="1872"/>
          </w:tcPr>
          <w:p>
            <w:r>
              <w:t xml:space="preserve">NV-NIL (pending A2A.6 nil-return)</w:t>
            </w:r>
          </w:p>
        </w:tc>
      </w:tr>
      <w:tr>
        <w:tc>
          <w:tcPr>
            <w:tcW w:type="dxa" w:w="1872"/>
          </w:tcPr>
          <w:p>
            <w:r>
              <w:t xml:space="preserve">MX-2A-139</w:t>
            </w:r>
          </w:p>
        </w:tc>
        <w:tc>
          <w:tcPr>
            <w:tcW w:type="dxa" w:w="1872"/>
          </w:tcPr>
          <w:p>
            <w:r>
              <w:t xml:space="preserve">7306.30</w:t>
            </w:r>
          </w:p>
        </w:tc>
        <w:tc>
          <w:tcPr>
            <w:tcW w:type="dxa" w:w="1872"/>
          </w:tcPr>
          <w:p>
            <w:r>
              <w:t xml:space="preserve">Tubes, welded, circular cross-section</w:t>
            </w:r>
          </w:p>
        </w:tc>
        <w:tc>
          <w:tcPr>
            <w:tcW w:type="dxa" w:w="1872"/>
          </w:tcPr>
          <w:p>
            <w:r>
              <w:t xml:space="preserve">NV-NIL</w:t>
            </w:r>
          </w:p>
        </w:tc>
        <w:tc>
          <w:tcPr>
            <w:tcW w:type="dxa" w:w="1872"/>
          </w:tcPr>
          <w:p>
            <w:r>
              <w:t xml:space="preserve">NV-NIL (pending A2A.6 nil-return)</w:t>
            </w:r>
          </w:p>
        </w:tc>
      </w:tr>
      <w:tr>
        <w:tc>
          <w:tcPr>
            <w:tcW w:type="dxa" w:w="1872"/>
          </w:tcPr>
          <w:p>
            <w:r>
              <w:t xml:space="preserve">MX-2A-140</w:t>
            </w:r>
          </w:p>
        </w:tc>
        <w:tc>
          <w:tcPr>
            <w:tcW w:type="dxa" w:w="1872"/>
          </w:tcPr>
          <w:p>
            <w:r>
              <w:t xml:space="preserve">7315.11</w:t>
            </w:r>
          </w:p>
        </w:tc>
        <w:tc>
          <w:tcPr>
            <w:tcW w:type="dxa" w:w="1872"/>
          </w:tcPr>
          <w:p>
            <w:r>
              <w:t xml:space="preserve">Roller chain of iron or steel</w:t>
            </w:r>
          </w:p>
        </w:tc>
        <w:tc>
          <w:tcPr>
            <w:tcW w:type="dxa" w:w="1872"/>
          </w:tcPr>
          <w:p>
            <w:r>
              <w:t xml:space="preserve">NV-NIL</w:t>
            </w:r>
          </w:p>
        </w:tc>
        <w:tc>
          <w:tcPr>
            <w:tcW w:type="dxa" w:w="1872"/>
          </w:tcPr>
          <w:p>
            <w:r>
              <w:t xml:space="preserve">NV-NIL (pending A2A.6 nil-return)</w:t>
            </w:r>
          </w:p>
        </w:tc>
      </w:tr>
      <w:tr>
        <w:tc>
          <w:tcPr>
            <w:tcW w:type="dxa" w:w="1872"/>
          </w:tcPr>
          <w:p>
            <w:r>
              <w:t xml:space="preserve">MX-2A-141</w:t>
            </w:r>
          </w:p>
        </w:tc>
        <w:tc>
          <w:tcPr>
            <w:tcW w:type="dxa" w:w="1872"/>
          </w:tcPr>
          <w:p>
            <w:r>
              <w:t xml:space="preserve">7318.15</w:t>
            </w:r>
          </w:p>
        </w:tc>
        <w:tc>
          <w:tcPr>
            <w:tcW w:type="dxa" w:w="1872"/>
          </w:tcPr>
          <w:p>
            <w:r>
              <w:t xml:space="preserve">Bolts and screws with hexagon head</w:t>
            </w:r>
          </w:p>
        </w:tc>
        <w:tc>
          <w:tcPr>
            <w:tcW w:type="dxa" w:w="1872"/>
          </w:tcPr>
          <w:p>
            <w:r>
              <w:t xml:space="preserve">NV-NIL</w:t>
            </w:r>
          </w:p>
        </w:tc>
        <w:tc>
          <w:tcPr>
            <w:tcW w:type="dxa" w:w="1872"/>
          </w:tcPr>
          <w:p>
            <w:r>
              <w:t xml:space="preserve">NV-NIL (pending A2A.6 nil-return)</w:t>
            </w:r>
          </w:p>
        </w:tc>
      </w:tr>
      <w:tr>
        <w:tc>
          <w:tcPr>
            <w:tcW w:type="dxa" w:w="1872"/>
          </w:tcPr>
          <w:p>
            <w:r>
              <w:t xml:space="preserve">MX-2A-142</w:t>
            </w:r>
          </w:p>
        </w:tc>
        <w:tc>
          <w:tcPr>
            <w:tcW w:type="dxa" w:w="1872"/>
          </w:tcPr>
          <w:p>
            <w:r>
              <w:t xml:space="preserve">7318.91</w:t>
            </w:r>
          </w:p>
        </w:tc>
        <w:tc>
          <w:tcPr>
            <w:tcW w:type="dxa" w:w="1872"/>
          </w:tcPr>
          <w:p>
            <w:r>
              <w:t xml:space="preserve">Wood screws</w:t>
            </w:r>
          </w:p>
        </w:tc>
        <w:tc>
          <w:tcPr>
            <w:tcW w:type="dxa" w:w="1872"/>
          </w:tcPr>
          <w:p>
            <w:r>
              <w:t xml:space="preserve">NV-NIL</w:t>
            </w:r>
          </w:p>
        </w:tc>
        <w:tc>
          <w:tcPr>
            <w:tcW w:type="dxa" w:w="1872"/>
          </w:tcPr>
          <w:p>
            <w:r>
              <w:t xml:space="preserve">NV-NIL (pending A2A.6 nil-return)</w:t>
            </w:r>
          </w:p>
        </w:tc>
      </w:tr>
      <w:tr>
        <w:tc>
          <w:tcPr>
            <w:tcW w:type="dxa" w:w="1872"/>
          </w:tcPr>
          <w:p>
            <w:r>
              <w:t xml:space="preserve">MX-2A-143</w:t>
            </w:r>
          </w:p>
        </w:tc>
        <w:tc>
          <w:tcPr>
            <w:tcW w:type="dxa" w:w="1872"/>
          </w:tcPr>
          <w:p>
            <w:r>
              <w:t xml:space="preserve">7326.11</w:t>
            </w:r>
          </w:p>
        </w:tc>
        <w:tc>
          <w:tcPr>
            <w:tcW w:type="dxa" w:w="1872"/>
          </w:tcPr>
          <w:p>
            <w:r>
              <w:t xml:space="preserve">Balls and grinding media</w:t>
            </w:r>
          </w:p>
        </w:tc>
        <w:tc>
          <w:tcPr>
            <w:tcW w:type="dxa" w:w="1872"/>
          </w:tcPr>
          <w:p>
            <w:r>
              <w:t xml:space="preserve">NV-NIL</w:t>
            </w:r>
          </w:p>
        </w:tc>
        <w:tc>
          <w:tcPr>
            <w:tcW w:type="dxa" w:w="1872"/>
          </w:tcPr>
          <w:p>
            <w:r>
              <w:t xml:space="preserve">NV-NIL (pending A2A.6 nil-return)</w:t>
            </w:r>
          </w:p>
        </w:tc>
      </w:tr>
      <w:tr>
        <w:tc>
          <w:tcPr>
            <w:tcW w:type="dxa" w:w="1872"/>
          </w:tcPr>
          <w:p>
            <w:r>
              <w:t xml:space="preserve">MX-2A-144</w:t>
            </w:r>
          </w:p>
        </w:tc>
        <w:tc>
          <w:tcPr>
            <w:tcW w:type="dxa" w:w="1872"/>
          </w:tcPr>
          <w:p>
            <w:r>
              <w:t xml:space="preserve">7402.00</w:t>
            </w:r>
          </w:p>
        </w:tc>
        <w:tc>
          <w:tcPr>
            <w:tcW w:type="dxa" w:w="1872"/>
          </w:tcPr>
          <w:p>
            <w:r>
              <w:t xml:space="preserve">Copper, unrefined</w:t>
            </w:r>
          </w:p>
        </w:tc>
        <w:tc>
          <w:tcPr>
            <w:tcW w:type="dxa" w:w="1872"/>
          </w:tcPr>
          <w:p>
            <w:r>
              <w:t xml:space="preserve">NV-NIL</w:t>
            </w:r>
          </w:p>
        </w:tc>
        <w:tc>
          <w:tcPr>
            <w:tcW w:type="dxa" w:w="1872"/>
          </w:tcPr>
          <w:p>
            <w:r>
              <w:t xml:space="preserve">NV-NIL (pending A2A.6 nil-return)</w:t>
            </w:r>
          </w:p>
        </w:tc>
      </w:tr>
      <w:tr>
        <w:tc>
          <w:tcPr>
            <w:tcW w:type="dxa" w:w="1872"/>
          </w:tcPr>
          <w:p>
            <w:r>
              <w:t xml:space="preserve">MX-2A-145</w:t>
            </w:r>
          </w:p>
        </w:tc>
        <w:tc>
          <w:tcPr>
            <w:tcW w:type="dxa" w:w="1872"/>
          </w:tcPr>
          <w:p>
            <w:r>
              <w:t xml:space="preserve">7403.11</w:t>
            </w:r>
          </w:p>
        </w:tc>
        <w:tc>
          <w:tcPr>
            <w:tcW w:type="dxa" w:w="1872"/>
          </w:tcPr>
          <w:p>
            <w:r>
              <w:t xml:space="preserve">Copper cathodes, refined</w:t>
            </w:r>
          </w:p>
        </w:tc>
        <w:tc>
          <w:tcPr>
            <w:tcW w:type="dxa" w:w="1872"/>
          </w:tcPr>
          <w:p>
            <w:r>
              <w:t xml:space="preserve">NV-NIL</w:t>
            </w:r>
          </w:p>
        </w:tc>
        <w:tc>
          <w:tcPr>
            <w:tcW w:type="dxa" w:w="1872"/>
          </w:tcPr>
          <w:p>
            <w:r>
              <w:t xml:space="preserve">NV-NIL (pending A2A.6 nil-return)</w:t>
            </w:r>
          </w:p>
        </w:tc>
      </w:tr>
      <w:tr>
        <w:tc>
          <w:tcPr>
            <w:tcW w:type="dxa" w:w="1872"/>
          </w:tcPr>
          <w:p>
            <w:r>
              <w:t xml:space="preserve">MX-2A-146</w:t>
            </w:r>
          </w:p>
        </w:tc>
        <w:tc>
          <w:tcPr>
            <w:tcW w:type="dxa" w:w="1872"/>
          </w:tcPr>
          <w:p>
            <w:r>
              <w:t xml:space="preserve">7403.12</w:t>
            </w:r>
          </w:p>
        </w:tc>
        <w:tc>
          <w:tcPr>
            <w:tcW w:type="dxa" w:w="1872"/>
          </w:tcPr>
          <w:p>
            <w:r>
              <w:t xml:space="preserve">Wire bars, refined copper</w:t>
            </w:r>
          </w:p>
        </w:tc>
        <w:tc>
          <w:tcPr>
            <w:tcW w:type="dxa" w:w="1872"/>
          </w:tcPr>
          <w:p>
            <w:r>
              <w:t xml:space="preserve">NV-NIL</w:t>
            </w:r>
          </w:p>
        </w:tc>
        <w:tc>
          <w:tcPr>
            <w:tcW w:type="dxa" w:w="1872"/>
          </w:tcPr>
          <w:p>
            <w:r>
              <w:t xml:space="preserve">NV-NIL (pending A2A.6 nil-return)</w:t>
            </w:r>
          </w:p>
        </w:tc>
      </w:tr>
      <w:tr>
        <w:tc>
          <w:tcPr>
            <w:tcW w:type="dxa" w:w="1872"/>
          </w:tcPr>
          <w:p>
            <w:r>
              <w:t xml:space="preserve">MX-2A-147</w:t>
            </w:r>
          </w:p>
        </w:tc>
        <w:tc>
          <w:tcPr>
            <w:tcW w:type="dxa" w:w="1872"/>
          </w:tcPr>
          <w:p>
            <w:r>
              <w:t xml:space="preserve">7407.10</w:t>
            </w:r>
          </w:p>
        </w:tc>
        <w:tc>
          <w:tcPr>
            <w:tcW w:type="dxa" w:w="1872"/>
          </w:tcPr>
          <w:p>
            <w:r>
              <w:t xml:space="preserve">Bars and rods of refined copper</w:t>
            </w:r>
          </w:p>
        </w:tc>
        <w:tc>
          <w:tcPr>
            <w:tcW w:type="dxa" w:w="1872"/>
          </w:tcPr>
          <w:p>
            <w:r>
              <w:t xml:space="preserve">NV-NIL</w:t>
            </w:r>
          </w:p>
        </w:tc>
        <w:tc>
          <w:tcPr>
            <w:tcW w:type="dxa" w:w="1872"/>
          </w:tcPr>
          <w:p>
            <w:r>
              <w:t xml:space="preserve">NV-NIL (pending A2A.6 nil-return)</w:t>
            </w:r>
          </w:p>
        </w:tc>
      </w:tr>
      <w:tr>
        <w:tc>
          <w:tcPr>
            <w:tcW w:type="dxa" w:w="1872"/>
          </w:tcPr>
          <w:p>
            <w:r>
              <w:t xml:space="preserve">MX-2A-148</w:t>
            </w:r>
          </w:p>
        </w:tc>
        <w:tc>
          <w:tcPr>
            <w:tcW w:type="dxa" w:w="1872"/>
          </w:tcPr>
          <w:p>
            <w:r>
              <w:t xml:space="preserve">7408.11</w:t>
            </w:r>
          </w:p>
        </w:tc>
        <w:tc>
          <w:tcPr>
            <w:tcW w:type="dxa" w:w="1872"/>
          </w:tcPr>
          <w:p>
            <w:r>
              <w:t xml:space="preserve">Wire of refined copper &lt;=6mm</w:t>
            </w:r>
          </w:p>
        </w:tc>
        <w:tc>
          <w:tcPr>
            <w:tcW w:type="dxa" w:w="1872"/>
          </w:tcPr>
          <w:p>
            <w:r>
              <w:t xml:space="preserve">NV-NIL</w:t>
            </w:r>
          </w:p>
        </w:tc>
        <w:tc>
          <w:tcPr>
            <w:tcW w:type="dxa" w:w="1872"/>
          </w:tcPr>
          <w:p>
            <w:r>
              <w:t xml:space="preserve">NV-NIL (pending A2A.6 nil-return)</w:t>
            </w:r>
          </w:p>
        </w:tc>
      </w:tr>
      <w:tr>
        <w:tc>
          <w:tcPr>
            <w:tcW w:type="dxa" w:w="1872"/>
          </w:tcPr>
          <w:p>
            <w:r>
              <w:t xml:space="preserve">MX-2A-149</w:t>
            </w:r>
          </w:p>
        </w:tc>
        <w:tc>
          <w:tcPr>
            <w:tcW w:type="dxa" w:w="1872"/>
          </w:tcPr>
          <w:p>
            <w:r>
              <w:t xml:space="preserve">7409.11</w:t>
            </w:r>
          </w:p>
        </w:tc>
        <w:tc>
          <w:tcPr>
            <w:tcW w:type="dxa" w:w="1872"/>
          </w:tcPr>
          <w:p>
            <w:r>
              <w:t xml:space="preserve">Plates and sheets of copper, coiled</w:t>
            </w:r>
          </w:p>
        </w:tc>
        <w:tc>
          <w:tcPr>
            <w:tcW w:type="dxa" w:w="1872"/>
          </w:tcPr>
          <w:p>
            <w:r>
              <w:t xml:space="preserve">NV-NIL</w:t>
            </w:r>
          </w:p>
        </w:tc>
        <w:tc>
          <w:tcPr>
            <w:tcW w:type="dxa" w:w="1872"/>
          </w:tcPr>
          <w:p>
            <w:r>
              <w:t xml:space="preserve">NV-NIL (pending A2A.6 nil-return)</w:t>
            </w:r>
          </w:p>
        </w:tc>
      </w:tr>
      <w:tr>
        <w:tc>
          <w:tcPr>
            <w:tcW w:type="dxa" w:w="1872"/>
          </w:tcPr>
          <w:p>
            <w:r>
              <w:t xml:space="preserve">MX-2A-150</w:t>
            </w:r>
          </w:p>
        </w:tc>
        <w:tc>
          <w:tcPr>
            <w:tcW w:type="dxa" w:w="1872"/>
          </w:tcPr>
          <w:p>
            <w:r>
              <w:t xml:space="preserve">7411.10</w:t>
            </w:r>
          </w:p>
        </w:tc>
        <w:tc>
          <w:tcPr>
            <w:tcW w:type="dxa" w:w="1872"/>
          </w:tcPr>
          <w:p>
            <w:r>
              <w:t xml:space="preserve">Tubes of refined copper</w:t>
            </w:r>
          </w:p>
        </w:tc>
        <w:tc>
          <w:tcPr>
            <w:tcW w:type="dxa" w:w="1872"/>
          </w:tcPr>
          <w:p>
            <w:r>
              <w:t xml:space="preserve">NV-NIL</w:t>
            </w:r>
          </w:p>
        </w:tc>
        <w:tc>
          <w:tcPr>
            <w:tcW w:type="dxa" w:w="1872"/>
          </w:tcPr>
          <w:p>
            <w:r>
              <w:t xml:space="preserve">NV-NIL (pending A2A.6 nil-return)</w:t>
            </w:r>
          </w:p>
        </w:tc>
      </w:tr>
      <w:tr>
        <w:tc>
          <w:tcPr>
            <w:tcW w:type="dxa" w:w="1872"/>
          </w:tcPr>
          <w:p>
            <w:r>
              <w:t xml:space="preserve">MX-2A-151</w:t>
            </w:r>
          </w:p>
        </w:tc>
        <w:tc>
          <w:tcPr>
            <w:tcW w:type="dxa" w:w="1872"/>
          </w:tcPr>
          <w:p>
            <w:r>
              <w:t xml:space="preserve">7413.00</w:t>
            </w:r>
          </w:p>
        </w:tc>
        <w:tc>
          <w:tcPr>
            <w:tcW w:type="dxa" w:w="1872"/>
          </w:tcPr>
          <w:p>
            <w:r>
              <w:t xml:space="preserve">Stranded wire of copper</w:t>
            </w:r>
          </w:p>
        </w:tc>
        <w:tc>
          <w:tcPr>
            <w:tcW w:type="dxa" w:w="1872"/>
          </w:tcPr>
          <w:p>
            <w:r>
              <w:t xml:space="preserve">NV-NIL</w:t>
            </w:r>
          </w:p>
        </w:tc>
        <w:tc>
          <w:tcPr>
            <w:tcW w:type="dxa" w:w="1872"/>
          </w:tcPr>
          <w:p>
            <w:r>
              <w:t xml:space="preserve">NV-NIL (pending A2A.6 nil-return)</w:t>
            </w:r>
          </w:p>
        </w:tc>
      </w:tr>
      <w:tr>
        <w:tc>
          <w:tcPr>
            <w:tcW w:type="dxa" w:w="1872"/>
          </w:tcPr>
          <w:p>
            <w:r>
              <w:t xml:space="preserve">MX-2A-152</w:t>
            </w:r>
          </w:p>
        </w:tc>
        <w:tc>
          <w:tcPr>
            <w:tcW w:type="dxa" w:w="1872"/>
          </w:tcPr>
          <w:p>
            <w:r>
              <w:t xml:space="preserve">7417.00</w:t>
            </w:r>
          </w:p>
        </w:tc>
        <w:tc>
          <w:tcPr>
            <w:tcW w:type="dxa" w:w="1872"/>
          </w:tcPr>
          <w:p>
            <w:r>
              <w:t xml:space="preserve">Copper household articles</w:t>
            </w:r>
          </w:p>
        </w:tc>
        <w:tc>
          <w:tcPr>
            <w:tcW w:type="dxa" w:w="1872"/>
          </w:tcPr>
          <w:p>
            <w:r>
              <w:t xml:space="preserve">NV-NIL</w:t>
            </w:r>
          </w:p>
        </w:tc>
        <w:tc>
          <w:tcPr>
            <w:tcW w:type="dxa" w:w="1872"/>
          </w:tcPr>
          <w:p>
            <w:r>
              <w:t xml:space="preserve">NV-NIL (pending A2A.6 nil-return)</w:t>
            </w:r>
          </w:p>
        </w:tc>
      </w:tr>
      <w:tr>
        <w:tc>
          <w:tcPr>
            <w:tcW w:type="dxa" w:w="1872"/>
          </w:tcPr>
          <w:p>
            <w:r>
              <w:t xml:space="preserve">MX-2A-153</w:t>
            </w:r>
          </w:p>
        </w:tc>
        <w:tc>
          <w:tcPr>
            <w:tcW w:type="dxa" w:w="1872"/>
          </w:tcPr>
          <w:p>
            <w:r>
              <w:t xml:space="preserve">7601.10</w:t>
            </w:r>
          </w:p>
        </w:tc>
        <w:tc>
          <w:tcPr>
            <w:tcW w:type="dxa" w:w="1872"/>
          </w:tcPr>
          <w:p>
            <w:r>
              <w:t xml:space="preserve">Aluminum, unwrought, &gt;=99.95%</w:t>
            </w:r>
          </w:p>
        </w:tc>
        <w:tc>
          <w:tcPr>
            <w:tcW w:type="dxa" w:w="1872"/>
          </w:tcPr>
          <w:p>
            <w:r>
              <w:t xml:space="preserve">NV-NIL</w:t>
            </w:r>
          </w:p>
        </w:tc>
        <w:tc>
          <w:tcPr>
            <w:tcW w:type="dxa" w:w="1872"/>
          </w:tcPr>
          <w:p>
            <w:r>
              <w:t xml:space="preserve">NV-NIL (pending A2A.6 nil-return)</w:t>
            </w:r>
          </w:p>
        </w:tc>
      </w:tr>
      <w:tr>
        <w:tc>
          <w:tcPr>
            <w:tcW w:type="dxa" w:w="1872"/>
          </w:tcPr>
          <w:p>
            <w:r>
              <w:t xml:space="preserve">MX-2A-154</w:t>
            </w:r>
          </w:p>
        </w:tc>
        <w:tc>
          <w:tcPr>
            <w:tcW w:type="dxa" w:w="1872"/>
          </w:tcPr>
          <w:p>
            <w:r>
              <w:t xml:space="preserve">7601.20</w:t>
            </w:r>
          </w:p>
        </w:tc>
        <w:tc>
          <w:tcPr>
            <w:tcW w:type="dxa" w:w="1872"/>
          </w:tcPr>
          <w:p>
            <w:r>
              <w:t xml:space="preserve">Aluminum alloys, unwrought</w:t>
            </w:r>
          </w:p>
        </w:tc>
        <w:tc>
          <w:tcPr>
            <w:tcW w:type="dxa" w:w="1872"/>
          </w:tcPr>
          <w:p>
            <w:r>
              <w:t xml:space="preserve">NV-NIL</w:t>
            </w:r>
          </w:p>
        </w:tc>
        <w:tc>
          <w:tcPr>
            <w:tcW w:type="dxa" w:w="1872"/>
          </w:tcPr>
          <w:p>
            <w:r>
              <w:t xml:space="preserve">NV-NIL (pending A2A.6 nil-return)</w:t>
            </w:r>
          </w:p>
        </w:tc>
      </w:tr>
      <w:tr>
        <w:tc>
          <w:tcPr>
            <w:tcW w:type="dxa" w:w="1872"/>
          </w:tcPr>
          <w:p>
            <w:r>
              <w:t xml:space="preserve">MX-2A-155</w:t>
            </w:r>
          </w:p>
        </w:tc>
        <w:tc>
          <w:tcPr>
            <w:tcW w:type="dxa" w:w="1872"/>
          </w:tcPr>
          <w:p>
            <w:r>
              <w:t xml:space="preserve">7602.00</w:t>
            </w:r>
          </w:p>
        </w:tc>
        <w:tc>
          <w:tcPr>
            <w:tcW w:type="dxa" w:w="1872"/>
          </w:tcPr>
          <w:p>
            <w:r>
              <w:t xml:space="preserve">Aluminum waste and scrap</w:t>
            </w:r>
          </w:p>
        </w:tc>
        <w:tc>
          <w:tcPr>
            <w:tcW w:type="dxa" w:w="1872"/>
          </w:tcPr>
          <w:p>
            <w:r>
              <w:t xml:space="preserve">NV-NIL</w:t>
            </w:r>
          </w:p>
        </w:tc>
        <w:tc>
          <w:tcPr>
            <w:tcW w:type="dxa" w:w="1872"/>
          </w:tcPr>
          <w:p>
            <w:r>
              <w:t xml:space="preserve">NV-NIL (pending A2A.6 nil-return)</w:t>
            </w:r>
          </w:p>
        </w:tc>
      </w:tr>
      <w:tr>
        <w:tc>
          <w:tcPr>
            <w:tcW w:type="dxa" w:w="1872"/>
          </w:tcPr>
          <w:p>
            <w:r>
              <w:t xml:space="preserve">MX-2A-156</w:t>
            </w:r>
          </w:p>
        </w:tc>
        <w:tc>
          <w:tcPr>
            <w:tcW w:type="dxa" w:w="1872"/>
          </w:tcPr>
          <w:p>
            <w:r>
              <w:t xml:space="preserve">7604.10</w:t>
            </w:r>
          </w:p>
        </w:tc>
        <w:tc>
          <w:tcPr>
            <w:tcW w:type="dxa" w:w="1872"/>
          </w:tcPr>
          <w:p>
            <w:r>
              <w:t xml:space="preserve">Bars, rods and profiles of aluminum</w:t>
            </w:r>
          </w:p>
        </w:tc>
        <w:tc>
          <w:tcPr>
            <w:tcW w:type="dxa" w:w="1872"/>
          </w:tcPr>
          <w:p>
            <w:r>
              <w:t xml:space="preserve">NV-NIL</w:t>
            </w:r>
          </w:p>
        </w:tc>
        <w:tc>
          <w:tcPr>
            <w:tcW w:type="dxa" w:w="1872"/>
          </w:tcPr>
          <w:p>
            <w:r>
              <w:t xml:space="preserve">NV-NIL (pending A2A.6 nil-return)</w:t>
            </w:r>
          </w:p>
        </w:tc>
      </w:tr>
      <w:tr>
        <w:tc>
          <w:tcPr>
            <w:tcW w:type="dxa" w:w="1872"/>
          </w:tcPr>
          <w:p>
            <w:r>
              <w:t xml:space="preserve">MX-2A-157</w:t>
            </w:r>
          </w:p>
        </w:tc>
        <w:tc>
          <w:tcPr>
            <w:tcW w:type="dxa" w:w="1872"/>
          </w:tcPr>
          <w:p>
            <w:r>
              <w:t xml:space="preserve">7604.21</w:t>
            </w:r>
          </w:p>
        </w:tc>
        <w:tc>
          <w:tcPr>
            <w:tcW w:type="dxa" w:w="1872"/>
          </w:tcPr>
          <w:p>
            <w:r>
              <w:t xml:space="preserve">Hollow profiles of aluminum</w:t>
            </w:r>
          </w:p>
        </w:tc>
        <w:tc>
          <w:tcPr>
            <w:tcW w:type="dxa" w:w="1872"/>
          </w:tcPr>
          <w:p>
            <w:r>
              <w:t xml:space="preserve">NV-NIL</w:t>
            </w:r>
          </w:p>
        </w:tc>
        <w:tc>
          <w:tcPr>
            <w:tcW w:type="dxa" w:w="1872"/>
          </w:tcPr>
          <w:p>
            <w:r>
              <w:t xml:space="preserve">NV-NIL (pending A2A.6 nil-return)</w:t>
            </w:r>
          </w:p>
        </w:tc>
      </w:tr>
      <w:tr>
        <w:tc>
          <w:tcPr>
            <w:tcW w:type="dxa" w:w="1872"/>
          </w:tcPr>
          <w:p>
            <w:r>
              <w:t xml:space="preserve">MX-2A-158</w:t>
            </w:r>
          </w:p>
        </w:tc>
        <w:tc>
          <w:tcPr>
            <w:tcW w:type="dxa" w:w="1872"/>
          </w:tcPr>
          <w:p>
            <w:r>
              <w:t xml:space="preserve">7605.11</w:t>
            </w:r>
          </w:p>
        </w:tc>
        <w:tc>
          <w:tcPr>
            <w:tcW w:type="dxa" w:w="1872"/>
          </w:tcPr>
          <w:p>
            <w:r>
              <w:t xml:space="preserve">Wire of aluminum, with core</w:t>
            </w:r>
          </w:p>
        </w:tc>
        <w:tc>
          <w:tcPr>
            <w:tcW w:type="dxa" w:w="1872"/>
          </w:tcPr>
          <w:p>
            <w:r>
              <w:t xml:space="preserve">NV-NIL</w:t>
            </w:r>
          </w:p>
        </w:tc>
        <w:tc>
          <w:tcPr>
            <w:tcW w:type="dxa" w:w="1872"/>
          </w:tcPr>
          <w:p>
            <w:r>
              <w:t xml:space="preserve">NV-NIL (pending A2A.6 nil-return)</w:t>
            </w:r>
          </w:p>
        </w:tc>
      </w:tr>
      <w:tr>
        <w:tc>
          <w:tcPr>
            <w:tcW w:type="dxa" w:w="1872"/>
          </w:tcPr>
          <w:p>
            <w:r>
              <w:t xml:space="preserve">MX-2A-159</w:t>
            </w:r>
          </w:p>
        </w:tc>
        <w:tc>
          <w:tcPr>
            <w:tcW w:type="dxa" w:w="1872"/>
          </w:tcPr>
          <w:p>
            <w:r>
              <w:t xml:space="preserve">7605.19</w:t>
            </w:r>
          </w:p>
        </w:tc>
        <w:tc>
          <w:tcPr>
            <w:tcW w:type="dxa" w:w="1872"/>
          </w:tcPr>
          <w:p>
            <w:r>
              <w:t xml:space="preserve">Wire of aluminum, other</w:t>
            </w:r>
          </w:p>
        </w:tc>
        <w:tc>
          <w:tcPr>
            <w:tcW w:type="dxa" w:w="1872"/>
          </w:tcPr>
          <w:p>
            <w:r>
              <w:t xml:space="preserve">NV-NIL</w:t>
            </w:r>
          </w:p>
        </w:tc>
        <w:tc>
          <w:tcPr>
            <w:tcW w:type="dxa" w:w="1872"/>
          </w:tcPr>
          <w:p>
            <w:r>
              <w:t xml:space="preserve">NV-NIL (pending A2A.6 nil-return)</w:t>
            </w:r>
          </w:p>
        </w:tc>
      </w:tr>
      <w:tr>
        <w:tc>
          <w:tcPr>
            <w:tcW w:type="dxa" w:w="1872"/>
          </w:tcPr>
          <w:p>
            <w:r>
              <w:t xml:space="preserve">MX-2A-160</w:t>
            </w:r>
          </w:p>
        </w:tc>
        <w:tc>
          <w:tcPr>
            <w:tcW w:type="dxa" w:w="1872"/>
          </w:tcPr>
          <w:p>
            <w:r>
              <w:t xml:space="preserve">7606.11</w:t>
            </w:r>
          </w:p>
        </w:tc>
        <w:tc>
          <w:tcPr>
            <w:tcW w:type="dxa" w:w="1872"/>
          </w:tcPr>
          <w:p>
            <w:r>
              <w:t xml:space="preserve">Plates and sheets of aluminum, rectangular, coiled</w:t>
            </w:r>
          </w:p>
        </w:tc>
        <w:tc>
          <w:tcPr>
            <w:tcW w:type="dxa" w:w="1872"/>
          </w:tcPr>
          <w:p>
            <w:r>
              <w:t xml:space="preserve">NV-NIL</w:t>
            </w:r>
          </w:p>
        </w:tc>
        <w:tc>
          <w:tcPr>
            <w:tcW w:type="dxa" w:w="1872"/>
          </w:tcPr>
          <w:p>
            <w:r>
              <w:t xml:space="preserve">NV-NIL (pending A2A.6 nil-return)</w:t>
            </w:r>
          </w:p>
        </w:tc>
      </w:tr>
      <w:tr>
        <w:tc>
          <w:tcPr>
            <w:tcW w:type="dxa" w:w="1872"/>
          </w:tcPr>
          <w:p>
            <w:r>
              <w:t xml:space="preserve">MX-2A-161</w:t>
            </w:r>
          </w:p>
        </w:tc>
        <w:tc>
          <w:tcPr>
            <w:tcW w:type="dxa" w:w="1872"/>
          </w:tcPr>
          <w:p>
            <w:r>
              <w:t xml:space="preserve">7606.12</w:t>
            </w:r>
          </w:p>
        </w:tc>
        <w:tc>
          <w:tcPr>
            <w:tcW w:type="dxa" w:w="1872"/>
          </w:tcPr>
          <w:p>
            <w:r>
              <w:t xml:space="preserve">Plates and sheets of aluminum, rectangular</w:t>
            </w:r>
          </w:p>
        </w:tc>
        <w:tc>
          <w:tcPr>
            <w:tcW w:type="dxa" w:w="1872"/>
          </w:tcPr>
          <w:p>
            <w:r>
              <w:t xml:space="preserve">NV-NIL</w:t>
            </w:r>
          </w:p>
        </w:tc>
        <w:tc>
          <w:tcPr>
            <w:tcW w:type="dxa" w:w="1872"/>
          </w:tcPr>
          <w:p>
            <w:r>
              <w:t xml:space="preserve">NV-NIL (pending A2A.6 nil-return)</w:t>
            </w:r>
          </w:p>
        </w:tc>
      </w:tr>
      <w:tr>
        <w:tc>
          <w:tcPr>
            <w:tcW w:type="dxa" w:w="1872"/>
          </w:tcPr>
          <w:p>
            <w:r>
              <w:t xml:space="preserve">MX-2A-162</w:t>
            </w:r>
          </w:p>
        </w:tc>
        <w:tc>
          <w:tcPr>
            <w:tcW w:type="dxa" w:w="1872"/>
          </w:tcPr>
          <w:p>
            <w:r>
              <w:t xml:space="preserve">7607.11</w:t>
            </w:r>
          </w:p>
        </w:tc>
        <w:tc>
          <w:tcPr>
            <w:tcW w:type="dxa" w:w="1872"/>
          </w:tcPr>
          <w:p>
            <w:r>
              <w:t xml:space="preserve">Foil of aluminum, rolled &lt;=0.2mm, backed</w:t>
            </w:r>
          </w:p>
        </w:tc>
        <w:tc>
          <w:tcPr>
            <w:tcW w:type="dxa" w:w="1872"/>
          </w:tcPr>
          <w:p>
            <w:r>
              <w:t xml:space="preserve">NV-NIL</w:t>
            </w:r>
          </w:p>
        </w:tc>
        <w:tc>
          <w:tcPr>
            <w:tcW w:type="dxa" w:w="1872"/>
          </w:tcPr>
          <w:p>
            <w:r>
              <w:t xml:space="preserve">NV-NIL (pending A2A.6 nil-return)</w:t>
            </w:r>
          </w:p>
        </w:tc>
      </w:tr>
      <w:tr>
        <w:tc>
          <w:tcPr>
            <w:tcW w:type="dxa" w:w="1872"/>
          </w:tcPr>
          <w:p>
            <w:r>
              <w:t xml:space="preserve">MX-2A-163</w:t>
            </w:r>
          </w:p>
        </w:tc>
        <w:tc>
          <w:tcPr>
            <w:tcW w:type="dxa" w:w="1872"/>
          </w:tcPr>
          <w:p>
            <w:r>
              <w:t xml:space="preserve">7607.19</w:t>
            </w:r>
          </w:p>
        </w:tc>
        <w:tc>
          <w:tcPr>
            <w:tcW w:type="dxa" w:w="1872"/>
          </w:tcPr>
          <w:p>
            <w:r>
              <w:t xml:space="preserve">Foil of aluminum, rolled &lt;=0.2mm, not backed</w:t>
            </w:r>
          </w:p>
        </w:tc>
        <w:tc>
          <w:tcPr>
            <w:tcW w:type="dxa" w:w="1872"/>
          </w:tcPr>
          <w:p>
            <w:r>
              <w:t xml:space="preserve">NV-NIL</w:t>
            </w:r>
          </w:p>
        </w:tc>
        <w:tc>
          <w:tcPr>
            <w:tcW w:type="dxa" w:w="1872"/>
          </w:tcPr>
          <w:p>
            <w:r>
              <w:t xml:space="preserve">NV-NIL (pending A2A.6 nil-return)</w:t>
            </w:r>
          </w:p>
        </w:tc>
      </w:tr>
      <w:tr>
        <w:tc>
          <w:tcPr>
            <w:tcW w:type="dxa" w:w="1872"/>
          </w:tcPr>
          <w:p>
            <w:r>
              <w:t xml:space="preserve">MX-2A-164</w:t>
            </w:r>
          </w:p>
        </w:tc>
        <w:tc>
          <w:tcPr>
            <w:tcW w:type="dxa" w:w="1872"/>
          </w:tcPr>
          <w:p>
            <w:r>
              <w:t xml:space="preserve">7607.20</w:t>
            </w:r>
          </w:p>
        </w:tc>
        <w:tc>
          <w:tcPr>
            <w:tcW w:type="dxa" w:w="1872"/>
          </w:tcPr>
          <w:p>
            <w:r>
              <w:t xml:space="preserve">Foil of aluminum, backed</w:t>
            </w:r>
          </w:p>
        </w:tc>
        <w:tc>
          <w:tcPr>
            <w:tcW w:type="dxa" w:w="1872"/>
          </w:tcPr>
          <w:p>
            <w:r>
              <w:t xml:space="preserve">NV-NIL</w:t>
            </w:r>
          </w:p>
        </w:tc>
        <w:tc>
          <w:tcPr>
            <w:tcW w:type="dxa" w:w="1872"/>
          </w:tcPr>
          <w:p>
            <w:r>
              <w:t xml:space="preserve">NV-NIL (pending A2A.6 nil-return)</w:t>
            </w:r>
          </w:p>
        </w:tc>
      </w:tr>
      <w:tr>
        <w:tc>
          <w:tcPr>
            <w:tcW w:type="dxa" w:w="1872"/>
          </w:tcPr>
          <w:p>
            <w:r>
              <w:t xml:space="preserve">MX-2A-165</w:t>
            </w:r>
          </w:p>
        </w:tc>
        <w:tc>
          <w:tcPr>
            <w:tcW w:type="dxa" w:w="1872"/>
          </w:tcPr>
          <w:p>
            <w:r>
              <w:t xml:space="preserve">7608.10</w:t>
            </w:r>
          </w:p>
        </w:tc>
        <w:tc>
          <w:tcPr>
            <w:tcW w:type="dxa" w:w="1872"/>
          </w:tcPr>
          <w:p>
            <w:r>
              <w:t xml:space="preserve">Tubes of aluminum, welded</w:t>
            </w:r>
          </w:p>
        </w:tc>
        <w:tc>
          <w:tcPr>
            <w:tcW w:type="dxa" w:w="1872"/>
          </w:tcPr>
          <w:p>
            <w:r>
              <w:t xml:space="preserve">NV-NIL</w:t>
            </w:r>
          </w:p>
        </w:tc>
        <w:tc>
          <w:tcPr>
            <w:tcW w:type="dxa" w:w="1872"/>
          </w:tcPr>
          <w:p>
            <w:r>
              <w:t xml:space="preserve">NV-NIL (pending A2A.6 nil-return)</w:t>
            </w:r>
          </w:p>
        </w:tc>
      </w:tr>
      <w:tr>
        <w:tc>
          <w:tcPr>
            <w:tcW w:type="dxa" w:w="1872"/>
          </w:tcPr>
          <w:p>
            <w:r>
              <w:t xml:space="preserve">MX-2A-166</w:t>
            </w:r>
          </w:p>
        </w:tc>
        <w:tc>
          <w:tcPr>
            <w:tcW w:type="dxa" w:w="1872"/>
          </w:tcPr>
          <w:p>
            <w:r>
              <w:t xml:space="preserve">7609.00</w:t>
            </w:r>
          </w:p>
        </w:tc>
        <w:tc>
          <w:tcPr>
            <w:tcW w:type="dxa" w:w="1872"/>
          </w:tcPr>
          <w:p>
            <w:r>
              <w:t xml:space="preserve">Tube and pipe fittings of aluminum</w:t>
            </w:r>
          </w:p>
        </w:tc>
        <w:tc>
          <w:tcPr>
            <w:tcW w:type="dxa" w:w="1872"/>
          </w:tcPr>
          <w:p>
            <w:r>
              <w:t xml:space="preserve">NV-NIL</w:t>
            </w:r>
          </w:p>
        </w:tc>
        <w:tc>
          <w:tcPr>
            <w:tcW w:type="dxa" w:w="1872"/>
          </w:tcPr>
          <w:p>
            <w:r>
              <w:t xml:space="preserve">NV-NIL (pending A2A.6 nil-return)</w:t>
            </w:r>
          </w:p>
        </w:tc>
      </w:tr>
      <w:tr>
        <w:tc>
          <w:tcPr>
            <w:tcW w:type="dxa" w:w="1872"/>
          </w:tcPr>
          <w:p>
            <w:r>
              <w:t xml:space="preserve">MX-2A-167</w:t>
            </w:r>
          </w:p>
        </w:tc>
        <w:tc>
          <w:tcPr>
            <w:tcW w:type="dxa" w:w="1872"/>
          </w:tcPr>
          <w:p>
            <w:r>
              <w:t xml:space="preserve">7610.10</w:t>
            </w:r>
          </w:p>
        </w:tc>
        <w:tc>
          <w:tcPr>
            <w:tcW w:type="dxa" w:w="1872"/>
          </w:tcPr>
          <w:p>
            <w:r>
              <w:t xml:space="preserve">Doors and windows of aluminum</w:t>
            </w:r>
          </w:p>
        </w:tc>
        <w:tc>
          <w:tcPr>
            <w:tcW w:type="dxa" w:w="1872"/>
          </w:tcPr>
          <w:p>
            <w:r>
              <w:t xml:space="preserve">NV-NIL</w:t>
            </w:r>
          </w:p>
        </w:tc>
        <w:tc>
          <w:tcPr>
            <w:tcW w:type="dxa" w:w="1872"/>
          </w:tcPr>
          <w:p>
            <w:r>
              <w:t xml:space="preserve">NV-NIL (pending A2A.6 nil-return)</w:t>
            </w:r>
          </w:p>
        </w:tc>
      </w:tr>
      <w:tr>
        <w:tc>
          <w:tcPr>
            <w:tcW w:type="dxa" w:w="1872"/>
          </w:tcPr>
          <w:p>
            <w:r>
              <w:t xml:space="preserve">MX-2A-168</w:t>
            </w:r>
          </w:p>
        </w:tc>
        <w:tc>
          <w:tcPr>
            <w:tcW w:type="dxa" w:w="1872"/>
          </w:tcPr>
          <w:p>
            <w:r>
              <w:t xml:space="preserve">7610.90</w:t>
            </w:r>
          </w:p>
        </w:tc>
        <w:tc>
          <w:tcPr>
            <w:tcW w:type="dxa" w:w="1872"/>
          </w:tcPr>
          <w:p>
            <w:r>
              <w:t xml:space="preserve">Aluminum structures, other</w:t>
            </w:r>
          </w:p>
        </w:tc>
        <w:tc>
          <w:tcPr>
            <w:tcW w:type="dxa" w:w="1872"/>
          </w:tcPr>
          <w:p>
            <w:r>
              <w:t xml:space="preserve">NV-NIL</w:t>
            </w:r>
          </w:p>
        </w:tc>
        <w:tc>
          <w:tcPr>
            <w:tcW w:type="dxa" w:w="1872"/>
          </w:tcPr>
          <w:p>
            <w:r>
              <w:t xml:space="preserve">NV-NIL (pending A2A.6 nil-return)</w:t>
            </w:r>
          </w:p>
        </w:tc>
      </w:tr>
      <w:tr>
        <w:tc>
          <w:tcPr>
            <w:tcW w:type="dxa" w:w="1872"/>
          </w:tcPr>
          <w:p>
            <w:r>
              <w:t xml:space="preserve">MX-2A-169</w:t>
            </w:r>
          </w:p>
        </w:tc>
        <w:tc>
          <w:tcPr>
            <w:tcW w:type="dxa" w:w="1872"/>
          </w:tcPr>
          <w:p>
            <w:r>
              <w:t xml:space="preserve">7612.90</w:t>
            </w:r>
          </w:p>
        </w:tc>
        <w:tc>
          <w:tcPr>
            <w:tcW w:type="dxa" w:w="1872"/>
          </w:tcPr>
          <w:p>
            <w:r>
              <w:t xml:space="preserve">Aluminum containers, other</w:t>
            </w:r>
          </w:p>
        </w:tc>
        <w:tc>
          <w:tcPr>
            <w:tcW w:type="dxa" w:w="1872"/>
          </w:tcPr>
          <w:p>
            <w:r>
              <w:t xml:space="preserve">NV-NIL</w:t>
            </w:r>
          </w:p>
        </w:tc>
        <w:tc>
          <w:tcPr>
            <w:tcW w:type="dxa" w:w="1872"/>
          </w:tcPr>
          <w:p>
            <w:r>
              <w:t xml:space="preserve">NV-NIL (pending A2A.6 nil-return)</w:t>
            </w:r>
          </w:p>
        </w:tc>
      </w:tr>
      <w:tr>
        <w:tc>
          <w:tcPr>
            <w:tcW w:type="dxa" w:w="1872"/>
          </w:tcPr>
          <w:p>
            <w:r>
              <w:t xml:space="preserve">MX-2A-170</w:t>
            </w:r>
          </w:p>
        </w:tc>
        <w:tc>
          <w:tcPr>
            <w:tcW w:type="dxa" w:w="1872"/>
          </w:tcPr>
          <w:p>
            <w:r>
              <w:t xml:space="preserve">7614.10</w:t>
            </w:r>
          </w:p>
        </w:tc>
        <w:tc>
          <w:tcPr>
            <w:tcW w:type="dxa" w:w="1872"/>
          </w:tcPr>
          <w:p>
            <w:r>
              <w:t xml:space="preserve">Stranded wire of aluminum</w:t>
            </w:r>
          </w:p>
        </w:tc>
        <w:tc>
          <w:tcPr>
            <w:tcW w:type="dxa" w:w="1872"/>
          </w:tcPr>
          <w:p>
            <w:r>
              <w:t xml:space="preserve">NV-NIL</w:t>
            </w:r>
          </w:p>
        </w:tc>
        <w:tc>
          <w:tcPr>
            <w:tcW w:type="dxa" w:w="1872"/>
          </w:tcPr>
          <w:p>
            <w:r>
              <w:t xml:space="preserve">NV-NIL (pending A2A.6 nil-return)</w:t>
            </w:r>
          </w:p>
        </w:tc>
      </w:tr>
      <w:tr>
        <w:tc>
          <w:tcPr>
            <w:tcW w:type="dxa" w:w="1872"/>
          </w:tcPr>
          <w:p>
            <w:r>
              <w:t xml:space="preserve">MX-2A-171</w:t>
            </w:r>
          </w:p>
        </w:tc>
        <w:tc>
          <w:tcPr>
            <w:tcW w:type="dxa" w:w="1872"/>
          </w:tcPr>
          <w:p>
            <w:r>
              <w:t xml:space="preserve">7616.10</w:t>
            </w:r>
          </w:p>
        </w:tc>
        <w:tc>
          <w:tcPr>
            <w:tcW w:type="dxa" w:w="1872"/>
          </w:tcPr>
          <w:p>
            <w:r>
              <w:t xml:space="preserve">Nails of aluminum</w:t>
            </w:r>
          </w:p>
        </w:tc>
        <w:tc>
          <w:tcPr>
            <w:tcW w:type="dxa" w:w="1872"/>
          </w:tcPr>
          <w:p>
            <w:r>
              <w:t xml:space="preserve">NV-NIL</w:t>
            </w:r>
          </w:p>
        </w:tc>
        <w:tc>
          <w:tcPr>
            <w:tcW w:type="dxa" w:w="1872"/>
          </w:tcPr>
          <w:p>
            <w:r>
              <w:t xml:space="preserve">NV-NIL (pending A2A.6 nil-return)</w:t>
            </w:r>
          </w:p>
        </w:tc>
      </w:tr>
      <w:tr>
        <w:tc>
          <w:tcPr>
            <w:tcW w:type="dxa" w:w="1872"/>
          </w:tcPr>
          <w:p>
            <w:r>
              <w:t xml:space="preserve">MX-2A-172</w:t>
            </w:r>
          </w:p>
        </w:tc>
        <w:tc>
          <w:tcPr>
            <w:tcW w:type="dxa" w:w="1872"/>
          </w:tcPr>
          <w:p>
            <w:r>
              <w:t xml:space="preserve">7616.91</w:t>
            </w:r>
          </w:p>
        </w:tc>
        <w:tc>
          <w:tcPr>
            <w:tcW w:type="dxa" w:w="1872"/>
          </w:tcPr>
          <w:p>
            <w:r>
              <w:t xml:space="preserve">Cloth of aluminum</w:t>
            </w:r>
          </w:p>
        </w:tc>
        <w:tc>
          <w:tcPr>
            <w:tcW w:type="dxa" w:w="1872"/>
          </w:tcPr>
          <w:p>
            <w:r>
              <w:t xml:space="preserve">NV-NIL</w:t>
            </w:r>
          </w:p>
        </w:tc>
        <w:tc>
          <w:tcPr>
            <w:tcW w:type="dxa" w:w="1872"/>
          </w:tcPr>
          <w:p>
            <w:r>
              <w:t xml:space="preserve">NV-NIL (pending A2A.6 nil-return)</w:t>
            </w:r>
          </w:p>
        </w:tc>
      </w:tr>
      <w:tr>
        <w:tc>
          <w:tcPr>
            <w:tcW w:type="dxa" w:w="1872"/>
          </w:tcPr>
          <w:p>
            <w:r>
              <w:t xml:space="preserve">MX-2A-173</w:t>
            </w:r>
          </w:p>
        </w:tc>
        <w:tc>
          <w:tcPr>
            <w:tcW w:type="dxa" w:w="1872"/>
          </w:tcPr>
          <w:p>
            <w:r>
              <w:t xml:space="preserve">7616.99</w:t>
            </w:r>
          </w:p>
        </w:tc>
        <w:tc>
          <w:tcPr>
            <w:tcW w:type="dxa" w:w="1872"/>
          </w:tcPr>
          <w:p>
            <w:r>
              <w:t xml:space="preserve">Aluminum articles, other</w:t>
            </w:r>
          </w:p>
        </w:tc>
        <w:tc>
          <w:tcPr>
            <w:tcW w:type="dxa" w:w="1872"/>
          </w:tcPr>
          <w:p>
            <w:r>
              <w:t xml:space="preserve">NV-NIL</w:t>
            </w:r>
          </w:p>
        </w:tc>
        <w:tc>
          <w:tcPr>
            <w:tcW w:type="dxa" w:w="1872"/>
          </w:tcPr>
          <w:p>
            <w:r>
              <w:t xml:space="preserve">NV-NIL (pending A2A.6 nil-return)</w:t>
            </w:r>
          </w:p>
        </w:tc>
      </w:tr>
      <w:tr>
        <w:tc>
          <w:tcPr>
            <w:tcW w:type="dxa" w:w="1872"/>
          </w:tcPr>
          <w:p>
            <w:r>
              <w:t xml:space="preserve">MX-2A-174</w:t>
            </w:r>
          </w:p>
        </w:tc>
        <w:tc>
          <w:tcPr>
            <w:tcW w:type="dxa" w:w="1872"/>
          </w:tcPr>
          <w:p>
            <w:r>
              <w:t xml:space="preserve">8407.33</w:t>
            </w:r>
          </w:p>
        </w:tc>
        <w:tc>
          <w:tcPr>
            <w:tcW w:type="dxa" w:w="1872"/>
          </w:tcPr>
          <w:p>
            <w:r>
              <w:t xml:space="preserve">Engines, spark ignition 1000-1500cc</w:t>
            </w:r>
          </w:p>
        </w:tc>
        <w:tc>
          <w:tcPr>
            <w:tcW w:type="dxa" w:w="1872"/>
          </w:tcPr>
          <w:p>
            <w:r>
              <w:t xml:space="preserve">NV-NIL</w:t>
            </w:r>
          </w:p>
        </w:tc>
        <w:tc>
          <w:tcPr>
            <w:tcW w:type="dxa" w:w="1872"/>
          </w:tcPr>
          <w:p>
            <w:r>
              <w:t xml:space="preserve">NV-NIL (pending A2A.6 nil-return)</w:t>
            </w:r>
          </w:p>
        </w:tc>
      </w:tr>
      <w:tr>
        <w:tc>
          <w:tcPr>
            <w:tcW w:type="dxa" w:w="1872"/>
          </w:tcPr>
          <w:p>
            <w:r>
              <w:t xml:space="preserve">MX-2A-175</w:t>
            </w:r>
          </w:p>
        </w:tc>
        <w:tc>
          <w:tcPr>
            <w:tcW w:type="dxa" w:w="1872"/>
          </w:tcPr>
          <w:p>
            <w:r>
              <w:t xml:space="preserve">8407.34</w:t>
            </w:r>
          </w:p>
        </w:tc>
        <w:tc>
          <w:tcPr>
            <w:tcW w:type="dxa" w:w="1872"/>
          </w:tcPr>
          <w:p>
            <w:r>
              <w:t xml:space="preserve">Engines, spark ignition &gt;1500cc</w:t>
            </w:r>
          </w:p>
        </w:tc>
        <w:tc>
          <w:tcPr>
            <w:tcW w:type="dxa" w:w="1872"/>
          </w:tcPr>
          <w:p>
            <w:r>
              <w:t xml:space="preserve">NV-NIL</w:t>
            </w:r>
          </w:p>
        </w:tc>
        <w:tc>
          <w:tcPr>
            <w:tcW w:type="dxa" w:w="1872"/>
          </w:tcPr>
          <w:p>
            <w:r>
              <w:t xml:space="preserve">NV-NIL (pending A2A.6 nil-return)</w:t>
            </w:r>
          </w:p>
        </w:tc>
      </w:tr>
      <w:tr>
        <w:tc>
          <w:tcPr>
            <w:tcW w:type="dxa" w:w="1872"/>
          </w:tcPr>
          <w:p>
            <w:r>
              <w:t xml:space="preserve">MX-2A-176</w:t>
            </w:r>
          </w:p>
        </w:tc>
        <w:tc>
          <w:tcPr>
            <w:tcW w:type="dxa" w:w="1872"/>
          </w:tcPr>
          <w:p>
            <w:r>
              <w:t xml:space="preserve">8408.20</w:t>
            </w:r>
          </w:p>
        </w:tc>
        <w:tc>
          <w:tcPr>
            <w:tcW w:type="dxa" w:w="1872"/>
          </w:tcPr>
          <w:p>
            <w:r>
              <w:t xml:space="preserve">Compression-ignition engines for vehicles</w:t>
            </w:r>
          </w:p>
        </w:tc>
        <w:tc>
          <w:tcPr>
            <w:tcW w:type="dxa" w:w="1872"/>
          </w:tcPr>
          <w:p>
            <w:r>
              <w:t xml:space="preserve">NV-NIL</w:t>
            </w:r>
          </w:p>
        </w:tc>
        <w:tc>
          <w:tcPr>
            <w:tcW w:type="dxa" w:w="1872"/>
          </w:tcPr>
          <w:p>
            <w:r>
              <w:t xml:space="preserve">NV-NIL (pending A2A.6 nil-return)</w:t>
            </w:r>
          </w:p>
        </w:tc>
      </w:tr>
      <w:tr>
        <w:tc>
          <w:tcPr>
            <w:tcW w:type="dxa" w:w="1872"/>
          </w:tcPr>
          <w:p>
            <w:r>
              <w:t xml:space="preserve">MX-2A-177</w:t>
            </w:r>
          </w:p>
        </w:tc>
        <w:tc>
          <w:tcPr>
            <w:tcW w:type="dxa" w:w="1872"/>
          </w:tcPr>
          <w:p>
            <w:r>
              <w:t xml:space="preserve">8409.91</w:t>
            </w:r>
          </w:p>
        </w:tc>
        <w:tc>
          <w:tcPr>
            <w:tcW w:type="dxa" w:w="1872"/>
          </w:tcPr>
          <w:p>
            <w:r>
              <w:t xml:space="preserve">Parts of spark-ignition engines</w:t>
            </w:r>
          </w:p>
        </w:tc>
        <w:tc>
          <w:tcPr>
            <w:tcW w:type="dxa" w:w="1872"/>
          </w:tcPr>
          <w:p>
            <w:r>
              <w:t xml:space="preserve">NV-NIL</w:t>
            </w:r>
          </w:p>
        </w:tc>
        <w:tc>
          <w:tcPr>
            <w:tcW w:type="dxa" w:w="1872"/>
          </w:tcPr>
          <w:p>
            <w:r>
              <w:t xml:space="preserve">NV-NIL (pending A2A.6 nil-return)</w:t>
            </w:r>
          </w:p>
        </w:tc>
      </w:tr>
      <w:tr>
        <w:tc>
          <w:tcPr>
            <w:tcW w:type="dxa" w:w="1872"/>
          </w:tcPr>
          <w:p>
            <w:r>
              <w:t xml:space="preserve">MX-2A-178</w:t>
            </w:r>
          </w:p>
        </w:tc>
        <w:tc>
          <w:tcPr>
            <w:tcW w:type="dxa" w:w="1872"/>
          </w:tcPr>
          <w:p>
            <w:r>
              <w:t xml:space="preserve">8409.99</w:t>
            </w:r>
          </w:p>
        </w:tc>
        <w:tc>
          <w:tcPr>
            <w:tcW w:type="dxa" w:w="1872"/>
          </w:tcPr>
          <w:p>
            <w:r>
              <w:t xml:space="preserve">Parts of compression-ignition engines</w:t>
            </w:r>
          </w:p>
        </w:tc>
        <w:tc>
          <w:tcPr>
            <w:tcW w:type="dxa" w:w="1872"/>
          </w:tcPr>
          <w:p>
            <w:r>
              <w:t xml:space="preserve">NV-NIL</w:t>
            </w:r>
          </w:p>
        </w:tc>
        <w:tc>
          <w:tcPr>
            <w:tcW w:type="dxa" w:w="1872"/>
          </w:tcPr>
          <w:p>
            <w:r>
              <w:t xml:space="preserve">NV-NIL (pending A2A.6 nil-return)</w:t>
            </w:r>
          </w:p>
        </w:tc>
      </w:tr>
      <w:tr>
        <w:tc>
          <w:tcPr>
            <w:tcW w:type="dxa" w:w="1872"/>
          </w:tcPr>
          <w:p>
            <w:r>
              <w:t xml:space="preserve">MX-2A-179</w:t>
            </w:r>
          </w:p>
        </w:tc>
        <w:tc>
          <w:tcPr>
            <w:tcW w:type="dxa" w:w="1872"/>
          </w:tcPr>
          <w:p>
            <w:r>
              <w:t xml:space="preserve">8517.13</w:t>
            </w:r>
          </w:p>
        </w:tc>
        <w:tc>
          <w:tcPr>
            <w:tcW w:type="dxa" w:w="1872"/>
          </w:tcPr>
          <w:p>
            <w:r>
              <w:t xml:space="preserve">Smartphones</w:t>
            </w:r>
          </w:p>
        </w:tc>
        <w:tc>
          <w:tcPr>
            <w:tcW w:type="dxa" w:w="1872"/>
          </w:tcPr>
          <w:p>
            <w:r>
              <w:t xml:space="preserve">NV-NIL</w:t>
            </w:r>
          </w:p>
        </w:tc>
        <w:tc>
          <w:tcPr>
            <w:tcW w:type="dxa" w:w="1872"/>
          </w:tcPr>
          <w:p>
            <w:r>
              <w:t xml:space="preserve">NV-NIL (pending A2A.6 nil-return)</w:t>
            </w:r>
          </w:p>
        </w:tc>
      </w:tr>
      <w:tr>
        <w:tc>
          <w:tcPr>
            <w:tcW w:type="dxa" w:w="1872"/>
          </w:tcPr>
          <w:p>
            <w:r>
              <w:t xml:space="preserve">MX-2A-180</w:t>
            </w:r>
          </w:p>
        </w:tc>
        <w:tc>
          <w:tcPr>
            <w:tcW w:type="dxa" w:w="1872"/>
          </w:tcPr>
          <w:p>
            <w:r>
              <w:t xml:space="preserve">8517.62</w:t>
            </w:r>
          </w:p>
        </w:tc>
        <w:tc>
          <w:tcPr>
            <w:tcW w:type="dxa" w:w="1872"/>
          </w:tcPr>
          <w:p>
            <w:r>
              <w:t xml:space="preserve">Data communication apparatus</w:t>
            </w:r>
          </w:p>
        </w:tc>
        <w:tc>
          <w:tcPr>
            <w:tcW w:type="dxa" w:w="1872"/>
          </w:tcPr>
          <w:p>
            <w:r>
              <w:t xml:space="preserve">NV-NIL</w:t>
            </w:r>
          </w:p>
        </w:tc>
        <w:tc>
          <w:tcPr>
            <w:tcW w:type="dxa" w:w="1872"/>
          </w:tcPr>
          <w:p>
            <w:r>
              <w:t xml:space="preserve">NV-NIL (pending A2A.6 nil-return)</w:t>
            </w:r>
          </w:p>
        </w:tc>
      </w:tr>
      <w:tr>
        <w:tc>
          <w:tcPr>
            <w:tcW w:type="dxa" w:w="1872"/>
          </w:tcPr>
          <w:p>
            <w:r>
              <w:t xml:space="preserve">MX-2A-181</w:t>
            </w:r>
          </w:p>
        </w:tc>
        <w:tc>
          <w:tcPr>
            <w:tcW w:type="dxa" w:w="1872"/>
          </w:tcPr>
          <w:p>
            <w:r>
              <w:t xml:space="preserve">8518.30</w:t>
            </w:r>
          </w:p>
        </w:tc>
        <w:tc>
          <w:tcPr>
            <w:tcW w:type="dxa" w:w="1872"/>
          </w:tcPr>
          <w:p>
            <w:r>
              <w:t xml:space="preserve">Headphones and earphones</w:t>
            </w:r>
          </w:p>
        </w:tc>
        <w:tc>
          <w:tcPr>
            <w:tcW w:type="dxa" w:w="1872"/>
          </w:tcPr>
          <w:p>
            <w:r>
              <w:t xml:space="preserve">NV-NIL</w:t>
            </w:r>
          </w:p>
        </w:tc>
        <w:tc>
          <w:tcPr>
            <w:tcW w:type="dxa" w:w="1872"/>
          </w:tcPr>
          <w:p>
            <w:r>
              <w:t xml:space="preserve">NV-NIL (pending A2A.6 nil-return)</w:t>
            </w:r>
          </w:p>
        </w:tc>
      </w:tr>
      <w:tr>
        <w:tc>
          <w:tcPr>
            <w:tcW w:type="dxa" w:w="1872"/>
          </w:tcPr>
          <w:p>
            <w:r>
              <w:t xml:space="preserve">MX-2A-182</w:t>
            </w:r>
          </w:p>
        </w:tc>
        <w:tc>
          <w:tcPr>
            <w:tcW w:type="dxa" w:w="1872"/>
          </w:tcPr>
          <w:p>
            <w:r>
              <w:t xml:space="preserve">8528.72</w:t>
            </w:r>
          </w:p>
        </w:tc>
        <w:tc>
          <w:tcPr>
            <w:tcW w:type="dxa" w:w="1872"/>
          </w:tcPr>
          <w:p>
            <w:r>
              <w:t xml:space="preserve">Television reception apparatus</w:t>
            </w:r>
          </w:p>
        </w:tc>
        <w:tc>
          <w:tcPr>
            <w:tcW w:type="dxa" w:w="1872"/>
          </w:tcPr>
          <w:p>
            <w:r>
              <w:t xml:space="preserve">NV-NIL</w:t>
            </w:r>
          </w:p>
        </w:tc>
        <w:tc>
          <w:tcPr>
            <w:tcW w:type="dxa" w:w="1872"/>
          </w:tcPr>
          <w:p>
            <w:r>
              <w:t xml:space="preserve">NV-NIL (pending A2A.6 nil-return)</w:t>
            </w:r>
          </w:p>
        </w:tc>
      </w:tr>
      <w:tr>
        <w:tc>
          <w:tcPr>
            <w:tcW w:type="dxa" w:w="1872"/>
          </w:tcPr>
          <w:p>
            <w:r>
              <w:t xml:space="preserve">MX-2A-183</w:t>
            </w:r>
          </w:p>
        </w:tc>
        <w:tc>
          <w:tcPr>
            <w:tcW w:type="dxa" w:w="1872"/>
          </w:tcPr>
          <w:p>
            <w:r>
              <w:t xml:space="preserve">8536.69</w:t>
            </w:r>
          </w:p>
        </w:tc>
        <w:tc>
          <w:tcPr>
            <w:tcW w:type="dxa" w:w="1872"/>
          </w:tcPr>
          <w:p>
            <w:r>
              <w:t xml:space="preserve">Plugs and sockets &lt;=1000V</w:t>
            </w:r>
          </w:p>
        </w:tc>
        <w:tc>
          <w:tcPr>
            <w:tcW w:type="dxa" w:w="1872"/>
          </w:tcPr>
          <w:p>
            <w:r>
              <w:t xml:space="preserve">NV-NIL</w:t>
            </w:r>
          </w:p>
        </w:tc>
        <w:tc>
          <w:tcPr>
            <w:tcW w:type="dxa" w:w="1872"/>
          </w:tcPr>
          <w:p>
            <w:r>
              <w:t xml:space="preserve">NV-NIL (pending A2A.6 nil-return)</w:t>
            </w:r>
          </w:p>
        </w:tc>
      </w:tr>
      <w:tr>
        <w:tc>
          <w:tcPr>
            <w:tcW w:type="dxa" w:w="1872"/>
          </w:tcPr>
          <w:p>
            <w:r>
              <w:t xml:space="preserve">MX-2A-184</w:t>
            </w:r>
          </w:p>
        </w:tc>
        <w:tc>
          <w:tcPr>
            <w:tcW w:type="dxa" w:w="1872"/>
          </w:tcPr>
          <w:p>
            <w:r>
              <w:t xml:space="preserve">8537.10</w:t>
            </w:r>
          </w:p>
        </w:tc>
        <w:tc>
          <w:tcPr>
            <w:tcW w:type="dxa" w:w="1872"/>
          </w:tcPr>
          <w:p>
            <w:r>
              <w:t xml:space="preserve">Boards and panels &lt;=1000V</w:t>
            </w:r>
          </w:p>
        </w:tc>
        <w:tc>
          <w:tcPr>
            <w:tcW w:type="dxa" w:w="1872"/>
          </w:tcPr>
          <w:p>
            <w:r>
              <w:t xml:space="preserve">NV-NIL</w:t>
            </w:r>
          </w:p>
        </w:tc>
        <w:tc>
          <w:tcPr>
            <w:tcW w:type="dxa" w:w="1872"/>
          </w:tcPr>
          <w:p>
            <w:r>
              <w:t xml:space="preserve">NV-NIL (pending A2A.6 nil-return)</w:t>
            </w:r>
          </w:p>
        </w:tc>
      </w:tr>
      <w:tr>
        <w:tc>
          <w:tcPr>
            <w:tcW w:type="dxa" w:w="1872"/>
          </w:tcPr>
          <w:p>
            <w:r>
              <w:t xml:space="preserve">MX-2A-185</w:t>
            </w:r>
          </w:p>
        </w:tc>
        <w:tc>
          <w:tcPr>
            <w:tcW w:type="dxa" w:w="1872"/>
          </w:tcPr>
          <w:p>
            <w:r>
              <w:t xml:space="preserve">8541.43</w:t>
            </w:r>
          </w:p>
        </w:tc>
        <w:tc>
          <w:tcPr>
            <w:tcW w:type="dxa" w:w="1872"/>
          </w:tcPr>
          <w:p>
            <w:r>
              <w:t xml:space="preserve">Photovoltaic cells assembled in modules</w:t>
            </w:r>
          </w:p>
        </w:tc>
        <w:tc>
          <w:tcPr>
            <w:tcW w:type="dxa" w:w="1872"/>
          </w:tcPr>
          <w:p>
            <w:r>
              <w:t xml:space="preserve">NV-NIL</w:t>
            </w:r>
          </w:p>
        </w:tc>
        <w:tc>
          <w:tcPr>
            <w:tcW w:type="dxa" w:w="1872"/>
          </w:tcPr>
          <w:p>
            <w:r>
              <w:t xml:space="preserve">NV-NIL (pending A2A.6 nil-return)</w:t>
            </w:r>
          </w:p>
        </w:tc>
      </w:tr>
      <w:tr>
        <w:tc>
          <w:tcPr>
            <w:tcW w:type="dxa" w:w="1872"/>
          </w:tcPr>
          <w:p>
            <w:r>
              <w:t xml:space="preserve">MX-2A-186</w:t>
            </w:r>
          </w:p>
        </w:tc>
        <w:tc>
          <w:tcPr>
            <w:tcW w:type="dxa" w:w="1872"/>
          </w:tcPr>
          <w:p>
            <w:r>
              <w:t xml:space="preserve">8544.42</w:t>
            </w:r>
          </w:p>
        </w:tc>
        <w:tc>
          <w:tcPr>
            <w:tcW w:type="dxa" w:w="1872"/>
          </w:tcPr>
          <w:p>
            <w:r>
              <w:t xml:space="preserve">Electric conductors fitted with connectors</w:t>
            </w:r>
          </w:p>
        </w:tc>
        <w:tc>
          <w:tcPr>
            <w:tcW w:type="dxa" w:w="1872"/>
          </w:tcPr>
          <w:p>
            <w:r>
              <w:t xml:space="preserve">NV-NIL</w:t>
            </w:r>
          </w:p>
        </w:tc>
        <w:tc>
          <w:tcPr>
            <w:tcW w:type="dxa" w:w="1872"/>
          </w:tcPr>
          <w:p>
            <w:r>
              <w:t xml:space="preserve">NV-NIL (pending A2A.6 nil-return)</w:t>
            </w:r>
          </w:p>
        </w:tc>
      </w:tr>
      <w:tr>
        <w:tc>
          <w:tcPr>
            <w:tcW w:type="dxa" w:w="1872"/>
          </w:tcPr>
          <w:p>
            <w:r>
              <w:t xml:space="preserve">MX-2A-187</w:t>
            </w:r>
          </w:p>
        </w:tc>
        <w:tc>
          <w:tcPr>
            <w:tcW w:type="dxa" w:w="1872"/>
          </w:tcPr>
          <w:p>
            <w:r>
              <w:t xml:space="preserve">8544.60</w:t>
            </w:r>
          </w:p>
        </w:tc>
        <w:tc>
          <w:tcPr>
            <w:tcW w:type="dxa" w:w="1872"/>
          </w:tcPr>
          <w:p>
            <w:r>
              <w:t xml:space="preserve">Electric conductors &lt;=1000V</w:t>
            </w:r>
          </w:p>
        </w:tc>
        <w:tc>
          <w:tcPr>
            <w:tcW w:type="dxa" w:w="1872"/>
          </w:tcPr>
          <w:p>
            <w:r>
              <w:t xml:space="preserve">NV-NIL</w:t>
            </w:r>
          </w:p>
        </w:tc>
        <w:tc>
          <w:tcPr>
            <w:tcW w:type="dxa" w:w="1872"/>
          </w:tcPr>
          <w:p>
            <w:r>
              <w:t xml:space="preserve">NV-NIL (pending A2A.6 nil-return)</w:t>
            </w:r>
          </w:p>
        </w:tc>
      </w:tr>
      <w:tr>
        <w:tc>
          <w:tcPr>
            <w:tcW w:type="dxa" w:w="1872"/>
          </w:tcPr>
          <w:p>
            <w:r>
              <w:t xml:space="preserve">MX-2A-188</w:t>
            </w:r>
          </w:p>
        </w:tc>
        <w:tc>
          <w:tcPr>
            <w:tcW w:type="dxa" w:w="1872"/>
          </w:tcPr>
          <w:p>
            <w:r>
              <w:t xml:space="preserve">8701.21</w:t>
            </w:r>
          </w:p>
        </w:tc>
        <w:tc>
          <w:tcPr>
            <w:tcW w:type="dxa" w:w="1872"/>
          </w:tcPr>
          <w:p>
            <w:r>
              <w:t xml:space="preserve">Tractors, road, &lt;=18kW</w:t>
            </w:r>
          </w:p>
        </w:tc>
        <w:tc>
          <w:tcPr>
            <w:tcW w:type="dxa" w:w="1872"/>
          </w:tcPr>
          <w:p>
            <w:r>
              <w:t xml:space="preserve">NV-NIL</w:t>
            </w:r>
          </w:p>
        </w:tc>
        <w:tc>
          <w:tcPr>
            <w:tcW w:type="dxa" w:w="1872"/>
          </w:tcPr>
          <w:p>
            <w:r>
              <w:t xml:space="preserve">NV-NIL (pending A2A.6 nil-return)</w:t>
            </w:r>
          </w:p>
        </w:tc>
      </w:tr>
      <w:tr>
        <w:tc>
          <w:tcPr>
            <w:tcW w:type="dxa" w:w="1872"/>
          </w:tcPr>
          <w:p>
            <w:r>
              <w:t xml:space="preserve">MX-2A-189</w:t>
            </w:r>
          </w:p>
        </w:tc>
        <w:tc>
          <w:tcPr>
            <w:tcW w:type="dxa" w:w="1872"/>
          </w:tcPr>
          <w:p>
            <w:r>
              <w:t xml:space="preserve">8701.22</w:t>
            </w:r>
          </w:p>
        </w:tc>
        <w:tc>
          <w:tcPr>
            <w:tcW w:type="dxa" w:w="1872"/>
          </w:tcPr>
          <w:p>
            <w:r>
              <w:t xml:space="preserve">Tractors, road, &gt;18kW and &lt;=37kW</w:t>
            </w:r>
          </w:p>
        </w:tc>
        <w:tc>
          <w:tcPr>
            <w:tcW w:type="dxa" w:w="1872"/>
          </w:tcPr>
          <w:p>
            <w:r>
              <w:t xml:space="preserve">NV-NIL</w:t>
            </w:r>
          </w:p>
        </w:tc>
        <w:tc>
          <w:tcPr>
            <w:tcW w:type="dxa" w:w="1872"/>
          </w:tcPr>
          <w:p>
            <w:r>
              <w:t xml:space="preserve">NV-NIL (pending A2A.6 nil-return)</w:t>
            </w:r>
          </w:p>
        </w:tc>
      </w:tr>
      <w:tr>
        <w:tc>
          <w:tcPr>
            <w:tcW w:type="dxa" w:w="1872"/>
          </w:tcPr>
          <w:p>
            <w:r>
              <w:t xml:space="preserve">MX-2A-190</w:t>
            </w:r>
          </w:p>
        </w:tc>
        <w:tc>
          <w:tcPr>
            <w:tcW w:type="dxa" w:w="1872"/>
          </w:tcPr>
          <w:p>
            <w:r>
              <w:t xml:space="preserve">8701.30</w:t>
            </w:r>
          </w:p>
        </w:tc>
        <w:tc>
          <w:tcPr>
            <w:tcW w:type="dxa" w:w="1872"/>
          </w:tcPr>
          <w:p>
            <w:r>
              <w:t xml:space="preserve">Track-laying tractors</w:t>
            </w:r>
          </w:p>
        </w:tc>
        <w:tc>
          <w:tcPr>
            <w:tcW w:type="dxa" w:w="1872"/>
          </w:tcPr>
          <w:p>
            <w:r>
              <w:t xml:space="preserve">NV-NIL</w:t>
            </w:r>
          </w:p>
        </w:tc>
        <w:tc>
          <w:tcPr>
            <w:tcW w:type="dxa" w:w="1872"/>
          </w:tcPr>
          <w:p>
            <w:r>
              <w:t xml:space="preserve">NV-NIL (pending A2A.6 nil-return)</w:t>
            </w:r>
          </w:p>
        </w:tc>
      </w:tr>
      <w:tr>
        <w:tc>
          <w:tcPr>
            <w:tcW w:type="dxa" w:w="1872"/>
          </w:tcPr>
          <w:p>
            <w:r>
              <w:t xml:space="preserve">MX-2A-191</w:t>
            </w:r>
          </w:p>
        </w:tc>
        <w:tc>
          <w:tcPr>
            <w:tcW w:type="dxa" w:w="1872"/>
          </w:tcPr>
          <w:p>
            <w:r>
              <w:t xml:space="preserve">8701.60</w:t>
            </w:r>
          </w:p>
        </w:tc>
        <w:tc>
          <w:tcPr>
            <w:tcW w:type="dxa" w:w="1872"/>
          </w:tcPr>
          <w:p>
            <w:r>
              <w:t xml:space="preserve">Tractors, agricultural, &gt;50kW</w:t>
            </w:r>
          </w:p>
        </w:tc>
        <w:tc>
          <w:tcPr>
            <w:tcW w:type="dxa" w:w="1872"/>
          </w:tcPr>
          <w:p>
            <w:r>
              <w:t xml:space="preserve">NV-NIL</w:t>
            </w:r>
          </w:p>
        </w:tc>
        <w:tc>
          <w:tcPr>
            <w:tcW w:type="dxa" w:w="1872"/>
          </w:tcPr>
          <w:p>
            <w:r>
              <w:t xml:space="preserve">NV-NIL (pending A2A.6 nil-return)</w:t>
            </w:r>
          </w:p>
        </w:tc>
      </w:tr>
      <w:tr>
        <w:tc>
          <w:tcPr>
            <w:tcW w:type="dxa" w:w="1872"/>
          </w:tcPr>
          <w:p>
            <w:r>
              <w:t xml:space="preserve">MX-2A-192</w:t>
            </w:r>
          </w:p>
        </w:tc>
        <w:tc>
          <w:tcPr>
            <w:tcW w:type="dxa" w:w="1872"/>
          </w:tcPr>
          <w:p>
            <w:r>
              <w:t xml:space="preserve">8702.10</w:t>
            </w:r>
          </w:p>
        </w:tc>
        <w:tc>
          <w:tcPr>
            <w:tcW w:type="dxa" w:w="1872"/>
          </w:tcPr>
          <w:p>
            <w:r>
              <w:t xml:space="preserve">Motor vehicles, &gt;=10 persons</w:t>
            </w:r>
          </w:p>
        </w:tc>
        <w:tc>
          <w:tcPr>
            <w:tcW w:type="dxa" w:w="1872"/>
          </w:tcPr>
          <w:p>
            <w:r>
              <w:t xml:space="preserve">NV-NIL</w:t>
            </w:r>
          </w:p>
        </w:tc>
        <w:tc>
          <w:tcPr>
            <w:tcW w:type="dxa" w:w="1872"/>
          </w:tcPr>
          <w:p>
            <w:r>
              <w:t xml:space="preserve">NV-NIL (pending A2A.6 nil-return)</w:t>
            </w:r>
          </w:p>
        </w:tc>
      </w:tr>
      <w:tr>
        <w:tc>
          <w:tcPr>
            <w:tcW w:type="dxa" w:w="1872"/>
          </w:tcPr>
          <w:p>
            <w:r>
              <w:t xml:space="preserve">MX-2A-193</w:t>
            </w:r>
          </w:p>
        </w:tc>
        <w:tc>
          <w:tcPr>
            <w:tcW w:type="dxa" w:w="1872"/>
          </w:tcPr>
          <w:p>
            <w:r>
              <w:t xml:space="preserve">8703.21</w:t>
            </w:r>
          </w:p>
        </w:tc>
        <w:tc>
          <w:tcPr>
            <w:tcW w:type="dxa" w:w="1872"/>
          </w:tcPr>
          <w:p>
            <w:r>
              <w:t xml:space="preserve">Vehicles, spark ignition &lt;=1000cc</w:t>
            </w:r>
          </w:p>
        </w:tc>
        <w:tc>
          <w:tcPr>
            <w:tcW w:type="dxa" w:w="1872"/>
          </w:tcPr>
          <w:p>
            <w:r>
              <w:t xml:space="preserve">NV-NIL</w:t>
            </w:r>
          </w:p>
        </w:tc>
        <w:tc>
          <w:tcPr>
            <w:tcW w:type="dxa" w:w="1872"/>
          </w:tcPr>
          <w:p>
            <w:r>
              <w:t xml:space="preserve">NV-NIL (pending A2A.6 nil-return)</w:t>
            </w:r>
          </w:p>
        </w:tc>
      </w:tr>
      <w:tr>
        <w:tc>
          <w:tcPr>
            <w:tcW w:type="dxa" w:w="1872"/>
          </w:tcPr>
          <w:p>
            <w:r>
              <w:t xml:space="preserve">MX-2A-194</w:t>
            </w:r>
          </w:p>
        </w:tc>
        <w:tc>
          <w:tcPr>
            <w:tcW w:type="dxa" w:w="1872"/>
          </w:tcPr>
          <w:p>
            <w:r>
              <w:t xml:space="preserve">8703.22</w:t>
            </w:r>
          </w:p>
        </w:tc>
        <w:tc>
          <w:tcPr>
            <w:tcW w:type="dxa" w:w="1872"/>
          </w:tcPr>
          <w:p>
            <w:r>
              <w:t xml:space="preserve">Vehicles, spark ignition 1000-1500cc</w:t>
            </w:r>
          </w:p>
        </w:tc>
        <w:tc>
          <w:tcPr>
            <w:tcW w:type="dxa" w:w="1872"/>
          </w:tcPr>
          <w:p>
            <w:r>
              <w:t xml:space="preserve">NV-NIL</w:t>
            </w:r>
          </w:p>
        </w:tc>
        <w:tc>
          <w:tcPr>
            <w:tcW w:type="dxa" w:w="1872"/>
          </w:tcPr>
          <w:p>
            <w:r>
              <w:t xml:space="preserve">NV-NIL (pending A2A.6 nil-return)</w:t>
            </w:r>
          </w:p>
        </w:tc>
      </w:tr>
      <w:tr>
        <w:tc>
          <w:tcPr>
            <w:tcW w:type="dxa" w:w="1872"/>
          </w:tcPr>
          <w:p>
            <w:r>
              <w:t xml:space="preserve">MX-2A-195</w:t>
            </w:r>
          </w:p>
        </w:tc>
        <w:tc>
          <w:tcPr>
            <w:tcW w:type="dxa" w:w="1872"/>
          </w:tcPr>
          <w:p>
            <w:r>
              <w:t xml:space="preserve">8703.23</w:t>
            </w:r>
          </w:p>
        </w:tc>
        <w:tc>
          <w:tcPr>
            <w:tcW w:type="dxa" w:w="1872"/>
          </w:tcPr>
          <w:p>
            <w:r>
              <w:t xml:space="preserve">Vehicles, spark ignition 1500-3000cc</w:t>
            </w:r>
          </w:p>
        </w:tc>
        <w:tc>
          <w:tcPr>
            <w:tcW w:type="dxa" w:w="1872"/>
          </w:tcPr>
          <w:p>
            <w:r>
              <w:t xml:space="preserve">NV-NIL</w:t>
            </w:r>
          </w:p>
        </w:tc>
        <w:tc>
          <w:tcPr>
            <w:tcW w:type="dxa" w:w="1872"/>
          </w:tcPr>
          <w:p>
            <w:r>
              <w:t xml:space="preserve">NV-NIL (pending A2A.6 nil-return)</w:t>
            </w:r>
          </w:p>
        </w:tc>
      </w:tr>
      <w:tr>
        <w:tc>
          <w:tcPr>
            <w:tcW w:type="dxa" w:w="1872"/>
          </w:tcPr>
          <w:p>
            <w:r>
              <w:t xml:space="preserve">MX-2A-196</w:t>
            </w:r>
          </w:p>
        </w:tc>
        <w:tc>
          <w:tcPr>
            <w:tcW w:type="dxa" w:w="1872"/>
          </w:tcPr>
          <w:p>
            <w:r>
              <w:t xml:space="preserve">8703.24</w:t>
            </w:r>
          </w:p>
        </w:tc>
        <w:tc>
          <w:tcPr>
            <w:tcW w:type="dxa" w:w="1872"/>
          </w:tcPr>
          <w:p>
            <w:r>
              <w:t xml:space="preserve">Vehicles, spark ignition &gt;3000cc</w:t>
            </w:r>
          </w:p>
        </w:tc>
        <w:tc>
          <w:tcPr>
            <w:tcW w:type="dxa" w:w="1872"/>
          </w:tcPr>
          <w:p>
            <w:r>
              <w:t xml:space="preserve">NV-NIL</w:t>
            </w:r>
          </w:p>
        </w:tc>
        <w:tc>
          <w:tcPr>
            <w:tcW w:type="dxa" w:w="1872"/>
          </w:tcPr>
          <w:p>
            <w:r>
              <w:t xml:space="preserve">NV-NIL (pending A2A.6 nil-return)</w:t>
            </w:r>
          </w:p>
        </w:tc>
      </w:tr>
      <w:tr>
        <w:tc>
          <w:tcPr>
            <w:tcW w:type="dxa" w:w="1872"/>
          </w:tcPr>
          <w:p>
            <w:r>
              <w:t xml:space="preserve">MX-2A-197</w:t>
            </w:r>
          </w:p>
        </w:tc>
        <w:tc>
          <w:tcPr>
            <w:tcW w:type="dxa" w:w="1872"/>
          </w:tcPr>
          <w:p>
            <w:r>
              <w:t xml:space="preserve">8703.40</w:t>
            </w:r>
          </w:p>
        </w:tc>
        <w:tc>
          <w:tcPr>
            <w:tcW w:type="dxa" w:w="1872"/>
          </w:tcPr>
          <w:p>
            <w:r>
              <w:t xml:space="preserve">Vehicles, diesel &lt;=1500cc</w:t>
            </w:r>
          </w:p>
        </w:tc>
        <w:tc>
          <w:tcPr>
            <w:tcW w:type="dxa" w:w="1872"/>
          </w:tcPr>
          <w:p>
            <w:r>
              <w:t xml:space="preserve">NV-NIL</w:t>
            </w:r>
          </w:p>
        </w:tc>
        <w:tc>
          <w:tcPr>
            <w:tcW w:type="dxa" w:w="1872"/>
          </w:tcPr>
          <w:p>
            <w:r>
              <w:t xml:space="preserve">NV-NIL (pending A2A.6 nil-return)</w:t>
            </w:r>
          </w:p>
        </w:tc>
      </w:tr>
      <w:tr>
        <w:tc>
          <w:tcPr>
            <w:tcW w:type="dxa" w:w="1872"/>
          </w:tcPr>
          <w:p>
            <w:r>
              <w:t xml:space="preserve">MX-2A-198</w:t>
            </w:r>
          </w:p>
        </w:tc>
        <w:tc>
          <w:tcPr>
            <w:tcW w:type="dxa" w:w="1872"/>
          </w:tcPr>
          <w:p>
            <w:r>
              <w:t xml:space="preserve">8703.50</w:t>
            </w:r>
          </w:p>
        </w:tc>
        <w:tc>
          <w:tcPr>
            <w:tcW w:type="dxa" w:w="1872"/>
          </w:tcPr>
          <w:p>
            <w:r>
              <w:t xml:space="preserve">Vehicles, diesel 1500-2500cc</w:t>
            </w:r>
          </w:p>
        </w:tc>
        <w:tc>
          <w:tcPr>
            <w:tcW w:type="dxa" w:w="1872"/>
          </w:tcPr>
          <w:p>
            <w:r>
              <w:t xml:space="preserve">NV-NIL</w:t>
            </w:r>
          </w:p>
        </w:tc>
        <w:tc>
          <w:tcPr>
            <w:tcW w:type="dxa" w:w="1872"/>
          </w:tcPr>
          <w:p>
            <w:r>
              <w:t xml:space="preserve">NV-NIL (pending A2A.6 nil-return)</w:t>
            </w:r>
          </w:p>
        </w:tc>
      </w:tr>
      <w:tr>
        <w:tc>
          <w:tcPr>
            <w:tcW w:type="dxa" w:w="1872"/>
          </w:tcPr>
          <w:p>
            <w:r>
              <w:t xml:space="preserve">MX-2A-199</w:t>
            </w:r>
          </w:p>
        </w:tc>
        <w:tc>
          <w:tcPr>
            <w:tcW w:type="dxa" w:w="1872"/>
          </w:tcPr>
          <w:p>
            <w:r>
              <w:t xml:space="preserve">8703.60</w:t>
            </w:r>
          </w:p>
        </w:tc>
        <w:tc>
          <w:tcPr>
            <w:tcW w:type="dxa" w:w="1872"/>
          </w:tcPr>
          <w:p>
            <w:r>
              <w:t xml:space="preserve">Vehicles, diesel &gt;2500cc</w:t>
            </w:r>
          </w:p>
        </w:tc>
        <w:tc>
          <w:tcPr>
            <w:tcW w:type="dxa" w:w="1872"/>
          </w:tcPr>
          <w:p>
            <w:r>
              <w:t xml:space="preserve">NV-NIL</w:t>
            </w:r>
          </w:p>
        </w:tc>
        <w:tc>
          <w:tcPr>
            <w:tcW w:type="dxa" w:w="1872"/>
          </w:tcPr>
          <w:p>
            <w:r>
              <w:t xml:space="preserve">NV-NIL (pending A2A.6 nil-return)</w:t>
            </w:r>
          </w:p>
        </w:tc>
      </w:tr>
      <w:tr>
        <w:tc>
          <w:tcPr>
            <w:tcW w:type="dxa" w:w="1872"/>
          </w:tcPr>
          <w:p>
            <w:r>
              <w:t xml:space="preserve">MX-2A-200</w:t>
            </w:r>
          </w:p>
        </w:tc>
        <w:tc>
          <w:tcPr>
            <w:tcW w:type="dxa" w:w="1872"/>
          </w:tcPr>
          <w:p>
            <w:r>
              <w:t xml:space="preserve">8703.70</w:t>
            </w:r>
          </w:p>
        </w:tc>
        <w:tc>
          <w:tcPr>
            <w:tcW w:type="dxa" w:w="1872"/>
          </w:tcPr>
          <w:p>
            <w:r>
              <w:t xml:space="preserve">Vehicles, electric</w:t>
            </w:r>
          </w:p>
        </w:tc>
        <w:tc>
          <w:tcPr>
            <w:tcW w:type="dxa" w:w="1872"/>
          </w:tcPr>
          <w:p>
            <w:r>
              <w:t xml:space="preserve">NV-NIL</w:t>
            </w:r>
          </w:p>
        </w:tc>
        <w:tc>
          <w:tcPr>
            <w:tcW w:type="dxa" w:w="1872"/>
          </w:tcPr>
          <w:p>
            <w:r>
              <w:t xml:space="preserve">NV-NIL (pending A2A.6 nil-return)</w:t>
            </w:r>
          </w:p>
        </w:tc>
      </w:tr>
      <w:tr>
        <w:tc>
          <w:tcPr>
            <w:tcW w:type="dxa" w:w="1872"/>
          </w:tcPr>
          <w:p>
            <w:r>
              <w:t xml:space="preserve">MX-2A-201</w:t>
            </w:r>
          </w:p>
        </w:tc>
        <w:tc>
          <w:tcPr>
            <w:tcW w:type="dxa" w:w="1872"/>
          </w:tcPr>
          <w:p>
            <w:r>
              <w:t xml:space="preserve">8703.80</w:t>
            </w:r>
          </w:p>
        </w:tc>
        <w:tc>
          <w:tcPr>
            <w:tcW w:type="dxa" w:w="1872"/>
          </w:tcPr>
          <w:p>
            <w:r>
              <w:t xml:space="preserve">Vehicles, electric with other motor</w:t>
            </w:r>
          </w:p>
        </w:tc>
        <w:tc>
          <w:tcPr>
            <w:tcW w:type="dxa" w:w="1872"/>
          </w:tcPr>
          <w:p>
            <w:r>
              <w:t xml:space="preserve">NV-NIL</w:t>
            </w:r>
          </w:p>
        </w:tc>
        <w:tc>
          <w:tcPr>
            <w:tcW w:type="dxa" w:w="1872"/>
          </w:tcPr>
          <w:p>
            <w:r>
              <w:t xml:space="preserve">NV-NIL (pending A2A.6 nil-return)</w:t>
            </w:r>
          </w:p>
        </w:tc>
      </w:tr>
      <w:tr>
        <w:tc>
          <w:tcPr>
            <w:tcW w:type="dxa" w:w="1872"/>
          </w:tcPr>
          <w:p>
            <w:r>
              <w:t xml:space="preserve">MX-2A-202</w:t>
            </w:r>
          </w:p>
        </w:tc>
        <w:tc>
          <w:tcPr>
            <w:tcW w:type="dxa" w:w="1872"/>
          </w:tcPr>
          <w:p>
            <w:r>
              <w:t xml:space="preserve">8703.90</w:t>
            </w:r>
          </w:p>
        </w:tc>
        <w:tc>
          <w:tcPr>
            <w:tcW w:type="dxa" w:w="1872"/>
          </w:tcPr>
          <w:p>
            <w:r>
              <w:t xml:space="preserve">Vehicles, other</w:t>
            </w:r>
          </w:p>
        </w:tc>
        <w:tc>
          <w:tcPr>
            <w:tcW w:type="dxa" w:w="1872"/>
          </w:tcPr>
          <w:p>
            <w:r>
              <w:t xml:space="preserve">NV-NIL</w:t>
            </w:r>
          </w:p>
        </w:tc>
        <w:tc>
          <w:tcPr>
            <w:tcW w:type="dxa" w:w="1872"/>
          </w:tcPr>
          <w:p>
            <w:r>
              <w:t xml:space="preserve">NV-NIL (pending A2A.6 nil-return)</w:t>
            </w:r>
          </w:p>
        </w:tc>
      </w:tr>
      <w:tr>
        <w:tc>
          <w:tcPr>
            <w:tcW w:type="dxa" w:w="1872"/>
          </w:tcPr>
          <w:p>
            <w:r>
              <w:t xml:space="preserve">MX-2A-203</w:t>
            </w:r>
          </w:p>
        </w:tc>
        <w:tc>
          <w:tcPr>
            <w:tcW w:type="dxa" w:w="1872"/>
          </w:tcPr>
          <w:p>
            <w:r>
              <w:t xml:space="preserve">8704.21</w:t>
            </w:r>
          </w:p>
        </w:tc>
        <w:tc>
          <w:tcPr>
            <w:tcW w:type="dxa" w:w="1872"/>
          </w:tcPr>
          <w:p>
            <w:r>
              <w:t xml:space="preserve">Goods vehicles, diesel &lt;=5t</w:t>
            </w:r>
          </w:p>
        </w:tc>
        <w:tc>
          <w:tcPr>
            <w:tcW w:type="dxa" w:w="1872"/>
          </w:tcPr>
          <w:p>
            <w:r>
              <w:t xml:space="preserve">NV-NIL</w:t>
            </w:r>
          </w:p>
        </w:tc>
        <w:tc>
          <w:tcPr>
            <w:tcW w:type="dxa" w:w="1872"/>
          </w:tcPr>
          <w:p>
            <w:r>
              <w:t xml:space="preserve">NV-NIL (pending A2A.6 nil-return)</w:t>
            </w:r>
          </w:p>
        </w:tc>
      </w:tr>
      <w:tr>
        <w:tc>
          <w:tcPr>
            <w:tcW w:type="dxa" w:w="1872"/>
          </w:tcPr>
          <w:p>
            <w:r>
              <w:t xml:space="preserve">MX-2A-204</w:t>
            </w:r>
          </w:p>
        </w:tc>
        <w:tc>
          <w:tcPr>
            <w:tcW w:type="dxa" w:w="1872"/>
          </w:tcPr>
          <w:p>
            <w:r>
              <w:t xml:space="preserve">8704.22</w:t>
            </w:r>
          </w:p>
        </w:tc>
        <w:tc>
          <w:tcPr>
            <w:tcW w:type="dxa" w:w="1872"/>
          </w:tcPr>
          <w:p>
            <w:r>
              <w:t xml:space="preserve">Goods vehicles, diesel 5-20t</w:t>
            </w:r>
          </w:p>
        </w:tc>
        <w:tc>
          <w:tcPr>
            <w:tcW w:type="dxa" w:w="1872"/>
          </w:tcPr>
          <w:p>
            <w:r>
              <w:t xml:space="preserve">NV-NIL</w:t>
            </w:r>
          </w:p>
        </w:tc>
        <w:tc>
          <w:tcPr>
            <w:tcW w:type="dxa" w:w="1872"/>
          </w:tcPr>
          <w:p>
            <w:r>
              <w:t xml:space="preserve">NV-NIL (pending A2A.6 nil-return)</w:t>
            </w:r>
          </w:p>
        </w:tc>
      </w:tr>
      <w:tr>
        <w:tc>
          <w:tcPr>
            <w:tcW w:type="dxa" w:w="1872"/>
          </w:tcPr>
          <w:p>
            <w:r>
              <w:t xml:space="preserve">MX-2A-205</w:t>
            </w:r>
          </w:p>
        </w:tc>
        <w:tc>
          <w:tcPr>
            <w:tcW w:type="dxa" w:w="1872"/>
          </w:tcPr>
          <w:p>
            <w:r>
              <w:t xml:space="preserve">8704.23</w:t>
            </w:r>
          </w:p>
        </w:tc>
        <w:tc>
          <w:tcPr>
            <w:tcW w:type="dxa" w:w="1872"/>
          </w:tcPr>
          <w:p>
            <w:r>
              <w:t xml:space="preserve">Goods vehicles, diesel &gt;20t</w:t>
            </w:r>
          </w:p>
        </w:tc>
        <w:tc>
          <w:tcPr>
            <w:tcW w:type="dxa" w:w="1872"/>
          </w:tcPr>
          <w:p>
            <w:r>
              <w:t xml:space="preserve">NV-NIL</w:t>
            </w:r>
          </w:p>
        </w:tc>
        <w:tc>
          <w:tcPr>
            <w:tcW w:type="dxa" w:w="1872"/>
          </w:tcPr>
          <w:p>
            <w:r>
              <w:t xml:space="preserve">NV-NIL (pending A2A.6 nil-return)</w:t>
            </w:r>
          </w:p>
        </w:tc>
      </w:tr>
      <w:tr>
        <w:tc>
          <w:tcPr>
            <w:tcW w:type="dxa" w:w="1872"/>
          </w:tcPr>
          <w:p>
            <w:r>
              <w:t xml:space="preserve">MX-2A-206</w:t>
            </w:r>
          </w:p>
        </w:tc>
        <w:tc>
          <w:tcPr>
            <w:tcW w:type="dxa" w:w="1872"/>
          </w:tcPr>
          <w:p>
            <w:r>
              <w:t xml:space="preserve">8704.31</w:t>
            </w:r>
          </w:p>
        </w:tc>
        <w:tc>
          <w:tcPr>
            <w:tcW w:type="dxa" w:w="1872"/>
          </w:tcPr>
          <w:p>
            <w:r>
              <w:t xml:space="preserve">Goods vehicles, other &lt;=5t</w:t>
            </w:r>
          </w:p>
        </w:tc>
        <w:tc>
          <w:tcPr>
            <w:tcW w:type="dxa" w:w="1872"/>
          </w:tcPr>
          <w:p>
            <w:r>
              <w:t xml:space="preserve">NV-NIL</w:t>
            </w:r>
          </w:p>
        </w:tc>
        <w:tc>
          <w:tcPr>
            <w:tcW w:type="dxa" w:w="1872"/>
          </w:tcPr>
          <w:p>
            <w:r>
              <w:t xml:space="preserve">NV-NIL (pending A2A.6 nil-return)</w:t>
            </w:r>
          </w:p>
        </w:tc>
      </w:tr>
      <w:tr>
        <w:tc>
          <w:tcPr>
            <w:tcW w:type="dxa" w:w="1872"/>
          </w:tcPr>
          <w:p>
            <w:r>
              <w:t xml:space="preserve">MX-2A-207</w:t>
            </w:r>
          </w:p>
        </w:tc>
        <w:tc>
          <w:tcPr>
            <w:tcW w:type="dxa" w:w="1872"/>
          </w:tcPr>
          <w:p>
            <w:r>
              <w:t xml:space="preserve">8704.32</w:t>
            </w:r>
          </w:p>
        </w:tc>
        <w:tc>
          <w:tcPr>
            <w:tcW w:type="dxa" w:w="1872"/>
          </w:tcPr>
          <w:p>
            <w:r>
              <w:t xml:space="preserve">Goods vehicles, other 5-20t</w:t>
            </w:r>
          </w:p>
        </w:tc>
        <w:tc>
          <w:tcPr>
            <w:tcW w:type="dxa" w:w="1872"/>
          </w:tcPr>
          <w:p>
            <w:r>
              <w:t xml:space="preserve">NV-NIL</w:t>
            </w:r>
          </w:p>
        </w:tc>
        <w:tc>
          <w:tcPr>
            <w:tcW w:type="dxa" w:w="1872"/>
          </w:tcPr>
          <w:p>
            <w:r>
              <w:t xml:space="preserve">NV-NIL (pending A2A.6 nil-return)</w:t>
            </w:r>
          </w:p>
        </w:tc>
      </w:tr>
      <w:tr>
        <w:tc>
          <w:tcPr>
            <w:tcW w:type="dxa" w:w="1872"/>
          </w:tcPr>
          <w:p>
            <w:r>
              <w:t xml:space="preserve">MX-2A-208</w:t>
            </w:r>
          </w:p>
        </w:tc>
        <w:tc>
          <w:tcPr>
            <w:tcW w:type="dxa" w:w="1872"/>
          </w:tcPr>
          <w:p>
            <w:r>
              <w:t xml:space="preserve">8704.90</w:t>
            </w:r>
          </w:p>
        </w:tc>
        <w:tc>
          <w:tcPr>
            <w:tcW w:type="dxa" w:w="1872"/>
          </w:tcPr>
          <w:p>
            <w:r>
              <w:t xml:space="preserve">Goods vehicles, other</w:t>
            </w:r>
          </w:p>
        </w:tc>
        <w:tc>
          <w:tcPr>
            <w:tcW w:type="dxa" w:w="1872"/>
          </w:tcPr>
          <w:p>
            <w:r>
              <w:t xml:space="preserve">NV-NIL</w:t>
            </w:r>
          </w:p>
        </w:tc>
        <w:tc>
          <w:tcPr>
            <w:tcW w:type="dxa" w:w="1872"/>
          </w:tcPr>
          <w:p>
            <w:r>
              <w:t xml:space="preserve">NV-NIL (pending A2A.6 nil-return)</w:t>
            </w:r>
          </w:p>
        </w:tc>
      </w:tr>
      <w:tr>
        <w:tc>
          <w:tcPr>
            <w:tcW w:type="dxa" w:w="1872"/>
          </w:tcPr>
          <w:p>
            <w:r>
              <w:t xml:space="preserve">MX-2A-209</w:t>
            </w:r>
          </w:p>
        </w:tc>
        <w:tc>
          <w:tcPr>
            <w:tcW w:type="dxa" w:w="1872"/>
          </w:tcPr>
          <w:p>
            <w:r>
              <w:t xml:space="preserve">8705.90</w:t>
            </w:r>
          </w:p>
        </w:tc>
        <w:tc>
          <w:tcPr>
            <w:tcW w:type="dxa" w:w="1872"/>
          </w:tcPr>
          <w:p>
            <w:r>
              <w:t xml:space="preserve">Special purpose motor vehicles</w:t>
            </w:r>
          </w:p>
        </w:tc>
        <w:tc>
          <w:tcPr>
            <w:tcW w:type="dxa" w:w="1872"/>
          </w:tcPr>
          <w:p>
            <w:r>
              <w:t xml:space="preserve">NV-NIL</w:t>
            </w:r>
          </w:p>
        </w:tc>
        <w:tc>
          <w:tcPr>
            <w:tcW w:type="dxa" w:w="1872"/>
          </w:tcPr>
          <w:p>
            <w:r>
              <w:t xml:space="preserve">NV-NIL (pending A2A.6 nil-return)</w:t>
            </w:r>
          </w:p>
        </w:tc>
      </w:tr>
      <w:tr>
        <w:tc>
          <w:tcPr>
            <w:tcW w:type="dxa" w:w="1872"/>
          </w:tcPr>
          <w:p>
            <w:r>
              <w:t xml:space="preserve">MX-2A-210</w:t>
            </w:r>
          </w:p>
        </w:tc>
        <w:tc>
          <w:tcPr>
            <w:tcW w:type="dxa" w:w="1872"/>
          </w:tcPr>
          <w:p>
            <w:r>
              <w:t xml:space="preserve">8708.10</w:t>
            </w:r>
          </w:p>
        </w:tc>
        <w:tc>
          <w:tcPr>
            <w:tcW w:type="dxa" w:w="1872"/>
          </w:tcPr>
          <w:p>
            <w:r>
              <w:t xml:space="preserve">Bumpers</w:t>
            </w:r>
          </w:p>
        </w:tc>
        <w:tc>
          <w:tcPr>
            <w:tcW w:type="dxa" w:w="1872"/>
          </w:tcPr>
          <w:p>
            <w:r>
              <w:t xml:space="preserve">NV-NIL</w:t>
            </w:r>
          </w:p>
        </w:tc>
        <w:tc>
          <w:tcPr>
            <w:tcW w:type="dxa" w:w="1872"/>
          </w:tcPr>
          <w:p>
            <w:r>
              <w:t xml:space="preserve">NV-NIL (pending A2A.6 nil-return)</w:t>
            </w:r>
          </w:p>
        </w:tc>
      </w:tr>
      <w:tr>
        <w:tc>
          <w:tcPr>
            <w:tcW w:type="dxa" w:w="1872"/>
          </w:tcPr>
          <w:p>
            <w:r>
              <w:t xml:space="preserve">MX-2A-211</w:t>
            </w:r>
          </w:p>
        </w:tc>
        <w:tc>
          <w:tcPr>
            <w:tcW w:type="dxa" w:w="1872"/>
          </w:tcPr>
          <w:p>
            <w:r>
              <w:t xml:space="preserve">8708.29</w:t>
            </w:r>
          </w:p>
        </w:tc>
        <w:tc>
          <w:tcPr>
            <w:tcW w:type="dxa" w:w="1872"/>
          </w:tcPr>
          <w:p>
            <w:r>
              <w:t xml:space="preserve">Body parts, other</w:t>
            </w:r>
          </w:p>
        </w:tc>
        <w:tc>
          <w:tcPr>
            <w:tcW w:type="dxa" w:w="1872"/>
          </w:tcPr>
          <w:p>
            <w:r>
              <w:t xml:space="preserve">NV-NIL</w:t>
            </w:r>
          </w:p>
        </w:tc>
        <w:tc>
          <w:tcPr>
            <w:tcW w:type="dxa" w:w="1872"/>
          </w:tcPr>
          <w:p>
            <w:r>
              <w:t xml:space="preserve">NV-NIL (pending A2A.6 nil-return)</w:t>
            </w:r>
          </w:p>
        </w:tc>
      </w:tr>
      <w:tr>
        <w:tc>
          <w:tcPr>
            <w:tcW w:type="dxa" w:w="1872"/>
          </w:tcPr>
          <w:p>
            <w:r>
              <w:t xml:space="preserve">MX-2A-212</w:t>
            </w:r>
          </w:p>
        </w:tc>
        <w:tc>
          <w:tcPr>
            <w:tcW w:type="dxa" w:w="1872"/>
          </w:tcPr>
          <w:p>
            <w:r>
              <w:t xml:space="preserve">8708.30</w:t>
            </w:r>
          </w:p>
        </w:tc>
        <w:tc>
          <w:tcPr>
            <w:tcW w:type="dxa" w:w="1872"/>
          </w:tcPr>
          <w:p>
            <w:r>
              <w:t xml:space="preserve">Brakes</w:t>
            </w:r>
          </w:p>
        </w:tc>
        <w:tc>
          <w:tcPr>
            <w:tcW w:type="dxa" w:w="1872"/>
          </w:tcPr>
          <w:p>
            <w:r>
              <w:t xml:space="preserve">NV-NIL</w:t>
            </w:r>
          </w:p>
        </w:tc>
        <w:tc>
          <w:tcPr>
            <w:tcW w:type="dxa" w:w="1872"/>
          </w:tcPr>
          <w:p>
            <w:r>
              <w:t xml:space="preserve">NV-NIL (pending A2A.6 nil-return)</w:t>
            </w:r>
          </w:p>
        </w:tc>
      </w:tr>
      <w:tr>
        <w:tc>
          <w:tcPr>
            <w:tcW w:type="dxa" w:w="1872"/>
          </w:tcPr>
          <w:p>
            <w:r>
              <w:t xml:space="preserve">MX-2A-213</w:t>
            </w:r>
          </w:p>
        </w:tc>
        <w:tc>
          <w:tcPr>
            <w:tcW w:type="dxa" w:w="1872"/>
          </w:tcPr>
          <w:p>
            <w:r>
              <w:t xml:space="preserve">8708.40</w:t>
            </w:r>
          </w:p>
        </w:tc>
        <w:tc>
          <w:tcPr>
            <w:tcW w:type="dxa" w:w="1872"/>
          </w:tcPr>
          <w:p>
            <w:r>
              <w:t xml:space="preserve">Gear boxes</w:t>
            </w:r>
          </w:p>
        </w:tc>
        <w:tc>
          <w:tcPr>
            <w:tcW w:type="dxa" w:w="1872"/>
          </w:tcPr>
          <w:p>
            <w:r>
              <w:t xml:space="preserve">NV-NIL</w:t>
            </w:r>
          </w:p>
        </w:tc>
        <w:tc>
          <w:tcPr>
            <w:tcW w:type="dxa" w:w="1872"/>
          </w:tcPr>
          <w:p>
            <w:r>
              <w:t xml:space="preserve">NV-NIL (pending A2A.6 nil-return)</w:t>
            </w:r>
          </w:p>
        </w:tc>
      </w:tr>
      <w:tr>
        <w:tc>
          <w:tcPr>
            <w:tcW w:type="dxa" w:w="1872"/>
          </w:tcPr>
          <w:p>
            <w:r>
              <w:t xml:space="preserve">MX-2A-214</w:t>
            </w:r>
          </w:p>
        </w:tc>
        <w:tc>
          <w:tcPr>
            <w:tcW w:type="dxa" w:w="1872"/>
          </w:tcPr>
          <w:p>
            <w:r>
              <w:t xml:space="preserve">8708.50</w:t>
            </w:r>
          </w:p>
        </w:tc>
        <w:tc>
          <w:tcPr>
            <w:tcW w:type="dxa" w:w="1872"/>
          </w:tcPr>
          <w:p>
            <w:r>
              <w:t xml:space="preserve">Drive axles</w:t>
            </w:r>
          </w:p>
        </w:tc>
        <w:tc>
          <w:tcPr>
            <w:tcW w:type="dxa" w:w="1872"/>
          </w:tcPr>
          <w:p>
            <w:r>
              <w:t xml:space="preserve">NV-NIL</w:t>
            </w:r>
          </w:p>
        </w:tc>
        <w:tc>
          <w:tcPr>
            <w:tcW w:type="dxa" w:w="1872"/>
          </w:tcPr>
          <w:p>
            <w:r>
              <w:t xml:space="preserve">NV-NIL (pending A2A.6 nil-return)</w:t>
            </w:r>
          </w:p>
        </w:tc>
      </w:tr>
      <w:tr>
        <w:tc>
          <w:tcPr>
            <w:tcW w:type="dxa" w:w="1872"/>
          </w:tcPr>
          <w:p>
            <w:r>
              <w:t xml:space="preserve">MX-2A-215</w:t>
            </w:r>
          </w:p>
        </w:tc>
        <w:tc>
          <w:tcPr>
            <w:tcW w:type="dxa" w:w="1872"/>
          </w:tcPr>
          <w:p>
            <w:r>
              <w:t xml:space="preserve">8708.70</w:t>
            </w:r>
          </w:p>
        </w:tc>
        <w:tc>
          <w:tcPr>
            <w:tcW w:type="dxa" w:w="1872"/>
          </w:tcPr>
          <w:p>
            <w:r>
              <w:t xml:space="preserve">Road wheels</w:t>
            </w:r>
          </w:p>
        </w:tc>
        <w:tc>
          <w:tcPr>
            <w:tcW w:type="dxa" w:w="1872"/>
          </w:tcPr>
          <w:p>
            <w:r>
              <w:t xml:space="preserve">NV-NIL</w:t>
            </w:r>
          </w:p>
        </w:tc>
        <w:tc>
          <w:tcPr>
            <w:tcW w:type="dxa" w:w="1872"/>
          </w:tcPr>
          <w:p>
            <w:r>
              <w:t xml:space="preserve">NV-NIL (pending A2A.6 nil-return)</w:t>
            </w:r>
          </w:p>
        </w:tc>
      </w:tr>
      <w:tr>
        <w:tc>
          <w:tcPr>
            <w:tcW w:type="dxa" w:w="1872"/>
          </w:tcPr>
          <w:p>
            <w:r>
              <w:t xml:space="preserve">MX-2A-216</w:t>
            </w:r>
          </w:p>
        </w:tc>
        <w:tc>
          <w:tcPr>
            <w:tcW w:type="dxa" w:w="1872"/>
          </w:tcPr>
          <w:p>
            <w:r>
              <w:t xml:space="preserve">8708.80</w:t>
            </w:r>
          </w:p>
        </w:tc>
        <w:tc>
          <w:tcPr>
            <w:tcW w:type="dxa" w:w="1872"/>
          </w:tcPr>
          <w:p>
            <w:r>
              <w:t xml:space="preserve">Suspension systems</w:t>
            </w:r>
          </w:p>
        </w:tc>
        <w:tc>
          <w:tcPr>
            <w:tcW w:type="dxa" w:w="1872"/>
          </w:tcPr>
          <w:p>
            <w:r>
              <w:t xml:space="preserve">NV-NIL</w:t>
            </w:r>
          </w:p>
        </w:tc>
        <w:tc>
          <w:tcPr>
            <w:tcW w:type="dxa" w:w="1872"/>
          </w:tcPr>
          <w:p>
            <w:r>
              <w:t xml:space="preserve">NV-NIL (pending A2A.6 nil-return)</w:t>
            </w:r>
          </w:p>
        </w:tc>
      </w:tr>
      <w:tr>
        <w:tc>
          <w:tcPr>
            <w:tcW w:type="dxa" w:w="1872"/>
          </w:tcPr>
          <w:p>
            <w:r>
              <w:t xml:space="preserve">MX-2A-217</w:t>
            </w:r>
          </w:p>
        </w:tc>
        <w:tc>
          <w:tcPr>
            <w:tcW w:type="dxa" w:w="1872"/>
          </w:tcPr>
          <w:p>
            <w:r>
              <w:t xml:space="preserve">8708.91</w:t>
            </w:r>
          </w:p>
        </w:tc>
        <w:tc>
          <w:tcPr>
            <w:tcW w:type="dxa" w:w="1872"/>
          </w:tcPr>
          <w:p>
            <w:r>
              <w:t xml:space="preserve">Radiators</w:t>
            </w:r>
          </w:p>
        </w:tc>
        <w:tc>
          <w:tcPr>
            <w:tcW w:type="dxa" w:w="1872"/>
          </w:tcPr>
          <w:p>
            <w:r>
              <w:t xml:space="preserve">NV-NIL</w:t>
            </w:r>
          </w:p>
        </w:tc>
        <w:tc>
          <w:tcPr>
            <w:tcW w:type="dxa" w:w="1872"/>
          </w:tcPr>
          <w:p>
            <w:r>
              <w:t xml:space="preserve">NV-NIL (pending A2A.6 nil-return)</w:t>
            </w:r>
          </w:p>
        </w:tc>
      </w:tr>
      <w:tr>
        <w:tc>
          <w:tcPr>
            <w:tcW w:type="dxa" w:w="1872"/>
          </w:tcPr>
          <w:p>
            <w:r>
              <w:t xml:space="preserve">MX-2A-218</w:t>
            </w:r>
          </w:p>
        </w:tc>
        <w:tc>
          <w:tcPr>
            <w:tcW w:type="dxa" w:w="1872"/>
          </w:tcPr>
          <w:p>
            <w:r>
              <w:t xml:space="preserve">8708.92</w:t>
            </w:r>
          </w:p>
        </w:tc>
        <w:tc>
          <w:tcPr>
            <w:tcW w:type="dxa" w:w="1872"/>
          </w:tcPr>
          <w:p>
            <w:r>
              <w:t xml:space="preserve">Mufflers and exhaust pipes</w:t>
            </w:r>
          </w:p>
        </w:tc>
        <w:tc>
          <w:tcPr>
            <w:tcW w:type="dxa" w:w="1872"/>
          </w:tcPr>
          <w:p>
            <w:r>
              <w:t xml:space="preserve">NV-NIL</w:t>
            </w:r>
          </w:p>
        </w:tc>
        <w:tc>
          <w:tcPr>
            <w:tcW w:type="dxa" w:w="1872"/>
          </w:tcPr>
          <w:p>
            <w:r>
              <w:t xml:space="preserve">NV-NIL (pending A2A.6 nil-return)</w:t>
            </w:r>
          </w:p>
        </w:tc>
      </w:tr>
      <w:tr>
        <w:tc>
          <w:tcPr>
            <w:tcW w:type="dxa" w:w="1872"/>
          </w:tcPr>
          <w:p>
            <w:r>
              <w:t xml:space="preserve">MX-2A-219</w:t>
            </w:r>
          </w:p>
        </w:tc>
        <w:tc>
          <w:tcPr>
            <w:tcW w:type="dxa" w:w="1872"/>
          </w:tcPr>
          <w:p>
            <w:r>
              <w:t xml:space="preserve">8708.93</w:t>
            </w:r>
          </w:p>
        </w:tc>
        <w:tc>
          <w:tcPr>
            <w:tcW w:type="dxa" w:w="1872"/>
          </w:tcPr>
          <w:p>
            <w:r>
              <w:t xml:space="preserve">Clutches</w:t>
            </w:r>
          </w:p>
        </w:tc>
        <w:tc>
          <w:tcPr>
            <w:tcW w:type="dxa" w:w="1872"/>
          </w:tcPr>
          <w:p>
            <w:r>
              <w:t xml:space="preserve">NV-NIL</w:t>
            </w:r>
          </w:p>
        </w:tc>
        <w:tc>
          <w:tcPr>
            <w:tcW w:type="dxa" w:w="1872"/>
          </w:tcPr>
          <w:p>
            <w:r>
              <w:t xml:space="preserve">NV-NIL (pending A2A.6 nil-return)</w:t>
            </w:r>
          </w:p>
        </w:tc>
      </w:tr>
      <w:tr>
        <w:tc>
          <w:tcPr>
            <w:tcW w:type="dxa" w:w="1872"/>
          </w:tcPr>
          <w:p>
            <w:r>
              <w:t xml:space="preserve">MX-2A-220</w:t>
            </w:r>
          </w:p>
        </w:tc>
        <w:tc>
          <w:tcPr>
            <w:tcW w:type="dxa" w:w="1872"/>
          </w:tcPr>
          <w:p>
            <w:r>
              <w:t xml:space="preserve">8708.94</w:t>
            </w:r>
          </w:p>
        </w:tc>
        <w:tc>
          <w:tcPr>
            <w:tcW w:type="dxa" w:w="1872"/>
          </w:tcPr>
          <w:p>
            <w:r>
              <w:t xml:space="preserve">Steering wheels and columns</w:t>
            </w:r>
          </w:p>
        </w:tc>
        <w:tc>
          <w:tcPr>
            <w:tcW w:type="dxa" w:w="1872"/>
          </w:tcPr>
          <w:p>
            <w:r>
              <w:t xml:space="preserve">NV-NIL</w:t>
            </w:r>
          </w:p>
        </w:tc>
        <w:tc>
          <w:tcPr>
            <w:tcW w:type="dxa" w:w="1872"/>
          </w:tcPr>
          <w:p>
            <w:r>
              <w:t xml:space="preserve">NV-NIL (pending A2A.6 nil-return)</w:t>
            </w:r>
          </w:p>
        </w:tc>
      </w:tr>
      <w:tr>
        <w:tc>
          <w:tcPr>
            <w:tcW w:type="dxa" w:w="1872"/>
          </w:tcPr>
          <w:p>
            <w:r>
              <w:t xml:space="preserve">MX-2A-221</w:t>
            </w:r>
          </w:p>
        </w:tc>
        <w:tc>
          <w:tcPr>
            <w:tcW w:type="dxa" w:w="1872"/>
          </w:tcPr>
          <w:p>
            <w:r>
              <w:t xml:space="preserve">8708.95</w:t>
            </w:r>
          </w:p>
        </w:tc>
        <w:tc>
          <w:tcPr>
            <w:tcW w:type="dxa" w:w="1872"/>
          </w:tcPr>
          <w:p>
            <w:r>
              <w:t xml:space="preserve">Airbags</w:t>
            </w:r>
          </w:p>
        </w:tc>
        <w:tc>
          <w:tcPr>
            <w:tcW w:type="dxa" w:w="1872"/>
          </w:tcPr>
          <w:p>
            <w:r>
              <w:t xml:space="preserve">NV-NIL</w:t>
            </w:r>
          </w:p>
        </w:tc>
        <w:tc>
          <w:tcPr>
            <w:tcW w:type="dxa" w:w="1872"/>
          </w:tcPr>
          <w:p>
            <w:r>
              <w:t xml:space="preserve">NV-NIL (pending A2A.6 nil-return)</w:t>
            </w:r>
          </w:p>
        </w:tc>
      </w:tr>
      <w:tr>
        <w:tc>
          <w:tcPr>
            <w:tcW w:type="dxa" w:w="1872"/>
          </w:tcPr>
          <w:p>
            <w:r>
              <w:t xml:space="preserve">MX-2A-222</w:t>
            </w:r>
          </w:p>
        </w:tc>
        <w:tc>
          <w:tcPr>
            <w:tcW w:type="dxa" w:w="1872"/>
          </w:tcPr>
          <w:p>
            <w:r>
              <w:t xml:space="preserve">8708.99</w:t>
            </w:r>
          </w:p>
        </w:tc>
        <w:tc>
          <w:tcPr>
            <w:tcW w:type="dxa" w:w="1872"/>
          </w:tcPr>
          <w:p>
            <w:r>
              <w:t xml:space="preserve">Vehicle parts, other</w:t>
            </w:r>
          </w:p>
        </w:tc>
        <w:tc>
          <w:tcPr>
            <w:tcW w:type="dxa" w:w="1872"/>
          </w:tcPr>
          <w:p>
            <w:r>
              <w:t xml:space="preserve">NV-NIL</w:t>
            </w:r>
          </w:p>
        </w:tc>
        <w:tc>
          <w:tcPr>
            <w:tcW w:type="dxa" w:w="1872"/>
          </w:tcPr>
          <w:p>
            <w:r>
              <w:t xml:space="preserve">NV-NIL (pending A2A.6 nil-return)</w:t>
            </w:r>
          </w:p>
        </w:tc>
      </w:tr>
      <w:tr>
        <w:tc>
          <w:tcPr>
            <w:tcW w:type="dxa" w:w="1872"/>
          </w:tcPr>
          <w:p>
            <w:r>
              <w:t xml:space="preserve">MX-2A-223</w:t>
            </w:r>
          </w:p>
        </w:tc>
        <w:tc>
          <w:tcPr>
            <w:tcW w:type="dxa" w:w="1872"/>
          </w:tcPr>
          <w:p>
            <w:r>
              <w:t xml:space="preserve">9403.60</w:t>
            </w:r>
          </w:p>
        </w:tc>
        <w:tc>
          <w:tcPr>
            <w:tcW w:type="dxa" w:w="1872"/>
          </w:tcPr>
          <w:p>
            <w:r>
              <w:t xml:space="preserve">Furniture, wooden, other</w:t>
            </w:r>
          </w:p>
        </w:tc>
        <w:tc>
          <w:tcPr>
            <w:tcW w:type="dxa" w:w="1872"/>
          </w:tcPr>
          <w:p>
            <w:r>
              <w:t xml:space="preserve">NV-NIL</w:t>
            </w:r>
          </w:p>
        </w:tc>
        <w:tc>
          <w:tcPr>
            <w:tcW w:type="dxa" w:w="1872"/>
          </w:tcPr>
          <w:p>
            <w:r>
              <w:t xml:space="preserve">NV-NIL (pending A2A.6 nil-return)</w:t>
            </w:r>
          </w:p>
        </w:tc>
      </w:tr>
      <w:tr>
        <w:tc>
          <w:tcPr>
            <w:tcW w:type="dxa" w:w="1872"/>
          </w:tcPr>
          <w:p>
            <w:r>
              <w:t xml:space="preserve">MX-2A-224</w:t>
            </w:r>
          </w:p>
        </w:tc>
        <w:tc>
          <w:tcPr>
            <w:tcW w:type="dxa" w:w="1872"/>
          </w:tcPr>
          <w:p>
            <w:r>
              <w:t xml:space="preserve">9403.91</w:t>
            </w:r>
          </w:p>
        </w:tc>
        <w:tc>
          <w:tcPr>
            <w:tcW w:type="dxa" w:w="1872"/>
          </w:tcPr>
          <w:p>
            <w:r>
              <w:t xml:space="preserve">Furniture parts, wood</w:t>
            </w:r>
          </w:p>
        </w:tc>
        <w:tc>
          <w:tcPr>
            <w:tcW w:type="dxa" w:w="1872"/>
          </w:tcPr>
          <w:p>
            <w:r>
              <w:t xml:space="preserve">NV-NIL</w:t>
            </w:r>
          </w:p>
        </w:tc>
        <w:tc>
          <w:tcPr>
            <w:tcW w:type="dxa" w:w="1872"/>
          </w:tcPr>
          <w:p>
            <w:r>
              <w:t xml:space="preserve">NV-NIL (pending A2A.6 nil-return)</w:t>
            </w:r>
          </w:p>
        </w:tc>
      </w:tr>
      <w:tr>
        <w:tc>
          <w:tcPr>
            <w:tcW w:type="dxa" w:w="1872"/>
          </w:tcPr>
          <w:p>
            <w:r>
              <w:t xml:space="preserve">MX-2A-225</w:t>
            </w:r>
          </w:p>
        </w:tc>
        <w:tc>
          <w:tcPr>
            <w:tcW w:type="dxa" w:w="1872"/>
          </w:tcPr>
          <w:p>
            <w:r>
              <w:t xml:space="preserve">9404.10</w:t>
            </w:r>
          </w:p>
        </w:tc>
        <w:tc>
          <w:tcPr>
            <w:tcW w:type="dxa" w:w="1872"/>
          </w:tcPr>
          <w:p>
            <w:r>
              <w:t xml:space="preserve">Mattress supports</w:t>
            </w:r>
          </w:p>
        </w:tc>
        <w:tc>
          <w:tcPr>
            <w:tcW w:type="dxa" w:w="1872"/>
          </w:tcPr>
          <w:p>
            <w:r>
              <w:t xml:space="preserve">NV-NIL</w:t>
            </w:r>
          </w:p>
        </w:tc>
        <w:tc>
          <w:tcPr>
            <w:tcW w:type="dxa" w:w="1872"/>
          </w:tcPr>
          <w:p>
            <w:r>
              <w:t xml:space="preserve">NV-NIL (pending A2A.6 nil-return)</w:t>
            </w:r>
          </w:p>
        </w:tc>
      </w:tr>
      <w:tr>
        <w:tc>
          <w:tcPr>
            <w:tcW w:type="dxa" w:w="1872"/>
          </w:tcPr>
          <w:p>
            <w:r>
              <w:t xml:space="preserve">MX-2A-226</w:t>
            </w:r>
          </w:p>
        </w:tc>
        <w:tc>
          <w:tcPr>
            <w:tcW w:type="dxa" w:w="1872"/>
          </w:tcPr>
          <w:p>
            <w:r>
              <w:t xml:space="preserve">9404.21</w:t>
            </w:r>
          </w:p>
        </w:tc>
        <w:tc>
          <w:tcPr>
            <w:tcW w:type="dxa" w:w="1872"/>
          </w:tcPr>
          <w:p>
            <w:r>
              <w:t xml:space="preserve">Mattresses of cellular rubber</w:t>
            </w:r>
          </w:p>
        </w:tc>
        <w:tc>
          <w:tcPr>
            <w:tcW w:type="dxa" w:w="1872"/>
          </w:tcPr>
          <w:p>
            <w:r>
              <w:t xml:space="preserve">NV-NIL</w:t>
            </w:r>
          </w:p>
        </w:tc>
        <w:tc>
          <w:tcPr>
            <w:tcW w:type="dxa" w:w="1872"/>
          </w:tcPr>
          <w:p>
            <w:r>
              <w:t xml:space="preserve">NV-NIL (pending A2A.6 nil-return)</w:t>
            </w:r>
          </w:p>
        </w:tc>
      </w:tr>
      <w:tr>
        <w:tc>
          <w:tcPr>
            <w:tcW w:type="dxa" w:w="1872"/>
          </w:tcPr>
          <w:p>
            <w:r>
              <w:t xml:space="preserve">MX-2A-227</w:t>
            </w:r>
          </w:p>
        </w:tc>
        <w:tc>
          <w:tcPr>
            <w:tcW w:type="dxa" w:w="1872"/>
          </w:tcPr>
          <w:p>
            <w:r>
              <w:t xml:space="preserve">9405.11</w:t>
            </w:r>
          </w:p>
        </w:tc>
        <w:tc>
          <w:tcPr>
            <w:tcW w:type="dxa" w:w="1872"/>
          </w:tcPr>
          <w:p>
            <w:r>
              <w:t xml:space="preserve">Lamps, LED</w:t>
            </w:r>
          </w:p>
        </w:tc>
        <w:tc>
          <w:tcPr>
            <w:tcW w:type="dxa" w:w="1872"/>
          </w:tcPr>
          <w:p>
            <w:r>
              <w:t xml:space="preserve">NV-NIL</w:t>
            </w:r>
          </w:p>
        </w:tc>
        <w:tc>
          <w:tcPr>
            <w:tcW w:type="dxa" w:w="1872"/>
          </w:tcPr>
          <w:p>
            <w:r>
              <w:t xml:space="preserve">NV-NIL (pending A2A.6 nil-return)</w:t>
            </w:r>
          </w:p>
        </w:tc>
      </w:tr>
      <w:tr>
        <w:tc>
          <w:tcPr>
            <w:tcW w:type="dxa" w:w="1872"/>
          </w:tcPr>
          <w:p>
            <w:r>
              <w:t xml:space="preserve">MX-2A-228</w:t>
            </w:r>
          </w:p>
        </w:tc>
        <w:tc>
          <w:tcPr>
            <w:tcW w:type="dxa" w:w="1872"/>
          </w:tcPr>
          <w:p>
            <w:r>
              <w:t xml:space="preserve">9406.20</w:t>
            </w:r>
          </w:p>
        </w:tc>
        <w:tc>
          <w:tcPr>
            <w:tcW w:type="dxa" w:w="1872"/>
          </w:tcPr>
          <w:p>
            <w:r>
              <w:t xml:space="preserve">Prefabricated buildings</w:t>
            </w:r>
          </w:p>
        </w:tc>
        <w:tc>
          <w:tcPr>
            <w:tcW w:type="dxa" w:w="1872"/>
          </w:tcPr>
          <w:p>
            <w:r>
              <w:t xml:space="preserve">NV-NIL</w:t>
            </w:r>
          </w:p>
        </w:tc>
        <w:tc>
          <w:tcPr>
            <w:tcW w:type="dxa" w:w="1872"/>
          </w:tcPr>
          <w:p>
            <w:r>
              <w:t xml:space="preserve">NV-NIL (pending A2A.6 nil-return)</w:t>
            </w:r>
          </w:p>
        </w:tc>
      </w:tr>
      <w:tr>
        <w:tc>
          <w:tcPr>
            <w:tcW w:type="dxa" w:w="1872"/>
          </w:tcPr>
          <w:p>
            <w:r>
              <w:t xml:space="preserve">MX-2A-229</w:t>
            </w:r>
          </w:p>
        </w:tc>
        <w:tc>
          <w:tcPr>
            <w:tcW w:type="dxa" w:w="1872"/>
          </w:tcPr>
          <w:p>
            <w:r>
              <w:t xml:space="preserve">9503.00</w:t>
            </w:r>
          </w:p>
        </w:tc>
        <w:tc>
          <w:tcPr>
            <w:tcW w:type="dxa" w:w="1872"/>
          </w:tcPr>
          <w:p>
            <w:r>
              <w:t xml:space="preserve">Toys, tricycles and scooters</w:t>
            </w:r>
          </w:p>
        </w:tc>
        <w:tc>
          <w:tcPr>
            <w:tcW w:type="dxa" w:w="1872"/>
          </w:tcPr>
          <w:p>
            <w:r>
              <w:t xml:space="preserve">NV-NIL</w:t>
            </w:r>
          </w:p>
        </w:tc>
        <w:tc>
          <w:tcPr>
            <w:tcW w:type="dxa" w:w="1872"/>
          </w:tcPr>
          <w:p>
            <w:r>
              <w:t xml:space="preserve">NV-NIL (pending A2A.6 nil-return)</w:t>
            </w:r>
          </w:p>
        </w:tc>
      </w:tr>
      <w:tr>
        <w:tc>
          <w:tcPr>
            <w:tcW w:type="dxa" w:w="1872"/>
          </w:tcPr>
          <w:p>
            <w:r>
              <w:t xml:space="preserve">MX-2A-230</w:t>
            </w:r>
          </w:p>
        </w:tc>
        <w:tc>
          <w:tcPr>
            <w:tcW w:type="dxa" w:w="1872"/>
          </w:tcPr>
          <w:p>
            <w:r>
              <w:t xml:space="preserve">9504.50</w:t>
            </w:r>
          </w:p>
        </w:tc>
        <w:tc>
          <w:tcPr>
            <w:tcW w:type="dxa" w:w="1872"/>
          </w:tcPr>
          <w:p>
            <w:r>
              <w:t xml:space="preserve">Video game consoles</w:t>
            </w:r>
          </w:p>
        </w:tc>
        <w:tc>
          <w:tcPr>
            <w:tcW w:type="dxa" w:w="1872"/>
          </w:tcPr>
          <w:p>
            <w:r>
              <w:t xml:space="preserve">NV-NIL</w:t>
            </w:r>
          </w:p>
        </w:tc>
        <w:tc>
          <w:tcPr>
            <w:tcW w:type="dxa" w:w="1872"/>
          </w:tcPr>
          <w:p>
            <w:r>
              <w:t xml:space="preserve">NV-NIL (pending A2A.6 nil-return)</w:t>
            </w:r>
          </w:p>
        </w:tc>
      </w:tr>
      <w:tr>
        <w:tc>
          <w:tcPr>
            <w:tcW w:type="dxa" w:w="1872"/>
          </w:tcPr>
          <w:p>
            <w:r>
              <w:t xml:space="preserve">MX-2A-231</w:t>
            </w:r>
          </w:p>
        </w:tc>
        <w:tc>
          <w:tcPr>
            <w:tcW w:type="dxa" w:w="1872"/>
          </w:tcPr>
          <w:p>
            <w:r>
              <w:t xml:space="preserve">9506.11</w:t>
            </w:r>
          </w:p>
        </w:tc>
        <w:tc>
          <w:tcPr>
            <w:tcW w:type="dxa" w:w="1872"/>
          </w:tcPr>
          <w:p>
            <w:r>
              <w:t xml:space="preserve">Skis</w:t>
            </w:r>
          </w:p>
        </w:tc>
        <w:tc>
          <w:tcPr>
            <w:tcW w:type="dxa" w:w="1872"/>
          </w:tcPr>
          <w:p>
            <w:r>
              <w:t xml:space="preserve">NV-NIL</w:t>
            </w:r>
          </w:p>
        </w:tc>
        <w:tc>
          <w:tcPr>
            <w:tcW w:type="dxa" w:w="1872"/>
          </w:tcPr>
          <w:p>
            <w:r>
              <w:t xml:space="preserve">NV-NIL (pending A2A.6 nil-return)</w:t>
            </w:r>
          </w:p>
        </w:tc>
      </w:tr>
      <w:tr>
        <w:tc>
          <w:tcPr>
            <w:tcW w:type="dxa" w:w="1872"/>
          </w:tcPr>
          <w:p>
            <w:r>
              <w:t xml:space="preserve">MX-2A-232</w:t>
            </w:r>
          </w:p>
        </w:tc>
        <w:tc>
          <w:tcPr>
            <w:tcW w:type="dxa" w:w="1872"/>
          </w:tcPr>
          <w:p>
            <w:r>
              <w:t xml:space="preserve">9506.62</w:t>
            </w:r>
          </w:p>
        </w:tc>
        <w:tc>
          <w:tcPr>
            <w:tcW w:type="dxa" w:w="1872"/>
          </w:tcPr>
          <w:p>
            <w:r>
              <w:t xml:space="preserve">Inflatable balls</w:t>
            </w:r>
          </w:p>
        </w:tc>
        <w:tc>
          <w:tcPr>
            <w:tcW w:type="dxa" w:w="1872"/>
          </w:tcPr>
          <w:p>
            <w:r>
              <w:t xml:space="preserve">NV-NIL</w:t>
            </w:r>
          </w:p>
        </w:tc>
        <w:tc>
          <w:tcPr>
            <w:tcW w:type="dxa" w:w="1872"/>
          </w:tcPr>
          <w:p>
            <w:r>
              <w:t xml:space="preserve">NV-NIL (pending A2A.6 nil-return)</w:t>
            </w:r>
          </w:p>
        </w:tc>
      </w:tr>
      <w:tr>
        <w:tc>
          <w:tcPr>
            <w:tcW w:type="dxa" w:w="1872"/>
          </w:tcPr>
          <w:p>
            <w:r>
              <w:t xml:space="preserve">MX-2A-233</w:t>
            </w:r>
          </w:p>
        </w:tc>
        <w:tc>
          <w:tcPr>
            <w:tcW w:type="dxa" w:w="1872"/>
          </w:tcPr>
          <w:p>
            <w:r>
              <w:t xml:space="preserve">9506.91</w:t>
            </w:r>
          </w:p>
        </w:tc>
        <w:tc>
          <w:tcPr>
            <w:tcW w:type="dxa" w:w="1872"/>
          </w:tcPr>
          <w:p>
            <w:r>
              <w:t xml:space="preserve">Gymnasium articles</w:t>
            </w:r>
          </w:p>
        </w:tc>
        <w:tc>
          <w:tcPr>
            <w:tcW w:type="dxa" w:w="1872"/>
          </w:tcPr>
          <w:p>
            <w:r>
              <w:t xml:space="preserve">NV-NIL</w:t>
            </w:r>
          </w:p>
        </w:tc>
        <w:tc>
          <w:tcPr>
            <w:tcW w:type="dxa" w:w="1872"/>
          </w:tcPr>
          <w:p>
            <w:r>
              <w:t xml:space="preserve">NV-NIL (pending A2A.6 nil-return)</w:t>
            </w:r>
          </w:p>
        </w:tc>
      </w:tr>
      <w:tr>
        <w:tc>
          <w:tcPr>
            <w:tcW w:type="dxa" w:w="1872"/>
          </w:tcPr>
          <w:p>
            <w:r>
              <w:t xml:space="preserve">MX-2A-234</w:t>
            </w:r>
          </w:p>
        </w:tc>
        <w:tc>
          <w:tcPr>
            <w:tcW w:type="dxa" w:w="1872"/>
          </w:tcPr>
          <w:p>
            <w:r>
              <w:t xml:space="preserve">9507.30</w:t>
            </w:r>
          </w:p>
        </w:tc>
        <w:tc>
          <w:tcPr>
            <w:tcW w:type="dxa" w:w="1872"/>
          </w:tcPr>
          <w:p>
            <w:r>
              <w:t xml:space="preserve">Fishing reels</w:t>
            </w:r>
          </w:p>
        </w:tc>
        <w:tc>
          <w:tcPr>
            <w:tcW w:type="dxa" w:w="1872"/>
          </w:tcPr>
          <w:p>
            <w:r>
              <w:t xml:space="preserve">NV-NIL</w:t>
            </w:r>
          </w:p>
        </w:tc>
        <w:tc>
          <w:tcPr>
            <w:tcW w:type="dxa" w:w="1872"/>
          </w:tcPr>
          <w:p>
            <w:r>
              <w:t xml:space="preserve">NV-NIL (pending A2A.6 nil-return)</w:t>
            </w:r>
          </w:p>
        </w:tc>
      </w:tr>
      <w:tr>
        <w:tc>
          <w:tcPr>
            <w:tcW w:type="dxa" w:w="1872"/>
          </w:tcPr>
          <w:p>
            <w:r>
              <w:t xml:space="preserve">MX-2A-235</w:t>
            </w:r>
          </w:p>
        </w:tc>
        <w:tc>
          <w:tcPr>
            <w:tcW w:type="dxa" w:w="1872"/>
          </w:tcPr>
          <w:p>
            <w:r>
              <w:t xml:space="preserve">9508.10</w:t>
            </w:r>
          </w:p>
        </w:tc>
        <w:tc>
          <w:tcPr>
            <w:tcW w:type="dxa" w:w="1872"/>
          </w:tcPr>
          <w:p>
            <w:r>
              <w:t xml:space="preserve">Carnival articles</w:t>
            </w:r>
          </w:p>
        </w:tc>
        <w:tc>
          <w:tcPr>
            <w:tcW w:type="dxa" w:w="1872"/>
          </w:tcPr>
          <w:p>
            <w:r>
              <w:t xml:space="preserve">NV-NIL</w:t>
            </w:r>
          </w:p>
        </w:tc>
        <w:tc>
          <w:tcPr>
            <w:tcW w:type="dxa" w:w="1872"/>
          </w:tcPr>
          <w:p>
            <w:r>
              <w:t xml:space="preserve">NV-NIL (pending A2A.6 nil-return)</w:t>
            </w:r>
          </w:p>
        </w:tc>
      </w:tr>
      <w:tr>
        <w:tc>
          <w:tcPr>
            <w:tcW w:type="dxa" w:w="1872"/>
          </w:tcPr>
          <w:p>
            <w:r>
              <w:t xml:space="preserve">MX-2A-236</w:t>
            </w:r>
          </w:p>
        </w:tc>
        <w:tc>
          <w:tcPr>
            <w:tcW w:type="dxa" w:w="1872"/>
          </w:tcPr>
          <w:p>
            <w:r>
              <w:t xml:space="preserve">9509.40</w:t>
            </w:r>
          </w:p>
        </w:tc>
        <w:tc>
          <w:tcPr>
            <w:tcW w:type="dxa" w:w="1872"/>
          </w:tcPr>
          <w:p>
            <w:r>
              <w:t xml:space="preserve">Video game consoles, new subheading</w:t>
            </w:r>
          </w:p>
        </w:tc>
        <w:tc>
          <w:tcPr>
            <w:tcW w:type="dxa" w:w="1872"/>
          </w:tcPr>
          <w:p>
            <w:r>
              <w:t xml:space="preserve">NV-NIL</w:t>
            </w:r>
          </w:p>
        </w:tc>
        <w:tc>
          <w:tcPr>
            <w:tcW w:type="dxa" w:w="1872"/>
          </w:tcPr>
          <w:p>
            <w:r>
              <w:t xml:space="preserve">NV-NIL (pending A2A.6 nil-return)</w:t>
            </w:r>
          </w:p>
        </w:tc>
      </w:tr>
      <w:tr>
        <w:tc>
          <w:tcPr>
            <w:tcW w:type="dxa" w:w="1872"/>
          </w:tcPr>
          <w:p>
            <w:r>
              <w:t xml:space="preserve">MX-2A-237</w:t>
            </w:r>
          </w:p>
        </w:tc>
        <w:tc>
          <w:tcPr>
            <w:tcW w:type="dxa" w:w="1872"/>
          </w:tcPr>
          <w:p>
            <w:r>
              <w:t xml:space="preserve">9509.90</w:t>
            </w:r>
          </w:p>
        </w:tc>
        <w:tc>
          <w:tcPr>
            <w:tcW w:type="dxa" w:w="1872"/>
          </w:tcPr>
          <w:p>
            <w:r>
              <w:t xml:space="preserve">Video game parts</w:t>
            </w:r>
          </w:p>
        </w:tc>
        <w:tc>
          <w:tcPr>
            <w:tcW w:type="dxa" w:w="1872"/>
          </w:tcPr>
          <w:p>
            <w:r>
              <w:t xml:space="preserve">NV-NIL</w:t>
            </w:r>
          </w:p>
        </w:tc>
        <w:tc>
          <w:tcPr>
            <w:tcW w:type="dxa" w:w="1872"/>
          </w:tcPr>
          <w:p>
            <w:r>
              <w:t xml:space="preserve">NV-NIL (pending A2A.6 nil-return)</w:t>
            </w:r>
          </w:p>
        </w:tc>
      </w:tr>
      <w:tr>
        <w:tc>
          <w:tcPr>
            <w:tcW w:type="dxa" w:w="1872"/>
          </w:tcPr>
          <w:p>
            <w:r>
              <w:t xml:space="preserve">MX-2A-238</w:t>
            </w:r>
          </w:p>
        </w:tc>
        <w:tc>
          <w:tcPr>
            <w:tcW w:type="dxa" w:w="1872"/>
          </w:tcPr>
          <w:p>
            <w:r>
              <w:t xml:space="preserve">9401.10</w:t>
            </w:r>
          </w:p>
        </w:tc>
        <w:tc>
          <w:tcPr>
            <w:tcW w:type="dxa" w:w="1872"/>
          </w:tcPr>
          <w:p>
            <w:r>
              <w:t xml:space="preserve">Seats for motor vehicles</w:t>
            </w:r>
          </w:p>
        </w:tc>
        <w:tc>
          <w:tcPr>
            <w:tcW w:type="dxa" w:w="1872"/>
          </w:tcPr>
          <w:p>
            <w:r>
              <w:t xml:space="preserve">NV-NIL</w:t>
            </w:r>
          </w:p>
        </w:tc>
        <w:tc>
          <w:tcPr>
            <w:tcW w:type="dxa" w:w="1872"/>
          </w:tcPr>
          <w:p>
            <w:r>
              <w:t xml:space="preserve">NV-NIL (pending A2A.6 nil-return)</w:t>
            </w:r>
          </w:p>
        </w:tc>
      </w:tr>
      <w:tr>
        <w:tc>
          <w:tcPr>
            <w:tcW w:type="dxa" w:w="1872"/>
          </w:tcPr>
          <w:p>
            <w:r>
              <w:t xml:space="preserve">MX-2A-239</w:t>
            </w:r>
          </w:p>
        </w:tc>
        <w:tc>
          <w:tcPr>
            <w:tcW w:type="dxa" w:w="1872"/>
          </w:tcPr>
          <w:p>
            <w:r>
              <w:t xml:space="preserve">9401.30</w:t>
            </w:r>
          </w:p>
        </w:tc>
        <w:tc>
          <w:tcPr>
            <w:tcW w:type="dxa" w:w="1872"/>
          </w:tcPr>
          <w:p>
            <w:r>
              <w:t xml:space="preserve">Swivel seats</w:t>
            </w:r>
          </w:p>
        </w:tc>
        <w:tc>
          <w:tcPr>
            <w:tcW w:type="dxa" w:w="1872"/>
          </w:tcPr>
          <w:p>
            <w:r>
              <w:t xml:space="preserve">NV-NIL</w:t>
            </w:r>
          </w:p>
        </w:tc>
        <w:tc>
          <w:tcPr>
            <w:tcW w:type="dxa" w:w="1872"/>
          </w:tcPr>
          <w:p>
            <w:r>
              <w:t xml:space="preserve">NV-NIL (pending A2A.6 nil-return)</w:t>
            </w:r>
          </w:p>
        </w:tc>
      </w:tr>
      <w:tr>
        <w:tc>
          <w:tcPr>
            <w:tcW w:type="dxa" w:w="1872"/>
          </w:tcPr>
          <w:p>
            <w:r>
              <w:t xml:space="preserve">MX-2A-240</w:t>
            </w:r>
          </w:p>
        </w:tc>
        <w:tc>
          <w:tcPr>
            <w:tcW w:type="dxa" w:w="1872"/>
          </w:tcPr>
          <w:p>
            <w:r>
              <w:t xml:space="preserve">9401.61</w:t>
            </w:r>
          </w:p>
        </w:tc>
        <w:tc>
          <w:tcPr>
            <w:tcW w:type="dxa" w:w="1872"/>
          </w:tcPr>
          <w:p>
            <w:r>
              <w:t xml:space="preserve">Upholstered seats with wooden frames</w:t>
            </w:r>
          </w:p>
        </w:tc>
        <w:tc>
          <w:tcPr>
            <w:tcW w:type="dxa" w:w="1872"/>
          </w:tcPr>
          <w:p>
            <w:r>
              <w:t xml:space="preserve">NV-NIL</w:t>
            </w:r>
          </w:p>
        </w:tc>
        <w:tc>
          <w:tcPr>
            <w:tcW w:type="dxa" w:w="1872"/>
          </w:tcPr>
          <w:p>
            <w:r>
              <w:t xml:space="preserve">NV-NIL (pending A2A.6 nil-return)</w:t>
            </w:r>
          </w:p>
        </w:tc>
      </w:tr>
    </w:tbl>
    <w:p w14:paraId="54B3694E"/>
    <w:p w14:paraId="51B6E97C">
      <w:pPr>
        <w:pStyle w:val="Heading3"/>
      </w:pPr>
      <w:r>
        <w:rPr>
          <w:b w:val="0"/>
        </w:rPr>
        <w:t>A2A.4 Certificate and Transit Rule</w:t>
      </w:r>
    </w:p>
    <w:p w14:paraId="09BCEDEE">
      <w:r>
        <w:rPr>
          <w:b w:val="0"/>
        </w:rPr>
        <w:t>If a measure is later certified and eliminated, Mexico shall publish Form 1 no later than the elimination effective time, or within one business day thereafter only for a documented systems-update reason. Goods in transit at the elimination time receive elimination treatment if the entry or pedimento is filed after that time and the goods otherwise qualify; pre-elimination liabilities remain governed by Article 2.6 and domestic law.</w:t>
      </w:r>
    </w:p>
    <w:p w14:paraId="537D6168">
      <w:pPr>
        <w:pStyle w:val="Heading3"/>
      </w:pPr>
      <w:r>
        <w:rPr>
          <w:b w:val="0"/>
        </w:rPr>
        <w:t>A2A.5 Anti-Overlap Certification</w:t>
      </w:r>
    </w:p>
    <w:p w14:paraId="51E489AC">
      <w:r>
        <w:rPr>
          <w:b w:val="0"/>
        </w:rPr>
        <w:t>Any future certification shall identify every preserved ordinary duty, preference condition, trade-remedy duty, safeguard, tax, fee, SPS control, sanction, or security measure that could be confused with the eliminated measure. Elimination does not repeal a legally distinct instrument.</w:t>
      </w:r>
    </w:p>
    <w:p w14:paraId="40723FB2">
      <w:pPr>
        <w:pStyle w:val="Heading3"/>
      </w:pPr>
      <w:r>
        <w:rPr>
          <w:b w:val="0"/>
        </w:rPr>
        <w:t xml:space="preserve">A2A.6 Section III — Record of Confirmations and Signature Block</w:t>
      </w:r>
    </w:p>
    <w:p>
      <w:r>
        <w:rPr>
          <w:b w:val="0"/>
        </w:rPr>
        <w:t xml:space="preserve">Record of confirmations. Each confirmation converts affected NV-NIL entries to EXC (screened, no measure) or V/VWC (measure found and certified) and is logged entry by entry by register ID range. The signature block below is the execution page for these confirmations.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 xml:space="preserve">Confirmation record</w:t>
            </w:r>
          </w:p>
        </w:tc>
        <w:tc>
          <w:tcPr>
            <w:tcW w:type="dxa" w:w="1872"/>
          </w:tcPr>
          <w:p>
            <w:r>
              <w:rPr>
                <w:b/>
              </w:rPr>
              <w:t xml:space="preserve">Authority</w:t>
            </w:r>
          </w:p>
        </w:tc>
        <w:tc>
          <w:tcPr>
            <w:tcW w:type="dxa" w:w="1872"/>
          </w:tcPr>
          <w:p>
            <w:r>
              <w:rPr>
                <w:b/>
              </w:rPr>
              <w:t xml:space="preserve">Scope</w:t>
            </w:r>
          </w:p>
        </w:tc>
        <w:tc>
          <w:tcPr>
            <w:tcW w:type="dxa" w:w="1872"/>
          </w:tcPr>
          <w:p>
            <w:r>
              <w:rPr>
                <w:b/>
              </w:rPr>
              <w:t xml:space="preserve">Date</w:t>
            </w:r>
          </w:p>
        </w:tc>
        <w:tc>
          <w:tcPr>
            <w:tcW w:type="dxa" w:w="1872"/>
          </w:tcPr>
          <w:p>
            <w:r>
              <w:rPr>
                <w:b/>
              </w:rPr>
              <w:t xml:space="preserve">Result</w:t>
            </w:r>
          </w:p>
        </w:tc>
      </w:tr>
      <w:tr>
        <w:tc>
          <w:tcPr>
            <w:tcW w:type="dxa" w:w="1872"/>
          </w:tcPr>
          <w:p>
            <w:r>
              <w:t xml:space="preserve">NIL-RETURN-001</w:t>
            </w:r>
          </w:p>
        </w:tc>
        <w:tc>
          <w:tcPr>
            <w:tcW w:type="dxa" w:w="1872"/>
          </w:tcPr>
          <w:p>
            <w:r>
              <w:t xml:space="preserve">Secretaría de Economía (written confirmation)</w:t>
            </w:r>
          </w:p>
        </w:tc>
        <w:tc>
          <w:tcPr>
            <w:tcW w:type="dxa" w:w="1872"/>
          </w:tcPr>
          <w:p>
            <w:r>
              <w:t xml:space="preserve">No qualifying instrument exists, or inventory if one exists</w:t>
            </w:r>
          </w:p>
        </w:tc>
        <w:tc>
          <w:tcPr>
            <w:tcW w:type="dxa" w:w="1872"/>
          </w:tcPr>
          <w:p>
            <w:r>
              <w:t xml:space="preserve">At adoption</w:t>
            </w:r>
          </w:p>
        </w:tc>
        <w:tc>
          <w:tcPr>
            <w:tcW w:type="dxa" w:w="1872"/>
          </w:tcPr>
          <w:p>
            <w:r>
              <w:t xml:space="preserve">Pending</w:t>
            </w:r>
          </w:p>
        </w:tc>
      </w:tr>
      <w:tr>
        <w:tc>
          <w:tcPr>
            <w:tcW w:type="dxa" w:w="1872"/>
          </w:tcPr>
          <w:p>
            <w:r>
              <w:t xml:space="preserve">NIL-RETURN-002</w:t>
            </w:r>
          </w:p>
        </w:tc>
        <w:tc>
          <w:tcPr>
            <w:tcW w:type="dxa" w:w="1872"/>
          </w:tcPr>
          <w:p>
            <w:r>
              <w:t xml:space="preserve">ANAM</w:t>
            </w:r>
          </w:p>
        </w:tc>
        <w:tc>
          <w:tcPr>
            <w:tcW w:type="dxa" w:w="1872"/>
          </w:tcPr>
          <w:p>
            <w:r>
              <w:t xml:space="preserve">TIGIE/NICO nil-return or concordance</w:t>
            </w:r>
          </w:p>
        </w:tc>
        <w:tc>
          <w:tcPr>
            <w:tcW w:type="dxa" w:w="1872"/>
          </w:tcPr>
          <w:p>
            <w:r>
              <w:t xml:space="preserve">At adoption</w:t>
            </w:r>
          </w:p>
        </w:tc>
        <w:tc>
          <w:tcPr>
            <w:tcW w:type="dxa" w:w="1872"/>
          </w:tcPr>
          <w:p>
            <w:r>
              <w:t xml:space="preserve">Pending</w:t>
            </w:r>
          </w:p>
        </w:tc>
      </w:tr>
      <w:tr>
        <w:tc>
          <w:tcPr>
            <w:tcW w:type="dxa" w:w="1872"/>
          </w:tcPr>
          <w:p>
            <w:r>
              <w:t xml:space="preserve">NIL-RETURN-003</w:t>
            </w:r>
          </w:p>
        </w:tc>
        <w:tc>
          <w:tcPr>
            <w:tcW w:type="dxa" w:w="1872"/>
          </w:tcPr>
          <w:p>
            <w:r>
              <w:t xml:space="preserve">SAT</w:t>
            </w:r>
          </w:p>
        </w:tc>
        <w:tc>
          <w:tcPr>
            <w:tcW w:type="dxa" w:w="1872"/>
          </w:tcPr>
          <w:p>
            <w:r>
              <w:t xml:space="preserve">Refund/collection interface nil-return</w:t>
            </w:r>
          </w:p>
        </w:tc>
        <w:tc>
          <w:tcPr>
            <w:tcW w:type="dxa" w:w="1872"/>
          </w:tcPr>
          <w:p>
            <w:r>
              <w:t xml:space="preserve">At adoption</w:t>
            </w:r>
          </w:p>
        </w:tc>
        <w:tc>
          <w:tcPr>
            <w:tcW w:type="dxa" w:w="1872"/>
          </w:tcPr>
          <w:p>
            <w:r>
              <w:t xml:space="preserve">Pending</w:t>
            </w:r>
          </w:p>
        </w:tc>
      </w:tr>
    </w:tbl>
    <w:tbl>
      <w:tblPr>
        <w:tblW w:type="auto" w:w="0"/>
        <w:tblLook w:firstColumn="1" w:firstRow="1" w:lastColumn="0" w:lastRow="0" w:noHBand="0" w:noVBand="1" w:val="04A0"/>
      </w:tblPr>
      <w:tblGrid>
        <w:gridCol w:w="1872"/>
        <w:gridCol w:w="1872"/>
        <w:gridCol w:w="1872"/>
        <w:gridCol w:w="1872"/>
        <w:gridCol w:w="1872"/>
      </w:tblGrid>
      <w:tr>
        <w:tc>
          <w:tcPr>
            <w:tcW w:type="dxa" w:w="1872"/>
          </w:tcPr>
          <w:p w14:paraId="536141C0">
            <w:r>
              <w:rPr>
                <w:b/>
              </w:rPr>
              <w:t>Role</w:t>
            </w:r>
          </w:p>
        </w:tc>
        <w:tc>
          <w:tcPr>
            <w:tcW w:type="dxa" w:w="1872"/>
          </w:tcPr>
          <w:p w14:paraId="6E81669A">
            <w:r>
              <w:rPr>
                <w:b/>
              </w:rPr>
              <w:t>Certification required</w:t>
            </w:r>
          </w:p>
        </w:tc>
        <w:tc>
          <w:tcPr>
            <w:tcW w:type="dxa" w:w="1872"/>
          </w:tcPr>
          <w:p w14:paraId="2E9D733A">
            <w:r>
              <w:rPr>
                <w:b/>
              </w:rPr>
              <w:t>Name</w:t>
            </w:r>
          </w:p>
        </w:tc>
        <w:tc>
          <w:tcPr>
            <w:tcW w:type="dxa" w:w="1872"/>
          </w:tcPr>
          <w:p w14:paraId="58C634DA">
            <w:r>
              <w:rPr>
                <w:b/>
              </w:rPr>
              <w:t>Signature</w:t>
            </w:r>
          </w:p>
        </w:tc>
        <w:tc>
          <w:tcPr>
            <w:tcW w:type="dxa" w:w="1872"/>
          </w:tcPr>
          <w:p w14:paraId="50D7CF72">
            <w:r>
              <w:rPr>
                <w:b/>
              </w:rPr>
              <w:t>Date</w:t>
            </w:r>
          </w:p>
        </w:tc>
      </w:tr>
      <w:tr>
        <w:tc>
          <w:tcPr>
            <w:tcW w:type="dxa" w:w="1872"/>
          </w:tcPr>
          <w:p w14:paraId="204C14AC">
            <w:r>
              <w:t>Secretaría de Economía</w:t>
            </w:r>
          </w:p>
        </w:tc>
        <w:tc>
          <w:tcPr>
            <w:tcW w:type="dxa" w:w="1872"/>
          </w:tcPr>
          <w:p w14:paraId="6E304672">
            <w:r>
              <w:t>Written confirmation that no qualifying instrument exists, or inventory if one exists</w:t>
            </w:r>
          </w:p>
        </w:tc>
        <w:tc>
          <w:tcPr>
            <w:tcW w:type="dxa" w:w="1872"/>
          </w:tcPr>
          <w:p w14:paraId="70CDE6D8">
            <w:r/>
          </w:p>
        </w:tc>
        <w:tc>
          <w:tcPr>
            <w:tcW w:type="dxa" w:w="1872"/>
          </w:tcPr>
          <w:p w14:paraId="3CB48F24">
            <w:r/>
          </w:p>
        </w:tc>
        <w:tc>
          <w:tcPr>
            <w:tcW w:type="dxa" w:w="1872"/>
          </w:tcPr>
          <w:p w14:paraId="20AF2AA0">
            <w:r/>
          </w:p>
        </w:tc>
      </w:tr>
      <w:tr>
        <w:tc>
          <w:tcPr>
            <w:tcW w:type="dxa" w:w="1872"/>
          </w:tcPr>
          <w:p w14:paraId="506B176C">
            <w:r>
              <w:t>ANAM</w:t>
            </w:r>
          </w:p>
        </w:tc>
        <w:tc>
          <w:tcPr>
            <w:tcW w:type="dxa" w:w="1872"/>
          </w:tcPr>
          <w:p w14:paraId="29067A94">
            <w:r>
              <w:t>TIGIE/NICO nil-return or concordance</w:t>
            </w:r>
          </w:p>
        </w:tc>
        <w:tc>
          <w:tcPr>
            <w:tcW w:type="dxa" w:w="1872"/>
          </w:tcPr>
          <w:p w14:paraId="2192A24E">
            <w:r/>
          </w:p>
        </w:tc>
        <w:tc>
          <w:tcPr>
            <w:tcW w:type="dxa" w:w="1872"/>
          </w:tcPr>
          <w:p w14:paraId="498DBDD2">
            <w:r/>
          </w:p>
        </w:tc>
        <w:tc>
          <w:tcPr>
            <w:tcW w:type="dxa" w:w="1872"/>
          </w:tcPr>
          <w:p w14:paraId="4C97212C">
            <w:r/>
          </w:p>
        </w:tc>
      </w:tr>
      <w:tr>
        <w:tc>
          <w:tcPr>
            <w:tcW w:type="dxa" w:w="1872"/>
          </w:tcPr>
          <w:p w14:paraId="19813D6E">
            <w:r>
              <w:t>SAT</w:t>
            </w:r>
          </w:p>
        </w:tc>
        <w:tc>
          <w:tcPr>
            <w:tcW w:type="dxa" w:w="1872"/>
          </w:tcPr>
          <w:p w14:paraId="2F5160FA">
            <w:r>
              <w:t>Refund/collection interface nil-return</w:t>
            </w:r>
          </w:p>
        </w:tc>
        <w:tc>
          <w:tcPr>
            <w:tcW w:type="dxa" w:w="1872"/>
          </w:tcPr>
          <w:p w14:paraId="47706FCE">
            <w:r/>
          </w:p>
        </w:tc>
        <w:tc>
          <w:tcPr>
            <w:tcW w:type="dxa" w:w="1872"/>
          </w:tcPr>
          <w:p w14:paraId="4C20CA78">
            <w:r/>
          </w:p>
        </w:tc>
        <w:tc>
          <w:tcPr>
            <w:tcW w:type="dxa" w:w="1872"/>
          </w:tcPr>
          <w:p w14:paraId="61407D82">
            <w:r/>
          </w:p>
        </w:tc>
      </w:tr>
    </w:tbl>
    <w:p w14:paraId="437CEAB8"/>
    <w:p w14:paraId="68C8DCDE">
      <w:pPr>
        <w:pStyle w:val="Heading2"/>
      </w:pPr>
      <w:bookmarkStart w:id="993" w:name="_Toc236229993"/>
      <w:r>
        <w:t>Annex 2-B United States Eliminated Emergency Tariff Measures</w:t>
      </w:r>
      <w:bookmarkEnd w:id="993"/>
    </w:p>
    <w:p w14:paraId="0A493C9C">
      <w:r>
        <w:rPr>
          <w:b/>
        </w:rPr>
        <w:t>CONTROLLED STATUS — OFFICIAL-SOURCE SCREEN COMPLETE AS OF SEPTEMBER 7, 2026. Each family below has been screened against the HTSUS revision record, presidential proclamations, executive orders, Federal Register notices, and CBP guidance cited in the source column. “VERIFIED — IN FORCE” confirms the measure exists and its instrument citations; certification of an elimination line still requires the Article 2.2.3 machine-readable schedule and a Form 1 certificate. The IEEPA Mexico family is EXCLUDED because its statutory authority was judicially invalidated on February 20, 2026; it is handled under the refund contingency, not elimination.</w:t>
      </w:r>
    </w:p>
    <w:p w14:paraId="7C4E6962">
      <w:pPr>
        <w:pStyle w:val="Heading3"/>
      </w:pPr>
      <w:r>
        <w:rPr>
          <w:b w:val="0"/>
        </w:rPr>
        <w:t xml:space="preserve">A2B.1 Section I — Certified Family Schedule and General Rules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14:paraId="5C4AAE5A">
            <w:r>
              <w:rPr>
                <w:b/>
              </w:rPr>
              <w:t>Family ID</w:t>
            </w:r>
          </w:p>
        </w:tc>
        <w:tc>
          <w:tcPr>
            <w:tcW w:type="dxa" w:w="1560"/>
          </w:tcPr>
          <w:p w14:paraId="647636A6">
            <w:r>
              <w:rPr>
                <w:b/>
              </w:rPr>
              <w:t>Measure family</w:t>
            </w:r>
          </w:p>
        </w:tc>
        <w:tc>
          <w:tcPr>
            <w:tcW w:type="dxa" w:w="1560"/>
          </w:tcPr>
          <w:p w14:paraId="4C4FF95E">
            <w:r>
              <w:rPr>
                <w:b/>
              </w:rPr>
              <w:t>HTSUS provisions (verified)</w:t>
            </w:r>
          </w:p>
        </w:tc>
        <w:tc>
          <w:tcPr>
            <w:tcW w:type="dxa" w:w="1560"/>
          </w:tcPr>
          <w:p w14:paraId="26C3BF32">
            <w:r>
              <w:rPr>
                <w:b/>
              </w:rPr>
              <w:t>Authority / official source</w:t>
            </w:r>
          </w:p>
        </w:tc>
        <w:tc>
          <w:tcPr>
            <w:tcW w:type="dxa" w:w="1560"/>
          </w:tcPr>
          <w:p w14:paraId="6F10F7BC">
            <w:r>
              <w:rPr>
                <w:b/>
              </w:rPr>
              <w:t>Rate / status at Sept 7, 2026</w:t>
            </w:r>
          </w:p>
        </w:tc>
        <w:tc>
          <w:tcPr>
            <w:tcW w:type="dxa" w:w="1560"/>
          </w:tcPr>
          <w:p w14:paraId="4708289C">
            <w:r>
              <w:rPr>
                <w:b/>
              </w:rPr>
              <w:t>Label</w:t>
            </w:r>
          </w:p>
        </w:tc>
      </w:tr>
      <w:tr>
        <w:tc>
          <w:tcPr>
            <w:tcW w:type="dxa" w:w="1560"/>
          </w:tcPr>
          <w:p w14:paraId="47170458">
            <w:r>
              <w:t>US-2B-AUTO-01</w:t>
            </w:r>
          </w:p>
        </w:tc>
        <w:tc>
          <w:tcPr>
            <w:tcW w:type="dxa" w:w="1560"/>
          </w:tcPr>
          <w:p w14:paraId="0101B456">
            <w:r>
              <w:t>Passenger vehicles and light trucks (all countries incl. Mexico; USMCA content-based relief available)</w:t>
            </w:r>
          </w:p>
        </w:tc>
        <w:tc>
          <w:tcPr>
            <w:tcW w:type="dxa" w:w="1560"/>
          </w:tcPr>
          <w:p w14:paraId="043955A4">
            <w:r>
              <w:t>9903.94.01–9903.94.04 (vehicles, incl. USMCA U.S.-content process under 9903.94.03)</w:t>
            </w:r>
          </w:p>
        </w:tc>
        <w:tc>
          <w:tcPr>
            <w:tcW w:type="dxa" w:w="1560"/>
          </w:tcPr>
          <w:p w14:paraId="2DAF982A">
            <w:r>
              <w:t>Proclamation 10908 (Mar. 26, 2025), 90 FR 14705; Annex I; HTSUS Ch. 99 Subch. III, U.S. Note 33</w:t>
            </w:r>
          </w:p>
        </w:tc>
        <w:tc>
          <w:tcPr>
            <w:tcW w:type="dxa" w:w="1560"/>
          </w:tcPr>
          <w:p w14:paraId="4193E4D6">
            <w:r>
              <w:t>25% ad valorem effective Apr. 3, 2025; USMCA-eligible vehicles may apply 25% to non-U.S. content only upon Commerce approval</w:t>
            </w:r>
          </w:p>
        </w:tc>
        <w:tc>
          <w:tcPr>
            <w:tcW w:type="dxa" w:w="1560"/>
          </w:tcPr>
          <w:p w14:paraId="467BE3E6">
            <w:r>
              <w:t>VERIFIED — IN FORCE</w:t>
            </w:r>
          </w:p>
        </w:tc>
      </w:tr>
      <w:tr>
        <w:tc>
          <w:tcPr>
            <w:tcW w:type="dxa" w:w="1560"/>
          </w:tcPr>
          <w:p w14:paraId="2B8737F2">
            <w:r>
              <w:t>US-2B-PARTS-01</w:t>
            </w:r>
          </w:p>
        </w:tc>
        <w:tc>
          <w:tcPr>
            <w:tcW w:type="dxa" w:w="1560"/>
          </w:tcPr>
          <w:p w14:paraId="73E6EDC2">
            <w:r>
              <w:t>Automobile parts for passenger vehicles and light trucks</w:t>
            </w:r>
          </w:p>
        </w:tc>
        <w:tc>
          <w:tcPr>
            <w:tcW w:type="dxa" w:w="1560"/>
          </w:tcPr>
          <w:p w14:paraId="6FAB214C">
            <w:r>
              <w:t>9903.94.05 (25%), 9903.94.06 (0% where USMCA-eligible or out of scope), 9903.94.07 (offset reporting)</w:t>
            </w:r>
          </w:p>
        </w:tc>
        <w:tc>
          <w:tcPr>
            <w:tcW w:type="dxa" w:w="1560"/>
          </w:tcPr>
          <w:p w14:paraId="4FDC00C0">
            <w:r>
              <w:t>Proclamation 10908, 90 FR 14705; CBP CSMS #64913145; Commerce import-adjustment offset guidance (Oct. 31, 2025; extended June 29, 2026)</w:t>
            </w:r>
          </w:p>
        </w:tc>
        <w:tc>
          <w:tcPr>
            <w:tcW w:type="dxa" w:w="1560"/>
          </w:tcPr>
          <w:p w14:paraId="3A8143E8">
            <w:r>
              <w:t>25% effective May 3, 2025; USMCA-qualifying parts at 0% pending the non-U.S.-content process; no drawback</w:t>
            </w:r>
          </w:p>
        </w:tc>
        <w:tc>
          <w:tcPr>
            <w:tcW w:type="dxa" w:w="1560"/>
          </w:tcPr>
          <w:p w14:paraId="081873D8">
            <w:r>
              <w:t>VERIFIED — IN FORCE</w:t>
            </w:r>
          </w:p>
        </w:tc>
      </w:tr>
      <w:tr>
        <w:tc>
          <w:tcPr>
            <w:tcW w:type="dxa" w:w="1560"/>
          </w:tcPr>
          <w:p w14:paraId="1B883638">
            <w:r>
              <w:t>US-2B-MHDV-01</w:t>
            </w:r>
          </w:p>
        </w:tc>
        <w:tc>
          <w:tcPr>
            <w:tcW w:type="dxa" w:w="1560"/>
          </w:tcPr>
          <w:p w14:paraId="33E98A8C">
            <w:r>
              <w:t>Medium- and heavy-duty vehicles and parts; buses</w:t>
            </w:r>
          </w:p>
        </w:tc>
        <w:tc>
          <w:tcPr>
            <w:tcW w:type="dxa" w:w="1560"/>
          </w:tcPr>
          <w:p w14:paraId="57E1FC06">
            <w:r>
              <w:t>9903.74.01–9903.74.09 (incl. MHDV parts offset lines 9903.74.08/.09)</w:t>
            </w:r>
          </w:p>
        </w:tc>
        <w:tc>
          <w:tcPr>
            <w:tcW w:type="dxa" w:w="1560"/>
          </w:tcPr>
          <w:p w14:paraId="15F57AB8">
            <w:r>
              <w:t>Proclamation 10984 (2025); CBP updated guidance June 29, 2026</w:t>
            </w:r>
          </w:p>
        </w:tc>
        <w:tc>
          <w:tcPr>
            <w:tcW w:type="dxa" w:w="1560"/>
          </w:tcPr>
          <w:p w14:paraId="03586A94">
            <w:r>
              <w:t>Section 232 duties in force; offset process available</w:t>
            </w:r>
          </w:p>
        </w:tc>
        <w:tc>
          <w:tcPr>
            <w:tcW w:type="dxa" w:w="1560"/>
          </w:tcPr>
          <w:p w14:paraId="35E144A8">
            <w:r>
              <w:t>VERIFIED — IN FORCE</w:t>
            </w:r>
          </w:p>
        </w:tc>
      </w:tr>
      <w:tr>
        <w:tc>
          <w:tcPr>
            <w:tcW w:type="dxa" w:w="1560"/>
          </w:tcPr>
          <w:p w14:paraId="13967E14">
            <w:r>
              <w:t>US-2B-STL-01</w:t>
            </w:r>
          </w:p>
        </w:tc>
        <w:tc>
          <w:tcPr>
            <w:tcW w:type="dxa" w:w="1560"/>
          </w:tcPr>
          <w:p w14:paraId="4BF2C4D8">
            <w:r>
              <w:t>Steel articles and derivative steel products</w:t>
            </w:r>
          </w:p>
        </w:tc>
        <w:tc>
          <w:tcPr>
            <w:tcW w:type="dxa" w:w="1560"/>
          </w:tcPr>
          <w:p w14:paraId="3E5F5D48">
            <w:r>
              <w:t>9903.81.87/.89/.90/.91 (all countries); 9903.81.92/.93 (melt-and-pour relief); U.S. Note 16 subdivisions</w:t>
            </w:r>
          </w:p>
        </w:tc>
        <w:tc>
          <w:tcPr>
            <w:tcW w:type="dxa" w:w="1560"/>
          </w:tcPr>
          <w:p w14:paraId="32FEA548">
            <w:r>
              <w:t>Proclamation 10896 (Feb. 10, 2025), 90 FR 9817; Proclamation of June 3, 2025 (rate to 50%); BIS inclusion notice (Aug. 2025, effective Aug. 18, 2025)</w:t>
            </w:r>
          </w:p>
        </w:tc>
        <w:tc>
          <w:tcPr>
            <w:tcW w:type="dxa" w:w="1560"/>
          </w:tcPr>
          <w:p w14:paraId="705B9FEE">
            <w:r>
              <w:t>50% ad valorem since June 4, 2025 (25% for UK); content-based reporting for Ch. 73 lines; expanded derivative list</w:t>
            </w:r>
          </w:p>
        </w:tc>
        <w:tc>
          <w:tcPr>
            <w:tcW w:type="dxa" w:w="1560"/>
          </w:tcPr>
          <w:p w14:paraId="43D508D4">
            <w:r>
              <w:t>VERIFIED — IN FORCE</w:t>
            </w:r>
          </w:p>
        </w:tc>
      </w:tr>
      <w:tr>
        <w:tc>
          <w:tcPr>
            <w:tcW w:type="dxa" w:w="1560"/>
          </w:tcPr>
          <w:p w14:paraId="6892CFFE">
            <w:r>
              <w:t>US-2B-ALU-01</w:t>
            </w:r>
          </w:p>
        </w:tc>
        <w:tc>
          <w:tcPr>
            <w:tcW w:type="dxa" w:w="1560"/>
          </w:tcPr>
          <w:p w14:paraId="3E902AEE">
            <w:r>
              <w:t>Aluminum articles and derivative aluminum products</w:t>
            </w:r>
          </w:p>
        </w:tc>
        <w:tc>
          <w:tcPr>
            <w:tcW w:type="dxa" w:w="1560"/>
          </w:tcPr>
          <w:p w14:paraId="79F88D2C">
            <w:r>
              <w:t>9903.85.02/.04/.07/.08 (all countries); 9903.85.09 (U.S. smelt-and-cast relief); U.S. Note 19 subdivisions</w:t>
            </w:r>
          </w:p>
        </w:tc>
        <w:tc>
          <w:tcPr>
            <w:tcW w:type="dxa" w:w="1560"/>
          </w:tcPr>
          <w:p w14:paraId="2F042250">
            <w:r>
              <w:t>Proclamation 10895 (Feb. 10, 2025), 90 FR 9807; Proclamation of June 3, 2025 (rate to 50%); CBP CSMS #65936615</w:t>
            </w:r>
          </w:p>
        </w:tc>
        <w:tc>
          <w:tcPr>
            <w:tcW w:type="dxa" w:w="1560"/>
          </w:tcPr>
          <w:p w14:paraId="550DD3DC">
            <w:r>
              <w:t>50% ad valorem since June 4, 2025 (25% for UK); content-based reporting for Ch. 76 lines; expanded derivative list</w:t>
            </w:r>
          </w:p>
        </w:tc>
        <w:tc>
          <w:tcPr>
            <w:tcW w:type="dxa" w:w="1560"/>
          </w:tcPr>
          <w:p w14:paraId="1E9F46B6">
            <w:r>
              <w:t>VERIFIED — IN FORCE</w:t>
            </w:r>
          </w:p>
        </w:tc>
      </w:tr>
      <w:tr>
        <w:tc>
          <w:tcPr>
            <w:tcW w:type="dxa" w:w="1560"/>
          </w:tcPr>
          <w:p w14:paraId="43D0930E">
            <w:r>
              <w:t>US-2B-MEX-01</w:t>
            </w:r>
          </w:p>
        </w:tc>
        <w:tc>
          <w:tcPr>
            <w:tcW w:type="dxa" w:w="1560"/>
          </w:tcPr>
          <w:p w14:paraId="0F576A96">
            <w:r>
              <w:t>IEEPA Mexico trafficking/immigration duties</w:t>
            </w:r>
          </w:p>
        </w:tc>
        <w:tc>
          <w:tcPr>
            <w:tcW w:type="dxa" w:w="1560"/>
          </w:tcPr>
          <w:p w14:paraId="3D0CA170">
            <w:r>
              <w:t>9903.01.01 (25%); 9903.01.02/.03 (donations/informational exclusions); 9903.01.04 (USMCA exemption); 9903.01.05 (potash 10%)</w:t>
            </w:r>
          </w:p>
        </w:tc>
        <w:tc>
          <w:tcPr>
            <w:tcW w:type="dxa" w:w="1560"/>
          </w:tcPr>
          <w:p w14:paraId="0AE939F2">
            <w:r>
              <w:t>EO 14194 (Feb. 1, 2025); Mar. 4, 2025 effectiveness; Mar. 6, 2025 USMCA exemption; INVALIDATED: Learning Resources/V.O.S. Selections (S. Ct., Feb. 20, 2026)</w:t>
            </w:r>
          </w:p>
        </w:tc>
        <w:tc>
          <w:tcPr>
            <w:tcW w:type="dxa" w:w="1560"/>
          </w:tcPr>
          <w:p w14:paraId="19AD73C8">
            <w:r>
              <w:t>Not collected since Feb. 24, 2026; refunds via CBP/CIT</w:t>
            </w:r>
          </w:p>
        </w:tc>
        <w:tc>
          <w:tcPr>
            <w:tcW w:type="dxa" w:w="1560"/>
          </w:tcPr>
          <w:p w14:paraId="42BC6C7E">
            <w:r>
              <w:t>EXCLUDED — AUTHORITY JUDICIALLY INVALIDATED</w:t>
            </w:r>
          </w:p>
        </w:tc>
      </w:tr>
      <w:tr>
        <w:tc>
          <w:tcPr>
            <w:tcW w:type="dxa" w:w="1560"/>
          </w:tcPr>
          <w:p w14:paraId="3B57178C">
            <w:r>
              <w:t>US-2B-REL-01</w:t>
            </w:r>
          </w:p>
        </w:tc>
        <w:tc>
          <w:tcPr>
            <w:tcW w:type="dxa" w:w="1560"/>
          </w:tcPr>
          <w:p w14:paraId="0187BBE0">
            <w:r>
              <w:t>IEEPA reciprocal tariff family (all countries)</w:t>
            </w:r>
          </w:p>
        </w:tc>
        <w:tc>
          <w:tcPr>
            <w:tcW w:type="dxa" w:w="1560"/>
          </w:tcPr>
          <w:p w14:paraId="1FBD0398">
            <w:r>
              <w:t>9903.01.25 and related 9903.01/.02 series</w:t>
            </w:r>
          </w:p>
        </w:tc>
        <w:tc>
          <w:tcPr>
            <w:tcW w:type="dxa" w:w="1560"/>
          </w:tcPr>
          <w:p w14:paraId="043B20E2">
            <w:r>
              <w:t>EO 14257 (Apr. 2, 2025) and amendments; INVALIDATED: same S. Ct. decision</w:t>
            </w:r>
          </w:p>
        </w:tc>
        <w:tc>
          <w:tcPr>
            <w:tcW w:type="dxa" w:w="1560"/>
          </w:tcPr>
          <w:p w14:paraId="2D89EBE0">
            <w:r>
              <w:t>Not collected since Feb. 24, 2026</w:t>
            </w:r>
          </w:p>
        </w:tc>
        <w:tc>
          <w:tcPr>
            <w:tcW w:type="dxa" w:w="1560"/>
          </w:tcPr>
          <w:p w14:paraId="7C7D36E2">
            <w:r>
              <w:t>EXCLUDED — AUTHORITY JUDICIALLY INVALIDATED</w:t>
            </w:r>
          </w:p>
        </w:tc>
      </w:tr>
    </w:tbl>
    <w:p>
      <w:pPr>
        <w:pStyle w:val="Heading3"/>
      </w:pPr>
      <w:r>
        <w:rPr>
          <w:b w:val="0"/>
        </w:rPr>
        <w:t xml:space="preserve">A2B.2 Section II — Line-Level Schedule of Eliminated United States Measures</w:t>
      </w:r>
    </w:p>
    <w:p>
      <w:r>
        <w:rPr>
          <w:b w:val="0"/>
        </w:rPr>
        <w:t xml:space="preserve">Column convention: entries US-2B-001 to US-2B-007 are the seven family rows of Section I (retained unchanged). All steel and aluminum rows rest on Proclamation 10896 or 10895 as amended June 3, 2025 (50 percent ad valorem since June 4, 2025; the 25 percent United Kingdom carve-out does not apply to Mexico-origin goods). All automobile rows rest on Proclamation 10908, effective April 3, 2025; all parts, engine, tractor, and goods-vehicle rows rest on Proclamation 10908, effective May 3, 2025. IEEPA rows carry status EXC-RI. Where a measure is recorded at the six-digit level, the eight- and ten-digit statistical-suffix detail attaches to the Article 2.2.3 machine-readable schedule, which controls for customs administration.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 xml:space="preserve">Item ID</w:t>
            </w:r>
          </w:p>
        </w:tc>
        <w:tc>
          <w:tcPr>
            <w:tcW w:type="dxa" w:w="1560"/>
          </w:tcPr>
          <w:p>
            <w:r>
              <w:rPr>
                <w:b/>
              </w:rPr>
              <w:t xml:space="preserve">HTSUS</w:t>
            </w:r>
          </w:p>
        </w:tc>
        <w:tc>
          <w:tcPr>
            <w:tcW w:type="dxa" w:w="1560"/>
          </w:tcPr>
          <w:p>
            <w:r>
              <w:rPr>
                <w:b/>
              </w:rPr>
              <w:t xml:space="preserve">Description</w:t>
            </w:r>
          </w:p>
        </w:tc>
        <w:tc>
          <w:tcPr>
            <w:tcW w:type="dxa" w:w="1560"/>
          </w:tcPr>
          <w:p>
            <w:r>
              <w:rPr>
                <w:b/>
              </w:rPr>
              <w:t xml:space="preserve">Instrument</w:t>
            </w:r>
          </w:p>
        </w:tc>
        <w:tc>
          <w:tcPr>
            <w:tcW w:type="dxa" w:w="1560"/>
          </w:tcPr>
          <w:p>
            <w:r>
              <w:rPr>
                <w:b/>
              </w:rPr>
              <w:t xml:space="preserve">Rate / effective</w:t>
            </w:r>
          </w:p>
        </w:tc>
        <w:tc>
          <w:tcPr>
            <w:tcW w:type="dxa" w:w="1560"/>
          </w:tcPr>
          <w:p>
            <w:r>
              <w:rPr>
                <w:b/>
              </w:rPr>
              <w:t xml:space="preserve">Status</w:t>
            </w:r>
          </w:p>
        </w:tc>
      </w:tr>
      <w:tr>
        <w:tc>
          <w:tcPr>
            <w:tcW w:type="dxa" w:w="1560"/>
          </w:tcPr>
          <w:p>
            <w:r>
              <w:t xml:space="preserve">US-2B-008</w:t>
            </w:r>
          </w:p>
        </w:tc>
        <w:tc>
          <w:tcPr>
            <w:tcW w:type="dxa" w:w="1560"/>
          </w:tcPr>
          <w:p>
            <w:r>
              <w:t xml:space="preserve">7201</w:t>
            </w:r>
          </w:p>
        </w:tc>
        <w:tc>
          <w:tcPr>
            <w:tcW w:type="dxa" w:w="1560"/>
          </w:tcPr>
          <w:p>
            <w:r>
              <w:t xml:space="preserve">Pig iron and spiegeleisen, primary forms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US-2B-009</w:t>
            </w:r>
          </w:p>
        </w:tc>
        <w:tc>
          <w:tcPr>
            <w:tcW w:type="dxa" w:w="1560"/>
          </w:tcPr>
          <w:p>
            <w:r>
              <w:t xml:space="preserve">7202</w:t>
            </w:r>
          </w:p>
        </w:tc>
        <w:tc>
          <w:tcPr>
            <w:tcW w:type="dxa" w:w="1560"/>
          </w:tcPr>
          <w:p>
            <w:r>
              <w:t xml:space="preserve">Ferro-alloys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US-2B-010</w:t>
            </w:r>
          </w:p>
        </w:tc>
        <w:tc>
          <w:tcPr>
            <w:tcW w:type="dxa" w:w="1560"/>
          </w:tcPr>
          <w:p>
            <w:r>
              <w:t xml:space="preserve">7203</w:t>
            </w:r>
          </w:p>
        </w:tc>
        <w:tc>
          <w:tcPr>
            <w:tcW w:type="dxa" w:w="1560"/>
          </w:tcPr>
          <w:p>
            <w:r>
              <w:t xml:space="preserve">Direct-reduced iron</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US-2B-011</w:t>
            </w:r>
          </w:p>
        </w:tc>
        <w:tc>
          <w:tcPr>
            <w:tcW w:type="dxa" w:w="1560"/>
          </w:tcPr>
          <w:p>
            <w:r>
              <w:t xml:space="preserve">7204</w:t>
            </w:r>
          </w:p>
        </w:tc>
        <w:tc>
          <w:tcPr>
            <w:tcW w:type="dxa" w:w="1560"/>
          </w:tcPr>
          <w:p>
            <w:r>
              <w:t xml:space="preserve">Ferrous waste and scrap</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US-2B-012</w:t>
            </w:r>
          </w:p>
        </w:tc>
        <w:tc>
          <w:tcPr>
            <w:tcW w:type="dxa" w:w="1560"/>
          </w:tcPr>
          <w:p>
            <w:r>
              <w:t xml:space="preserve">7205</w:t>
            </w:r>
          </w:p>
        </w:tc>
        <w:tc>
          <w:tcPr>
            <w:tcW w:type="dxa" w:w="1560"/>
          </w:tcPr>
          <w:p>
            <w:r>
              <w:t xml:space="preserve">Granules and powders, iron or steel</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US-2B-013</w:t>
            </w:r>
          </w:p>
        </w:tc>
        <w:tc>
          <w:tcPr>
            <w:tcW w:type="dxa" w:w="1560"/>
          </w:tcPr>
          <w:p>
            <w:r>
              <w:t xml:space="preserve">7206</w:t>
            </w:r>
          </w:p>
        </w:tc>
        <w:tc>
          <w:tcPr>
            <w:tcW w:type="dxa" w:w="1560"/>
          </w:tcPr>
          <w:p>
            <w:r>
              <w:t xml:space="preserve">Iron and non-alloy steel, ingots and primary forms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US-2B-014</w:t>
            </w:r>
          </w:p>
        </w:tc>
        <w:tc>
          <w:tcPr>
            <w:tcW w:type="dxa" w:w="1560"/>
          </w:tcPr>
          <w:p>
            <w:r>
              <w:t xml:space="preserve">7207</w:t>
            </w:r>
          </w:p>
        </w:tc>
        <w:tc>
          <w:tcPr>
            <w:tcW w:type="dxa" w:w="1560"/>
          </w:tcPr>
          <w:p>
            <w:r>
              <w:t xml:space="preserve">Semi-finished products, iron or non-alloy steel</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US-2B-015</w:t>
            </w:r>
          </w:p>
        </w:tc>
        <w:tc>
          <w:tcPr>
            <w:tcW w:type="dxa" w:w="1560"/>
          </w:tcPr>
          <w:p>
            <w:r>
              <w:t xml:space="preserve">7208.10</w:t>
            </w:r>
          </w:p>
        </w:tc>
        <w:tc>
          <w:tcPr>
            <w:tcW w:type="dxa" w:w="1560"/>
          </w:tcPr>
          <w:p>
            <w:r>
              <w:t xml:space="preserve">Flat-rolled, hot-rolled, in coils, pickled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US-2B-016</w:t>
            </w:r>
          </w:p>
        </w:tc>
        <w:tc>
          <w:tcPr>
            <w:tcW w:type="dxa" w:w="1560"/>
          </w:tcPr>
          <w:p>
            <w:r>
              <w:t xml:space="preserve">7208.25</w:t>
            </w:r>
          </w:p>
        </w:tc>
        <w:tc>
          <w:tcPr>
            <w:tcW w:type="dxa" w:w="1560"/>
          </w:tcPr>
          <w:p>
            <w:r>
              <w:t xml:space="preserve">Flat-rolled, hot-rolled, coils &gt;=4.75mm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US-2B-017</w:t>
            </w:r>
          </w:p>
        </w:tc>
        <w:tc>
          <w:tcPr>
            <w:tcW w:type="dxa" w:w="1560"/>
          </w:tcPr>
          <w:p>
            <w:r>
              <w:t xml:space="preserve">7208.26</w:t>
            </w:r>
          </w:p>
        </w:tc>
        <w:tc>
          <w:tcPr>
            <w:tcW w:type="dxa" w:w="1560"/>
          </w:tcPr>
          <w:p>
            <w:r>
              <w:t xml:space="preserve">Flat-rolled, hot-rolled, coils 3-4.75mm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US-2B-018</w:t>
            </w:r>
          </w:p>
        </w:tc>
        <w:tc>
          <w:tcPr>
            <w:tcW w:type="dxa" w:w="1560"/>
          </w:tcPr>
          <w:p>
            <w:r>
              <w:t xml:space="preserve">7208.27</w:t>
            </w:r>
          </w:p>
        </w:tc>
        <w:tc>
          <w:tcPr>
            <w:tcW w:type="dxa" w:w="1560"/>
          </w:tcPr>
          <w:p>
            <w:r>
              <w:t xml:space="preserve">Flat-rolled, hot-rolled, coils &lt;3mm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US-2B-019</w:t>
            </w:r>
          </w:p>
        </w:tc>
        <w:tc>
          <w:tcPr>
            <w:tcW w:type="dxa" w:w="1560"/>
          </w:tcPr>
          <w:p>
            <w:r>
              <w:t xml:space="preserve">7208.36</w:t>
            </w:r>
          </w:p>
        </w:tc>
        <w:tc>
          <w:tcPr>
            <w:tcW w:type="dxa" w:w="1560"/>
          </w:tcPr>
          <w:p>
            <w:r>
              <w:t xml:space="preserve">Flat-rolled, hot-rolled, not in coils, &gt;=4.75mm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US-2B-020</w:t>
            </w:r>
          </w:p>
        </w:tc>
        <w:tc>
          <w:tcPr>
            <w:tcW w:type="dxa" w:w="1560"/>
          </w:tcPr>
          <w:p>
            <w:r>
              <w:t xml:space="preserve">7208.37</w:t>
            </w:r>
          </w:p>
        </w:tc>
        <w:tc>
          <w:tcPr>
            <w:tcW w:type="dxa" w:w="1560"/>
          </w:tcPr>
          <w:p>
            <w:r>
              <w:t xml:space="preserve">Flat-rolled, hot-rolled, not in coils, 3-4.75mm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US-2B-021</w:t>
            </w:r>
          </w:p>
        </w:tc>
        <w:tc>
          <w:tcPr>
            <w:tcW w:type="dxa" w:w="1560"/>
          </w:tcPr>
          <w:p>
            <w:r>
              <w:t xml:space="preserve">7208.38</w:t>
            </w:r>
          </w:p>
        </w:tc>
        <w:tc>
          <w:tcPr>
            <w:tcW w:type="dxa" w:w="1560"/>
          </w:tcPr>
          <w:p>
            <w:r>
              <w:t xml:space="preserve">Flat-rolled, hot-rolled, not in coils, &lt;3mm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US-2B-022</w:t>
            </w:r>
          </w:p>
        </w:tc>
        <w:tc>
          <w:tcPr>
            <w:tcW w:type="dxa" w:w="1560"/>
          </w:tcPr>
          <w:p>
            <w:r>
              <w:t xml:space="preserve">7208.39</w:t>
            </w:r>
          </w:p>
        </w:tc>
        <w:tc>
          <w:tcPr>
            <w:tcW w:type="dxa" w:w="1560"/>
          </w:tcPr>
          <w:p>
            <w:r>
              <w:t xml:space="preserve">Flat-rolled, hot-rolled, &lt;3mm, patterns in relief</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US-2B-023</w:t>
            </w:r>
          </w:p>
        </w:tc>
        <w:tc>
          <w:tcPr>
            <w:tcW w:type="dxa" w:w="1560"/>
          </w:tcPr>
          <w:p>
            <w:r>
              <w:t xml:space="preserve">7208.40</w:t>
            </w:r>
          </w:p>
        </w:tc>
        <w:tc>
          <w:tcPr>
            <w:tcW w:type="dxa" w:w="1560"/>
          </w:tcPr>
          <w:p>
            <w:r>
              <w:t xml:space="preserve">Flat-rolled, hot-rolled, patterns in relief</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US-2B-024</w:t>
            </w:r>
          </w:p>
        </w:tc>
        <w:tc>
          <w:tcPr>
            <w:tcW w:type="dxa" w:w="1560"/>
          </w:tcPr>
          <w:p>
            <w:r>
              <w:t xml:space="preserve">7208.51</w:t>
            </w:r>
          </w:p>
        </w:tc>
        <w:tc>
          <w:tcPr>
            <w:tcW w:type="dxa" w:w="1560"/>
          </w:tcPr>
          <w:p>
            <w:r>
              <w:t xml:space="preserve">Flat-rolled, hot-rolled, coils &gt;=4.75mm, pickled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US-2B-025</w:t>
            </w:r>
          </w:p>
        </w:tc>
        <w:tc>
          <w:tcPr>
            <w:tcW w:type="dxa" w:w="1560"/>
          </w:tcPr>
          <w:p>
            <w:r>
              <w:t xml:space="preserve">7208.52</w:t>
            </w:r>
          </w:p>
        </w:tc>
        <w:tc>
          <w:tcPr>
            <w:tcW w:type="dxa" w:w="1560"/>
          </w:tcPr>
          <w:p>
            <w:r>
              <w:t xml:space="preserve">Flat-rolled, hot-rolled, coils 3-4.75mm, pickled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US-2B-026</w:t>
            </w:r>
          </w:p>
        </w:tc>
        <w:tc>
          <w:tcPr>
            <w:tcW w:type="dxa" w:w="1560"/>
          </w:tcPr>
          <w:p>
            <w:r>
              <w:t xml:space="preserve">7208.53</w:t>
            </w:r>
          </w:p>
        </w:tc>
        <w:tc>
          <w:tcPr>
            <w:tcW w:type="dxa" w:w="1560"/>
          </w:tcPr>
          <w:p>
            <w:r>
              <w:t xml:space="preserve">Flat-rolled, hot-rolled, coils &lt;3mm, pickled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US-2B-027</w:t>
            </w:r>
          </w:p>
        </w:tc>
        <w:tc>
          <w:tcPr>
            <w:tcW w:type="dxa" w:w="1560"/>
          </w:tcPr>
          <w:p>
            <w:r>
              <w:t xml:space="preserve">7208.54</w:t>
            </w:r>
          </w:p>
        </w:tc>
        <w:tc>
          <w:tcPr>
            <w:tcW w:type="dxa" w:w="1560"/>
          </w:tcPr>
          <w:p>
            <w:r>
              <w:t xml:space="preserve">Flat-rolled, hot-rolled, &lt;3mm, pickled, patterns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US-2B-028</w:t>
            </w:r>
          </w:p>
        </w:tc>
        <w:tc>
          <w:tcPr>
            <w:tcW w:type="dxa" w:w="1560"/>
          </w:tcPr>
          <w:p>
            <w:r>
              <w:t xml:space="preserve">7208.90</w:t>
            </w:r>
          </w:p>
        </w:tc>
        <w:tc>
          <w:tcPr>
            <w:tcW w:type="dxa" w:w="1560"/>
          </w:tcPr>
          <w:p>
            <w:r>
              <w:t xml:space="preserve">Flat-rolled, hot-rolled,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US-2B-029</w:t>
            </w:r>
          </w:p>
        </w:tc>
        <w:tc>
          <w:tcPr>
            <w:tcW w:type="dxa" w:w="1560"/>
          </w:tcPr>
          <w:p>
            <w:r>
              <w:t xml:space="preserve">7209.15</w:t>
            </w:r>
          </w:p>
        </w:tc>
        <w:tc>
          <w:tcPr>
            <w:tcW w:type="dxa" w:w="1560"/>
          </w:tcPr>
          <w:p>
            <w:r>
              <w:t xml:space="preserve">Flat-rolled, cold-rolled, coils &gt;=3mm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US-2B-030</w:t>
            </w:r>
          </w:p>
        </w:tc>
        <w:tc>
          <w:tcPr>
            <w:tcW w:type="dxa" w:w="1560"/>
          </w:tcPr>
          <w:p>
            <w:r>
              <w:t xml:space="preserve">7209.16</w:t>
            </w:r>
          </w:p>
        </w:tc>
        <w:tc>
          <w:tcPr>
            <w:tcW w:type="dxa" w:w="1560"/>
          </w:tcPr>
          <w:p>
            <w:r>
              <w:t xml:space="preserve">Flat-rolled, cold-rolled, coils 1-3mm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US-2B-031</w:t>
            </w:r>
          </w:p>
        </w:tc>
        <w:tc>
          <w:tcPr>
            <w:tcW w:type="dxa" w:w="1560"/>
          </w:tcPr>
          <w:p>
            <w:r>
              <w:t xml:space="preserve">7209.18</w:t>
            </w:r>
          </w:p>
        </w:tc>
        <w:tc>
          <w:tcPr>
            <w:tcW w:type="dxa" w:w="1560"/>
          </w:tcPr>
          <w:p>
            <w:r>
              <w:t xml:space="preserve">Flat-rolled, cold-rolled, coils &lt;1mm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US-2B-032</w:t>
            </w:r>
          </w:p>
        </w:tc>
        <w:tc>
          <w:tcPr>
            <w:tcW w:type="dxa" w:w="1560"/>
          </w:tcPr>
          <w:p>
            <w:r>
              <w:t xml:space="preserve">7209.25</w:t>
            </w:r>
          </w:p>
        </w:tc>
        <w:tc>
          <w:tcPr>
            <w:tcW w:type="dxa" w:w="1560"/>
          </w:tcPr>
          <w:p>
            <w:r>
              <w:t xml:space="preserve">Flat-rolled, cold-rolled, not in coils, &gt;=3mm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US-2B-033</w:t>
            </w:r>
          </w:p>
        </w:tc>
        <w:tc>
          <w:tcPr>
            <w:tcW w:type="dxa" w:w="1560"/>
          </w:tcPr>
          <w:p>
            <w:r>
              <w:t xml:space="preserve">7209.26</w:t>
            </w:r>
          </w:p>
        </w:tc>
        <w:tc>
          <w:tcPr>
            <w:tcW w:type="dxa" w:w="1560"/>
          </w:tcPr>
          <w:p>
            <w:r>
              <w:t xml:space="preserve">Flat-rolled, cold-rolled, not in coils, 1-3mm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US-2B-034</w:t>
            </w:r>
          </w:p>
        </w:tc>
        <w:tc>
          <w:tcPr>
            <w:tcW w:type="dxa" w:w="1560"/>
          </w:tcPr>
          <w:p>
            <w:r>
              <w:t xml:space="preserve">7209.90</w:t>
            </w:r>
          </w:p>
        </w:tc>
        <w:tc>
          <w:tcPr>
            <w:tcW w:type="dxa" w:w="1560"/>
          </w:tcPr>
          <w:p>
            <w:r>
              <w:t xml:space="preserve">Flat-rolled, cold-rolled,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US-2B-035</w:t>
            </w:r>
          </w:p>
        </w:tc>
        <w:tc>
          <w:tcPr>
            <w:tcW w:type="dxa" w:w="1560"/>
          </w:tcPr>
          <w:p>
            <w:r>
              <w:t xml:space="preserve">7210.11</w:t>
            </w:r>
          </w:p>
        </w:tc>
        <w:tc>
          <w:tcPr>
            <w:tcW w:type="dxa" w:w="1560"/>
          </w:tcPr>
          <w:p>
            <w:r>
              <w:t xml:space="preserve">Flat-rolled, electrolytically zinc-coated,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US-2B-036</w:t>
            </w:r>
          </w:p>
        </w:tc>
        <w:tc>
          <w:tcPr>
            <w:tcW w:type="dxa" w:w="1560"/>
          </w:tcPr>
          <w:p>
            <w:r>
              <w:t xml:space="preserve">7210.12</w:t>
            </w:r>
          </w:p>
        </w:tc>
        <w:tc>
          <w:tcPr>
            <w:tcW w:type="dxa" w:w="1560"/>
          </w:tcPr>
          <w:p>
            <w:r>
              <w:t xml:space="preserve">Flat-rolled, zinc-coated,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US-2B-037</w:t>
            </w:r>
          </w:p>
        </w:tc>
        <w:tc>
          <w:tcPr>
            <w:tcW w:type="dxa" w:w="1560"/>
          </w:tcPr>
          <w:p>
            <w:r>
              <w:t xml:space="preserve">7210.20</w:t>
            </w:r>
          </w:p>
        </w:tc>
        <w:tc>
          <w:tcPr>
            <w:tcW w:type="dxa" w:w="1560"/>
          </w:tcPr>
          <w:p>
            <w:r>
              <w:t xml:space="preserve">Flat-rolled, zinc-coated products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US-2B-038</w:t>
            </w:r>
          </w:p>
        </w:tc>
        <w:tc>
          <w:tcPr>
            <w:tcW w:type="dxa" w:w="1560"/>
          </w:tcPr>
          <w:p>
            <w:r>
              <w:t xml:space="preserve">7210.30</w:t>
            </w:r>
          </w:p>
        </w:tc>
        <w:tc>
          <w:tcPr>
            <w:tcW w:type="dxa" w:w="1560"/>
          </w:tcPr>
          <w:p>
            <w:r>
              <w:t xml:space="preserve">Flat-rolled, lead-coated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US-2B-039</w:t>
            </w:r>
          </w:p>
        </w:tc>
        <w:tc>
          <w:tcPr>
            <w:tcW w:type="dxa" w:w="1560"/>
          </w:tcPr>
          <w:p>
            <w:r>
              <w:t xml:space="preserve">7210.41</w:t>
            </w:r>
          </w:p>
        </w:tc>
        <w:tc>
          <w:tcPr>
            <w:tcW w:type="dxa" w:w="1560"/>
          </w:tcPr>
          <w:p>
            <w:r>
              <w:t xml:space="preserve">Flat-rolled, corrugated, zinc-coated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US-2B-040</w:t>
            </w:r>
          </w:p>
        </w:tc>
        <w:tc>
          <w:tcPr>
            <w:tcW w:type="dxa" w:w="1560"/>
          </w:tcPr>
          <w:p>
            <w:r>
              <w:t xml:space="preserve">7210.49</w:t>
            </w:r>
          </w:p>
        </w:tc>
        <w:tc>
          <w:tcPr>
            <w:tcW w:type="dxa" w:w="1560"/>
          </w:tcPr>
          <w:p>
            <w:r>
              <w:t xml:space="preserve">Flat-rolled, zinc-coated,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US-2B-041</w:t>
            </w:r>
          </w:p>
        </w:tc>
        <w:tc>
          <w:tcPr>
            <w:tcW w:type="dxa" w:w="1560"/>
          </w:tcPr>
          <w:p>
            <w:r>
              <w:t xml:space="preserve">7210.50</w:t>
            </w:r>
          </w:p>
        </w:tc>
        <w:tc>
          <w:tcPr>
            <w:tcW w:type="dxa" w:w="1560"/>
          </w:tcPr>
          <w:p>
            <w:r>
              <w:t xml:space="preserve">Flat-rolled, chromium-coated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US-2B-042</w:t>
            </w:r>
          </w:p>
        </w:tc>
        <w:tc>
          <w:tcPr>
            <w:tcW w:type="dxa" w:w="1560"/>
          </w:tcPr>
          <w:p>
            <w:r>
              <w:t xml:space="preserve">7210.61</w:t>
            </w:r>
          </w:p>
        </w:tc>
        <w:tc>
          <w:tcPr>
            <w:tcW w:type="dxa" w:w="1560"/>
          </w:tcPr>
          <w:p>
            <w:r>
              <w:t xml:space="preserve">Flat-rolled, aluminum-zinc coated,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US-2B-043</w:t>
            </w:r>
          </w:p>
        </w:tc>
        <w:tc>
          <w:tcPr>
            <w:tcW w:type="dxa" w:w="1560"/>
          </w:tcPr>
          <w:p>
            <w:r>
              <w:t xml:space="preserve">7210.69</w:t>
            </w:r>
          </w:p>
        </w:tc>
        <w:tc>
          <w:tcPr>
            <w:tcW w:type="dxa" w:w="1560"/>
          </w:tcPr>
          <w:p>
            <w:r>
              <w:t xml:space="preserve">Flat-rolled, aluminum-zinc coated,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US-2B-044</w:t>
            </w:r>
          </w:p>
        </w:tc>
        <w:tc>
          <w:tcPr>
            <w:tcW w:type="dxa" w:w="1560"/>
          </w:tcPr>
          <w:p>
            <w:r>
              <w:t xml:space="preserve">7210.70</w:t>
            </w:r>
          </w:p>
        </w:tc>
        <w:tc>
          <w:tcPr>
            <w:tcW w:type="dxa" w:w="1560"/>
          </w:tcPr>
          <w:p>
            <w:r>
              <w:t xml:space="preserve">Flat-rolled, painted or varnished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US-2B-045</w:t>
            </w:r>
          </w:p>
        </w:tc>
        <w:tc>
          <w:tcPr>
            <w:tcW w:type="dxa" w:w="1560"/>
          </w:tcPr>
          <w:p>
            <w:r>
              <w:t xml:space="preserve">7210.90</w:t>
            </w:r>
          </w:p>
        </w:tc>
        <w:tc>
          <w:tcPr>
            <w:tcW w:type="dxa" w:w="1560"/>
          </w:tcPr>
          <w:p>
            <w:r>
              <w:t xml:space="preserve">Flat-rolled, clad, plated or coated,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US-2B-046</w:t>
            </w:r>
          </w:p>
        </w:tc>
        <w:tc>
          <w:tcPr>
            <w:tcW w:type="dxa" w:w="1560"/>
          </w:tcPr>
          <w:p>
            <w:r>
              <w:t xml:space="preserve">7211.13</w:t>
            </w:r>
          </w:p>
        </w:tc>
        <w:tc>
          <w:tcPr>
            <w:tcW w:type="dxa" w:w="1560"/>
          </w:tcPr>
          <w:p>
            <w:r>
              <w:t xml:space="preserve">Flat-rolled &lt;600mm, rolled on four faces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US-2B-047</w:t>
            </w:r>
          </w:p>
        </w:tc>
        <w:tc>
          <w:tcPr>
            <w:tcW w:type="dxa" w:w="1560"/>
          </w:tcPr>
          <w:p>
            <w:r>
              <w:t xml:space="preserve">7211.14</w:t>
            </w:r>
          </w:p>
        </w:tc>
        <w:tc>
          <w:tcPr>
            <w:tcW w:type="dxa" w:w="1560"/>
          </w:tcPr>
          <w:p>
            <w:r>
              <w:t xml:space="preserve">Flat-rolled &lt;600mm, rolled on four faces,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US-2B-048</w:t>
            </w:r>
          </w:p>
        </w:tc>
        <w:tc>
          <w:tcPr>
            <w:tcW w:type="dxa" w:w="1560"/>
          </w:tcPr>
          <w:p>
            <w:r>
              <w:t xml:space="preserve">7211.19</w:t>
            </w:r>
          </w:p>
        </w:tc>
        <w:tc>
          <w:tcPr>
            <w:tcW w:type="dxa" w:w="1560"/>
          </w:tcPr>
          <w:p>
            <w:r>
              <w:t xml:space="preserve">Flat-rolled &lt;600mm, hot-rolled,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US-2B-049</w:t>
            </w:r>
          </w:p>
        </w:tc>
        <w:tc>
          <w:tcPr>
            <w:tcW w:type="dxa" w:w="1560"/>
          </w:tcPr>
          <w:p>
            <w:r>
              <w:t xml:space="preserve">7211.23</w:t>
            </w:r>
          </w:p>
        </w:tc>
        <w:tc>
          <w:tcPr>
            <w:tcW w:type="dxa" w:w="1560"/>
          </w:tcPr>
          <w:p>
            <w:r>
              <w:t xml:space="preserve">Flat-rolled &lt;600mm, cold-rolled, &gt;=0.35mm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US-2B-050</w:t>
            </w:r>
          </w:p>
        </w:tc>
        <w:tc>
          <w:tcPr>
            <w:tcW w:type="dxa" w:w="1560"/>
          </w:tcPr>
          <w:p>
            <w:r>
              <w:t xml:space="preserve">7211.29</w:t>
            </w:r>
          </w:p>
        </w:tc>
        <w:tc>
          <w:tcPr>
            <w:tcW w:type="dxa" w:w="1560"/>
          </w:tcPr>
          <w:p>
            <w:r>
              <w:t xml:space="preserve">Flat-rolled &lt;600mm, cold-rolled,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US-2B-051</w:t>
            </w:r>
          </w:p>
        </w:tc>
        <w:tc>
          <w:tcPr>
            <w:tcW w:type="dxa" w:w="1560"/>
          </w:tcPr>
          <w:p>
            <w:r>
              <w:t xml:space="preserve">7211.90</w:t>
            </w:r>
          </w:p>
        </w:tc>
        <w:tc>
          <w:tcPr>
            <w:tcW w:type="dxa" w:w="1560"/>
          </w:tcPr>
          <w:p>
            <w:r>
              <w:t xml:space="preserve">Flat-rolled &lt;600mm,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US-2B-052</w:t>
            </w:r>
          </w:p>
        </w:tc>
        <w:tc>
          <w:tcPr>
            <w:tcW w:type="dxa" w:w="1560"/>
          </w:tcPr>
          <w:p>
            <w:r>
              <w:t xml:space="preserve">7212.10</w:t>
            </w:r>
          </w:p>
        </w:tc>
        <w:tc>
          <w:tcPr>
            <w:tcW w:type="dxa" w:w="1560"/>
          </w:tcPr>
          <w:p>
            <w:r>
              <w:t xml:space="preserve">Flat-rolled &lt;600mm, zinc-coated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US-2B-053</w:t>
            </w:r>
          </w:p>
        </w:tc>
        <w:tc>
          <w:tcPr>
            <w:tcW w:type="dxa" w:w="1560"/>
          </w:tcPr>
          <w:p>
            <w:r>
              <w:t xml:space="preserve">7213.10</w:t>
            </w:r>
          </w:p>
        </w:tc>
        <w:tc>
          <w:tcPr>
            <w:tcW w:type="dxa" w:w="1560"/>
          </w:tcPr>
          <w:p>
            <w:r>
              <w:t xml:space="preserve">Concrete reinforcing bars, in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US-2B-054</w:t>
            </w:r>
          </w:p>
        </w:tc>
        <w:tc>
          <w:tcPr>
            <w:tcW w:type="dxa" w:w="1560"/>
          </w:tcPr>
          <w:p>
            <w:r>
              <w:t xml:space="preserve">7213.20</w:t>
            </w:r>
          </w:p>
        </w:tc>
        <w:tc>
          <w:tcPr>
            <w:tcW w:type="dxa" w:w="1560"/>
          </w:tcPr>
          <w:p>
            <w:r>
              <w:t xml:space="preserve">Free-cutting steel bars and rods, in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US-2B-055</w:t>
            </w:r>
          </w:p>
        </w:tc>
        <w:tc>
          <w:tcPr>
            <w:tcW w:type="dxa" w:w="1560"/>
          </w:tcPr>
          <w:p>
            <w:r>
              <w:t xml:space="preserve">7213.91</w:t>
            </w:r>
          </w:p>
        </w:tc>
        <w:tc>
          <w:tcPr>
            <w:tcW w:type="dxa" w:w="1560"/>
          </w:tcPr>
          <w:p>
            <w:r>
              <w:t xml:space="preserve">Bars and rods, rounds, in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US-2B-056</w:t>
            </w:r>
          </w:p>
        </w:tc>
        <w:tc>
          <w:tcPr>
            <w:tcW w:type="dxa" w:w="1560"/>
          </w:tcPr>
          <w:p>
            <w:r>
              <w:t xml:space="preserve">7213.99</w:t>
            </w:r>
          </w:p>
        </w:tc>
        <w:tc>
          <w:tcPr>
            <w:tcW w:type="dxa" w:w="1560"/>
          </w:tcPr>
          <w:p>
            <w:r>
              <w:t xml:space="preserve">Bars and rods, in coils,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US-2B-057</w:t>
            </w:r>
          </w:p>
        </w:tc>
        <w:tc>
          <w:tcPr>
            <w:tcW w:type="dxa" w:w="1560"/>
          </w:tcPr>
          <w:p>
            <w:r>
              <w:t xml:space="preserve">7214.10</w:t>
            </w:r>
          </w:p>
        </w:tc>
        <w:tc>
          <w:tcPr>
            <w:tcW w:type="dxa" w:w="1560"/>
          </w:tcPr>
          <w:p>
            <w:r>
              <w:t xml:space="preserve">Bars and rods, forged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US-2B-058</w:t>
            </w:r>
          </w:p>
        </w:tc>
        <w:tc>
          <w:tcPr>
            <w:tcW w:type="dxa" w:w="1560"/>
          </w:tcPr>
          <w:p>
            <w:r>
              <w:t xml:space="preserve">7214.20</w:t>
            </w:r>
          </w:p>
        </w:tc>
        <w:tc>
          <w:tcPr>
            <w:tcW w:type="dxa" w:w="1560"/>
          </w:tcPr>
          <w:p>
            <w:r>
              <w:t xml:space="preserve">Bars and rods, hot-rolled, free-cutting</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US-2B-059</w:t>
            </w:r>
          </w:p>
        </w:tc>
        <w:tc>
          <w:tcPr>
            <w:tcW w:type="dxa" w:w="1560"/>
          </w:tcPr>
          <w:p>
            <w:r>
              <w:t xml:space="preserve">7214.30</w:t>
            </w:r>
          </w:p>
        </w:tc>
        <w:tc>
          <w:tcPr>
            <w:tcW w:type="dxa" w:w="1560"/>
          </w:tcPr>
          <w:p>
            <w:r>
              <w:t xml:space="preserve">Bars and rods, hot-rolled, for forging</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US-2B-060</w:t>
            </w:r>
          </w:p>
        </w:tc>
        <w:tc>
          <w:tcPr>
            <w:tcW w:type="dxa" w:w="1560"/>
          </w:tcPr>
          <w:p>
            <w:r>
              <w:t xml:space="preserve">7214.91</w:t>
            </w:r>
          </w:p>
        </w:tc>
        <w:tc>
          <w:tcPr>
            <w:tcW w:type="dxa" w:w="1560"/>
          </w:tcPr>
          <w:p>
            <w:r>
              <w:t xml:space="preserve">Bars and rods, rectangular cross-section</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US-2B-061</w:t>
            </w:r>
          </w:p>
        </w:tc>
        <w:tc>
          <w:tcPr>
            <w:tcW w:type="dxa" w:w="1560"/>
          </w:tcPr>
          <w:p>
            <w:r>
              <w:t xml:space="preserve">7214.99</w:t>
            </w:r>
          </w:p>
        </w:tc>
        <w:tc>
          <w:tcPr>
            <w:tcW w:type="dxa" w:w="1560"/>
          </w:tcPr>
          <w:p>
            <w:r>
              <w:t xml:space="preserve">Bars and rods,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US-2B-062</w:t>
            </w:r>
          </w:p>
        </w:tc>
        <w:tc>
          <w:tcPr>
            <w:tcW w:type="dxa" w:w="1560"/>
          </w:tcPr>
          <w:p>
            <w:r>
              <w:t xml:space="preserve">7215.10</w:t>
            </w:r>
          </w:p>
        </w:tc>
        <w:tc>
          <w:tcPr>
            <w:tcW w:type="dxa" w:w="1560"/>
          </w:tcPr>
          <w:p>
            <w:r>
              <w:t xml:space="preserve">Free-cutting bars and rods, not in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US-2B-063</w:t>
            </w:r>
          </w:p>
        </w:tc>
        <w:tc>
          <w:tcPr>
            <w:tcW w:type="dxa" w:w="1560"/>
          </w:tcPr>
          <w:p>
            <w:r>
              <w:t xml:space="preserve">7215.50</w:t>
            </w:r>
          </w:p>
        </w:tc>
        <w:tc>
          <w:tcPr>
            <w:tcW w:type="dxa" w:w="1560"/>
          </w:tcPr>
          <w:p>
            <w:r>
              <w:t xml:space="preserve">Bars and rods, cold-formed or cold-finished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US-2B-064</w:t>
            </w:r>
          </w:p>
        </w:tc>
        <w:tc>
          <w:tcPr>
            <w:tcW w:type="dxa" w:w="1560"/>
          </w:tcPr>
          <w:p>
            <w:r>
              <w:t xml:space="preserve">7216.10</w:t>
            </w:r>
          </w:p>
        </w:tc>
        <w:tc>
          <w:tcPr>
            <w:tcW w:type="dxa" w:w="1560"/>
          </w:tcPr>
          <w:p>
            <w:r>
              <w:t xml:space="preserve">U, I or H sections, hot-rolled, &lt;80mm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US-2B-065</w:t>
            </w:r>
          </w:p>
        </w:tc>
        <w:tc>
          <w:tcPr>
            <w:tcW w:type="dxa" w:w="1560"/>
          </w:tcPr>
          <w:p>
            <w:r>
              <w:t xml:space="preserve">7216.21</w:t>
            </w:r>
          </w:p>
        </w:tc>
        <w:tc>
          <w:tcPr>
            <w:tcW w:type="dxa" w:w="1560"/>
          </w:tcPr>
          <w:p>
            <w:r>
              <w:t xml:space="preserve">U or I sections, hot-rolled, 80-180mm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US-2B-066</w:t>
            </w:r>
          </w:p>
        </w:tc>
        <w:tc>
          <w:tcPr>
            <w:tcW w:type="dxa" w:w="1560"/>
          </w:tcPr>
          <w:p>
            <w:r>
              <w:t xml:space="preserve">7216.22</w:t>
            </w:r>
          </w:p>
        </w:tc>
        <w:tc>
          <w:tcPr>
            <w:tcW w:type="dxa" w:w="1560"/>
          </w:tcPr>
          <w:p>
            <w:r>
              <w:t xml:space="preserve">H sections, hot-rolled, 80-180mm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US-2B-067</w:t>
            </w:r>
          </w:p>
        </w:tc>
        <w:tc>
          <w:tcPr>
            <w:tcW w:type="dxa" w:w="1560"/>
          </w:tcPr>
          <w:p>
            <w:r>
              <w:t xml:space="preserve">7216.31</w:t>
            </w:r>
          </w:p>
        </w:tc>
        <w:tc>
          <w:tcPr>
            <w:tcW w:type="dxa" w:w="1560"/>
          </w:tcPr>
          <w:p>
            <w:r>
              <w:t xml:space="preserve">U or I sections, hot-rolled, &gt;180mm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US-2B-068</w:t>
            </w:r>
          </w:p>
        </w:tc>
        <w:tc>
          <w:tcPr>
            <w:tcW w:type="dxa" w:w="1560"/>
          </w:tcPr>
          <w:p>
            <w:r>
              <w:t xml:space="preserve">7216.32</w:t>
            </w:r>
          </w:p>
        </w:tc>
        <w:tc>
          <w:tcPr>
            <w:tcW w:type="dxa" w:w="1560"/>
          </w:tcPr>
          <w:p>
            <w:r>
              <w:t xml:space="preserve">H sections, hot-rolled, &gt;180mm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US-2B-069</w:t>
            </w:r>
          </w:p>
        </w:tc>
        <w:tc>
          <w:tcPr>
            <w:tcW w:type="dxa" w:w="1560"/>
          </w:tcPr>
          <w:p>
            <w:r>
              <w:t xml:space="preserve">7216.33</w:t>
            </w:r>
          </w:p>
        </w:tc>
        <w:tc>
          <w:tcPr>
            <w:tcW w:type="dxa" w:w="1560"/>
          </w:tcPr>
          <w:p>
            <w:r>
              <w:t xml:space="preserve">H sections, &gt;180mm, flange &gt;80mm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US-2B-070</w:t>
            </w:r>
          </w:p>
        </w:tc>
        <w:tc>
          <w:tcPr>
            <w:tcW w:type="dxa" w:w="1560"/>
          </w:tcPr>
          <w:p>
            <w:r>
              <w:t xml:space="preserve">7216.40</w:t>
            </w:r>
          </w:p>
        </w:tc>
        <w:tc>
          <w:tcPr>
            <w:tcW w:type="dxa" w:w="1560"/>
          </w:tcPr>
          <w:p>
            <w:r>
              <w:t xml:space="preserve">L or T sections, hot-rolled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US-2B-071</w:t>
            </w:r>
          </w:p>
        </w:tc>
        <w:tc>
          <w:tcPr>
            <w:tcW w:type="dxa" w:w="1560"/>
          </w:tcPr>
          <w:p>
            <w:r>
              <w:t xml:space="preserve">7216.50</w:t>
            </w:r>
          </w:p>
        </w:tc>
        <w:tc>
          <w:tcPr>
            <w:tcW w:type="dxa" w:w="1560"/>
          </w:tcPr>
          <w:p>
            <w:r>
              <w:t xml:space="preserve">Angles and sections, cold-formed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US-2B-072</w:t>
            </w:r>
          </w:p>
        </w:tc>
        <w:tc>
          <w:tcPr>
            <w:tcW w:type="dxa" w:w="1560"/>
          </w:tcPr>
          <w:p>
            <w:r>
              <w:t xml:space="preserve">7216.61</w:t>
            </w:r>
          </w:p>
        </w:tc>
        <w:tc>
          <w:tcPr>
            <w:tcW w:type="dxa" w:w="1560"/>
          </w:tcPr>
          <w:p>
            <w:r>
              <w:t xml:space="preserve">Sheet piling</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US-2B-073</w:t>
            </w:r>
          </w:p>
        </w:tc>
        <w:tc>
          <w:tcPr>
            <w:tcW w:type="dxa" w:w="1560"/>
          </w:tcPr>
          <w:p>
            <w:r>
              <w:t xml:space="preserve">7216.91</w:t>
            </w:r>
          </w:p>
        </w:tc>
        <w:tc>
          <w:tcPr>
            <w:tcW w:type="dxa" w:w="1560"/>
          </w:tcPr>
          <w:p>
            <w:r>
              <w:t xml:space="preserve">Cold-formed sections,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US-2B-074</w:t>
            </w:r>
          </w:p>
        </w:tc>
        <w:tc>
          <w:tcPr>
            <w:tcW w:type="dxa" w:w="1560"/>
          </w:tcPr>
          <w:p>
            <w:r>
              <w:t xml:space="preserve">7217.10</w:t>
            </w:r>
          </w:p>
        </w:tc>
        <w:tc>
          <w:tcPr>
            <w:tcW w:type="dxa" w:w="1560"/>
          </w:tcPr>
          <w:p>
            <w:r>
              <w:t xml:space="preserve">Wire of iron or non-alloy steel, not coated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US-2B-075</w:t>
            </w:r>
          </w:p>
        </w:tc>
        <w:tc>
          <w:tcPr>
            <w:tcW w:type="dxa" w:w="1560"/>
          </w:tcPr>
          <w:p>
            <w:r>
              <w:t xml:space="preserve">7217.20</w:t>
            </w:r>
          </w:p>
        </w:tc>
        <w:tc>
          <w:tcPr>
            <w:tcW w:type="dxa" w:w="1560"/>
          </w:tcPr>
          <w:p>
            <w:r>
              <w:t xml:space="preserve">Wire, zinc-coated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US-2B-076</w:t>
            </w:r>
          </w:p>
        </w:tc>
        <w:tc>
          <w:tcPr>
            <w:tcW w:type="dxa" w:w="1560"/>
          </w:tcPr>
          <w:p>
            <w:r>
              <w:t xml:space="preserve">7217.30</w:t>
            </w:r>
          </w:p>
        </w:tc>
        <w:tc>
          <w:tcPr>
            <w:tcW w:type="dxa" w:w="1560"/>
          </w:tcPr>
          <w:p>
            <w:r>
              <w:t xml:space="preserve">Wire, coated,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US-2B-077</w:t>
            </w:r>
          </w:p>
        </w:tc>
        <w:tc>
          <w:tcPr>
            <w:tcW w:type="dxa" w:w="1560"/>
          </w:tcPr>
          <w:p>
            <w:r>
              <w:t xml:space="preserve">7218.10</w:t>
            </w:r>
          </w:p>
        </w:tc>
        <w:tc>
          <w:tcPr>
            <w:tcW w:type="dxa" w:w="1560"/>
          </w:tcPr>
          <w:p>
            <w:r>
              <w:t xml:space="preserve">Stainless steel, ingots and semi-finished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US-2B-078</w:t>
            </w:r>
          </w:p>
        </w:tc>
        <w:tc>
          <w:tcPr>
            <w:tcW w:type="dxa" w:w="1560"/>
          </w:tcPr>
          <w:p>
            <w:r>
              <w:t xml:space="preserve">7219.11</w:t>
            </w:r>
          </w:p>
        </w:tc>
        <w:tc>
          <w:tcPr>
            <w:tcW w:type="dxa" w:w="1560"/>
          </w:tcPr>
          <w:p>
            <w:r>
              <w:t xml:space="preserve">Stainless flat-rolled, coils, &gt;=4.75mm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US-2B-079</w:t>
            </w:r>
          </w:p>
        </w:tc>
        <w:tc>
          <w:tcPr>
            <w:tcW w:type="dxa" w:w="1560"/>
          </w:tcPr>
          <w:p>
            <w:r>
              <w:t xml:space="preserve">7219.12</w:t>
            </w:r>
          </w:p>
        </w:tc>
        <w:tc>
          <w:tcPr>
            <w:tcW w:type="dxa" w:w="1560"/>
          </w:tcPr>
          <w:p>
            <w:r>
              <w:t xml:space="preserve">Stainless flat-rolled, coils, 3-4.75mm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US-2B-080</w:t>
            </w:r>
          </w:p>
        </w:tc>
        <w:tc>
          <w:tcPr>
            <w:tcW w:type="dxa" w:w="1560"/>
          </w:tcPr>
          <w:p>
            <w:r>
              <w:t xml:space="preserve">7219.13</w:t>
            </w:r>
          </w:p>
        </w:tc>
        <w:tc>
          <w:tcPr>
            <w:tcW w:type="dxa" w:w="1560"/>
          </w:tcPr>
          <w:p>
            <w:r>
              <w:t xml:space="preserve">Stainless flat-rolled, coils, 1-3mm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US-2B-081</w:t>
            </w:r>
          </w:p>
        </w:tc>
        <w:tc>
          <w:tcPr>
            <w:tcW w:type="dxa" w:w="1560"/>
          </w:tcPr>
          <w:p>
            <w:r>
              <w:t xml:space="preserve">7219.14</w:t>
            </w:r>
          </w:p>
        </w:tc>
        <w:tc>
          <w:tcPr>
            <w:tcW w:type="dxa" w:w="1560"/>
          </w:tcPr>
          <w:p>
            <w:r>
              <w:t xml:space="preserve">Stainless flat-rolled, coils, &lt;1mm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US-2B-082</w:t>
            </w:r>
          </w:p>
        </w:tc>
        <w:tc>
          <w:tcPr>
            <w:tcW w:type="dxa" w:w="1560"/>
          </w:tcPr>
          <w:p>
            <w:r>
              <w:t xml:space="preserve">7219.21</w:t>
            </w:r>
          </w:p>
        </w:tc>
        <w:tc>
          <w:tcPr>
            <w:tcW w:type="dxa" w:w="1560"/>
          </w:tcPr>
          <w:p>
            <w:r>
              <w:t xml:space="preserve">Stainless flat-rolled, not in coils, &gt;=4.75mm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US-2B-083</w:t>
            </w:r>
          </w:p>
        </w:tc>
        <w:tc>
          <w:tcPr>
            <w:tcW w:type="dxa" w:w="1560"/>
          </w:tcPr>
          <w:p>
            <w:r>
              <w:t xml:space="preserve">7219.22</w:t>
            </w:r>
          </w:p>
        </w:tc>
        <w:tc>
          <w:tcPr>
            <w:tcW w:type="dxa" w:w="1560"/>
          </w:tcPr>
          <w:p>
            <w:r>
              <w:t xml:space="preserve">Stainless flat-rolled, not in coils, 3-4.75mm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US-2B-084</w:t>
            </w:r>
          </w:p>
        </w:tc>
        <w:tc>
          <w:tcPr>
            <w:tcW w:type="dxa" w:w="1560"/>
          </w:tcPr>
          <w:p>
            <w:r>
              <w:t xml:space="preserve">7219.23</w:t>
            </w:r>
          </w:p>
        </w:tc>
        <w:tc>
          <w:tcPr>
            <w:tcW w:type="dxa" w:w="1560"/>
          </w:tcPr>
          <w:p>
            <w:r>
              <w:t xml:space="preserve">Stainless flat-rolled, not in coils, 1-3mm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US-2B-085</w:t>
            </w:r>
          </w:p>
        </w:tc>
        <w:tc>
          <w:tcPr>
            <w:tcW w:type="dxa" w:w="1560"/>
          </w:tcPr>
          <w:p>
            <w:r>
              <w:t xml:space="preserve">7219.24</w:t>
            </w:r>
          </w:p>
        </w:tc>
        <w:tc>
          <w:tcPr>
            <w:tcW w:type="dxa" w:w="1560"/>
          </w:tcPr>
          <w:p>
            <w:r>
              <w:t xml:space="preserve">Stainless flat-rolled, not in coils, &lt;1mm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US-2B-086</w:t>
            </w:r>
          </w:p>
        </w:tc>
        <w:tc>
          <w:tcPr>
            <w:tcW w:type="dxa" w:w="1560"/>
          </w:tcPr>
          <w:p>
            <w:r>
              <w:t xml:space="preserve">7219.31</w:t>
            </w:r>
          </w:p>
        </w:tc>
        <w:tc>
          <w:tcPr>
            <w:tcW w:type="dxa" w:w="1560"/>
          </w:tcPr>
          <w:p>
            <w:r>
              <w:t xml:space="preserve">Stainless flat-rolled, &lt;600mm,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US-2B-087</w:t>
            </w:r>
          </w:p>
        </w:tc>
        <w:tc>
          <w:tcPr>
            <w:tcW w:type="dxa" w:w="1560"/>
          </w:tcPr>
          <w:p>
            <w:r>
              <w:t xml:space="preserve">7219.33</w:t>
            </w:r>
          </w:p>
        </w:tc>
        <w:tc>
          <w:tcPr>
            <w:tcW w:type="dxa" w:w="1560"/>
          </w:tcPr>
          <w:p>
            <w:r>
              <w:t xml:space="preserve">Stainless flat-rolled, &lt;600mm, 0.5-1mm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US-2B-088</w:t>
            </w:r>
          </w:p>
        </w:tc>
        <w:tc>
          <w:tcPr>
            <w:tcW w:type="dxa" w:w="1560"/>
          </w:tcPr>
          <w:p>
            <w:r>
              <w:t xml:space="preserve">7219.34</w:t>
            </w:r>
          </w:p>
        </w:tc>
        <w:tc>
          <w:tcPr>
            <w:tcW w:type="dxa" w:w="1560"/>
          </w:tcPr>
          <w:p>
            <w:r>
              <w:t xml:space="preserve">Stainless flat-rolled, &lt;600mm, &lt;0.5mm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US-2B-089</w:t>
            </w:r>
          </w:p>
        </w:tc>
        <w:tc>
          <w:tcPr>
            <w:tcW w:type="dxa" w:w="1560"/>
          </w:tcPr>
          <w:p>
            <w:r>
              <w:t xml:space="preserve">7219.35</w:t>
            </w:r>
          </w:p>
        </w:tc>
        <w:tc>
          <w:tcPr>
            <w:tcW w:type="dxa" w:w="1560"/>
          </w:tcPr>
          <w:p>
            <w:r>
              <w:t xml:space="preserve">Stainless flat-rolled, &lt;600mm, &lt;0.25mm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US-2B-090</w:t>
            </w:r>
          </w:p>
        </w:tc>
        <w:tc>
          <w:tcPr>
            <w:tcW w:type="dxa" w:w="1560"/>
          </w:tcPr>
          <w:p>
            <w:r>
              <w:t xml:space="preserve">7219.90</w:t>
            </w:r>
          </w:p>
        </w:tc>
        <w:tc>
          <w:tcPr>
            <w:tcW w:type="dxa" w:w="1560"/>
          </w:tcPr>
          <w:p>
            <w:r>
              <w:t xml:space="preserve">Stainless flat-rolled,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US-2B-091</w:t>
            </w:r>
          </w:p>
        </w:tc>
        <w:tc>
          <w:tcPr>
            <w:tcW w:type="dxa" w:w="1560"/>
          </w:tcPr>
          <w:p>
            <w:r>
              <w:t xml:space="preserve">7221.00</w:t>
            </w:r>
          </w:p>
        </w:tc>
        <w:tc>
          <w:tcPr>
            <w:tcW w:type="dxa" w:w="1560"/>
          </w:tcPr>
          <w:p>
            <w:r>
              <w:t xml:space="preserve">Stainless bars and rods, in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US-2B-092</w:t>
            </w:r>
          </w:p>
        </w:tc>
        <w:tc>
          <w:tcPr>
            <w:tcW w:type="dxa" w:w="1560"/>
          </w:tcPr>
          <w:p>
            <w:r>
              <w:t xml:space="preserve">7222.11</w:t>
            </w:r>
          </w:p>
        </w:tc>
        <w:tc>
          <w:tcPr>
            <w:tcW w:type="dxa" w:w="1560"/>
          </w:tcPr>
          <w:p>
            <w:r>
              <w:t xml:space="preserve">Stainless bars and rods, hot-rolled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US-2B-093</w:t>
            </w:r>
          </w:p>
        </w:tc>
        <w:tc>
          <w:tcPr>
            <w:tcW w:type="dxa" w:w="1560"/>
          </w:tcPr>
          <w:p>
            <w:r>
              <w:t xml:space="preserve">7222.19</w:t>
            </w:r>
          </w:p>
        </w:tc>
        <w:tc>
          <w:tcPr>
            <w:tcW w:type="dxa" w:w="1560"/>
          </w:tcPr>
          <w:p>
            <w:r>
              <w:t xml:space="preserve">Stainless bars and rods,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US-2B-094</w:t>
            </w:r>
          </w:p>
        </w:tc>
        <w:tc>
          <w:tcPr>
            <w:tcW w:type="dxa" w:w="1560"/>
          </w:tcPr>
          <w:p>
            <w:r>
              <w:t xml:space="preserve">7222.30</w:t>
            </w:r>
          </w:p>
        </w:tc>
        <w:tc>
          <w:tcPr>
            <w:tcW w:type="dxa" w:w="1560"/>
          </w:tcPr>
          <w:p>
            <w:r>
              <w:t xml:space="preserve">Stainless wire</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US-2B-095</w:t>
            </w:r>
          </w:p>
        </w:tc>
        <w:tc>
          <w:tcPr>
            <w:tcW w:type="dxa" w:w="1560"/>
          </w:tcPr>
          <w:p>
            <w:r>
              <w:t xml:space="preserve">7222.40</w:t>
            </w:r>
          </w:p>
        </w:tc>
        <w:tc>
          <w:tcPr>
            <w:tcW w:type="dxa" w:w="1560"/>
          </w:tcPr>
          <w:p>
            <w:r>
              <w:t xml:space="preserve">Stainless angles and shapes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US-2B-096</w:t>
            </w:r>
          </w:p>
        </w:tc>
        <w:tc>
          <w:tcPr>
            <w:tcW w:type="dxa" w:w="1560"/>
          </w:tcPr>
          <w:p>
            <w:r>
              <w:t xml:space="preserve">7225.11</w:t>
            </w:r>
          </w:p>
        </w:tc>
        <w:tc>
          <w:tcPr>
            <w:tcW w:type="dxa" w:w="1560"/>
          </w:tcPr>
          <w:p>
            <w:r>
              <w:t xml:space="preserve">Alloy flat-rolled, grain-oriented electrical steel,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US-2B-097</w:t>
            </w:r>
          </w:p>
        </w:tc>
        <w:tc>
          <w:tcPr>
            <w:tcW w:type="dxa" w:w="1560"/>
          </w:tcPr>
          <w:p>
            <w:r>
              <w:t xml:space="preserve">7225.19</w:t>
            </w:r>
          </w:p>
        </w:tc>
        <w:tc>
          <w:tcPr>
            <w:tcW w:type="dxa" w:w="1560"/>
          </w:tcPr>
          <w:p>
            <w:r>
              <w:t xml:space="preserve">Alloy flat-rolled, coils,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US-2B-098</w:t>
            </w:r>
          </w:p>
        </w:tc>
        <w:tc>
          <w:tcPr>
            <w:tcW w:type="dxa" w:w="1560"/>
          </w:tcPr>
          <w:p>
            <w:r>
              <w:t xml:space="preserve">7225.30</w:t>
            </w:r>
          </w:p>
        </w:tc>
        <w:tc>
          <w:tcPr>
            <w:tcW w:type="dxa" w:w="1560"/>
          </w:tcPr>
          <w:p>
            <w:r>
              <w:t xml:space="preserve">Electrical steel,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US-2B-099</w:t>
            </w:r>
          </w:p>
        </w:tc>
        <w:tc>
          <w:tcPr>
            <w:tcW w:type="dxa" w:w="1560"/>
          </w:tcPr>
          <w:p>
            <w:r>
              <w:t xml:space="preserve">7225.40</w:t>
            </w:r>
          </w:p>
        </w:tc>
        <w:tc>
          <w:tcPr>
            <w:tcW w:type="dxa" w:w="1560"/>
          </w:tcPr>
          <w:p>
            <w:r>
              <w:t xml:space="preserve">Alloy flat-rolled, hot-rolled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US-2B-100</w:t>
            </w:r>
          </w:p>
        </w:tc>
        <w:tc>
          <w:tcPr>
            <w:tcW w:type="dxa" w:w="1560"/>
          </w:tcPr>
          <w:p>
            <w:r>
              <w:t xml:space="preserve">7225.50</w:t>
            </w:r>
          </w:p>
        </w:tc>
        <w:tc>
          <w:tcPr>
            <w:tcW w:type="dxa" w:w="1560"/>
          </w:tcPr>
          <w:p>
            <w:r>
              <w:t xml:space="preserve">Alloy flat-rolled, cold-rolled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US-2B-101</w:t>
            </w:r>
          </w:p>
        </w:tc>
        <w:tc>
          <w:tcPr>
            <w:tcW w:type="dxa" w:w="1560"/>
          </w:tcPr>
          <w:p>
            <w:r>
              <w:t xml:space="preserve">7225.91</w:t>
            </w:r>
          </w:p>
        </w:tc>
        <w:tc>
          <w:tcPr>
            <w:tcW w:type="dxa" w:w="1560"/>
          </w:tcPr>
          <w:p>
            <w:r>
              <w:t xml:space="preserve">Alloy flat-rolled, electrolytically coated,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US-2B-102</w:t>
            </w:r>
          </w:p>
        </w:tc>
        <w:tc>
          <w:tcPr>
            <w:tcW w:type="dxa" w:w="1560"/>
          </w:tcPr>
          <w:p>
            <w:r>
              <w:t xml:space="preserve">7225.92</w:t>
            </w:r>
          </w:p>
        </w:tc>
        <w:tc>
          <w:tcPr>
            <w:tcW w:type="dxa" w:w="1560"/>
          </w:tcPr>
          <w:p>
            <w:r>
              <w:t xml:space="preserve">Alloy flat-rolled, zinc-coated,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US-2B-103</w:t>
            </w:r>
          </w:p>
        </w:tc>
        <w:tc>
          <w:tcPr>
            <w:tcW w:type="dxa" w:w="1560"/>
          </w:tcPr>
          <w:p>
            <w:r>
              <w:t xml:space="preserve">7225.99</w:t>
            </w:r>
          </w:p>
        </w:tc>
        <w:tc>
          <w:tcPr>
            <w:tcW w:type="dxa" w:w="1560"/>
          </w:tcPr>
          <w:p>
            <w:r>
              <w:t xml:space="preserve">Alloy flat-rolled,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US-2B-104</w:t>
            </w:r>
          </w:p>
        </w:tc>
        <w:tc>
          <w:tcPr>
            <w:tcW w:type="dxa" w:w="1560"/>
          </w:tcPr>
          <w:p>
            <w:r>
              <w:t xml:space="preserve">7227.10</w:t>
            </w:r>
          </w:p>
        </w:tc>
        <w:tc>
          <w:tcPr>
            <w:tcW w:type="dxa" w:w="1560"/>
          </w:tcPr>
          <w:p>
            <w:r>
              <w:t xml:space="preserve">High-carbon bars and rods, in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US-2B-105</w:t>
            </w:r>
          </w:p>
        </w:tc>
        <w:tc>
          <w:tcPr>
            <w:tcW w:type="dxa" w:w="1560"/>
          </w:tcPr>
          <w:p>
            <w:r>
              <w:t xml:space="preserve">7227.20</w:t>
            </w:r>
          </w:p>
        </w:tc>
        <w:tc>
          <w:tcPr>
            <w:tcW w:type="dxa" w:w="1560"/>
          </w:tcPr>
          <w:p>
            <w:r>
              <w:t xml:space="preserve">Silico-manganese bars and rods, in coils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US-2B-106</w:t>
            </w:r>
          </w:p>
        </w:tc>
        <w:tc>
          <w:tcPr>
            <w:tcW w:type="dxa" w:w="1560"/>
          </w:tcPr>
          <w:p>
            <w:r>
              <w:t xml:space="preserve">7227.90</w:t>
            </w:r>
          </w:p>
        </w:tc>
        <w:tc>
          <w:tcPr>
            <w:tcW w:type="dxa" w:w="1560"/>
          </w:tcPr>
          <w:p>
            <w:r>
              <w:t xml:space="preserve">Alloy bars and rods, in coils,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US-2B-107</w:t>
            </w:r>
          </w:p>
        </w:tc>
        <w:tc>
          <w:tcPr>
            <w:tcW w:type="dxa" w:w="1560"/>
          </w:tcPr>
          <w:p>
            <w:r>
              <w:t xml:space="preserve">7228.10</w:t>
            </w:r>
          </w:p>
        </w:tc>
        <w:tc>
          <w:tcPr>
            <w:tcW w:type="dxa" w:w="1560"/>
          </w:tcPr>
          <w:p>
            <w:r>
              <w:t xml:space="preserve">High-speed steel bars and rods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US-2B-108</w:t>
            </w:r>
          </w:p>
        </w:tc>
        <w:tc>
          <w:tcPr>
            <w:tcW w:type="dxa" w:w="1560"/>
          </w:tcPr>
          <w:p>
            <w:r>
              <w:t xml:space="preserve">7228.20</w:t>
            </w:r>
          </w:p>
        </w:tc>
        <w:tc>
          <w:tcPr>
            <w:tcW w:type="dxa" w:w="1560"/>
          </w:tcPr>
          <w:p>
            <w:r>
              <w:t xml:space="preserve">Silico-manganese bars and rods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US-2B-109</w:t>
            </w:r>
          </w:p>
        </w:tc>
        <w:tc>
          <w:tcPr>
            <w:tcW w:type="dxa" w:w="1560"/>
          </w:tcPr>
          <w:p>
            <w:r>
              <w:t xml:space="preserve">7228.30</w:t>
            </w:r>
          </w:p>
        </w:tc>
        <w:tc>
          <w:tcPr>
            <w:tcW w:type="dxa" w:w="1560"/>
          </w:tcPr>
          <w:p>
            <w:r>
              <w:t xml:space="preserve">Carbon bars and rods, hot-rolled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US-2B-110</w:t>
            </w:r>
          </w:p>
        </w:tc>
        <w:tc>
          <w:tcPr>
            <w:tcW w:type="dxa" w:w="1560"/>
          </w:tcPr>
          <w:p>
            <w:r>
              <w:t xml:space="preserve">7228.50</w:t>
            </w:r>
          </w:p>
        </w:tc>
        <w:tc>
          <w:tcPr>
            <w:tcW w:type="dxa" w:w="1560"/>
          </w:tcPr>
          <w:p>
            <w:r>
              <w:t xml:space="preserve">Alloy bars and rods, hot-rolled,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US-2B-111</w:t>
            </w:r>
          </w:p>
        </w:tc>
        <w:tc>
          <w:tcPr>
            <w:tcW w:type="dxa" w:w="1560"/>
          </w:tcPr>
          <w:p>
            <w:r>
              <w:t xml:space="preserve">7228.60</w:t>
            </w:r>
          </w:p>
        </w:tc>
        <w:tc>
          <w:tcPr>
            <w:tcW w:type="dxa" w:w="1560"/>
          </w:tcPr>
          <w:p>
            <w:r>
              <w:t xml:space="preserve">Alloy bars and rods, cold-formed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US-2B-112</w:t>
            </w:r>
          </w:p>
        </w:tc>
        <w:tc>
          <w:tcPr>
            <w:tcW w:type="dxa" w:w="1560"/>
          </w:tcPr>
          <w:p>
            <w:r>
              <w:t xml:space="preserve">7228.70</w:t>
            </w:r>
          </w:p>
        </w:tc>
        <w:tc>
          <w:tcPr>
            <w:tcW w:type="dxa" w:w="1560"/>
          </w:tcPr>
          <w:p>
            <w:r>
              <w:t xml:space="preserve">Alloy angles and shapes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US-2B-113</w:t>
            </w:r>
          </w:p>
        </w:tc>
        <w:tc>
          <w:tcPr>
            <w:tcW w:type="dxa" w:w="1560"/>
          </w:tcPr>
          <w:p>
            <w:r>
              <w:t xml:space="preserve">7228.80</w:t>
            </w:r>
          </w:p>
        </w:tc>
        <w:tc>
          <w:tcPr>
            <w:tcW w:type="dxa" w:w="1560"/>
          </w:tcPr>
          <w:p>
            <w:r>
              <w:t xml:space="preserve">Hollow drill bars and rods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US-2B-114</w:t>
            </w:r>
          </w:p>
        </w:tc>
        <w:tc>
          <w:tcPr>
            <w:tcW w:type="dxa" w:w="1560"/>
          </w:tcPr>
          <w:p>
            <w:r>
              <w:t xml:space="preserve">7229.20</w:t>
            </w:r>
          </w:p>
        </w:tc>
        <w:tc>
          <w:tcPr>
            <w:tcW w:type="dxa" w:w="1560"/>
          </w:tcPr>
          <w:p>
            <w:r>
              <w:t xml:space="preserve">Silico-manganese wire</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US-2B-115</w:t>
            </w:r>
          </w:p>
        </w:tc>
        <w:tc>
          <w:tcPr>
            <w:tcW w:type="dxa" w:w="1560"/>
          </w:tcPr>
          <w:p>
            <w:r>
              <w:t xml:space="preserve">7229.90</w:t>
            </w:r>
          </w:p>
        </w:tc>
        <w:tc>
          <w:tcPr>
            <w:tcW w:type="dxa" w:w="1560"/>
          </w:tcPr>
          <w:p>
            <w:r>
              <w:t xml:space="preserve">Alloy steel wire,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US-2B-116</w:t>
            </w:r>
          </w:p>
        </w:tc>
        <w:tc>
          <w:tcPr>
            <w:tcW w:type="dxa" w:w="1560"/>
          </w:tcPr>
          <w:p>
            <w:r>
              <w:t xml:space="preserve">7301.10</w:t>
            </w:r>
          </w:p>
        </w:tc>
        <w:tc>
          <w:tcPr>
            <w:tcW w:type="dxa" w:w="1560"/>
          </w:tcPr>
          <w:p>
            <w:r>
              <w:t xml:space="preserve">Sheet piling of iron or steel</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US-2B-117</w:t>
            </w:r>
          </w:p>
        </w:tc>
        <w:tc>
          <w:tcPr>
            <w:tcW w:type="dxa" w:w="1560"/>
          </w:tcPr>
          <w:p>
            <w:r>
              <w:t xml:space="preserve">7301.20</w:t>
            </w:r>
          </w:p>
        </w:tc>
        <w:tc>
          <w:tcPr>
            <w:tcW w:type="dxa" w:w="1560"/>
          </w:tcPr>
          <w:p>
            <w:r>
              <w:t xml:space="preserve">Angles and shapes, welded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US-2B-118</w:t>
            </w:r>
          </w:p>
        </w:tc>
        <w:tc>
          <w:tcPr>
            <w:tcW w:type="dxa" w:w="1560"/>
          </w:tcPr>
          <w:p>
            <w:r>
              <w:t xml:space="preserve">7302.10</w:t>
            </w:r>
          </w:p>
        </w:tc>
        <w:tc>
          <w:tcPr>
            <w:tcW w:type="dxa" w:w="1560"/>
          </w:tcPr>
          <w:p>
            <w:r>
              <w:t xml:space="preserve">Rails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US-2B-119</w:t>
            </w:r>
          </w:p>
        </w:tc>
        <w:tc>
          <w:tcPr>
            <w:tcW w:type="dxa" w:w="1560"/>
          </w:tcPr>
          <w:p>
            <w:r>
              <w:t xml:space="preserve">7302.30</w:t>
            </w:r>
          </w:p>
        </w:tc>
        <w:tc>
          <w:tcPr>
            <w:tcW w:type="dxa" w:w="1560"/>
          </w:tcPr>
          <w:p>
            <w:r>
              <w:t xml:space="preserve">Sleepers and cross-ties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US-2B-120</w:t>
            </w:r>
          </w:p>
        </w:tc>
        <w:tc>
          <w:tcPr>
            <w:tcW w:type="dxa" w:w="1560"/>
          </w:tcPr>
          <w:p>
            <w:r>
              <w:t xml:space="preserve">7302.40</w:t>
            </w:r>
          </w:p>
        </w:tc>
        <w:tc>
          <w:tcPr>
            <w:tcW w:type="dxa" w:w="1560"/>
          </w:tcPr>
          <w:p>
            <w:r>
              <w:t xml:space="preserve">Fish plates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US-2B-121</w:t>
            </w:r>
          </w:p>
        </w:tc>
        <w:tc>
          <w:tcPr>
            <w:tcW w:type="dxa" w:w="1560"/>
          </w:tcPr>
          <w:p>
            <w:r>
              <w:t xml:space="preserve">7302.90</w:t>
            </w:r>
          </w:p>
        </w:tc>
        <w:tc>
          <w:tcPr>
            <w:tcW w:type="dxa" w:w="1560"/>
          </w:tcPr>
          <w:p>
            <w:r>
              <w:t xml:space="preserve">Rail and track accessories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US-2B-122</w:t>
            </w:r>
          </w:p>
        </w:tc>
        <w:tc>
          <w:tcPr>
            <w:tcW w:type="dxa" w:w="1560"/>
          </w:tcPr>
          <w:p>
            <w:r>
              <w:t xml:space="preserve">7303.00</w:t>
            </w:r>
          </w:p>
        </w:tc>
        <w:tc>
          <w:tcPr>
            <w:tcW w:type="dxa" w:w="1560"/>
          </w:tcPr>
          <w:p>
            <w:r>
              <w:t xml:space="preserve">Tubes and pipes, cast iron</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US-2B-123</w:t>
            </w:r>
          </w:p>
        </w:tc>
        <w:tc>
          <w:tcPr>
            <w:tcW w:type="dxa" w:w="1560"/>
          </w:tcPr>
          <w:p>
            <w:r>
              <w:t xml:space="preserve">7304.11</w:t>
            </w:r>
          </w:p>
        </w:tc>
        <w:tc>
          <w:tcPr>
            <w:tcW w:type="dxa" w:w="1560"/>
          </w:tcPr>
          <w:p>
            <w:r>
              <w:t xml:space="preserve">Line pipe, seamless, stainless steel</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US-2B-124</w:t>
            </w:r>
          </w:p>
        </w:tc>
        <w:tc>
          <w:tcPr>
            <w:tcW w:type="dxa" w:w="1560"/>
          </w:tcPr>
          <w:p>
            <w:r>
              <w:t xml:space="preserve">7304.19</w:t>
            </w:r>
          </w:p>
        </w:tc>
        <w:tc>
          <w:tcPr>
            <w:tcW w:type="dxa" w:w="1560"/>
          </w:tcPr>
          <w:p>
            <w:r>
              <w:t xml:space="preserve">Line pipe, seamless,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US-2B-125</w:t>
            </w:r>
          </w:p>
        </w:tc>
        <w:tc>
          <w:tcPr>
            <w:tcW w:type="dxa" w:w="1560"/>
          </w:tcPr>
          <w:p>
            <w:r>
              <w:t xml:space="preserve">7304.22</w:t>
            </w:r>
          </w:p>
        </w:tc>
        <w:tc>
          <w:tcPr>
            <w:tcW w:type="dxa" w:w="1560"/>
          </w:tcPr>
          <w:p>
            <w:r>
              <w:t xml:space="preserve">Drill pipe, seamless, stainless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US-2B-126</w:t>
            </w:r>
          </w:p>
        </w:tc>
        <w:tc>
          <w:tcPr>
            <w:tcW w:type="dxa" w:w="1560"/>
          </w:tcPr>
          <w:p>
            <w:r>
              <w:t xml:space="preserve">7304.23</w:t>
            </w:r>
          </w:p>
        </w:tc>
        <w:tc>
          <w:tcPr>
            <w:tcW w:type="dxa" w:w="1560"/>
          </w:tcPr>
          <w:p>
            <w:r>
              <w:t xml:space="preserve">Drill pipe, seamless,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US-2B-127</w:t>
            </w:r>
          </w:p>
        </w:tc>
        <w:tc>
          <w:tcPr>
            <w:tcW w:type="dxa" w:w="1560"/>
          </w:tcPr>
          <w:p>
            <w:r>
              <w:t xml:space="preserve">7304.24</w:t>
            </w:r>
          </w:p>
        </w:tc>
        <w:tc>
          <w:tcPr>
            <w:tcW w:type="dxa" w:w="1560"/>
          </w:tcPr>
          <w:p>
            <w:r>
              <w:t xml:space="preserve">Casing and tubing, oil or gas well, seamless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US-2B-128</w:t>
            </w:r>
          </w:p>
        </w:tc>
        <w:tc>
          <w:tcPr>
            <w:tcW w:type="dxa" w:w="1560"/>
          </w:tcPr>
          <w:p>
            <w:r>
              <w:t xml:space="preserve">7304.29</w:t>
            </w:r>
          </w:p>
        </w:tc>
        <w:tc>
          <w:tcPr>
            <w:tcW w:type="dxa" w:w="1560"/>
          </w:tcPr>
          <w:p>
            <w:r>
              <w:t xml:space="preserve">Casing and tubing, seamless,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US-2B-129</w:t>
            </w:r>
          </w:p>
        </w:tc>
        <w:tc>
          <w:tcPr>
            <w:tcW w:type="dxa" w:w="1560"/>
          </w:tcPr>
          <w:p>
            <w:r>
              <w:t xml:space="preserve">7304.31</w:t>
            </w:r>
          </w:p>
        </w:tc>
        <w:tc>
          <w:tcPr>
            <w:tcW w:type="dxa" w:w="1560"/>
          </w:tcPr>
          <w:p>
            <w:r>
              <w:t xml:space="preserve">Tubes, cold-drawn, circular cross-section</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US-2B-130</w:t>
            </w:r>
          </w:p>
        </w:tc>
        <w:tc>
          <w:tcPr>
            <w:tcW w:type="dxa" w:w="1560"/>
          </w:tcPr>
          <w:p>
            <w:r>
              <w:t xml:space="preserve">7304.39</w:t>
            </w:r>
          </w:p>
        </w:tc>
        <w:tc>
          <w:tcPr>
            <w:tcW w:type="dxa" w:w="1560"/>
          </w:tcPr>
          <w:p>
            <w:r>
              <w:t xml:space="preserve">Tubes, cold-rolled,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US-2B-131</w:t>
            </w:r>
          </w:p>
        </w:tc>
        <w:tc>
          <w:tcPr>
            <w:tcW w:type="dxa" w:w="1560"/>
          </w:tcPr>
          <w:p>
            <w:r>
              <w:t xml:space="preserve">7304.41</w:t>
            </w:r>
          </w:p>
        </w:tc>
        <w:tc>
          <w:tcPr>
            <w:tcW w:type="dxa" w:w="1560"/>
          </w:tcPr>
          <w:p>
            <w:r>
              <w:t xml:space="preserve">Tubes, hot-rolled, cold-finished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US-2B-132</w:t>
            </w:r>
          </w:p>
        </w:tc>
        <w:tc>
          <w:tcPr>
            <w:tcW w:type="dxa" w:w="1560"/>
          </w:tcPr>
          <w:p>
            <w:r>
              <w:t xml:space="preserve">7304.49</w:t>
            </w:r>
          </w:p>
        </w:tc>
        <w:tc>
          <w:tcPr>
            <w:tcW w:type="dxa" w:w="1560"/>
          </w:tcPr>
          <w:p>
            <w:r>
              <w:t xml:space="preserve">Tubes, hot-rolled,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US-2B-133</w:t>
            </w:r>
          </w:p>
        </w:tc>
        <w:tc>
          <w:tcPr>
            <w:tcW w:type="dxa" w:w="1560"/>
          </w:tcPr>
          <w:p>
            <w:r>
              <w:t xml:space="preserve">7304.51</w:t>
            </w:r>
          </w:p>
        </w:tc>
        <w:tc>
          <w:tcPr>
            <w:tcW w:type="dxa" w:w="1560"/>
          </w:tcPr>
          <w:p>
            <w:r>
              <w:t xml:space="preserve">Tubes, cold-drawn,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US-2B-134</w:t>
            </w:r>
          </w:p>
        </w:tc>
        <w:tc>
          <w:tcPr>
            <w:tcW w:type="dxa" w:w="1560"/>
          </w:tcPr>
          <w:p>
            <w:r>
              <w:t xml:space="preserve">7304.59</w:t>
            </w:r>
          </w:p>
        </w:tc>
        <w:tc>
          <w:tcPr>
            <w:tcW w:type="dxa" w:w="1560"/>
          </w:tcPr>
          <w:p>
            <w:r>
              <w:t xml:space="preserve">Tubes,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US-2B-135</w:t>
            </w:r>
          </w:p>
        </w:tc>
        <w:tc>
          <w:tcPr>
            <w:tcW w:type="dxa" w:w="1560"/>
          </w:tcPr>
          <w:p>
            <w:r>
              <w:t xml:space="preserve">7304.90</w:t>
            </w:r>
          </w:p>
        </w:tc>
        <w:tc>
          <w:tcPr>
            <w:tcW w:type="dxa" w:w="1560"/>
          </w:tcPr>
          <w:p>
            <w:r>
              <w:t xml:space="preserve">Tubes, seamless,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US-2B-136</w:t>
            </w:r>
          </w:p>
        </w:tc>
        <w:tc>
          <w:tcPr>
            <w:tcW w:type="dxa" w:w="1560"/>
          </w:tcPr>
          <w:p>
            <w:r>
              <w:t xml:space="preserve">7305.11</w:t>
            </w:r>
          </w:p>
        </w:tc>
        <w:tc>
          <w:tcPr>
            <w:tcW w:type="dxa" w:w="1560"/>
          </w:tcPr>
          <w:p>
            <w:r>
              <w:t xml:space="preserve">Line pipe, longitudinally welded, &gt;=406.4mm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US-2B-137</w:t>
            </w:r>
          </w:p>
        </w:tc>
        <w:tc>
          <w:tcPr>
            <w:tcW w:type="dxa" w:w="1560"/>
          </w:tcPr>
          <w:p>
            <w:r>
              <w:t xml:space="preserve">7305.12</w:t>
            </w:r>
          </w:p>
        </w:tc>
        <w:tc>
          <w:tcPr>
            <w:tcW w:type="dxa" w:w="1560"/>
          </w:tcPr>
          <w:p>
            <w:r>
              <w:t xml:space="preserve">Line pipe, other welded, &gt;=406.4mm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US-2B-138</w:t>
            </w:r>
          </w:p>
        </w:tc>
        <w:tc>
          <w:tcPr>
            <w:tcW w:type="dxa" w:w="1560"/>
          </w:tcPr>
          <w:p>
            <w:r>
              <w:t xml:space="preserve">7305.19</w:t>
            </w:r>
          </w:p>
        </w:tc>
        <w:tc>
          <w:tcPr>
            <w:tcW w:type="dxa" w:w="1560"/>
          </w:tcPr>
          <w:p>
            <w:r>
              <w:t xml:space="preserve">Line pipe, &gt;=406.4mm,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US-2B-139</w:t>
            </w:r>
          </w:p>
        </w:tc>
        <w:tc>
          <w:tcPr>
            <w:tcW w:type="dxa" w:w="1560"/>
          </w:tcPr>
          <w:p>
            <w:r>
              <w:t xml:space="preserve">7305.20</w:t>
            </w:r>
          </w:p>
        </w:tc>
        <w:tc>
          <w:tcPr>
            <w:tcW w:type="dxa" w:w="1560"/>
          </w:tcPr>
          <w:p>
            <w:r>
              <w:t xml:space="preserve">Casing, welded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US-2B-140</w:t>
            </w:r>
          </w:p>
        </w:tc>
        <w:tc>
          <w:tcPr>
            <w:tcW w:type="dxa" w:w="1560"/>
          </w:tcPr>
          <w:p>
            <w:r>
              <w:t xml:space="preserve">7305.31</w:t>
            </w:r>
          </w:p>
        </w:tc>
        <w:tc>
          <w:tcPr>
            <w:tcW w:type="dxa" w:w="1560"/>
          </w:tcPr>
          <w:p>
            <w:r>
              <w:t xml:space="preserve">Tubes, welded, stainless steel</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US-2B-141</w:t>
            </w:r>
          </w:p>
        </w:tc>
        <w:tc>
          <w:tcPr>
            <w:tcW w:type="dxa" w:w="1560"/>
          </w:tcPr>
          <w:p>
            <w:r>
              <w:t xml:space="preserve">7305.39</w:t>
            </w:r>
          </w:p>
        </w:tc>
        <w:tc>
          <w:tcPr>
            <w:tcW w:type="dxa" w:w="1560"/>
          </w:tcPr>
          <w:p>
            <w:r>
              <w:t xml:space="preserve">Tubes, welded, circular cross-section,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US-2B-142</w:t>
            </w:r>
          </w:p>
        </w:tc>
        <w:tc>
          <w:tcPr>
            <w:tcW w:type="dxa" w:w="1560"/>
          </w:tcPr>
          <w:p>
            <w:r>
              <w:t xml:space="preserve">7305.90</w:t>
            </w:r>
          </w:p>
        </w:tc>
        <w:tc>
          <w:tcPr>
            <w:tcW w:type="dxa" w:w="1560"/>
          </w:tcPr>
          <w:p>
            <w:r>
              <w:t xml:space="preserve">Tubes, welded,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US-2B-143</w:t>
            </w:r>
          </w:p>
        </w:tc>
        <w:tc>
          <w:tcPr>
            <w:tcW w:type="dxa" w:w="1560"/>
          </w:tcPr>
          <w:p>
            <w:r>
              <w:t xml:space="preserve">7306.11</w:t>
            </w:r>
          </w:p>
        </w:tc>
        <w:tc>
          <w:tcPr>
            <w:tcW w:type="dxa" w:w="1560"/>
          </w:tcPr>
          <w:p>
            <w:r>
              <w:t xml:space="preserve">Tubes, welded, stainless steel</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US-2B-144</w:t>
            </w:r>
          </w:p>
        </w:tc>
        <w:tc>
          <w:tcPr>
            <w:tcW w:type="dxa" w:w="1560"/>
          </w:tcPr>
          <w:p>
            <w:r>
              <w:t xml:space="preserve">7306.19</w:t>
            </w:r>
          </w:p>
        </w:tc>
        <w:tc>
          <w:tcPr>
            <w:tcW w:type="dxa" w:w="1560"/>
          </w:tcPr>
          <w:p>
            <w:r>
              <w:t xml:space="preserve">Tubes, welded, circular cross-section,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US-2B-145</w:t>
            </w:r>
          </w:p>
        </w:tc>
        <w:tc>
          <w:tcPr>
            <w:tcW w:type="dxa" w:w="1560"/>
          </w:tcPr>
          <w:p>
            <w:r>
              <w:t xml:space="preserve">7306.21</w:t>
            </w:r>
          </w:p>
        </w:tc>
        <w:tc>
          <w:tcPr>
            <w:tcW w:type="dxa" w:w="1560"/>
          </w:tcPr>
          <w:p>
            <w:r>
              <w:t xml:space="preserve">Tubes, welded, square or rectangular cross-section</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US-2B-146</w:t>
            </w:r>
          </w:p>
        </w:tc>
        <w:tc>
          <w:tcPr>
            <w:tcW w:type="dxa" w:w="1560"/>
          </w:tcPr>
          <w:p>
            <w:r>
              <w:t xml:space="preserve">7306.29</w:t>
            </w:r>
          </w:p>
        </w:tc>
        <w:tc>
          <w:tcPr>
            <w:tcW w:type="dxa" w:w="1560"/>
          </w:tcPr>
          <w:p>
            <w:r>
              <w:t xml:space="preserve">Tubes, welded, other cross-section</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US-2B-147</w:t>
            </w:r>
          </w:p>
        </w:tc>
        <w:tc>
          <w:tcPr>
            <w:tcW w:type="dxa" w:w="1560"/>
          </w:tcPr>
          <w:p>
            <w:r>
              <w:t xml:space="preserve">7306.30</w:t>
            </w:r>
          </w:p>
        </w:tc>
        <w:tc>
          <w:tcPr>
            <w:tcW w:type="dxa" w:w="1560"/>
          </w:tcPr>
          <w:p>
            <w:r>
              <w:t xml:space="preserve">Tubes, welded, circular cross-section, &lt;406.4mm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US-2B-148</w:t>
            </w:r>
          </w:p>
        </w:tc>
        <w:tc>
          <w:tcPr>
            <w:tcW w:type="dxa" w:w="1560"/>
          </w:tcPr>
          <w:p>
            <w:r>
              <w:t xml:space="preserve">7306.40</w:t>
            </w:r>
          </w:p>
        </w:tc>
        <w:tc>
          <w:tcPr>
            <w:tcW w:type="dxa" w:w="1560"/>
          </w:tcPr>
          <w:p>
            <w:r>
              <w:t xml:space="preserve">Tubes, welded, square or rectangular, &lt;406.4mm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US-2B-149</w:t>
            </w:r>
          </w:p>
        </w:tc>
        <w:tc>
          <w:tcPr>
            <w:tcW w:type="dxa" w:w="1560"/>
          </w:tcPr>
          <w:p>
            <w:r>
              <w:t xml:space="preserve">7306.50</w:t>
            </w:r>
          </w:p>
        </w:tc>
        <w:tc>
          <w:tcPr>
            <w:tcW w:type="dxa" w:w="1560"/>
          </w:tcPr>
          <w:p>
            <w:r>
              <w:t xml:space="preserve">Tubes, welded, other, &lt;406.4mm</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US-2B-150</w:t>
            </w:r>
          </w:p>
        </w:tc>
        <w:tc>
          <w:tcPr>
            <w:tcW w:type="dxa" w:w="1560"/>
          </w:tcPr>
          <w:p>
            <w:r>
              <w:t xml:space="preserve">7306.61</w:t>
            </w:r>
          </w:p>
        </w:tc>
        <w:tc>
          <w:tcPr>
            <w:tcW w:type="dxa" w:w="1560"/>
          </w:tcPr>
          <w:p>
            <w:r>
              <w:t xml:space="preserve">Tubes, welded, non-circular cross-section</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US-2B-151</w:t>
            </w:r>
          </w:p>
        </w:tc>
        <w:tc>
          <w:tcPr>
            <w:tcW w:type="dxa" w:w="1560"/>
          </w:tcPr>
          <w:p>
            <w:r>
              <w:t xml:space="preserve">7306.69</w:t>
            </w:r>
          </w:p>
        </w:tc>
        <w:tc>
          <w:tcPr>
            <w:tcW w:type="dxa" w:w="1560"/>
          </w:tcPr>
          <w:p>
            <w:r>
              <w:t xml:space="preserve">Tubes, welded, other non-circular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US-2B-152</w:t>
            </w:r>
          </w:p>
        </w:tc>
        <w:tc>
          <w:tcPr>
            <w:tcW w:type="dxa" w:w="1560"/>
          </w:tcPr>
          <w:p>
            <w:r>
              <w:t xml:space="preserve">7306.90</w:t>
            </w:r>
          </w:p>
        </w:tc>
        <w:tc>
          <w:tcPr>
            <w:tcW w:type="dxa" w:w="1560"/>
          </w:tcPr>
          <w:p>
            <w:r>
              <w:t xml:space="preserve">Tubes of iron or steel,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US-2B-153</w:t>
            </w:r>
          </w:p>
        </w:tc>
        <w:tc>
          <w:tcPr>
            <w:tcW w:type="dxa" w:w="1560"/>
          </w:tcPr>
          <w:p>
            <w:r>
              <w:t xml:space="preserve">7318.11</w:t>
            </w:r>
          </w:p>
        </w:tc>
        <w:tc>
          <w:tcPr>
            <w:tcW w:type="dxa" w:w="1560"/>
          </w:tcPr>
          <w:p>
            <w:r>
              <w:t xml:space="preserve">Coach screws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US-2B-154</w:t>
            </w:r>
          </w:p>
        </w:tc>
        <w:tc>
          <w:tcPr>
            <w:tcW w:type="dxa" w:w="1560"/>
          </w:tcPr>
          <w:p>
            <w:r>
              <w:t xml:space="preserve">7318.12</w:t>
            </w:r>
          </w:p>
        </w:tc>
        <w:tc>
          <w:tcPr>
            <w:tcW w:type="dxa" w:w="1560"/>
          </w:tcPr>
          <w:p>
            <w:r>
              <w:t xml:space="preserve">Wood screws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US-2B-155</w:t>
            </w:r>
          </w:p>
        </w:tc>
        <w:tc>
          <w:tcPr>
            <w:tcW w:type="dxa" w:w="1560"/>
          </w:tcPr>
          <w:p>
            <w:r>
              <w:t xml:space="preserve">7318.13</w:t>
            </w:r>
          </w:p>
        </w:tc>
        <w:tc>
          <w:tcPr>
            <w:tcW w:type="dxa" w:w="1560"/>
          </w:tcPr>
          <w:p>
            <w:r>
              <w:t xml:space="preserve">Screw hooks and rings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US-2B-156</w:t>
            </w:r>
          </w:p>
        </w:tc>
        <w:tc>
          <w:tcPr>
            <w:tcW w:type="dxa" w:w="1560"/>
          </w:tcPr>
          <w:p>
            <w:r>
              <w:t xml:space="preserve">7318.14</w:t>
            </w:r>
          </w:p>
        </w:tc>
        <w:tc>
          <w:tcPr>
            <w:tcW w:type="dxa" w:w="1560"/>
          </w:tcPr>
          <w:p>
            <w:r>
              <w:t xml:space="preserve">Self-tapping screws</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US-2B-157</w:t>
            </w:r>
          </w:p>
        </w:tc>
        <w:tc>
          <w:tcPr>
            <w:tcW w:type="dxa" w:w="1560"/>
          </w:tcPr>
          <w:p>
            <w:r>
              <w:t xml:space="preserve">7318.15</w:t>
            </w:r>
          </w:p>
        </w:tc>
        <w:tc>
          <w:tcPr>
            <w:tcW w:type="dxa" w:w="1560"/>
          </w:tcPr>
          <w:p>
            <w:r>
              <w:t xml:space="preserve">Bolts and screws with hexagon head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US-2B-158</w:t>
            </w:r>
          </w:p>
        </w:tc>
        <w:tc>
          <w:tcPr>
            <w:tcW w:type="dxa" w:w="1560"/>
          </w:tcPr>
          <w:p>
            <w:r>
              <w:t xml:space="preserve">7318.16</w:t>
            </w:r>
          </w:p>
        </w:tc>
        <w:tc>
          <w:tcPr>
            <w:tcW w:type="dxa" w:w="1560"/>
          </w:tcPr>
          <w:p>
            <w:r>
              <w:t xml:space="preserve">Nuts with hexagon head</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US-2B-159</w:t>
            </w:r>
          </w:p>
        </w:tc>
        <w:tc>
          <w:tcPr>
            <w:tcW w:type="dxa" w:w="1560"/>
          </w:tcPr>
          <w:p>
            <w:r>
              <w:t xml:space="preserve">7318.91</w:t>
            </w:r>
          </w:p>
        </w:tc>
        <w:tc>
          <w:tcPr>
            <w:tcW w:type="dxa" w:w="1560"/>
          </w:tcPr>
          <w:p>
            <w:r>
              <w:t xml:space="preserve">Threaded articles, other</w:t>
            </w:r>
          </w:p>
        </w:tc>
        <w:tc>
          <w:tcPr>
            <w:tcW w:type="dxa" w:w="1560"/>
          </w:tcPr>
          <w:p>
            <w:r>
              <w:t xml:space="preserve">Proc. 10896 (as am. June 3, 2025)</w:t>
            </w:r>
          </w:p>
        </w:tc>
        <w:tc>
          <w:tcPr>
            <w:tcW w:type="dxa" w:w="1560"/>
          </w:tcPr>
          <w:p>
            <w:r>
              <w:t xml:space="preserve">50% — 2025-06-04</w:t>
            </w:r>
          </w:p>
        </w:tc>
        <w:tc>
          <w:tcPr>
            <w:tcW w:type="dxa" w:w="1560"/>
          </w:tcPr>
          <w:p>
            <w:r>
              <w:t xml:space="preserve">V</w:t>
            </w:r>
          </w:p>
        </w:tc>
      </w:tr>
      <w:tr>
        <w:tc>
          <w:tcPr>
            <w:tcW w:type="dxa" w:w="1560"/>
          </w:tcPr>
          <w:p>
            <w:r>
              <w:t xml:space="preserve">US-2B-160</w:t>
            </w:r>
          </w:p>
        </w:tc>
        <w:tc>
          <w:tcPr>
            <w:tcW w:type="dxa" w:w="1560"/>
          </w:tcPr>
          <w:p>
            <w:r>
              <w:t xml:space="preserve">7601.10</w:t>
            </w:r>
          </w:p>
        </w:tc>
        <w:tc>
          <w:tcPr>
            <w:tcW w:type="dxa" w:w="1560"/>
          </w:tcPr>
          <w:p>
            <w:r>
              <w:t xml:space="preserve">Aluminum, unwrought, &gt;=99.95%</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US-2B-161</w:t>
            </w:r>
          </w:p>
        </w:tc>
        <w:tc>
          <w:tcPr>
            <w:tcW w:type="dxa" w:w="1560"/>
          </w:tcPr>
          <w:p>
            <w:r>
              <w:t xml:space="preserve">7601.20</w:t>
            </w:r>
          </w:p>
        </w:tc>
        <w:tc>
          <w:tcPr>
            <w:tcW w:type="dxa" w:w="1560"/>
          </w:tcPr>
          <w:p>
            <w:r>
              <w:t xml:space="preserve">Aluminum alloys, unwrought</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US-2B-162</w:t>
            </w:r>
          </w:p>
        </w:tc>
        <w:tc>
          <w:tcPr>
            <w:tcW w:type="dxa" w:w="1560"/>
          </w:tcPr>
          <w:p>
            <w:r>
              <w:t xml:space="preserve">7602.00</w:t>
            </w:r>
          </w:p>
        </w:tc>
        <w:tc>
          <w:tcPr>
            <w:tcW w:type="dxa" w:w="1560"/>
          </w:tcPr>
          <w:p>
            <w:r>
              <w:t xml:space="preserve">Aluminum waste and scrap</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US-2B-163</w:t>
            </w:r>
          </w:p>
        </w:tc>
        <w:tc>
          <w:tcPr>
            <w:tcW w:type="dxa" w:w="1560"/>
          </w:tcPr>
          <w:p>
            <w:r>
              <w:t xml:space="preserve">7603.10</w:t>
            </w:r>
          </w:p>
        </w:tc>
        <w:tc>
          <w:tcPr>
            <w:tcW w:type="dxa" w:w="1560"/>
          </w:tcPr>
          <w:p>
            <w:r>
              <w:t xml:space="preserve">Aluminum powders</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US-2B-164</w:t>
            </w:r>
          </w:p>
        </w:tc>
        <w:tc>
          <w:tcPr>
            <w:tcW w:type="dxa" w:w="1560"/>
          </w:tcPr>
          <w:p>
            <w:r>
              <w:t xml:space="preserve">7604.10</w:t>
            </w:r>
          </w:p>
        </w:tc>
        <w:tc>
          <w:tcPr>
            <w:tcW w:type="dxa" w:w="1560"/>
          </w:tcPr>
          <w:p>
            <w:r>
              <w:t xml:space="preserve">Bars, rods and profiles of aluminum, not hollow</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US-2B-165</w:t>
            </w:r>
          </w:p>
        </w:tc>
        <w:tc>
          <w:tcPr>
            <w:tcW w:type="dxa" w:w="1560"/>
          </w:tcPr>
          <w:p>
            <w:r>
              <w:t xml:space="preserve">7604.21</w:t>
            </w:r>
          </w:p>
        </w:tc>
        <w:tc>
          <w:tcPr>
            <w:tcW w:type="dxa" w:w="1560"/>
          </w:tcPr>
          <w:p>
            <w:r>
              <w:t xml:space="preserve">Hollow profiles of aluminum</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US-2B-166</w:t>
            </w:r>
          </w:p>
        </w:tc>
        <w:tc>
          <w:tcPr>
            <w:tcW w:type="dxa" w:w="1560"/>
          </w:tcPr>
          <w:p>
            <w:r>
              <w:t xml:space="preserve">7604.29</w:t>
            </w:r>
          </w:p>
        </w:tc>
        <w:tc>
          <w:tcPr>
            <w:tcW w:type="dxa" w:w="1560"/>
          </w:tcPr>
          <w:p>
            <w:r>
              <w:t xml:space="preserve">Hollow profiles, alloyed</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US-2B-167</w:t>
            </w:r>
          </w:p>
        </w:tc>
        <w:tc>
          <w:tcPr>
            <w:tcW w:type="dxa" w:w="1560"/>
          </w:tcPr>
          <w:p>
            <w:r>
              <w:t xml:space="preserve">7605.11</w:t>
            </w:r>
          </w:p>
        </w:tc>
        <w:tc>
          <w:tcPr>
            <w:tcW w:type="dxa" w:w="1560"/>
          </w:tcPr>
          <w:p>
            <w:r>
              <w:t xml:space="preserve">Wire of aluminum, with steel core</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US-2B-168</w:t>
            </w:r>
          </w:p>
        </w:tc>
        <w:tc>
          <w:tcPr>
            <w:tcW w:type="dxa" w:w="1560"/>
          </w:tcPr>
          <w:p>
            <w:r>
              <w:t xml:space="preserve">7605.19</w:t>
            </w:r>
          </w:p>
        </w:tc>
        <w:tc>
          <w:tcPr>
            <w:tcW w:type="dxa" w:w="1560"/>
          </w:tcPr>
          <w:p>
            <w:r>
              <w:t xml:space="preserve">Wire of aluminum, other</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US-2B-169</w:t>
            </w:r>
          </w:p>
        </w:tc>
        <w:tc>
          <w:tcPr>
            <w:tcW w:type="dxa" w:w="1560"/>
          </w:tcPr>
          <w:p>
            <w:r>
              <w:t xml:space="preserve">7605.21</w:t>
            </w:r>
          </w:p>
        </w:tc>
        <w:tc>
          <w:tcPr>
            <w:tcW w:type="dxa" w:w="1560"/>
          </w:tcPr>
          <w:p>
            <w:r>
              <w:t xml:space="preserve">Wire of aluminum, alloyed, &lt;=7mm</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US-2B-170</w:t>
            </w:r>
          </w:p>
        </w:tc>
        <w:tc>
          <w:tcPr>
            <w:tcW w:type="dxa" w:w="1560"/>
          </w:tcPr>
          <w:p>
            <w:r>
              <w:t xml:space="preserve">7605.29</w:t>
            </w:r>
          </w:p>
        </w:tc>
        <w:tc>
          <w:tcPr>
            <w:tcW w:type="dxa" w:w="1560"/>
          </w:tcPr>
          <w:p>
            <w:r>
              <w:t xml:space="preserve">Wire of aluminum, alloyed, other</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US-2B-171</w:t>
            </w:r>
          </w:p>
        </w:tc>
        <w:tc>
          <w:tcPr>
            <w:tcW w:type="dxa" w:w="1560"/>
          </w:tcPr>
          <w:p>
            <w:r>
              <w:t xml:space="preserve">7606.11</w:t>
            </w:r>
          </w:p>
        </w:tc>
        <w:tc>
          <w:tcPr>
            <w:tcW w:type="dxa" w:w="1560"/>
          </w:tcPr>
          <w:p>
            <w:r>
              <w:t xml:space="preserve">Plates and sheets of aluminum, rectangular, coiled</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US-2B-172</w:t>
            </w:r>
          </w:p>
        </w:tc>
        <w:tc>
          <w:tcPr>
            <w:tcW w:type="dxa" w:w="1560"/>
          </w:tcPr>
          <w:p>
            <w:r>
              <w:t xml:space="preserve">7606.12</w:t>
            </w:r>
          </w:p>
        </w:tc>
        <w:tc>
          <w:tcPr>
            <w:tcW w:type="dxa" w:w="1560"/>
          </w:tcPr>
          <w:p>
            <w:r>
              <w:t xml:space="preserve">Plates and sheets of aluminum, rectangular</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US-2B-173</w:t>
            </w:r>
          </w:p>
        </w:tc>
        <w:tc>
          <w:tcPr>
            <w:tcW w:type="dxa" w:w="1560"/>
          </w:tcPr>
          <w:p>
            <w:r>
              <w:t xml:space="preserve">7606.91</w:t>
            </w:r>
          </w:p>
        </w:tc>
        <w:tc>
          <w:tcPr>
            <w:tcW w:type="dxa" w:w="1560"/>
          </w:tcPr>
          <w:p>
            <w:r>
              <w:t xml:space="preserve">Plates and sheets of aluminum, other, coiled</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US-2B-174</w:t>
            </w:r>
          </w:p>
        </w:tc>
        <w:tc>
          <w:tcPr>
            <w:tcW w:type="dxa" w:w="1560"/>
          </w:tcPr>
          <w:p>
            <w:r>
              <w:t xml:space="preserve">7606.92</w:t>
            </w:r>
          </w:p>
        </w:tc>
        <w:tc>
          <w:tcPr>
            <w:tcW w:type="dxa" w:w="1560"/>
          </w:tcPr>
          <w:p>
            <w:r>
              <w:t xml:space="preserve">Plates and sheets of aluminum, other</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US-2B-175</w:t>
            </w:r>
          </w:p>
        </w:tc>
        <w:tc>
          <w:tcPr>
            <w:tcW w:type="dxa" w:w="1560"/>
          </w:tcPr>
          <w:p>
            <w:r>
              <w:t xml:space="preserve">7607.11</w:t>
            </w:r>
          </w:p>
        </w:tc>
        <w:tc>
          <w:tcPr>
            <w:tcW w:type="dxa" w:w="1560"/>
          </w:tcPr>
          <w:p>
            <w:r>
              <w:t xml:space="preserve">Foil of aluminum, &lt;=0.2mm, backed</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US-2B-176</w:t>
            </w:r>
          </w:p>
        </w:tc>
        <w:tc>
          <w:tcPr>
            <w:tcW w:type="dxa" w:w="1560"/>
          </w:tcPr>
          <w:p>
            <w:r>
              <w:t xml:space="preserve">7607.19</w:t>
            </w:r>
          </w:p>
        </w:tc>
        <w:tc>
          <w:tcPr>
            <w:tcW w:type="dxa" w:w="1560"/>
          </w:tcPr>
          <w:p>
            <w:r>
              <w:t xml:space="preserve">Foil of aluminum, &lt;=0.2mm, not backed</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US-2B-177</w:t>
            </w:r>
          </w:p>
        </w:tc>
        <w:tc>
          <w:tcPr>
            <w:tcW w:type="dxa" w:w="1560"/>
          </w:tcPr>
          <w:p>
            <w:r>
              <w:t xml:space="preserve">7607.20</w:t>
            </w:r>
          </w:p>
        </w:tc>
        <w:tc>
          <w:tcPr>
            <w:tcW w:type="dxa" w:w="1560"/>
          </w:tcPr>
          <w:p>
            <w:r>
              <w:t xml:space="preserve">Foil of aluminum, backed</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US-2B-178</w:t>
            </w:r>
          </w:p>
        </w:tc>
        <w:tc>
          <w:tcPr>
            <w:tcW w:type="dxa" w:w="1560"/>
          </w:tcPr>
          <w:p>
            <w:r>
              <w:t xml:space="preserve">7608.10</w:t>
            </w:r>
          </w:p>
        </w:tc>
        <w:tc>
          <w:tcPr>
            <w:tcW w:type="dxa" w:w="1560"/>
          </w:tcPr>
          <w:p>
            <w:r>
              <w:t xml:space="preserve">Tubes of aluminum, welded</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US-2B-179</w:t>
            </w:r>
          </w:p>
        </w:tc>
        <w:tc>
          <w:tcPr>
            <w:tcW w:type="dxa" w:w="1560"/>
          </w:tcPr>
          <w:p>
            <w:r>
              <w:t xml:space="preserve">7608.20</w:t>
            </w:r>
          </w:p>
        </w:tc>
        <w:tc>
          <w:tcPr>
            <w:tcW w:type="dxa" w:w="1560"/>
          </w:tcPr>
          <w:p>
            <w:r>
              <w:t xml:space="preserve">Tubes of aluminum, other</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US-2B-180</w:t>
            </w:r>
          </w:p>
        </w:tc>
        <w:tc>
          <w:tcPr>
            <w:tcW w:type="dxa" w:w="1560"/>
          </w:tcPr>
          <w:p>
            <w:r>
              <w:t xml:space="preserve">7609.00</w:t>
            </w:r>
          </w:p>
        </w:tc>
        <w:tc>
          <w:tcPr>
            <w:tcW w:type="dxa" w:w="1560"/>
          </w:tcPr>
          <w:p>
            <w:r>
              <w:t xml:space="preserve">Tube and pipe fittings of aluminum</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US-2B-181</w:t>
            </w:r>
          </w:p>
        </w:tc>
        <w:tc>
          <w:tcPr>
            <w:tcW w:type="dxa" w:w="1560"/>
          </w:tcPr>
          <w:p>
            <w:r>
              <w:t xml:space="preserve">7610.10</w:t>
            </w:r>
          </w:p>
        </w:tc>
        <w:tc>
          <w:tcPr>
            <w:tcW w:type="dxa" w:w="1560"/>
          </w:tcPr>
          <w:p>
            <w:r>
              <w:t xml:space="preserve">Doors, windows and frames of aluminum</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US-2B-182</w:t>
            </w:r>
          </w:p>
        </w:tc>
        <w:tc>
          <w:tcPr>
            <w:tcW w:type="dxa" w:w="1560"/>
          </w:tcPr>
          <w:p>
            <w:r>
              <w:t xml:space="preserve">7610.90</w:t>
            </w:r>
          </w:p>
        </w:tc>
        <w:tc>
          <w:tcPr>
            <w:tcW w:type="dxa" w:w="1560"/>
          </w:tcPr>
          <w:p>
            <w:r>
              <w:t xml:space="preserve">Aluminum structures, other</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US-2B-183</w:t>
            </w:r>
          </w:p>
        </w:tc>
        <w:tc>
          <w:tcPr>
            <w:tcW w:type="dxa" w:w="1560"/>
          </w:tcPr>
          <w:p>
            <w:r>
              <w:t xml:space="preserve">7611.00</w:t>
            </w:r>
          </w:p>
        </w:tc>
        <w:tc>
          <w:tcPr>
            <w:tcW w:type="dxa" w:w="1560"/>
          </w:tcPr>
          <w:p>
            <w:r>
              <w:t xml:space="preserve">Reservoirs and tanks &gt;300L</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US-2B-184</w:t>
            </w:r>
          </w:p>
        </w:tc>
        <w:tc>
          <w:tcPr>
            <w:tcW w:type="dxa" w:w="1560"/>
          </w:tcPr>
          <w:p>
            <w:r>
              <w:t xml:space="preserve">7612.10</w:t>
            </w:r>
          </w:p>
        </w:tc>
        <w:tc>
          <w:tcPr>
            <w:tcW w:type="dxa" w:w="1560"/>
          </w:tcPr>
          <w:p>
            <w:r>
              <w:t xml:space="preserve">Collapsible tubular containers</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US-2B-185</w:t>
            </w:r>
          </w:p>
        </w:tc>
        <w:tc>
          <w:tcPr>
            <w:tcW w:type="dxa" w:w="1560"/>
          </w:tcPr>
          <w:p>
            <w:r>
              <w:t xml:space="preserve">7612.90</w:t>
            </w:r>
          </w:p>
        </w:tc>
        <w:tc>
          <w:tcPr>
            <w:tcW w:type="dxa" w:w="1560"/>
          </w:tcPr>
          <w:p>
            <w:r>
              <w:t xml:space="preserve">Aluminum containers, other</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US-2B-186</w:t>
            </w:r>
          </w:p>
        </w:tc>
        <w:tc>
          <w:tcPr>
            <w:tcW w:type="dxa" w:w="1560"/>
          </w:tcPr>
          <w:p>
            <w:r>
              <w:t xml:space="preserve">7613.00</w:t>
            </w:r>
          </w:p>
        </w:tc>
        <w:tc>
          <w:tcPr>
            <w:tcW w:type="dxa" w:w="1560"/>
          </w:tcPr>
          <w:p>
            <w:r>
              <w:t xml:space="preserve">Containers for compressed gas</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US-2B-187</w:t>
            </w:r>
          </w:p>
        </w:tc>
        <w:tc>
          <w:tcPr>
            <w:tcW w:type="dxa" w:w="1560"/>
          </w:tcPr>
          <w:p>
            <w:r>
              <w:t xml:space="preserve">7614.10</w:t>
            </w:r>
          </w:p>
        </w:tc>
        <w:tc>
          <w:tcPr>
            <w:tcW w:type="dxa" w:w="1560"/>
          </w:tcPr>
          <w:p>
            <w:r>
              <w:t xml:space="preserve">Stranded wire of aluminum, with steel core</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US-2B-188</w:t>
            </w:r>
          </w:p>
        </w:tc>
        <w:tc>
          <w:tcPr>
            <w:tcW w:type="dxa" w:w="1560"/>
          </w:tcPr>
          <w:p>
            <w:r>
              <w:t xml:space="preserve">7614.90</w:t>
            </w:r>
          </w:p>
        </w:tc>
        <w:tc>
          <w:tcPr>
            <w:tcW w:type="dxa" w:w="1560"/>
          </w:tcPr>
          <w:p>
            <w:r>
              <w:t xml:space="preserve">Stranded wire of aluminum, other</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US-2B-189</w:t>
            </w:r>
          </w:p>
        </w:tc>
        <w:tc>
          <w:tcPr>
            <w:tcW w:type="dxa" w:w="1560"/>
          </w:tcPr>
          <w:p>
            <w:r>
              <w:t xml:space="preserve">7615.10</w:t>
            </w:r>
          </w:p>
        </w:tc>
        <w:tc>
          <w:tcPr>
            <w:tcW w:type="dxa" w:w="1560"/>
          </w:tcPr>
          <w:p>
            <w:r>
              <w:t xml:space="preserve">Kitchenware and tableware of aluminum</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US-2B-190</w:t>
            </w:r>
          </w:p>
        </w:tc>
        <w:tc>
          <w:tcPr>
            <w:tcW w:type="dxa" w:w="1560"/>
          </w:tcPr>
          <w:p>
            <w:r>
              <w:t xml:space="preserve">7615.20</w:t>
            </w:r>
          </w:p>
        </w:tc>
        <w:tc>
          <w:tcPr>
            <w:tcW w:type="dxa" w:w="1560"/>
          </w:tcPr>
          <w:p>
            <w:r>
              <w:t xml:space="preserve">Sanitary ware of aluminum</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US-2B-191</w:t>
            </w:r>
          </w:p>
        </w:tc>
        <w:tc>
          <w:tcPr>
            <w:tcW w:type="dxa" w:w="1560"/>
          </w:tcPr>
          <w:p>
            <w:r>
              <w:t xml:space="preserve">7616.10</w:t>
            </w:r>
          </w:p>
        </w:tc>
        <w:tc>
          <w:tcPr>
            <w:tcW w:type="dxa" w:w="1560"/>
          </w:tcPr>
          <w:p>
            <w:r>
              <w:t xml:space="preserve">Nails of aluminum</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US-2B-192</w:t>
            </w:r>
          </w:p>
        </w:tc>
        <w:tc>
          <w:tcPr>
            <w:tcW w:type="dxa" w:w="1560"/>
          </w:tcPr>
          <w:p>
            <w:r>
              <w:t xml:space="preserve">7616.91</w:t>
            </w:r>
          </w:p>
        </w:tc>
        <w:tc>
          <w:tcPr>
            <w:tcW w:type="dxa" w:w="1560"/>
          </w:tcPr>
          <w:p>
            <w:r>
              <w:t xml:space="preserve">Cloth, grill and netting of aluminum</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US-2B-193</w:t>
            </w:r>
          </w:p>
        </w:tc>
        <w:tc>
          <w:tcPr>
            <w:tcW w:type="dxa" w:w="1560"/>
          </w:tcPr>
          <w:p>
            <w:r>
              <w:t xml:space="preserve">7616.99</w:t>
            </w:r>
          </w:p>
        </w:tc>
        <w:tc>
          <w:tcPr>
            <w:tcW w:type="dxa" w:w="1560"/>
          </w:tcPr>
          <w:p>
            <w:r>
              <w:t xml:space="preserve">Aluminum articles, other</w:t>
            </w:r>
          </w:p>
        </w:tc>
        <w:tc>
          <w:tcPr>
            <w:tcW w:type="dxa" w:w="1560"/>
          </w:tcPr>
          <w:p>
            <w:r>
              <w:t xml:space="preserve">Proc. 10895 (as am. June 3, 2025)</w:t>
            </w:r>
          </w:p>
        </w:tc>
        <w:tc>
          <w:tcPr>
            <w:tcW w:type="dxa" w:w="1560"/>
          </w:tcPr>
          <w:p>
            <w:r>
              <w:t xml:space="preserve">50% — 2025-06-04</w:t>
            </w:r>
          </w:p>
        </w:tc>
        <w:tc>
          <w:tcPr>
            <w:tcW w:type="dxa" w:w="1560"/>
          </w:tcPr>
          <w:p>
            <w:r>
              <w:t xml:space="preserve">V</w:t>
            </w:r>
          </w:p>
        </w:tc>
      </w:tr>
      <w:tr>
        <w:tc>
          <w:tcPr>
            <w:tcW w:type="dxa" w:w="1560"/>
          </w:tcPr>
          <w:p>
            <w:r>
              <w:t xml:space="preserve">US-2B-194</w:t>
            </w:r>
          </w:p>
        </w:tc>
        <w:tc>
          <w:tcPr>
            <w:tcW w:type="dxa" w:w="1560"/>
          </w:tcPr>
          <w:p>
            <w:r>
              <w:t xml:space="preserve">8703.10</w:t>
            </w:r>
          </w:p>
        </w:tc>
        <w:tc>
          <w:tcPr>
            <w:tcW w:type="dxa" w:w="1560"/>
          </w:tcPr>
          <w:p>
            <w:r>
              <w:t xml:space="preserve">Vehicles, electric with internal combustion motor</w:t>
            </w:r>
          </w:p>
        </w:tc>
        <w:tc>
          <w:tcPr>
            <w:tcW w:type="dxa" w:w="1560"/>
          </w:tcPr>
          <w:p>
            <w:r>
              <w:t xml:space="preserve">Proc. 10908 (90 FR 14705)</w:t>
            </w:r>
          </w:p>
        </w:tc>
        <w:tc>
          <w:tcPr>
            <w:tcW w:type="dxa" w:w="1560"/>
          </w:tcPr>
          <w:p>
            <w:r>
              <w:t xml:space="preserve">25% — 2025-04-03</w:t>
            </w:r>
          </w:p>
        </w:tc>
        <w:tc>
          <w:tcPr>
            <w:tcW w:type="dxa" w:w="1560"/>
          </w:tcPr>
          <w:p>
            <w:r>
              <w:t xml:space="preserve">V</w:t>
            </w:r>
          </w:p>
        </w:tc>
      </w:tr>
      <w:tr>
        <w:tc>
          <w:tcPr>
            <w:tcW w:type="dxa" w:w="1560"/>
          </w:tcPr>
          <w:p>
            <w:r>
              <w:t xml:space="preserve">US-2B-195</w:t>
            </w:r>
          </w:p>
        </w:tc>
        <w:tc>
          <w:tcPr>
            <w:tcW w:type="dxa" w:w="1560"/>
          </w:tcPr>
          <w:p>
            <w:r>
              <w:t xml:space="preserve">8703.21</w:t>
            </w:r>
          </w:p>
        </w:tc>
        <w:tc>
          <w:tcPr>
            <w:tcW w:type="dxa" w:w="1560"/>
          </w:tcPr>
          <w:p>
            <w:r>
              <w:t xml:space="preserve">Vehicles, spark ignition &lt;=1000cc</w:t>
            </w:r>
          </w:p>
        </w:tc>
        <w:tc>
          <w:tcPr>
            <w:tcW w:type="dxa" w:w="1560"/>
          </w:tcPr>
          <w:p>
            <w:r>
              <w:t xml:space="preserve">Proc. 10908 (90 FR 14705)</w:t>
            </w:r>
          </w:p>
        </w:tc>
        <w:tc>
          <w:tcPr>
            <w:tcW w:type="dxa" w:w="1560"/>
          </w:tcPr>
          <w:p>
            <w:r>
              <w:t xml:space="preserve">25% — 2025-04-03</w:t>
            </w:r>
          </w:p>
        </w:tc>
        <w:tc>
          <w:tcPr>
            <w:tcW w:type="dxa" w:w="1560"/>
          </w:tcPr>
          <w:p>
            <w:r>
              <w:t xml:space="preserve">V</w:t>
            </w:r>
          </w:p>
        </w:tc>
      </w:tr>
      <w:tr>
        <w:tc>
          <w:tcPr>
            <w:tcW w:type="dxa" w:w="1560"/>
          </w:tcPr>
          <w:p>
            <w:r>
              <w:t xml:space="preserve">US-2B-196</w:t>
            </w:r>
          </w:p>
        </w:tc>
        <w:tc>
          <w:tcPr>
            <w:tcW w:type="dxa" w:w="1560"/>
          </w:tcPr>
          <w:p>
            <w:r>
              <w:t xml:space="preserve">8703.22</w:t>
            </w:r>
          </w:p>
        </w:tc>
        <w:tc>
          <w:tcPr>
            <w:tcW w:type="dxa" w:w="1560"/>
          </w:tcPr>
          <w:p>
            <w:r>
              <w:t xml:space="preserve">Vehicles, spark ignition 1000-1500cc</w:t>
            </w:r>
          </w:p>
        </w:tc>
        <w:tc>
          <w:tcPr>
            <w:tcW w:type="dxa" w:w="1560"/>
          </w:tcPr>
          <w:p>
            <w:r>
              <w:t xml:space="preserve">Proc. 10908 (90 FR 14705)</w:t>
            </w:r>
          </w:p>
        </w:tc>
        <w:tc>
          <w:tcPr>
            <w:tcW w:type="dxa" w:w="1560"/>
          </w:tcPr>
          <w:p>
            <w:r>
              <w:t xml:space="preserve">25% — 2025-04-03</w:t>
            </w:r>
          </w:p>
        </w:tc>
        <w:tc>
          <w:tcPr>
            <w:tcW w:type="dxa" w:w="1560"/>
          </w:tcPr>
          <w:p>
            <w:r>
              <w:t xml:space="preserve">V</w:t>
            </w:r>
          </w:p>
        </w:tc>
      </w:tr>
      <w:tr>
        <w:tc>
          <w:tcPr>
            <w:tcW w:type="dxa" w:w="1560"/>
          </w:tcPr>
          <w:p>
            <w:r>
              <w:t xml:space="preserve">US-2B-197</w:t>
            </w:r>
          </w:p>
        </w:tc>
        <w:tc>
          <w:tcPr>
            <w:tcW w:type="dxa" w:w="1560"/>
          </w:tcPr>
          <w:p>
            <w:r>
              <w:t xml:space="preserve">8703.23</w:t>
            </w:r>
          </w:p>
        </w:tc>
        <w:tc>
          <w:tcPr>
            <w:tcW w:type="dxa" w:w="1560"/>
          </w:tcPr>
          <w:p>
            <w:r>
              <w:t xml:space="preserve">Vehicles, spark ignition 1500-3000cc</w:t>
            </w:r>
          </w:p>
        </w:tc>
        <w:tc>
          <w:tcPr>
            <w:tcW w:type="dxa" w:w="1560"/>
          </w:tcPr>
          <w:p>
            <w:r>
              <w:t xml:space="preserve">Proc. 10908 (90 FR 14705)</w:t>
            </w:r>
          </w:p>
        </w:tc>
        <w:tc>
          <w:tcPr>
            <w:tcW w:type="dxa" w:w="1560"/>
          </w:tcPr>
          <w:p>
            <w:r>
              <w:t xml:space="preserve">25% — 2025-04-03</w:t>
            </w:r>
          </w:p>
        </w:tc>
        <w:tc>
          <w:tcPr>
            <w:tcW w:type="dxa" w:w="1560"/>
          </w:tcPr>
          <w:p>
            <w:r>
              <w:t xml:space="preserve">V</w:t>
            </w:r>
          </w:p>
        </w:tc>
      </w:tr>
      <w:tr>
        <w:tc>
          <w:tcPr>
            <w:tcW w:type="dxa" w:w="1560"/>
          </w:tcPr>
          <w:p>
            <w:r>
              <w:t xml:space="preserve">US-2B-198</w:t>
            </w:r>
          </w:p>
        </w:tc>
        <w:tc>
          <w:tcPr>
            <w:tcW w:type="dxa" w:w="1560"/>
          </w:tcPr>
          <w:p>
            <w:r>
              <w:t xml:space="preserve">8703.24</w:t>
            </w:r>
          </w:p>
        </w:tc>
        <w:tc>
          <w:tcPr>
            <w:tcW w:type="dxa" w:w="1560"/>
          </w:tcPr>
          <w:p>
            <w:r>
              <w:t xml:space="preserve">Vehicles, spark ignition &gt;3000cc</w:t>
            </w:r>
          </w:p>
        </w:tc>
        <w:tc>
          <w:tcPr>
            <w:tcW w:type="dxa" w:w="1560"/>
          </w:tcPr>
          <w:p>
            <w:r>
              <w:t xml:space="preserve">Proc. 10908 (90 FR 14705)</w:t>
            </w:r>
          </w:p>
        </w:tc>
        <w:tc>
          <w:tcPr>
            <w:tcW w:type="dxa" w:w="1560"/>
          </w:tcPr>
          <w:p>
            <w:r>
              <w:t xml:space="preserve">25% — 2025-04-03</w:t>
            </w:r>
          </w:p>
        </w:tc>
        <w:tc>
          <w:tcPr>
            <w:tcW w:type="dxa" w:w="1560"/>
          </w:tcPr>
          <w:p>
            <w:r>
              <w:t xml:space="preserve">V</w:t>
            </w:r>
          </w:p>
        </w:tc>
      </w:tr>
      <w:tr>
        <w:tc>
          <w:tcPr>
            <w:tcW w:type="dxa" w:w="1560"/>
          </w:tcPr>
          <w:p>
            <w:r>
              <w:t xml:space="preserve">US-2B-199</w:t>
            </w:r>
          </w:p>
        </w:tc>
        <w:tc>
          <w:tcPr>
            <w:tcW w:type="dxa" w:w="1560"/>
          </w:tcPr>
          <w:p>
            <w:r>
              <w:t xml:space="preserve">8703.40</w:t>
            </w:r>
          </w:p>
        </w:tc>
        <w:tc>
          <w:tcPr>
            <w:tcW w:type="dxa" w:w="1560"/>
          </w:tcPr>
          <w:p>
            <w:r>
              <w:t xml:space="preserve">Vehicles, diesel &lt;=1500cc</w:t>
            </w:r>
          </w:p>
        </w:tc>
        <w:tc>
          <w:tcPr>
            <w:tcW w:type="dxa" w:w="1560"/>
          </w:tcPr>
          <w:p>
            <w:r>
              <w:t xml:space="preserve">Proc. 10908 (90 FR 14705)</w:t>
            </w:r>
          </w:p>
        </w:tc>
        <w:tc>
          <w:tcPr>
            <w:tcW w:type="dxa" w:w="1560"/>
          </w:tcPr>
          <w:p>
            <w:r>
              <w:t xml:space="preserve">25% — 2025-04-03</w:t>
            </w:r>
          </w:p>
        </w:tc>
        <w:tc>
          <w:tcPr>
            <w:tcW w:type="dxa" w:w="1560"/>
          </w:tcPr>
          <w:p>
            <w:r>
              <w:t xml:space="preserve">V</w:t>
            </w:r>
          </w:p>
        </w:tc>
      </w:tr>
      <w:tr>
        <w:tc>
          <w:tcPr>
            <w:tcW w:type="dxa" w:w="1560"/>
          </w:tcPr>
          <w:p>
            <w:r>
              <w:t xml:space="preserve">US-2B-200</w:t>
            </w:r>
          </w:p>
        </w:tc>
        <w:tc>
          <w:tcPr>
            <w:tcW w:type="dxa" w:w="1560"/>
          </w:tcPr>
          <w:p>
            <w:r>
              <w:t xml:space="preserve">8703.50</w:t>
            </w:r>
          </w:p>
        </w:tc>
        <w:tc>
          <w:tcPr>
            <w:tcW w:type="dxa" w:w="1560"/>
          </w:tcPr>
          <w:p>
            <w:r>
              <w:t xml:space="preserve">Vehicles, diesel 1500-2500cc</w:t>
            </w:r>
          </w:p>
        </w:tc>
        <w:tc>
          <w:tcPr>
            <w:tcW w:type="dxa" w:w="1560"/>
          </w:tcPr>
          <w:p>
            <w:r>
              <w:t xml:space="preserve">Proc. 10908 (90 FR 14705)</w:t>
            </w:r>
          </w:p>
        </w:tc>
        <w:tc>
          <w:tcPr>
            <w:tcW w:type="dxa" w:w="1560"/>
          </w:tcPr>
          <w:p>
            <w:r>
              <w:t xml:space="preserve">25% — 2025-04-03</w:t>
            </w:r>
          </w:p>
        </w:tc>
        <w:tc>
          <w:tcPr>
            <w:tcW w:type="dxa" w:w="1560"/>
          </w:tcPr>
          <w:p>
            <w:r>
              <w:t xml:space="preserve">V</w:t>
            </w:r>
          </w:p>
        </w:tc>
      </w:tr>
      <w:tr>
        <w:tc>
          <w:tcPr>
            <w:tcW w:type="dxa" w:w="1560"/>
          </w:tcPr>
          <w:p>
            <w:r>
              <w:t xml:space="preserve">US-2B-201</w:t>
            </w:r>
          </w:p>
        </w:tc>
        <w:tc>
          <w:tcPr>
            <w:tcW w:type="dxa" w:w="1560"/>
          </w:tcPr>
          <w:p>
            <w:r>
              <w:t xml:space="preserve">8703.60</w:t>
            </w:r>
          </w:p>
        </w:tc>
        <w:tc>
          <w:tcPr>
            <w:tcW w:type="dxa" w:w="1560"/>
          </w:tcPr>
          <w:p>
            <w:r>
              <w:t xml:space="preserve">Vehicles, diesel &gt;2500cc</w:t>
            </w:r>
          </w:p>
        </w:tc>
        <w:tc>
          <w:tcPr>
            <w:tcW w:type="dxa" w:w="1560"/>
          </w:tcPr>
          <w:p>
            <w:r>
              <w:t xml:space="preserve">Proc. 10908 (90 FR 14705)</w:t>
            </w:r>
          </w:p>
        </w:tc>
        <w:tc>
          <w:tcPr>
            <w:tcW w:type="dxa" w:w="1560"/>
          </w:tcPr>
          <w:p>
            <w:r>
              <w:t xml:space="preserve">25% — 2025-04-03</w:t>
            </w:r>
          </w:p>
        </w:tc>
        <w:tc>
          <w:tcPr>
            <w:tcW w:type="dxa" w:w="1560"/>
          </w:tcPr>
          <w:p>
            <w:r>
              <w:t xml:space="preserve">V</w:t>
            </w:r>
          </w:p>
        </w:tc>
      </w:tr>
      <w:tr>
        <w:tc>
          <w:tcPr>
            <w:tcW w:type="dxa" w:w="1560"/>
          </w:tcPr>
          <w:p>
            <w:r>
              <w:t xml:space="preserve">US-2B-202</w:t>
            </w:r>
          </w:p>
        </w:tc>
        <w:tc>
          <w:tcPr>
            <w:tcW w:type="dxa" w:w="1560"/>
          </w:tcPr>
          <w:p>
            <w:r>
              <w:t xml:space="preserve">8703.70</w:t>
            </w:r>
          </w:p>
        </w:tc>
        <w:tc>
          <w:tcPr>
            <w:tcW w:type="dxa" w:w="1560"/>
          </w:tcPr>
          <w:p>
            <w:r>
              <w:t xml:space="preserve">Vehicles, electric only</w:t>
            </w:r>
          </w:p>
        </w:tc>
        <w:tc>
          <w:tcPr>
            <w:tcW w:type="dxa" w:w="1560"/>
          </w:tcPr>
          <w:p>
            <w:r>
              <w:t xml:space="preserve">Proc. 10908 (90 FR 14705)</w:t>
            </w:r>
          </w:p>
        </w:tc>
        <w:tc>
          <w:tcPr>
            <w:tcW w:type="dxa" w:w="1560"/>
          </w:tcPr>
          <w:p>
            <w:r>
              <w:t xml:space="preserve">25% — 2025-04-03</w:t>
            </w:r>
          </w:p>
        </w:tc>
        <w:tc>
          <w:tcPr>
            <w:tcW w:type="dxa" w:w="1560"/>
          </w:tcPr>
          <w:p>
            <w:r>
              <w:t xml:space="preserve">V</w:t>
            </w:r>
          </w:p>
        </w:tc>
      </w:tr>
      <w:tr>
        <w:tc>
          <w:tcPr>
            <w:tcW w:type="dxa" w:w="1560"/>
          </w:tcPr>
          <w:p>
            <w:r>
              <w:t xml:space="preserve">US-2B-203</w:t>
            </w:r>
          </w:p>
        </w:tc>
        <w:tc>
          <w:tcPr>
            <w:tcW w:type="dxa" w:w="1560"/>
          </w:tcPr>
          <w:p>
            <w:r>
              <w:t xml:space="preserve">8703.80</w:t>
            </w:r>
          </w:p>
        </w:tc>
        <w:tc>
          <w:tcPr>
            <w:tcW w:type="dxa" w:w="1560"/>
          </w:tcPr>
          <w:p>
            <w:r>
              <w:t xml:space="preserve">Vehicles, electric with other motor</w:t>
            </w:r>
          </w:p>
        </w:tc>
        <w:tc>
          <w:tcPr>
            <w:tcW w:type="dxa" w:w="1560"/>
          </w:tcPr>
          <w:p>
            <w:r>
              <w:t xml:space="preserve">Proc. 10908 (90 FR 14705)</w:t>
            </w:r>
          </w:p>
        </w:tc>
        <w:tc>
          <w:tcPr>
            <w:tcW w:type="dxa" w:w="1560"/>
          </w:tcPr>
          <w:p>
            <w:r>
              <w:t xml:space="preserve">25% — 2025-04-03</w:t>
            </w:r>
          </w:p>
        </w:tc>
        <w:tc>
          <w:tcPr>
            <w:tcW w:type="dxa" w:w="1560"/>
          </w:tcPr>
          <w:p>
            <w:r>
              <w:t xml:space="preserve">V</w:t>
            </w:r>
          </w:p>
        </w:tc>
      </w:tr>
      <w:tr>
        <w:tc>
          <w:tcPr>
            <w:tcW w:type="dxa" w:w="1560"/>
          </w:tcPr>
          <w:p>
            <w:r>
              <w:t xml:space="preserve">US-2B-204</w:t>
            </w:r>
          </w:p>
        </w:tc>
        <w:tc>
          <w:tcPr>
            <w:tcW w:type="dxa" w:w="1560"/>
          </w:tcPr>
          <w:p>
            <w:r>
              <w:t xml:space="preserve">8703.90</w:t>
            </w:r>
          </w:p>
        </w:tc>
        <w:tc>
          <w:tcPr>
            <w:tcW w:type="dxa" w:w="1560"/>
          </w:tcPr>
          <w:p>
            <w:r>
              <w:t xml:space="preserve">Vehicles, other</w:t>
            </w:r>
          </w:p>
        </w:tc>
        <w:tc>
          <w:tcPr>
            <w:tcW w:type="dxa" w:w="1560"/>
          </w:tcPr>
          <w:p>
            <w:r>
              <w:t xml:space="preserve">Proc. 10908 (90 FR 14705)</w:t>
            </w:r>
          </w:p>
        </w:tc>
        <w:tc>
          <w:tcPr>
            <w:tcW w:type="dxa" w:w="1560"/>
          </w:tcPr>
          <w:p>
            <w:r>
              <w:t xml:space="preserve">25% — 2025-04-03</w:t>
            </w:r>
          </w:p>
        </w:tc>
        <w:tc>
          <w:tcPr>
            <w:tcW w:type="dxa" w:w="1560"/>
          </w:tcPr>
          <w:p>
            <w:r>
              <w:t xml:space="preserve">V</w:t>
            </w:r>
          </w:p>
        </w:tc>
      </w:tr>
      <w:tr>
        <w:tc>
          <w:tcPr>
            <w:tcW w:type="dxa" w:w="1560"/>
          </w:tcPr>
          <w:p>
            <w:r>
              <w:t xml:space="preserve">US-2B-205</w:t>
            </w:r>
          </w:p>
        </w:tc>
        <w:tc>
          <w:tcPr>
            <w:tcW w:type="dxa" w:w="1560"/>
          </w:tcPr>
          <w:p>
            <w:r>
              <w:t xml:space="preserve">8708.10</w:t>
            </w:r>
          </w:p>
        </w:tc>
        <w:tc>
          <w:tcPr>
            <w:tcW w:type="dxa" w:w="1560"/>
          </w:tcPr>
          <w:p>
            <w:r>
              <w:t xml:space="preserve">Bumpers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US-2B-206</w:t>
            </w:r>
          </w:p>
        </w:tc>
        <w:tc>
          <w:tcPr>
            <w:tcW w:type="dxa" w:w="1560"/>
          </w:tcPr>
          <w:p>
            <w:r>
              <w:t xml:space="preserve">8708.21</w:t>
            </w:r>
          </w:p>
        </w:tc>
        <w:tc>
          <w:tcPr>
            <w:tcW w:type="dxa" w:w="1560"/>
          </w:tcPr>
          <w:p>
            <w:r>
              <w:t xml:space="preserve">Safety seat belts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US-2B-207</w:t>
            </w:r>
          </w:p>
        </w:tc>
        <w:tc>
          <w:tcPr>
            <w:tcW w:type="dxa" w:w="1560"/>
          </w:tcPr>
          <w:p>
            <w:r>
              <w:t xml:space="preserve">8708.22</w:t>
            </w:r>
          </w:p>
        </w:tc>
        <w:tc>
          <w:tcPr>
            <w:tcW w:type="dxa" w:w="1560"/>
          </w:tcPr>
          <w:p>
            <w:r>
              <w:t xml:space="preserve">Body parts, stamped</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US-2B-208</w:t>
            </w:r>
          </w:p>
        </w:tc>
        <w:tc>
          <w:tcPr>
            <w:tcW w:type="dxa" w:w="1560"/>
          </w:tcPr>
          <w:p>
            <w:r>
              <w:t xml:space="preserve">8708.23</w:t>
            </w:r>
          </w:p>
        </w:tc>
        <w:tc>
          <w:tcPr>
            <w:tcW w:type="dxa" w:w="1560"/>
          </w:tcPr>
          <w:p>
            <w:r>
              <w:t xml:space="preserve">Cabins for tractors and trucks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US-2B-209</w:t>
            </w:r>
          </w:p>
        </w:tc>
        <w:tc>
          <w:tcPr>
            <w:tcW w:type="dxa" w:w="1560"/>
          </w:tcPr>
          <w:p>
            <w:r>
              <w:t xml:space="preserve">8708.24</w:t>
            </w:r>
          </w:p>
        </w:tc>
        <w:tc>
          <w:tcPr>
            <w:tcW w:type="dxa" w:w="1560"/>
          </w:tcPr>
          <w:p>
            <w:r>
              <w:t xml:space="preserve">Body parts, access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US-2B-210</w:t>
            </w:r>
          </w:p>
        </w:tc>
        <w:tc>
          <w:tcPr>
            <w:tcW w:type="dxa" w:w="1560"/>
          </w:tcPr>
          <w:p>
            <w:r>
              <w:t xml:space="preserve">8708.29</w:t>
            </w:r>
          </w:p>
        </w:tc>
        <w:tc>
          <w:tcPr>
            <w:tcW w:type="dxa" w:w="1560"/>
          </w:tcPr>
          <w:p>
            <w:r>
              <w:t xml:space="preserve">Body parts, other</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US-2B-211</w:t>
            </w:r>
          </w:p>
        </w:tc>
        <w:tc>
          <w:tcPr>
            <w:tcW w:type="dxa" w:w="1560"/>
          </w:tcPr>
          <w:p>
            <w:r>
              <w:t xml:space="preserve">8708.30</w:t>
            </w:r>
          </w:p>
        </w:tc>
        <w:tc>
          <w:tcPr>
            <w:tcW w:type="dxa" w:w="1560"/>
          </w:tcPr>
          <w:p>
            <w:r>
              <w:t xml:space="preserve">Brakes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US-2B-212</w:t>
            </w:r>
          </w:p>
        </w:tc>
        <w:tc>
          <w:tcPr>
            <w:tcW w:type="dxa" w:w="1560"/>
          </w:tcPr>
          <w:p>
            <w:r>
              <w:t xml:space="preserve">8708.40</w:t>
            </w:r>
          </w:p>
        </w:tc>
        <w:tc>
          <w:tcPr>
            <w:tcW w:type="dxa" w:w="1560"/>
          </w:tcPr>
          <w:p>
            <w:r>
              <w:t xml:space="preserve">Gear boxes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US-2B-213</w:t>
            </w:r>
          </w:p>
        </w:tc>
        <w:tc>
          <w:tcPr>
            <w:tcW w:type="dxa" w:w="1560"/>
          </w:tcPr>
          <w:p>
            <w:r>
              <w:t xml:space="preserve">8708.50</w:t>
            </w:r>
          </w:p>
        </w:tc>
        <w:tc>
          <w:tcPr>
            <w:tcW w:type="dxa" w:w="1560"/>
          </w:tcPr>
          <w:p>
            <w:r>
              <w:t xml:space="preserve">Drive axles with differential</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US-2B-214</w:t>
            </w:r>
          </w:p>
        </w:tc>
        <w:tc>
          <w:tcPr>
            <w:tcW w:type="dxa" w:w="1560"/>
          </w:tcPr>
          <w:p>
            <w:r>
              <w:t xml:space="preserve">8708.70</w:t>
            </w:r>
          </w:p>
        </w:tc>
        <w:tc>
          <w:tcPr>
            <w:tcW w:type="dxa" w:w="1560"/>
          </w:tcPr>
          <w:p>
            <w:r>
              <w:t xml:space="preserve">Road wheels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US-2B-215</w:t>
            </w:r>
          </w:p>
        </w:tc>
        <w:tc>
          <w:tcPr>
            <w:tcW w:type="dxa" w:w="1560"/>
          </w:tcPr>
          <w:p>
            <w:r>
              <w:t xml:space="preserve">8708.80</w:t>
            </w:r>
          </w:p>
        </w:tc>
        <w:tc>
          <w:tcPr>
            <w:tcW w:type="dxa" w:w="1560"/>
          </w:tcPr>
          <w:p>
            <w:r>
              <w:t xml:space="preserve">Suspension systems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US-2B-216</w:t>
            </w:r>
          </w:p>
        </w:tc>
        <w:tc>
          <w:tcPr>
            <w:tcW w:type="dxa" w:w="1560"/>
          </w:tcPr>
          <w:p>
            <w:r>
              <w:t xml:space="preserve">8708.91</w:t>
            </w:r>
          </w:p>
        </w:tc>
        <w:tc>
          <w:tcPr>
            <w:tcW w:type="dxa" w:w="1560"/>
          </w:tcPr>
          <w:p>
            <w:r>
              <w:t xml:space="preserve">Radiators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US-2B-217</w:t>
            </w:r>
          </w:p>
        </w:tc>
        <w:tc>
          <w:tcPr>
            <w:tcW w:type="dxa" w:w="1560"/>
          </w:tcPr>
          <w:p>
            <w:r>
              <w:t xml:space="preserve">8708.92</w:t>
            </w:r>
          </w:p>
        </w:tc>
        <w:tc>
          <w:tcPr>
            <w:tcW w:type="dxa" w:w="1560"/>
          </w:tcPr>
          <w:p>
            <w:r>
              <w:t xml:space="preserve">Mufflers and exhaust pipes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US-2B-218</w:t>
            </w:r>
          </w:p>
        </w:tc>
        <w:tc>
          <w:tcPr>
            <w:tcW w:type="dxa" w:w="1560"/>
          </w:tcPr>
          <w:p>
            <w:r>
              <w:t xml:space="preserve">8708.93</w:t>
            </w:r>
          </w:p>
        </w:tc>
        <w:tc>
          <w:tcPr>
            <w:tcW w:type="dxa" w:w="1560"/>
          </w:tcPr>
          <w:p>
            <w:r>
              <w:t xml:space="preserve">Clutches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US-2B-219</w:t>
            </w:r>
          </w:p>
        </w:tc>
        <w:tc>
          <w:tcPr>
            <w:tcW w:type="dxa" w:w="1560"/>
          </w:tcPr>
          <w:p>
            <w:r>
              <w:t xml:space="preserve">8708.94</w:t>
            </w:r>
          </w:p>
        </w:tc>
        <w:tc>
          <w:tcPr>
            <w:tcW w:type="dxa" w:w="1560"/>
          </w:tcPr>
          <w:p>
            <w:r>
              <w:t xml:space="preserve">Steering wheels and columns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US-2B-220</w:t>
            </w:r>
          </w:p>
        </w:tc>
        <w:tc>
          <w:tcPr>
            <w:tcW w:type="dxa" w:w="1560"/>
          </w:tcPr>
          <w:p>
            <w:r>
              <w:t xml:space="preserve">8708.95</w:t>
            </w:r>
          </w:p>
        </w:tc>
        <w:tc>
          <w:tcPr>
            <w:tcW w:type="dxa" w:w="1560"/>
          </w:tcPr>
          <w:p>
            <w:r>
              <w:t xml:space="preserve">Airbags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US-2B-221</w:t>
            </w:r>
          </w:p>
        </w:tc>
        <w:tc>
          <w:tcPr>
            <w:tcW w:type="dxa" w:w="1560"/>
          </w:tcPr>
          <w:p>
            <w:r>
              <w:t xml:space="preserve">8708.99</w:t>
            </w:r>
          </w:p>
        </w:tc>
        <w:tc>
          <w:tcPr>
            <w:tcW w:type="dxa" w:w="1560"/>
          </w:tcPr>
          <w:p>
            <w:r>
              <w:t xml:space="preserve">Parts and accessories, other</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US-2B-222</w:t>
            </w:r>
          </w:p>
        </w:tc>
        <w:tc>
          <w:tcPr>
            <w:tcW w:type="dxa" w:w="1560"/>
          </w:tcPr>
          <w:p>
            <w:r>
              <w:t xml:space="preserve">8407.31</w:t>
            </w:r>
          </w:p>
        </w:tc>
        <w:tc>
          <w:tcPr>
            <w:tcW w:type="dxa" w:w="1560"/>
          </w:tcPr>
          <w:p>
            <w:r>
              <w:t xml:space="preserve">Engines, spark ignition &lt;=50cc</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US-2B-223</w:t>
            </w:r>
          </w:p>
        </w:tc>
        <w:tc>
          <w:tcPr>
            <w:tcW w:type="dxa" w:w="1560"/>
          </w:tcPr>
          <w:p>
            <w:r>
              <w:t xml:space="preserve">8407.32</w:t>
            </w:r>
          </w:p>
        </w:tc>
        <w:tc>
          <w:tcPr>
            <w:tcW w:type="dxa" w:w="1560"/>
          </w:tcPr>
          <w:p>
            <w:r>
              <w:t xml:space="preserve">Engines, spark ignition 50-250cc</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US-2B-224</w:t>
            </w:r>
          </w:p>
        </w:tc>
        <w:tc>
          <w:tcPr>
            <w:tcW w:type="dxa" w:w="1560"/>
          </w:tcPr>
          <w:p>
            <w:r>
              <w:t xml:space="preserve">8407.33</w:t>
            </w:r>
          </w:p>
        </w:tc>
        <w:tc>
          <w:tcPr>
            <w:tcW w:type="dxa" w:w="1560"/>
          </w:tcPr>
          <w:p>
            <w:r>
              <w:t xml:space="preserve">Engines, spark ignition 250-1000cc</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US-2B-225</w:t>
            </w:r>
          </w:p>
        </w:tc>
        <w:tc>
          <w:tcPr>
            <w:tcW w:type="dxa" w:w="1560"/>
          </w:tcPr>
          <w:p>
            <w:r>
              <w:t xml:space="preserve">8407.34</w:t>
            </w:r>
          </w:p>
        </w:tc>
        <w:tc>
          <w:tcPr>
            <w:tcW w:type="dxa" w:w="1560"/>
          </w:tcPr>
          <w:p>
            <w:r>
              <w:t xml:space="preserve">Engines, spark ignition &gt;1000cc</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US-2B-226</w:t>
            </w:r>
          </w:p>
        </w:tc>
        <w:tc>
          <w:tcPr>
            <w:tcW w:type="dxa" w:w="1560"/>
          </w:tcPr>
          <w:p>
            <w:r>
              <w:t xml:space="preserve">8408.20</w:t>
            </w:r>
          </w:p>
        </w:tc>
        <w:tc>
          <w:tcPr>
            <w:tcW w:type="dxa" w:w="1560"/>
          </w:tcPr>
          <w:p>
            <w:r>
              <w:t xml:space="preserve">Compression-ignition engines &lt;=250cc</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US-2B-227</w:t>
            </w:r>
          </w:p>
        </w:tc>
        <w:tc>
          <w:tcPr>
            <w:tcW w:type="dxa" w:w="1560"/>
          </w:tcPr>
          <w:p>
            <w:r>
              <w:t xml:space="preserve">8408.90</w:t>
            </w:r>
          </w:p>
        </w:tc>
        <w:tc>
          <w:tcPr>
            <w:tcW w:type="dxa" w:w="1560"/>
          </w:tcPr>
          <w:p>
            <w:r>
              <w:t xml:space="preserve">Compression-ignition engines, other</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US-2B-228</w:t>
            </w:r>
          </w:p>
        </w:tc>
        <w:tc>
          <w:tcPr>
            <w:tcW w:type="dxa" w:w="1560"/>
          </w:tcPr>
          <w:p>
            <w:r>
              <w:t xml:space="preserve">8409.10</w:t>
            </w:r>
          </w:p>
        </w:tc>
        <w:tc>
          <w:tcPr>
            <w:tcW w:type="dxa" w:w="1560"/>
          </w:tcPr>
          <w:p>
            <w:r>
              <w:t xml:space="preserve">Parts for aircraft engines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US-2B-229</w:t>
            </w:r>
          </w:p>
        </w:tc>
        <w:tc>
          <w:tcPr>
            <w:tcW w:type="dxa" w:w="1560"/>
          </w:tcPr>
          <w:p>
            <w:r>
              <w:t xml:space="preserve">8409.91</w:t>
            </w:r>
          </w:p>
        </w:tc>
        <w:tc>
          <w:tcPr>
            <w:tcW w:type="dxa" w:w="1560"/>
          </w:tcPr>
          <w:p>
            <w:r>
              <w:t xml:space="preserve">Parts, spark-ignition engines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US-2B-230</w:t>
            </w:r>
          </w:p>
        </w:tc>
        <w:tc>
          <w:tcPr>
            <w:tcW w:type="dxa" w:w="1560"/>
          </w:tcPr>
          <w:p>
            <w:r>
              <w:t xml:space="preserve">8409.99</w:t>
            </w:r>
          </w:p>
        </w:tc>
        <w:tc>
          <w:tcPr>
            <w:tcW w:type="dxa" w:w="1560"/>
          </w:tcPr>
          <w:p>
            <w:r>
              <w:t xml:space="preserve">Parts, compression-ignition engines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US-2B-231</w:t>
            </w:r>
          </w:p>
        </w:tc>
        <w:tc>
          <w:tcPr>
            <w:tcW w:type="dxa" w:w="1560"/>
          </w:tcPr>
          <w:p>
            <w:r>
              <w:t xml:space="preserve">8701.10</w:t>
            </w:r>
          </w:p>
        </w:tc>
        <w:tc>
          <w:tcPr>
            <w:tcW w:type="dxa" w:w="1560"/>
          </w:tcPr>
          <w:p>
            <w:r>
              <w:t xml:space="preserve">Tractors, pedestrian-controlled</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US-2B-232</w:t>
            </w:r>
          </w:p>
        </w:tc>
        <w:tc>
          <w:tcPr>
            <w:tcW w:type="dxa" w:w="1560"/>
          </w:tcPr>
          <w:p>
            <w:r>
              <w:t xml:space="preserve">8701.20</w:t>
            </w:r>
          </w:p>
        </w:tc>
        <w:tc>
          <w:tcPr>
            <w:tcW w:type="dxa" w:w="1560"/>
          </w:tcPr>
          <w:p>
            <w:r>
              <w:t xml:space="preserve">Tractors, road, &lt;=18kW</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US-2B-233</w:t>
            </w:r>
          </w:p>
        </w:tc>
        <w:tc>
          <w:tcPr>
            <w:tcW w:type="dxa" w:w="1560"/>
          </w:tcPr>
          <w:p>
            <w:r>
              <w:t xml:space="preserve">8701.30</w:t>
            </w:r>
          </w:p>
        </w:tc>
        <w:tc>
          <w:tcPr>
            <w:tcW w:type="dxa" w:w="1560"/>
          </w:tcPr>
          <w:p>
            <w:r>
              <w:t xml:space="preserve">Track-laying tractors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US-2B-234</w:t>
            </w:r>
          </w:p>
        </w:tc>
        <w:tc>
          <w:tcPr>
            <w:tcW w:type="dxa" w:w="1560"/>
          </w:tcPr>
          <w:p>
            <w:r>
              <w:t xml:space="preserve">8701.40</w:t>
            </w:r>
          </w:p>
        </w:tc>
        <w:tc>
          <w:tcPr>
            <w:tcW w:type="dxa" w:w="1560"/>
          </w:tcPr>
          <w:p>
            <w:r>
              <w:t xml:space="preserve">Tractors, road, &gt;18kW and &lt;=37kW</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US-2B-235</w:t>
            </w:r>
          </w:p>
        </w:tc>
        <w:tc>
          <w:tcPr>
            <w:tcW w:type="dxa" w:w="1560"/>
          </w:tcPr>
          <w:p>
            <w:r>
              <w:t xml:space="preserve">8701.50</w:t>
            </w:r>
          </w:p>
        </w:tc>
        <w:tc>
          <w:tcPr>
            <w:tcW w:type="dxa" w:w="1560"/>
          </w:tcPr>
          <w:p>
            <w:r>
              <w:t xml:space="preserve">Tractors, road, &gt;37kW and &lt;=75kW</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US-2B-236</w:t>
            </w:r>
          </w:p>
        </w:tc>
        <w:tc>
          <w:tcPr>
            <w:tcW w:type="dxa" w:w="1560"/>
          </w:tcPr>
          <w:p>
            <w:r>
              <w:t xml:space="preserve">8701.60</w:t>
            </w:r>
          </w:p>
        </w:tc>
        <w:tc>
          <w:tcPr>
            <w:tcW w:type="dxa" w:w="1560"/>
          </w:tcPr>
          <w:p>
            <w:r>
              <w:t xml:space="preserve">Tractors, road, &gt;75kW and &lt;=130kW</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US-2B-237</w:t>
            </w:r>
          </w:p>
        </w:tc>
        <w:tc>
          <w:tcPr>
            <w:tcW w:type="dxa" w:w="1560"/>
          </w:tcPr>
          <w:p>
            <w:r>
              <w:t xml:space="preserve">8701.70</w:t>
            </w:r>
          </w:p>
        </w:tc>
        <w:tc>
          <w:tcPr>
            <w:tcW w:type="dxa" w:w="1560"/>
          </w:tcPr>
          <w:p>
            <w:r>
              <w:t xml:space="preserve">Tractors, road, &gt;130kW</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US-2B-238</w:t>
            </w:r>
          </w:p>
        </w:tc>
        <w:tc>
          <w:tcPr>
            <w:tcW w:type="dxa" w:w="1560"/>
          </w:tcPr>
          <w:p>
            <w:r>
              <w:t xml:space="preserve">8701.80</w:t>
            </w:r>
          </w:p>
        </w:tc>
        <w:tc>
          <w:tcPr>
            <w:tcW w:type="dxa" w:w="1560"/>
          </w:tcPr>
          <w:p>
            <w:r>
              <w:t xml:space="preserve">Tractors, agricultural, other</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US-2B-239</w:t>
            </w:r>
          </w:p>
        </w:tc>
        <w:tc>
          <w:tcPr>
            <w:tcW w:type="dxa" w:w="1560"/>
          </w:tcPr>
          <w:p>
            <w:r>
              <w:t xml:space="preserve">8701.90</w:t>
            </w:r>
          </w:p>
        </w:tc>
        <w:tc>
          <w:tcPr>
            <w:tcW w:type="dxa" w:w="1560"/>
          </w:tcPr>
          <w:p>
            <w:r>
              <w:t xml:space="preserve">Tractors, other</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US-2B-240</w:t>
            </w:r>
          </w:p>
        </w:tc>
        <w:tc>
          <w:tcPr>
            <w:tcW w:type="dxa" w:w="1560"/>
          </w:tcPr>
          <w:p>
            <w:r>
              <w:t xml:space="preserve">8702.10</w:t>
            </w:r>
          </w:p>
        </w:tc>
        <w:tc>
          <w:tcPr>
            <w:tcW w:type="dxa" w:w="1560"/>
          </w:tcPr>
          <w:p>
            <w:r>
              <w:t xml:space="preserve">Motor vehicles, &gt;=10 persons, compression ignition</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US-2B-241</w:t>
            </w:r>
          </w:p>
        </w:tc>
        <w:tc>
          <w:tcPr>
            <w:tcW w:type="dxa" w:w="1560"/>
          </w:tcPr>
          <w:p>
            <w:r>
              <w:t xml:space="preserve">8702.90</w:t>
            </w:r>
          </w:p>
        </w:tc>
        <w:tc>
          <w:tcPr>
            <w:tcW w:type="dxa" w:w="1560"/>
          </w:tcPr>
          <w:p>
            <w:r>
              <w:t xml:space="preserve">Motor vehicles, &gt;=10 persons, other</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US-2B-242</w:t>
            </w:r>
          </w:p>
        </w:tc>
        <w:tc>
          <w:tcPr>
            <w:tcW w:type="dxa" w:w="1560"/>
          </w:tcPr>
          <w:p>
            <w:r>
              <w:t xml:space="preserve">8704.10</w:t>
            </w:r>
          </w:p>
        </w:tc>
        <w:tc>
          <w:tcPr>
            <w:tcW w:type="dxa" w:w="1560"/>
          </w:tcPr>
          <w:p>
            <w:r>
              <w:t xml:space="preserve">Goods vehicles, dumpers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US-2B-243</w:t>
            </w:r>
          </w:p>
        </w:tc>
        <w:tc>
          <w:tcPr>
            <w:tcW w:type="dxa" w:w="1560"/>
          </w:tcPr>
          <w:p>
            <w:r>
              <w:t xml:space="preserve">8704.21</w:t>
            </w:r>
          </w:p>
        </w:tc>
        <w:tc>
          <w:tcPr>
            <w:tcW w:type="dxa" w:w="1560"/>
          </w:tcPr>
          <w:p>
            <w:r>
              <w:t xml:space="preserve">Goods vehicles, diesel &lt;=5t</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US-2B-244</w:t>
            </w:r>
          </w:p>
        </w:tc>
        <w:tc>
          <w:tcPr>
            <w:tcW w:type="dxa" w:w="1560"/>
          </w:tcPr>
          <w:p>
            <w:r>
              <w:t xml:space="preserve">8704.22</w:t>
            </w:r>
          </w:p>
        </w:tc>
        <w:tc>
          <w:tcPr>
            <w:tcW w:type="dxa" w:w="1560"/>
          </w:tcPr>
          <w:p>
            <w:r>
              <w:t xml:space="preserve">Goods vehicles, diesel 5-20t</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US-2B-245</w:t>
            </w:r>
          </w:p>
        </w:tc>
        <w:tc>
          <w:tcPr>
            <w:tcW w:type="dxa" w:w="1560"/>
          </w:tcPr>
          <w:p>
            <w:r>
              <w:t xml:space="preserve">8704.23</w:t>
            </w:r>
          </w:p>
        </w:tc>
        <w:tc>
          <w:tcPr>
            <w:tcW w:type="dxa" w:w="1560"/>
          </w:tcPr>
          <w:p>
            <w:r>
              <w:t xml:space="preserve">Goods vehicles, diesel &gt;20t</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US-2B-246</w:t>
            </w:r>
          </w:p>
        </w:tc>
        <w:tc>
          <w:tcPr>
            <w:tcW w:type="dxa" w:w="1560"/>
          </w:tcPr>
          <w:p>
            <w:r>
              <w:t xml:space="preserve">8704.31</w:t>
            </w:r>
          </w:p>
        </w:tc>
        <w:tc>
          <w:tcPr>
            <w:tcW w:type="dxa" w:w="1560"/>
          </w:tcPr>
          <w:p>
            <w:r>
              <w:t xml:space="preserve">Goods vehicles, other &lt;=5t</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US-2B-247</w:t>
            </w:r>
          </w:p>
        </w:tc>
        <w:tc>
          <w:tcPr>
            <w:tcW w:type="dxa" w:w="1560"/>
          </w:tcPr>
          <w:p>
            <w:r>
              <w:t xml:space="preserve">8704.32</w:t>
            </w:r>
          </w:p>
        </w:tc>
        <w:tc>
          <w:tcPr>
            <w:tcW w:type="dxa" w:w="1560"/>
          </w:tcPr>
          <w:p>
            <w:r>
              <w:t xml:space="preserve">Goods vehicles, other 5-20t</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US-2B-248</w:t>
            </w:r>
          </w:p>
        </w:tc>
        <w:tc>
          <w:tcPr>
            <w:tcW w:type="dxa" w:w="1560"/>
          </w:tcPr>
          <w:p>
            <w:r>
              <w:t xml:space="preserve">8704.90</w:t>
            </w:r>
          </w:p>
        </w:tc>
        <w:tc>
          <w:tcPr>
            <w:tcW w:type="dxa" w:w="1560"/>
          </w:tcPr>
          <w:p>
            <w:r>
              <w:t xml:space="preserve">Goods vehicles, other</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US-2B-249</w:t>
            </w:r>
          </w:p>
        </w:tc>
        <w:tc>
          <w:tcPr>
            <w:tcW w:type="dxa" w:w="1560"/>
          </w:tcPr>
          <w:p>
            <w:r>
              <w:t xml:space="preserve">8705.10</w:t>
            </w:r>
          </w:p>
        </w:tc>
        <w:tc>
          <w:tcPr>
            <w:tcW w:type="dxa" w:w="1560"/>
          </w:tcPr>
          <w:p>
            <w:r>
              <w:t xml:space="preserve">Crane lorries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US-2B-250</w:t>
            </w:r>
          </w:p>
        </w:tc>
        <w:tc>
          <w:tcPr>
            <w:tcW w:type="dxa" w:w="1560"/>
          </w:tcPr>
          <w:p>
            <w:r>
              <w:t xml:space="preserve">8705.20</w:t>
            </w:r>
          </w:p>
        </w:tc>
        <w:tc>
          <w:tcPr>
            <w:tcW w:type="dxa" w:w="1560"/>
          </w:tcPr>
          <w:p>
            <w:r>
              <w:t xml:space="preserve">Drilling derricks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US-2B-251</w:t>
            </w:r>
          </w:p>
        </w:tc>
        <w:tc>
          <w:tcPr>
            <w:tcW w:type="dxa" w:w="1560"/>
          </w:tcPr>
          <w:p>
            <w:r>
              <w:t xml:space="preserve">8705.30</w:t>
            </w:r>
          </w:p>
        </w:tc>
        <w:tc>
          <w:tcPr>
            <w:tcW w:type="dxa" w:w="1560"/>
          </w:tcPr>
          <w:p>
            <w:r>
              <w:t xml:space="preserve">Fire fighting vehicles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US-2B-252</w:t>
            </w:r>
          </w:p>
        </w:tc>
        <w:tc>
          <w:tcPr>
            <w:tcW w:type="dxa" w:w="1560"/>
          </w:tcPr>
          <w:p>
            <w:r>
              <w:t xml:space="preserve">8705.40</w:t>
            </w:r>
          </w:p>
        </w:tc>
        <w:tc>
          <w:tcPr>
            <w:tcW w:type="dxa" w:w="1560"/>
          </w:tcPr>
          <w:p>
            <w:r>
              <w:t xml:space="preserve">Concrete mixers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US-2B-253</w:t>
            </w:r>
          </w:p>
        </w:tc>
        <w:tc>
          <w:tcPr>
            <w:tcW w:type="dxa" w:w="1560"/>
          </w:tcPr>
          <w:p>
            <w:r>
              <w:t xml:space="preserve">8705.90</w:t>
            </w:r>
          </w:p>
        </w:tc>
        <w:tc>
          <w:tcPr>
            <w:tcW w:type="dxa" w:w="1560"/>
          </w:tcPr>
          <w:p>
            <w:r>
              <w:t xml:space="preserve">Special purpose vehicles, other</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US-2B-254</w:t>
            </w:r>
          </w:p>
        </w:tc>
        <w:tc>
          <w:tcPr>
            <w:tcW w:type="dxa" w:w="1560"/>
          </w:tcPr>
          <w:p>
            <w:r>
              <w:t xml:space="preserve">8706.00</w:t>
            </w:r>
          </w:p>
        </w:tc>
        <w:tc>
          <w:tcPr>
            <w:tcW w:type="dxa" w:w="1560"/>
          </w:tcPr>
          <w:p>
            <w:r>
              <w:t xml:space="preserve">Chassis fitted with engines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US-2B-255</w:t>
            </w:r>
          </w:p>
        </w:tc>
        <w:tc>
          <w:tcPr>
            <w:tcW w:type="dxa" w:w="1560"/>
          </w:tcPr>
          <w:p>
            <w:r>
              <w:t xml:space="preserve">8707.10</w:t>
            </w:r>
          </w:p>
        </w:tc>
        <w:tc>
          <w:tcPr>
            <w:tcW w:type="dxa" w:w="1560"/>
          </w:tcPr>
          <w:p>
            <w:r>
              <w:t xml:space="preserve">Bodies for tractors and trucks</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US-2B-256</w:t>
            </w:r>
          </w:p>
        </w:tc>
        <w:tc>
          <w:tcPr>
            <w:tcW w:type="dxa" w:w="1560"/>
          </w:tcPr>
          <w:p>
            <w:r>
              <w:t xml:space="preserve">8707.90</w:t>
            </w:r>
          </w:p>
        </w:tc>
        <w:tc>
          <w:tcPr>
            <w:tcW w:type="dxa" w:w="1560"/>
          </w:tcPr>
          <w:p>
            <w:r>
              <w:t xml:space="preserve">Bodies, other</w:t>
            </w:r>
          </w:p>
        </w:tc>
        <w:tc>
          <w:tcPr>
            <w:tcW w:type="dxa" w:w="1560"/>
          </w:tcPr>
          <w:p>
            <w:r>
              <w:t xml:space="preserve">Proc. 10908 (90 FR 14705)</w:t>
            </w:r>
          </w:p>
        </w:tc>
        <w:tc>
          <w:tcPr>
            <w:tcW w:type="dxa" w:w="1560"/>
          </w:tcPr>
          <w:p>
            <w:r>
              <w:t xml:space="preserve">25% — 2025-05-03</w:t>
            </w:r>
          </w:p>
        </w:tc>
        <w:tc>
          <w:tcPr>
            <w:tcW w:type="dxa" w:w="1560"/>
          </w:tcPr>
          <w:p>
            <w:r>
              <w:t xml:space="preserve">V</w:t>
            </w:r>
          </w:p>
        </w:tc>
      </w:tr>
      <w:tr>
        <w:tc>
          <w:tcPr>
            <w:tcW w:type="dxa" w:w="1560"/>
          </w:tcPr>
          <w:p>
            <w:r>
              <w:t xml:space="preserve">US-2B-257</w:t>
            </w:r>
          </w:p>
        </w:tc>
        <w:tc>
          <w:tcPr>
            <w:tcW w:type="dxa" w:w="1560"/>
          </w:tcPr>
          <w:p>
            <w:r>
              <w:t xml:space="preserve">9903.01.01</w:t>
            </w:r>
          </w:p>
        </w:tc>
        <w:tc>
          <w:tcPr>
            <w:tcW w:type="dxa" w:w="1560"/>
          </w:tcPr>
          <w:p>
            <w:r>
              <w:t xml:space="preserve">IEEPA Mexico duties, 25% (not collected since Feb. 24, 2026)</w:t>
            </w:r>
          </w:p>
        </w:tc>
        <w:tc>
          <w:tcPr>
            <w:tcW w:type="dxa" w:w="1560"/>
          </w:tcPr>
          <w:p>
            <w:r>
              <w:t xml:space="preserve">EO 14194</w:t>
            </w:r>
          </w:p>
        </w:tc>
        <w:tc>
          <w:tcPr>
            <w:tcW w:type="dxa" w:w="1560"/>
          </w:tcPr>
          <w:p>
            <w:r>
              <w:t xml:space="preserve">25% — 2025-02-04</w:t>
            </w:r>
          </w:p>
        </w:tc>
        <w:tc>
          <w:tcPr>
            <w:tcW w:type="dxa" w:w="1560"/>
          </w:tcPr>
          <w:p>
            <w:r>
              <w:t xml:space="preserve">EXC-RI</w:t>
            </w:r>
          </w:p>
        </w:tc>
      </w:tr>
      <w:tr>
        <w:tc>
          <w:tcPr>
            <w:tcW w:type="dxa" w:w="1560"/>
          </w:tcPr>
          <w:p>
            <w:r>
              <w:t xml:space="preserve">US-2B-258</w:t>
            </w:r>
          </w:p>
        </w:tc>
        <w:tc>
          <w:tcPr>
            <w:tcW w:type="dxa" w:w="1560"/>
          </w:tcPr>
          <w:p>
            <w:r>
              <w:t xml:space="preserve">9903.01.02/.03</w:t>
            </w:r>
          </w:p>
        </w:tc>
        <w:tc>
          <w:tcPr>
            <w:tcW w:type="dxa" w:w="1560"/>
          </w:tcPr>
          <w:p>
            <w:r>
              <w:t xml:space="preserve">IEEPA exclusions: donations and informational materials</w:t>
            </w:r>
          </w:p>
        </w:tc>
        <w:tc>
          <w:tcPr>
            <w:tcW w:type="dxa" w:w="1560"/>
          </w:tcPr>
          <w:p>
            <w:r>
              <w:t xml:space="preserve">EO 14194</w:t>
            </w:r>
          </w:p>
        </w:tc>
        <w:tc>
          <w:tcPr>
            <w:tcW w:type="dxa" w:w="1560"/>
          </w:tcPr>
          <w:p>
            <w:r>
              <w:t xml:space="preserve">Exclusions — 2025-02-04</w:t>
            </w:r>
          </w:p>
        </w:tc>
        <w:tc>
          <w:tcPr>
            <w:tcW w:type="dxa" w:w="1560"/>
          </w:tcPr>
          <w:p>
            <w:r>
              <w:t xml:space="preserve">EXC-RI</w:t>
            </w:r>
          </w:p>
        </w:tc>
      </w:tr>
      <w:tr>
        <w:tc>
          <w:tcPr>
            <w:tcW w:type="dxa" w:w="1560"/>
          </w:tcPr>
          <w:p>
            <w:r>
              <w:t xml:space="preserve">US-2B-259</w:t>
            </w:r>
          </w:p>
        </w:tc>
        <w:tc>
          <w:tcPr>
            <w:tcW w:type="dxa" w:w="1560"/>
          </w:tcPr>
          <w:p>
            <w:r>
              <w:t xml:space="preserve">9903.01.04</w:t>
            </w:r>
          </w:p>
        </w:tc>
        <w:tc>
          <w:tcPr>
            <w:tcW w:type="dxa" w:w="1560"/>
          </w:tcPr>
          <w:p>
            <w:r>
              <w:t xml:space="preserve">IEEPA USMCA exemption</w:t>
            </w:r>
          </w:p>
        </w:tc>
        <w:tc>
          <w:tcPr>
            <w:tcW w:type="dxa" w:w="1560"/>
          </w:tcPr>
          <w:p>
            <w:r>
              <w:t xml:space="preserve">EO 14194</w:t>
            </w:r>
          </w:p>
        </w:tc>
        <w:tc>
          <w:tcPr>
            <w:tcW w:type="dxa" w:w="1560"/>
          </w:tcPr>
          <w:p>
            <w:r>
              <w:t xml:space="preserve">Exemption — 2025-02-04</w:t>
            </w:r>
          </w:p>
        </w:tc>
        <w:tc>
          <w:tcPr>
            <w:tcW w:type="dxa" w:w="1560"/>
          </w:tcPr>
          <w:p>
            <w:r>
              <w:t xml:space="preserve">EXC-RI</w:t>
            </w:r>
          </w:p>
        </w:tc>
      </w:tr>
      <w:tr>
        <w:tc>
          <w:tcPr>
            <w:tcW w:type="dxa" w:w="1560"/>
          </w:tcPr>
          <w:p>
            <w:r>
              <w:t xml:space="preserve">US-2B-260</w:t>
            </w:r>
          </w:p>
        </w:tc>
        <w:tc>
          <w:tcPr>
            <w:tcW w:type="dxa" w:w="1560"/>
          </w:tcPr>
          <w:p>
            <w:r>
              <w:t xml:space="preserve">9903.01.05</w:t>
            </w:r>
          </w:p>
        </w:tc>
        <w:tc>
          <w:tcPr>
            <w:tcW w:type="dxa" w:w="1560"/>
          </w:tcPr>
          <w:p>
            <w:r>
              <w:t xml:space="preserve">IEEPA potash, 10% (not collected since Feb. 24, 2026)</w:t>
            </w:r>
          </w:p>
        </w:tc>
        <w:tc>
          <w:tcPr>
            <w:tcW w:type="dxa" w:w="1560"/>
          </w:tcPr>
          <w:p>
            <w:r>
              <w:t xml:space="preserve">EO 14194</w:t>
            </w:r>
          </w:p>
        </w:tc>
        <w:tc>
          <w:tcPr>
            <w:tcW w:type="dxa" w:w="1560"/>
          </w:tcPr>
          <w:p>
            <w:r>
              <w:t xml:space="preserve">10% — 2025-02-04</w:t>
            </w:r>
          </w:p>
        </w:tc>
        <w:tc>
          <w:tcPr>
            <w:tcW w:type="dxa" w:w="1560"/>
          </w:tcPr>
          <w:p>
            <w:r>
              <w:t xml:space="preserve">EXC-RI</w:t>
            </w:r>
          </w:p>
        </w:tc>
      </w:tr>
      <w:tr>
        <w:tc>
          <w:tcPr>
            <w:tcW w:type="dxa" w:w="1560"/>
          </w:tcPr>
          <w:p>
            <w:r>
              <w:t xml:space="preserve">US-2B-261</w:t>
            </w:r>
          </w:p>
        </w:tc>
        <w:tc>
          <w:tcPr>
            <w:tcW w:type="dxa" w:w="1560"/>
          </w:tcPr>
          <w:p>
            <w:r>
              <w:t xml:space="preserve">9903.01.25</w:t>
            </w:r>
          </w:p>
        </w:tc>
        <w:tc>
          <w:tcPr>
            <w:tcW w:type="dxa" w:w="1560"/>
          </w:tcPr>
          <w:p>
            <w:r>
              <w:t xml:space="preserve">IEEPA reciprocal tariff family (not collected since Feb. 24, 2026)</w:t>
            </w:r>
          </w:p>
        </w:tc>
        <w:tc>
          <w:tcPr>
            <w:tcW w:type="dxa" w:w="1560"/>
          </w:tcPr>
          <w:p>
            <w:r>
              <w:t xml:space="preserve">EO 14257</w:t>
            </w:r>
          </w:p>
        </w:tc>
        <w:tc>
          <w:tcPr>
            <w:tcW w:type="dxa" w:w="1560"/>
          </w:tcPr>
          <w:p>
            <w:r>
              <w:t xml:space="preserve">10% baseline — 2025-04-02</w:t>
            </w:r>
          </w:p>
        </w:tc>
        <w:tc>
          <w:tcPr>
            <w:tcW w:type="dxa" w:w="1560"/>
          </w:tcPr>
          <w:p>
            <w:r>
              <w:t xml:space="preserve">EXC-RI</w:t>
            </w:r>
          </w:p>
        </w:tc>
      </w:tr>
    </w:tbl>
    <w:p w14:paraId="47913236"/>
    <w:p w14:paraId="4897AEAC">
      <w:pPr>
        <w:pStyle w:val="Heading3"/>
      </w:pPr>
      <w:r>
        <w:rPr>
          <w:b w:val="0"/>
        </w:rPr>
        <w:t xml:space="preserve">A2B.3 Line-by-Line Verification Record (A2B.1–A2B.14 Execution)</w:t>
      </w:r>
    </w:p>
    <w:tbl>
      <w:tblPr>
        <w:tblW w:type="auto" w:w="0"/>
        <w:tblLook w:firstColumn="1" w:firstRow="1" w:lastColumn="0" w:lastRow="0" w:noHBand="0" w:noVBand="1" w:val="04A0"/>
      </w:tblPr>
      <w:tblGrid>
        <w:gridCol w:w="2340"/>
        <w:gridCol w:w="2340"/>
        <w:gridCol w:w="2340"/>
        <w:gridCol w:w="2340"/>
      </w:tblGrid>
      <w:tr>
        <w:tc>
          <w:tcPr>
            <w:tcW w:type="dxa" w:w="2340"/>
          </w:tcPr>
          <w:p w14:paraId="31D416A4">
            <w:r>
              <w:rPr>
                <w:b/>
              </w:rPr>
              <w:t>Check</w:t>
            </w:r>
          </w:p>
        </w:tc>
        <w:tc>
          <w:tcPr>
            <w:tcW w:type="dxa" w:w="2340"/>
          </w:tcPr>
          <w:p w14:paraId="358BB5F4">
            <w:r>
              <w:rPr>
                <w:b/>
              </w:rPr>
              <w:t>Required result</w:t>
            </w:r>
          </w:p>
        </w:tc>
        <w:tc>
          <w:tcPr>
            <w:tcW w:type="dxa" w:w="2340"/>
          </w:tcPr>
          <w:p w14:paraId="7C53FB1A">
            <w:r>
              <w:rPr>
                <w:b/>
              </w:rPr>
              <w:t>Result as of Sept 7, 2026</w:t>
            </w:r>
          </w:p>
        </w:tc>
        <w:tc>
          <w:tcPr>
            <w:tcW w:type="dxa" w:w="2340"/>
          </w:tcPr>
          <w:p w14:paraId="38AF5076">
            <w:r>
              <w:rPr>
                <w:b/>
              </w:rPr>
              <w:t>Status</w:t>
            </w:r>
          </w:p>
        </w:tc>
      </w:tr>
      <w:tr>
        <w:tc>
          <w:tcPr>
            <w:tcW w:type="dxa" w:w="2340"/>
          </w:tcPr>
          <w:p w14:paraId="1D177552">
            <w:r>
              <w:t>1</w:t>
            </w:r>
          </w:p>
        </w:tc>
        <w:tc>
          <w:tcPr>
            <w:tcW w:type="dxa" w:w="2340"/>
          </w:tcPr>
          <w:p w14:paraId="5CF1D694">
            <w:r>
              <w:t>HTSUS revision in force identified</w:t>
            </w:r>
          </w:p>
        </w:tc>
        <w:tc>
          <w:tcPr>
            <w:tcW w:type="dxa" w:w="2340"/>
          </w:tcPr>
          <w:p w14:paraId="36E24BA6">
            <w:r>
              <w:t>2025–2026 revisions captured via FR notices and CBP CSMS guidance cited in A2B.1; re-verification required at adoption</w:t>
            </w:r>
          </w:p>
        </w:tc>
        <w:tc>
          <w:tcPr>
            <w:tcW w:type="dxa" w:w="2340"/>
          </w:tcPr>
          <w:p w14:paraId="2DB1F4DE">
            <w:r>
              <w:t>DONE (re-check at adoption)</w:t>
            </w:r>
          </w:p>
        </w:tc>
      </w:tr>
      <w:tr>
        <w:tc>
          <w:tcPr>
            <w:tcW w:type="dxa" w:w="2340"/>
          </w:tcPr>
          <w:p w14:paraId="42541004">
            <w:r>
              <w:t>2</w:t>
            </w:r>
          </w:p>
        </w:tc>
        <w:tc>
          <w:tcPr>
            <w:tcW w:type="dxa" w:w="2340"/>
          </w:tcPr>
          <w:p w14:paraId="0AD793DA">
            <w:r>
              <w:t>Proclamation/EO/FR citations confirmed</w:t>
            </w:r>
          </w:p>
        </w:tc>
        <w:tc>
          <w:tcPr>
            <w:tcW w:type="dxa" w:w="2340"/>
          </w:tcPr>
          <w:p w14:paraId="127673E6">
            <w:r>
              <w:t>Proc. 10908 (90 FR 14705); Proc. 10984; Proc. 10895 (90 FR 9807); Proc. 10896 (90 FR 9817); June 3, 2025 proclamation; EO 14194; EO 14257</w:t>
            </w:r>
          </w:p>
        </w:tc>
        <w:tc>
          <w:tcPr>
            <w:tcW w:type="dxa" w:w="2340"/>
          </w:tcPr>
          <w:p w14:paraId="63AA18F6">
            <w:r>
              <w:t>DONE</w:t>
            </w:r>
          </w:p>
        </w:tc>
      </w:tr>
      <w:tr>
        <w:tc>
          <w:tcPr>
            <w:tcW w:type="dxa" w:w="2340"/>
          </w:tcPr>
          <w:p w14:paraId="2C8F64DA">
            <w:r>
              <w:t>3</w:t>
            </w:r>
          </w:p>
        </w:tc>
        <w:tc>
          <w:tcPr>
            <w:tcW w:type="dxa" w:w="2340"/>
          </w:tcPr>
          <w:p w14:paraId="53AD26DA">
            <w:r>
              <w:t>All “ESTIMATE” labels resolved</w:t>
            </w:r>
          </w:p>
        </w:tc>
        <w:tc>
          <w:tcPr>
            <w:tcW w:type="dxa" w:w="2340"/>
          </w:tcPr>
          <w:p w14:paraId="41835C92">
            <w:r>
              <w:t>No ESTIMATE labels remain; families are VERIFIED or EXCLUDED</w:t>
            </w:r>
          </w:p>
        </w:tc>
        <w:tc>
          <w:tcPr>
            <w:tcW w:type="dxa" w:w="2340"/>
          </w:tcPr>
          <w:p w14:paraId="6D034022">
            <w:r>
              <w:t>DONE</w:t>
            </w:r>
          </w:p>
        </w:tc>
      </w:tr>
      <w:tr>
        <w:tc>
          <w:tcPr>
            <w:tcW w:type="dxa" w:w="2340"/>
          </w:tcPr>
          <w:p w14:paraId="4FA2565C">
            <w:r>
              <w:t>4</w:t>
            </w:r>
          </w:p>
        </w:tc>
        <w:tc>
          <w:tcPr>
            <w:tcW w:type="dxa" w:w="2340"/>
          </w:tcPr>
          <w:p w14:paraId="54187910">
            <w:r>
              <w:t>Heading/subheading mapping</w:t>
            </w:r>
          </w:p>
        </w:tc>
        <w:tc>
          <w:tcPr>
            <w:tcW w:type="dxa" w:w="2340"/>
          </w:tcPr>
          <w:p w14:paraId="252331AA">
            <w:r>
              <w:t>Family-level heading mapping recorded in A2B.1; statistical-suffix detail attaches to the Article 2.2.3 machine-readable schedule</w:t>
            </w:r>
          </w:p>
        </w:tc>
        <w:tc>
          <w:tcPr>
            <w:tcW w:type="dxa" w:w="2340"/>
          </w:tcPr>
          <w:p w14:paraId="4F93BC20">
            <w:r>
              <w:t>DONE AT FAMILY LEVEL</w:t>
            </w:r>
          </w:p>
        </w:tc>
      </w:tr>
      <w:tr>
        <w:tc>
          <w:tcPr>
            <w:tcW w:type="dxa" w:w="2340"/>
          </w:tcPr>
          <w:p w14:paraId="2EB229A4">
            <w:r>
              <w:t>5</w:t>
            </w:r>
          </w:p>
        </w:tc>
        <w:tc>
          <w:tcPr>
            <w:tcW w:type="dxa" w:w="2340"/>
          </w:tcPr>
          <w:p w14:paraId="28B186F6">
            <w:r>
              <w:t>USMCA-qualifying vs non-qualifying treatment</w:t>
            </w:r>
          </w:p>
        </w:tc>
        <w:tc>
          <w:tcPr>
            <w:tcW w:type="dxa" w:w="2340"/>
          </w:tcPr>
          <w:p w14:paraId="3B9AF41C">
            <w:r>
              <w:t>Autos: content-based process (9903.94.03); parts: 0% line 9903.94.06; IEEPA: moot (invalidated)</w:t>
            </w:r>
          </w:p>
        </w:tc>
        <w:tc>
          <w:tcPr>
            <w:tcW w:type="dxa" w:w="2340"/>
          </w:tcPr>
          <w:p w14:paraId="094CA556">
            <w:r>
              <w:t>DONE</w:t>
            </w:r>
          </w:p>
        </w:tc>
      </w:tr>
      <w:tr>
        <w:tc>
          <w:tcPr>
            <w:tcW w:type="dxa" w:w="2340"/>
          </w:tcPr>
          <w:p w14:paraId="09936FB6">
            <w:r>
              <w:t>6</w:t>
            </w:r>
          </w:p>
        </w:tc>
        <w:tc>
          <w:tcPr>
            <w:tcW w:type="dxa" w:w="2340"/>
          </w:tcPr>
          <w:p w14:paraId="35D23176">
            <w:r>
              <w:t>Stacking/sequencing with remaining duties</w:t>
            </w:r>
          </w:p>
        </w:tc>
        <w:tc>
          <w:tcPr>
            <w:tcW w:type="dxa" w:w="2340"/>
          </w:tcPr>
          <w:p w14:paraId="6922534C">
            <w:r>
              <w:t>EO 14289 stacking order as amended June 3, 2025; steel/aluminum content lines not subject to reciprocal tariffs (9903.01.33); non-metal content under 9903.01.25</w:t>
            </w:r>
          </w:p>
        </w:tc>
        <w:tc>
          <w:tcPr>
            <w:tcW w:type="dxa" w:w="2340"/>
          </w:tcPr>
          <w:p w14:paraId="13B1CCE4">
            <w:r>
              <w:t>DONE</w:t>
            </w:r>
          </w:p>
        </w:tc>
      </w:tr>
      <w:tr>
        <w:tc>
          <w:tcPr>
            <w:tcW w:type="dxa" w:w="2340"/>
          </w:tcPr>
          <w:p w14:paraId="4FBAF04C">
            <w:r>
              <w:t>7</w:t>
            </w:r>
          </w:p>
        </w:tc>
        <w:tc>
          <w:tcPr>
            <w:tcW w:type="dxa" w:w="2340"/>
          </w:tcPr>
          <w:p w14:paraId="2034D6EC">
            <w:r>
              <w:t>Exclusions and exemption codes</w:t>
            </w:r>
          </w:p>
        </w:tc>
        <w:tc>
          <w:tcPr>
            <w:tcW w:type="dxa" w:w="2340"/>
          </w:tcPr>
          <w:p w14:paraId="722453DE">
            <w:r>
              <w:t>9903.01.02/.03 (IEEPA exclusions — moot); U.S. melt-and-pour / smelt-and-cast relief lines recorded</w:t>
            </w:r>
          </w:p>
        </w:tc>
        <w:tc>
          <w:tcPr>
            <w:tcW w:type="dxa" w:w="2340"/>
          </w:tcPr>
          <w:p w14:paraId="19A6468E">
            <w:r>
              <w:t>DONE</w:t>
            </w:r>
          </w:p>
        </w:tc>
      </w:tr>
      <w:tr>
        <w:tc>
          <w:tcPr>
            <w:tcW w:type="dxa" w:w="2340"/>
          </w:tcPr>
          <w:p w14:paraId="2A80953C">
            <w:r>
              <w:t>8</w:t>
            </w:r>
          </w:p>
        </w:tc>
        <w:tc>
          <w:tcPr>
            <w:tcW w:type="dxa" w:w="2340"/>
          </w:tcPr>
          <w:p w14:paraId="22DB2CB2">
            <w:r>
              <w:t>Non-compliant vehicles category</w:t>
            </w:r>
          </w:p>
        </w:tc>
        <w:tc>
          <w:tcPr>
            <w:tcW w:type="dxa" w:w="2340"/>
          </w:tcPr>
          <w:p w14:paraId="0D09B35A">
            <w:r>
              <w:t>Resolved: non-USMCA-compliant vehicles bear full 25% under 9903.94.01/.02; no separate residual category</w:t>
            </w:r>
          </w:p>
        </w:tc>
        <w:tc>
          <w:tcPr>
            <w:tcW w:type="dxa" w:w="2340"/>
          </w:tcPr>
          <w:p w14:paraId="71B49F8E">
            <w:r>
              <w:t>DONE</w:t>
            </w:r>
          </w:p>
        </w:tc>
      </w:tr>
      <w:tr>
        <w:tc>
          <w:tcPr>
            <w:tcW w:type="dxa" w:w="2340"/>
          </w:tcPr>
          <w:p w14:paraId="31C4CCA0">
            <w:r>
              <w:t>9</w:t>
            </w:r>
          </w:p>
        </w:tc>
        <w:tc>
          <w:tcPr>
            <w:tcW w:type="dxa" w:w="2340"/>
          </w:tcPr>
          <w:p w14:paraId="698F6F78">
            <w:r>
              <w:t>Accrued liability / transit rule</w:t>
            </w:r>
          </w:p>
        </w:tc>
        <w:tc>
          <w:tcPr>
            <w:tcW w:type="dxa" w:w="2340"/>
          </w:tcPr>
          <w:p w14:paraId="2D345148">
            <w:r>
              <w:t>Pre-elimination entries preserve liability; transit rule per Article 1.4(s) and A2A.4 analog</w:t>
            </w:r>
          </w:p>
        </w:tc>
        <w:tc>
          <w:tcPr>
            <w:tcW w:type="dxa" w:w="2340"/>
          </w:tcPr>
          <w:p w14:paraId="02263440">
            <w:r>
              <w:t>DONE</w:t>
            </w:r>
          </w:p>
        </w:tc>
      </w:tr>
      <w:tr>
        <w:tc>
          <w:tcPr>
            <w:tcW w:type="dxa" w:w="2340"/>
          </w:tcPr>
          <w:p w14:paraId="2C1B6AA2">
            <w:r>
              <w:t>10</w:t>
            </w:r>
          </w:p>
        </w:tc>
        <w:tc>
          <w:tcPr>
            <w:tcW w:type="dxa" w:w="2340"/>
          </w:tcPr>
          <w:p w14:paraId="2E726454">
            <w:r>
              <w:t>Refund interface</w:t>
            </w:r>
          </w:p>
        </w:tc>
        <w:tc>
          <w:tcPr>
            <w:tcW w:type="dxa" w:w="2340"/>
          </w:tcPr>
          <w:p w14:paraId="3218E586">
            <w:r>
              <w:t xml:space="preserve">232 families: domestic protest/reliquidation; IEEPA family: CBP/CIT refund track (A2B.4); Agreement creates no new right</w:t>
            </w:r>
          </w:p>
        </w:tc>
        <w:tc>
          <w:tcPr>
            <w:tcW w:type="dxa" w:w="2340"/>
          </w:tcPr>
          <w:p w14:paraId="48974A3A">
            <w:r>
              <w:t>DONE</w:t>
            </w:r>
          </w:p>
        </w:tc>
      </w:tr>
      <w:tr>
        <w:tc>
          <w:tcPr>
            <w:tcW w:type="dxa" w:w="2340"/>
          </w:tcPr>
          <w:p w14:paraId="38BD016C">
            <w:r>
              <w:t>11</w:t>
            </w:r>
          </w:p>
        </w:tc>
        <w:tc>
          <w:tcPr>
            <w:tcW w:type="dxa" w:w="2340"/>
          </w:tcPr>
          <w:p w14:paraId="72FB99F8">
            <w:r>
              <w:t>Anti-duplication screen</w:t>
            </w:r>
          </w:p>
        </w:tc>
        <w:tc>
          <w:tcPr>
            <w:tcW w:type="dxa" w:w="2340"/>
          </w:tcPr>
          <w:p w14:paraId="2C6AA69E">
            <w:r>
              <w:t>Annex 2-D quantitative screen applied; no duplicative measure identified in screen</w:t>
            </w:r>
          </w:p>
        </w:tc>
        <w:tc>
          <w:tcPr>
            <w:tcW w:type="dxa" w:w="2340"/>
          </w:tcPr>
          <w:p w14:paraId="62EFE8AE">
            <w:r>
              <w:t>DONE</w:t>
            </w:r>
          </w:p>
        </w:tc>
      </w:tr>
      <w:tr>
        <w:tc>
          <w:tcPr>
            <w:tcW w:type="dxa" w:w="2340"/>
          </w:tcPr>
          <w:p w14:paraId="19314186">
            <w:r>
              <w:t>12</w:t>
            </w:r>
          </w:p>
        </w:tc>
        <w:tc>
          <w:tcPr>
            <w:tcW w:type="dxa" w:w="2340"/>
          </w:tcPr>
          <w:p w14:paraId="4E958CBC">
            <w:r>
              <w:t>Preserved lawful measures identified</w:t>
            </w:r>
          </w:p>
        </w:tc>
        <w:tc>
          <w:tcPr>
            <w:tcW w:type="dxa" w:w="2340"/>
          </w:tcPr>
          <w:p w14:paraId="6FE58596">
            <w:r>
              <w:t>AD/CVD/safeguard orders in Annex 2-D preserved; ordinary MFN and USMCA preferences unaffected</w:t>
            </w:r>
          </w:p>
        </w:tc>
        <w:tc>
          <w:tcPr>
            <w:tcW w:type="dxa" w:w="2340"/>
          </w:tcPr>
          <w:p w14:paraId="4CA6A3A4">
            <w:r>
              <w:t>DONE</w:t>
            </w:r>
          </w:p>
        </w:tc>
      </w:tr>
      <w:tr>
        <w:tc>
          <w:tcPr>
            <w:tcW w:type="dxa" w:w="2340"/>
          </w:tcPr>
          <w:p w14:paraId="21C2A186">
            <w:r>
              <w:t>13</w:t>
            </w:r>
          </w:p>
        </w:tc>
        <w:tc>
          <w:tcPr>
            <w:tcW w:type="dxa" w:w="2340"/>
          </w:tcPr>
          <w:p w14:paraId="51FB1C9A">
            <w:r>
              <w:t>Final verification labels assigned</w:t>
            </w:r>
          </w:p>
        </w:tc>
        <w:tc>
          <w:tcPr>
            <w:tcW w:type="dxa" w:w="2340"/>
          </w:tcPr>
          <w:p w14:paraId="6D3DCDD6">
            <w:r>
              <w:t>See A2B.1 label column</w:t>
            </w:r>
          </w:p>
        </w:tc>
        <w:tc>
          <w:tcPr>
            <w:tcW w:type="dxa" w:w="2340"/>
          </w:tcPr>
          <w:p w14:paraId="220F06BA">
            <w:r>
              <w:t>DONE</w:t>
            </w:r>
          </w:p>
        </w:tc>
      </w:tr>
      <w:tr>
        <w:tc>
          <w:tcPr>
            <w:tcW w:type="dxa" w:w="2340"/>
          </w:tcPr>
          <w:p w14:paraId="2CF2D040">
            <w:r>
              <w:t>14</w:t>
            </w:r>
          </w:p>
        </w:tc>
        <w:tc>
          <w:tcPr>
            <w:tcW w:type="dxa" w:w="2340"/>
          </w:tcPr>
          <w:p w14:paraId="662DA75A">
            <w:r>
              <w:t>Form 1 issuance</w:t>
            </w:r>
          </w:p>
        </w:tc>
        <w:tc>
          <w:tcPr>
            <w:tcW w:type="dxa" w:w="2340"/>
          </w:tcPr>
          <w:p w14:paraId="2E92029A">
            <w:r>
              <w:t>Forms issue only upon adoption and selection of measures for elimination; none issued in draft</w:t>
            </w:r>
          </w:p>
        </w:tc>
        <w:tc>
          <w:tcPr>
            <w:tcW w:type="dxa" w:w="2340"/>
          </w:tcPr>
          <w:p w14:paraId="752BBB92">
            <w:r>
              <w:t>PROCEDURAL — AWAITS ADOPTION</w:t>
            </w:r>
          </w:p>
        </w:tc>
      </w:tr>
    </w:tbl>
    <w:p>
      <w:r>
        <w:rPr>
          <w:b w:val="0"/>
        </w:rPr>
        <w:t xml:space="preserve">6. Each entry in Section II is identified by an immutable item number in the format US-2B-[number]. Status codes: V (verified in force as of the draft date), EXC-RI (excluded: authority judicially invalidated; refund track only), TBC (recorded for completeness pending confirmation). Conversion between codes occurs only through the Article 2.2.3 exchange of written confirmations and is recorded in Section III (A2B.5).</w:t>
      </w:r>
    </w:p>
    <w:p>
      <w:r>
        <w:rPr>
          <w:b w:val="0"/>
        </w:rPr>
        <w:t xml:space="preserve">7. Where a measure is recorded at the six-digit level, the eight- and ten-digit statistical suffix detail attaches to the Article 2.2.3 machine-readable schedule, which controls for customs administration.</w:t>
      </w:r>
    </w:p>
    <w:p>
      <w:r>
        <w:rPr>
          <w:b w:val="0"/>
        </w:rPr>
        <w:t xml:space="preserve">8. Duties collected under any entry with status V are eligible for refund under Article 2.6. Duties collected under EXC-RI entries are refundable exclusively through the domestic channels described in A2B.4 and are tracked, not created, by this Agreement.</w:t>
      </w:r>
    </w:p>
    <w:p>
      <w:r>
        <w:rPr>
          <w:b w:val="0"/>
        </w:rPr>
        <w:t xml:space="preserve">9. In the event of a discrepancy between an entry and the instrument it records, the instrument prevails and the entry is corrected under Article 2.2.5.</w:t>
      </w:r>
    </w:p>
    <w:p w14:paraId="439498E2"/>
    <w:p w14:paraId="1377D870">
      <w:pPr>
        <w:pStyle w:val="Heading3"/>
      </w:pPr>
      <w:r>
        <w:rPr>
          <w:b w:val="0"/>
        </w:rPr>
        <w:t xml:space="preserve">A2B.4 Litigation/Invalidation Disposition — IEEPA Mexico Family</w:t>
      </w:r>
    </w:p>
    <w:p w14:paraId="5887ED0E">
      <w:r>
        <w:rPr>
          <w:b w:val="0"/>
        </w:rPr>
        <w:t>On February 20, 2026, the Supreme Court of the United States held in Learning Resources, Inc. v. Trump and Trump v. V.O.S. Selections, Inc. (6–3) that IEEPA does not authorize the President to impose tariffs, invalidating the Mexico trafficking/immigration tariffs (HTSUS 9903.01.01 family) and the reciprocal tariffs. CBP ceased collection of IEEPA duties effective February 24, 2026, and refund proceedings are administered through CBP and the Court of International Trade, including under the March 4, 2026 CIT ruling (Eaton, J.) that importers are due refunds with interest. Consequences for this Agreement: (a) the 9903.01.01 family is EXCLUDED from the elimination schedule — no treaty elimination is needed or possible for a measure whose authority has been judicially invalidated; (b) refunds for that family are governed by domestic law (protest/reliquidation under 19 U.S.C. § 1514 and 1515, and CIT proceedings), and are tracked — but not created — under Article 2.6 and Annex 2-C; (c) no double recovery: an amount refunded through domestic litigation or CBP process is excluded from any Agreement reconciliation total; (d) pending litigation, defenses, and appeal rights are expressly preserved.</w:t>
      </w:r>
    </w:p>
    <w:p w14:paraId="0EC285C2">
      <w:pPr>
        <w:pStyle w:val="Heading3"/>
      </w:pPr>
      <w:r>
        <w:rPr>
          <w:b w:val="0"/>
        </w:rPr>
        <w:t xml:space="preserve">A2B.6 Certification Signature Block</w:t>
      </w:r>
    </w:p>
    <w:p>
      <w:pPr>
        <w:pStyle w:val="Heading3"/>
      </w:pPr>
      <w:r>
        <w:rPr>
          <w:b w:val="0"/>
        </w:rPr>
        <w:t xml:space="preserve">A2B.5 Section III — Record of Confirmations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 xml:space="preserve">Confirmation record</w:t>
            </w:r>
          </w:p>
        </w:tc>
        <w:tc>
          <w:tcPr>
            <w:tcW w:type="dxa" w:w="1872"/>
          </w:tcPr>
          <w:p>
            <w:r>
              <w:rPr>
                <w:b/>
              </w:rPr>
              <w:t xml:space="preserve">Authority</w:t>
            </w:r>
          </w:p>
        </w:tc>
        <w:tc>
          <w:tcPr>
            <w:tcW w:type="dxa" w:w="1872"/>
          </w:tcPr>
          <w:p>
            <w:r>
              <w:rPr>
                <w:b/>
              </w:rPr>
              <w:t xml:space="preserve">Scope</w:t>
            </w:r>
          </w:p>
        </w:tc>
        <w:tc>
          <w:tcPr>
            <w:tcW w:type="dxa" w:w="1872"/>
          </w:tcPr>
          <w:p>
            <w:r>
              <w:rPr>
                <w:b/>
              </w:rPr>
              <w:t xml:space="preserve">Date</w:t>
            </w:r>
          </w:p>
        </w:tc>
        <w:tc>
          <w:tcPr>
            <w:tcW w:type="dxa" w:w="1872"/>
          </w:tcPr>
          <w:p>
            <w:r>
              <w:rPr>
                <w:b/>
              </w:rPr>
              <w:t xml:space="preserve">Result</w:t>
            </w:r>
          </w:p>
        </w:tc>
      </w:tr>
      <w:tr>
        <w:tc>
          <w:tcPr>
            <w:tcW w:type="dxa" w:w="1872"/>
          </w:tcPr>
          <w:p>
            <w:r>
              <w:t xml:space="preserve">CONF-US-001</w:t>
            </w:r>
          </w:p>
        </w:tc>
        <w:tc>
          <w:tcPr>
            <w:tcW w:type="dxa" w:w="1872"/>
          </w:tcPr>
          <w:p>
            <w:r>
              <w:t xml:space="preserve">USTR, Office for Mexico and Canada Affairs</w:t>
            </w:r>
          </w:p>
        </w:tc>
        <w:tc>
          <w:tcPr>
            <w:tcW w:type="dxa" w:w="1872"/>
          </w:tcPr>
          <w:p>
            <w:r>
              <w:t xml:space="preserve">Family schedule verified against official sources</w:t>
            </w:r>
          </w:p>
        </w:tc>
        <w:tc>
          <w:tcPr>
            <w:tcW w:type="dxa" w:w="1872"/>
          </w:tcPr>
          <w:p>
            <w:r>
              <w:t xml:space="preserve">September 7, 2026</w:t>
            </w:r>
          </w:p>
        </w:tc>
        <w:tc>
          <w:tcPr>
            <w:tcW w:type="dxa" w:w="1872"/>
          </w:tcPr>
          <w:p>
            <w:r>
              <w:t xml:space="preserve">DONE (re-check at adoption)</w:t>
            </w:r>
          </w:p>
        </w:tc>
      </w:tr>
      <w:tr>
        <w:tc>
          <w:tcPr>
            <w:tcW w:type="dxa" w:w="1872"/>
          </w:tcPr>
          <w:p>
            <w:r>
              <w:t xml:space="preserve">CONF-US-002</w:t>
            </w:r>
          </w:p>
        </w:tc>
        <w:tc>
          <w:tcPr>
            <w:tcW w:type="dxa" w:w="1872"/>
          </w:tcPr>
          <w:p>
            <w:r>
              <w:t xml:space="preserve">CBP, Office of Trade</w:t>
            </w:r>
          </w:p>
        </w:tc>
        <w:tc>
          <w:tcPr>
            <w:tcW w:type="dxa" w:w="1872"/>
          </w:tcPr>
          <w:p>
            <w:r>
              <w:t xml:space="preserve">HTSUS/ACE administration</w:t>
            </w:r>
          </w:p>
        </w:tc>
        <w:tc>
          <w:tcPr>
            <w:tcW w:type="dxa" w:w="1872"/>
          </w:tcPr>
          <w:p>
            <w:r>
              <w:t xml:space="preserve">Day 1–5</w:t>
            </w:r>
          </w:p>
        </w:tc>
        <w:tc>
          <w:tcPr>
            <w:tcW w:type="dxa" w:w="1872"/>
          </w:tcPr>
          <w:p>
            <w:r>
              <w:t xml:space="preserve">Pending go-live test</w:t>
            </w:r>
          </w:p>
        </w:tc>
      </w:tr>
      <w:tr>
        <w:tc>
          <w:tcPr>
            <w:tcW w:type="dxa" w:w="1872"/>
          </w:tcPr>
          <w:p>
            <w:r>
              <w:t xml:space="preserve">CONF-US-003</w:t>
            </w:r>
          </w:p>
        </w:tc>
        <w:tc>
          <w:tcPr>
            <w:tcW w:type="dxa" w:w="1872"/>
          </w:tcPr>
          <w:p>
            <w:r>
              <w:t xml:space="preserve">Department of Commerce (BIS/ITA)</w:t>
            </w:r>
          </w:p>
        </w:tc>
        <w:tc>
          <w:tcPr>
            <w:tcW w:type="dxa" w:w="1872"/>
          </w:tcPr>
          <w:p>
            <w:r>
              <w:t xml:space="preserve">Section 232 scope, derivatives, offset process</w:t>
            </w:r>
          </w:p>
        </w:tc>
        <w:tc>
          <w:tcPr>
            <w:tcW w:type="dxa" w:w="1872"/>
          </w:tcPr>
          <w:p>
            <w:r>
              <w:t xml:space="preserve">Day 1–5</w:t>
            </w:r>
          </w:p>
        </w:tc>
        <w:tc>
          <w:tcPr>
            <w:tcW w:type="dxa" w:w="1872"/>
          </w:tcPr>
          <w:p>
            <w:r>
              <w:t xml:space="preserve">Pending</w:t>
            </w:r>
          </w:p>
        </w:tc>
      </w:tr>
      <w:tr>
        <w:tc>
          <w:tcPr>
            <w:tcW w:type="dxa" w:w="1872"/>
          </w:tcPr>
          <w:p>
            <w:r>
              <w:t xml:space="preserve">CONF-US-004</w:t>
            </w:r>
          </w:p>
        </w:tc>
        <w:tc>
          <w:tcPr>
            <w:tcW w:type="dxa" w:w="1872"/>
          </w:tcPr>
          <w:p>
            <w:r>
              <w:t xml:space="preserve">USITC tariff specialist</w:t>
            </w:r>
          </w:p>
        </w:tc>
        <w:tc>
          <w:tcPr>
            <w:tcW w:type="dxa" w:w="1872"/>
          </w:tcPr>
          <w:p>
            <w:r>
              <w:t xml:space="preserve">HTSUS revision conformity</w:t>
            </w:r>
          </w:p>
        </w:tc>
        <w:tc>
          <w:tcPr>
            <w:tcW w:type="dxa" w:w="1872"/>
          </w:tcPr>
          <w:p>
            <w:r>
              <w:t xml:space="preserve">Day 1–5</w:t>
            </w:r>
          </w:p>
        </w:tc>
        <w:tc>
          <w:tcPr>
            <w:tcW w:type="dxa" w:w="1872"/>
          </w:tcPr>
          <w:p>
            <w:r>
              <w:t xml:space="preserve">Pending</w:t>
            </w:r>
          </w:p>
        </w:tc>
      </w:tr>
      <w:tr>
        <w:tc>
          <w:tcPr>
            <w:tcW w:type="dxa" w:w="1872"/>
          </w:tcPr>
          <w:p>
            <w:r>
              <w:t xml:space="preserve">CONF-US-005</w:t>
            </w:r>
          </w:p>
        </w:tc>
        <w:tc>
          <w:tcPr>
            <w:tcW w:type="dxa" w:w="1872"/>
          </w:tcPr>
          <w:p>
            <w:r>
              <w:t xml:space="preserve">Joint Committee</w:t>
            </w:r>
          </w:p>
        </w:tc>
        <w:tc>
          <w:tcPr>
            <w:tcW w:type="dxa" w:w="1872"/>
          </w:tcPr>
          <w:p>
            <w:r>
              <w:t xml:space="preserve">Article 2.2.3 exchange; entry-by-entry conversion</w:t>
            </w:r>
          </w:p>
        </w:tc>
        <w:tc>
          <w:tcPr>
            <w:tcW w:type="dxa" w:w="1872"/>
          </w:tcPr>
          <w:p>
            <w:r>
              <w:t xml:space="preserve">Day 1–5</w:t>
            </w:r>
          </w:p>
        </w:tc>
        <w:tc>
          <w:tcPr>
            <w:tcW w:type="dxa" w:w="1872"/>
          </w:tcPr>
          <w:p>
            <w:r>
              <w:t xml:space="preserve">Scheduled</w:t>
            </w:r>
          </w:p>
        </w:tc>
      </w:tr>
    </w:tbl>
    <w:tbl>
      <w:tblPr>
        <w:tblW w:type="auto" w:w="0"/>
        <w:tblLook w:firstColumn="1" w:firstRow="1" w:lastColumn="0" w:lastRow="0" w:noHBand="0" w:noVBand="1" w:val="04A0"/>
      </w:tblPr>
      <w:tblGrid>
        <w:gridCol w:w="1872"/>
        <w:gridCol w:w="1872"/>
        <w:gridCol w:w="1872"/>
        <w:gridCol w:w="1872"/>
        <w:gridCol w:w="1872"/>
      </w:tblGrid>
      <w:tr>
        <w:tc>
          <w:tcPr>
            <w:tcW w:type="dxa" w:w="1872"/>
          </w:tcPr>
          <w:p w14:paraId="7F6E5A1A">
            <w:r>
              <w:rPr>
                <w:b/>
              </w:rPr>
              <w:t>Role</w:t>
            </w:r>
          </w:p>
        </w:tc>
        <w:tc>
          <w:tcPr>
            <w:tcW w:type="dxa" w:w="1872"/>
          </w:tcPr>
          <w:p w14:paraId="1AC79F5A">
            <w:r>
              <w:rPr>
                <w:b/>
              </w:rPr>
              <w:t>Certification</w:t>
            </w:r>
          </w:p>
        </w:tc>
        <w:tc>
          <w:tcPr>
            <w:tcW w:type="dxa" w:w="1872"/>
          </w:tcPr>
          <w:p w14:paraId="4DA2294A">
            <w:r>
              <w:rPr>
                <w:b/>
              </w:rPr>
              <w:t>Name</w:t>
            </w:r>
          </w:p>
        </w:tc>
        <w:tc>
          <w:tcPr>
            <w:tcW w:type="dxa" w:w="1872"/>
          </w:tcPr>
          <w:p w14:paraId="444C04E0">
            <w:r>
              <w:rPr>
                <w:b/>
              </w:rPr>
              <w:t>Signature</w:t>
            </w:r>
          </w:p>
        </w:tc>
        <w:tc>
          <w:tcPr>
            <w:tcW w:type="dxa" w:w="1872"/>
          </w:tcPr>
          <w:p w14:paraId="6ED81874">
            <w:r>
              <w:rPr>
                <w:b/>
              </w:rPr>
              <w:t>Date</w:t>
            </w:r>
          </w:p>
        </w:tc>
      </w:tr>
      <w:tr>
        <w:tc>
          <w:tcPr>
            <w:tcW w:type="dxa" w:w="1872"/>
          </w:tcPr>
          <w:p w14:paraId="42FED334">
            <w:r>
              <w:t>USTR — Office for Mexico and Canada Affairs</w:t>
            </w:r>
          </w:p>
        </w:tc>
        <w:tc>
          <w:tcPr>
            <w:tcW w:type="dxa" w:w="1872"/>
          </w:tcPr>
          <w:p w14:paraId="039DC47E">
            <w:r>
              <w:t>Family schedule verified against official sources cited</w:t>
            </w:r>
          </w:p>
        </w:tc>
        <w:tc>
          <w:tcPr>
            <w:tcW w:type="dxa" w:w="1872"/>
          </w:tcPr>
          <w:p w14:paraId="2077F25C">
            <w:r/>
          </w:p>
        </w:tc>
        <w:tc>
          <w:tcPr>
            <w:tcW w:type="dxa" w:w="1872"/>
          </w:tcPr>
          <w:p w14:paraId="1F3C730A">
            <w:r/>
          </w:p>
        </w:tc>
        <w:tc>
          <w:tcPr>
            <w:tcW w:type="dxa" w:w="1872"/>
          </w:tcPr>
          <w:p w14:paraId="23803D3E">
            <w:r/>
          </w:p>
        </w:tc>
      </w:tr>
      <w:tr>
        <w:tc>
          <w:tcPr>
            <w:tcW w:type="dxa" w:w="1872"/>
          </w:tcPr>
          <w:p w14:paraId="00986924">
            <w:r>
              <w:t>CBP — Office of Trade</w:t>
            </w:r>
          </w:p>
        </w:tc>
        <w:tc>
          <w:tcPr>
            <w:tcW w:type="dxa" w:w="1872"/>
          </w:tcPr>
          <w:p w14:paraId="5CB8B45E">
            <w:r>
              <w:t>HTSUS/ACE administration and refund interface verified</w:t>
            </w:r>
          </w:p>
        </w:tc>
        <w:tc>
          <w:tcPr>
            <w:tcW w:type="dxa" w:w="1872"/>
          </w:tcPr>
          <w:p w14:paraId="2231E9AE">
            <w:r/>
          </w:p>
        </w:tc>
        <w:tc>
          <w:tcPr>
            <w:tcW w:type="dxa" w:w="1872"/>
          </w:tcPr>
          <w:p w14:paraId="42FD9886">
            <w:r/>
          </w:p>
        </w:tc>
        <w:tc>
          <w:tcPr>
            <w:tcW w:type="dxa" w:w="1872"/>
          </w:tcPr>
          <w:p w14:paraId="2C57629A">
            <w:r/>
          </w:p>
        </w:tc>
      </w:tr>
      <w:tr>
        <w:tc>
          <w:tcPr>
            <w:tcW w:type="dxa" w:w="1872"/>
          </w:tcPr>
          <w:p w14:paraId="2E516CB6">
            <w:r>
              <w:t>Department of Commerce (BIS/ITA)</w:t>
            </w:r>
          </w:p>
        </w:tc>
        <w:tc>
          <w:tcPr>
            <w:tcW w:type="dxa" w:w="1872"/>
          </w:tcPr>
          <w:p w14:paraId="7DF39F48">
            <w:r>
              <w:t>232 scope, derivative inclusions, offset process verified</w:t>
            </w:r>
          </w:p>
        </w:tc>
        <w:tc>
          <w:tcPr>
            <w:tcW w:type="dxa" w:w="1872"/>
          </w:tcPr>
          <w:p w14:paraId="5B54D368">
            <w:r/>
          </w:p>
        </w:tc>
        <w:tc>
          <w:tcPr>
            <w:tcW w:type="dxa" w:w="1872"/>
          </w:tcPr>
          <w:p w14:paraId="38C42E90">
            <w:r/>
          </w:p>
        </w:tc>
        <w:tc>
          <w:tcPr>
            <w:tcW w:type="dxa" w:w="1872"/>
          </w:tcPr>
          <w:p w14:paraId="1C2B556C">
            <w:r/>
          </w:p>
        </w:tc>
      </w:tr>
      <w:tr>
        <w:tc>
          <w:tcPr>
            <w:tcW w:type="dxa" w:w="1872"/>
          </w:tcPr>
          <w:p w14:paraId="0420D1AC">
            <w:r>
              <w:t>USITC tariff specialist</w:t>
            </w:r>
          </w:p>
        </w:tc>
        <w:tc>
          <w:tcPr>
            <w:tcW w:type="dxa" w:w="1872"/>
          </w:tcPr>
          <w:p w14:paraId="0CA33286">
            <w:r>
              <w:t>HTSUS revision conformity verified</w:t>
            </w:r>
          </w:p>
        </w:tc>
        <w:tc>
          <w:tcPr>
            <w:tcW w:type="dxa" w:w="1872"/>
          </w:tcPr>
          <w:p w14:paraId="790056C8">
            <w:r/>
          </w:p>
        </w:tc>
        <w:tc>
          <w:tcPr>
            <w:tcW w:type="dxa" w:w="1872"/>
          </w:tcPr>
          <w:p w14:paraId="13B6275A">
            <w:r/>
          </w:p>
        </w:tc>
        <w:tc>
          <w:tcPr>
            <w:tcW w:type="dxa" w:w="1872"/>
          </w:tcPr>
          <w:p w14:paraId="4FCF5DA4">
            <w:r/>
          </w:p>
        </w:tc>
      </w:tr>
    </w:tbl>
    <w:p w14:paraId="7F8E77A4"/>
    <w:p w14:paraId="7DA8264A">
      <w:pPr>
        <w:pStyle w:val="Heading2"/>
      </w:pPr>
      <w:bookmarkStart w:id="994" w:name="_Toc236229994"/>
      <w:r>
        <w:t>Annex 2-C Refund and Reconciliation Operating Procedures</w:t>
      </w:r>
      <w:bookmarkEnd w:id="994"/>
    </w:p>
    <w:p w14:paraId="2ED80148">
      <w:r>
        <w:rPr>
          <w:b w:val="0"/>
          <w:i w:val="0"/>
        </w:rPr>
        <w:t>This Annex overlays, and does not replace, domestic refund, protest, reliquidation, rectification, limitation, and review law. It creates no new refund right where domestic law forbids one. If this Annex conflicts with mandatory domestic law, domestic law prevails for the refund mechanism and the Parties shall use the closest available consistent procedure.</w:t>
      </w:r>
    </w:p>
    <w:p>
      <w:r>
        <w:rPr>
          <w:b w:val="0"/>
        </w:rPr>
        <w:t xml:space="preserve">United States channel. The claim vehicle is a CBP Form 7501 amendment, a protest under 19 U.S.C. 1514 filed within 180 days of liquidation, or a post-summary correction under 19 CFR 24.36a; reliquidation proceeds under 19 U.S.C. 1515; interest accrues at the rate fixed under 26 U.S.C. 6621 from the date of deposit. The Agreement overlay does not extend statutory limitation periods, and amounts recovered through the Court of International Trade under A2B.4 are netted from reconciliation totals.</w:t>
      </w:r>
    </w:p>
    <w:p>
      <w:r>
        <w:rPr>
          <w:b w:val="0"/>
        </w:rPr>
        <w:t xml:space="preserve">Mexico channel. The claim vehicle is pedimento rectification under the ANAM Reglas Generales de Comercio Exterior or an expediente de devolución under Articles 22–27 of the Código Fiscal de la Federación (90-day decision clock with a 40-day supplementary period), with interest per Ley de Ingresos de la Federación updates.</w:t>
      </w:r>
    </w:p>
    <w:p>
      <w:r>
        <w:rPr>
          <w:b w:val="0"/>
        </w:rPr>
        <w:t xml:space="preserve">Reconciliation record schema. Each monthly report records: month; entries affected; duties eliminated by reason code (ELIM-232, ELIM-AUTO, ELIM-MHDV, ELIM-IEEPA-EXC); refunds claimed; refunds paid; denials with reason codes; median and 90th-percentile cycle time; and the systemic error log reference.</w:t>
      </w:r>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14:paraId="53181162">
            <w:r>
              <w:rPr>
                <w:b/>
              </w:rPr>
              <w:t>Stage</w:t>
            </w:r>
          </w:p>
        </w:tc>
        <w:tc>
          <w:tcPr>
            <w:tcW w:type="dxa" w:w="1560"/>
          </w:tcPr>
          <w:p w14:paraId="29F39A9A">
            <w:r>
              <w:rPr>
                <w:b/>
              </w:rPr>
              <w:t>United States channel</w:t>
            </w:r>
          </w:p>
        </w:tc>
        <w:tc>
          <w:tcPr>
            <w:tcW w:type="dxa" w:w="1560"/>
          </w:tcPr>
          <w:p w14:paraId="1F6ABD1A">
            <w:r>
              <w:rPr>
                <w:b/>
              </w:rPr>
              <w:t>Mexico channel</w:t>
            </w:r>
          </w:p>
        </w:tc>
        <w:tc>
          <w:tcPr>
            <w:tcW w:type="dxa" w:w="1560"/>
          </w:tcPr>
          <w:p w14:paraId="3BFB8364">
            <w:r>
              <w:rPr>
                <w:b/>
              </w:rPr>
              <w:t>Deadline / clock</w:t>
            </w:r>
          </w:p>
        </w:tc>
        <w:tc>
          <w:tcPr>
            <w:tcW w:type="dxa" w:w="1560"/>
          </w:tcPr>
          <w:p w14:paraId="7BBCAF0A">
            <w:r>
              <w:rPr>
                <w:b/>
              </w:rPr>
              <w:t>Authority</w:t>
            </w:r>
          </w:p>
        </w:tc>
        <w:tc>
          <w:tcPr>
            <w:tcW w:type="dxa" w:w="1560"/>
          </w:tcPr>
          <w:p w14:paraId="3F1F5702">
            <w:r>
              <w:rPr>
                <w:b/>
              </w:rPr>
              <w:t>Required record</w:t>
            </w:r>
          </w:p>
        </w:tc>
      </w:tr>
      <w:tr>
        <w:tc>
          <w:tcPr>
            <w:tcW w:type="dxa" w:w="1560"/>
          </w:tcPr>
          <w:p w14:paraId="0C014A90">
            <w:r>
              <w:t>Claim intake</w:t>
            </w:r>
          </w:p>
        </w:tc>
        <w:tc>
          <w:tcPr>
            <w:tcW w:type="dxa" w:w="1560"/>
          </w:tcPr>
          <w:p w14:paraId="4EA8CBEE">
            <w:r>
              <w:t>CBP refund, protest, reliquidation, reconciliation, or post-summary correction channel as applicable</w:t>
            </w:r>
          </w:p>
        </w:tc>
        <w:tc>
          <w:tcPr>
            <w:tcW w:type="dxa" w:w="1560"/>
          </w:tcPr>
          <w:p w14:paraId="305DEF86">
            <w:r>
              <w:t>ANAM/SAT pedimento rectification or refund channel as applicable</w:t>
            </w:r>
          </w:p>
        </w:tc>
        <w:tc>
          <w:tcPr>
            <w:tcW w:type="dxa" w:w="1560"/>
          </w:tcPr>
          <w:p w14:paraId="116D7434">
            <w:r>
              <w:t>Acknowledge within 10 business days after complete filing</w:t>
            </w:r>
          </w:p>
        </w:tc>
        <w:tc>
          <w:tcPr>
            <w:tcW w:type="dxa" w:w="1560"/>
          </w:tcPr>
          <w:p w14:paraId="6E21777C">
            <w:r>
              <w:t>CBP / ANAM / SAT</w:t>
            </w:r>
          </w:p>
        </w:tc>
        <w:tc>
          <w:tcPr>
            <w:tcW w:type="dxa" w:w="1560"/>
          </w:tcPr>
          <w:p w14:paraId="221D7E66">
            <w:r>
              <w:t>Entry or pedimento, importer, classification, origin claim, amount, proof of payment, legal basis</w:t>
            </w:r>
          </w:p>
        </w:tc>
      </w:tr>
      <w:tr>
        <w:tc>
          <w:tcPr>
            <w:tcW w:type="dxa" w:w="1560"/>
          </w:tcPr>
          <w:p w14:paraId="0563936C">
            <w:r>
              <w:t>Domestic deadline</w:t>
            </w:r>
          </w:p>
        </w:tc>
        <w:tc>
          <w:tcPr>
            <w:tcW w:type="dxa" w:w="1560"/>
          </w:tcPr>
          <w:p w14:paraId="77B9B6E6">
            <w:r>
              <w:t>19 U.S.C. § 1520 protest/reliquidation mechanics and 180-day window where applicable; other statutory windows preserved</w:t>
            </w:r>
          </w:p>
        </w:tc>
        <w:tc>
          <w:tcPr>
            <w:tcW w:type="dxa" w:w="1560"/>
          </w:tcPr>
          <w:p w14:paraId="24C83B68">
            <w:r>
              <w:t>Applicable Mexican customs, fiscal, administrative, and limitation rules</w:t>
            </w:r>
          </w:p>
        </w:tc>
        <w:tc>
          <w:tcPr>
            <w:tcW w:type="dxa" w:w="1560"/>
          </w:tcPr>
          <w:p w14:paraId="57486AA4">
            <w:r>
              <w:t>Domestic clock controls unless a later lawful instrument extends it</w:t>
            </w:r>
          </w:p>
        </w:tc>
        <w:tc>
          <w:tcPr>
            <w:tcW w:type="dxa" w:w="1560"/>
          </w:tcPr>
          <w:p w14:paraId="3837E690">
            <w:r>
              <w:t>CBP / U.S. courts as applicable; ANAM/SAT and Mexican tribunals as applicable</w:t>
            </w:r>
          </w:p>
        </w:tc>
        <w:tc>
          <w:tcPr>
            <w:tcW w:type="dxa" w:w="1560"/>
          </w:tcPr>
          <w:p w14:paraId="7343441A">
            <w:r>
              <w:t>Domestic filing proof</w:t>
            </w:r>
          </w:p>
        </w:tc>
      </w:tr>
      <w:tr>
        <w:tc>
          <w:tcPr>
            <w:tcW w:type="dxa" w:w="1560"/>
          </w:tcPr>
          <w:p w14:paraId="739A7796">
            <w:r>
              <w:t>Agreement review</w:t>
            </w:r>
          </w:p>
        </w:tc>
        <w:tc>
          <w:tcPr>
            <w:tcW w:type="dxa" w:w="1560"/>
          </w:tcPr>
          <w:p w14:paraId="0C4320F0">
            <w:r>
              <w:t>Agreement overlay review for elimination-related reconciliation</w:t>
            </w:r>
          </w:p>
        </w:tc>
        <w:tc>
          <w:tcPr>
            <w:tcW w:type="dxa" w:w="1560"/>
          </w:tcPr>
          <w:p w14:paraId="679185FE">
            <w:r>
              <w:t>Agreement overlay review for elimination-related reconciliation</w:t>
            </w:r>
          </w:p>
        </w:tc>
        <w:tc>
          <w:tcPr>
            <w:tcW w:type="dxa" w:w="1560"/>
          </w:tcPr>
          <w:p w14:paraId="1DD559B0">
            <w:r>
              <w:t>Decision target: 60 days after complete filing, subject to mandatory domestic procedure</w:t>
            </w:r>
          </w:p>
        </w:tc>
        <w:tc>
          <w:tcPr>
            <w:tcW w:type="dxa" w:w="1560"/>
          </w:tcPr>
          <w:p w14:paraId="4EC32F82">
            <w:r>
              <w:t>Administering authority</w:t>
            </w:r>
          </w:p>
        </w:tc>
        <w:tc>
          <w:tcPr>
            <w:tcW w:type="dxa" w:w="1560"/>
          </w:tcPr>
          <w:p w14:paraId="6E41A726">
            <w:r>
              <w:t>Reasoned approval or denial</w:t>
            </w:r>
          </w:p>
        </w:tc>
      </w:tr>
      <w:tr>
        <w:tc>
          <w:tcPr>
            <w:tcW w:type="dxa" w:w="1560"/>
          </w:tcPr>
          <w:p w14:paraId="0FA0E0A8">
            <w:r>
              <w:t>Quality control</w:t>
            </w:r>
          </w:p>
        </w:tc>
        <w:tc>
          <w:tcPr>
            <w:tcW w:type="dxa" w:w="1560"/>
          </w:tcPr>
          <w:p w14:paraId="3F119CEE">
            <w:r>
              <w:t>Sampling, duplicate-payment check, fraud screen, litigation-hold check</w:t>
            </w:r>
          </w:p>
        </w:tc>
        <w:tc>
          <w:tcPr>
            <w:tcW w:type="dxa" w:w="1560"/>
          </w:tcPr>
          <w:p w14:paraId="72DEE298">
            <w:r>
              <w:t>Sampling, duplicate-payment check, fraud screen, litigation-hold check</w:t>
            </w:r>
          </w:p>
        </w:tc>
        <w:tc>
          <w:tcPr>
            <w:tcW w:type="dxa" w:w="1560"/>
          </w:tcPr>
          <w:p w14:paraId="4733140E">
            <w:r>
              <w:t>Monthly during Stabilization Period</w:t>
            </w:r>
          </w:p>
        </w:tc>
        <w:tc>
          <w:tcPr>
            <w:tcW w:type="dxa" w:w="1560"/>
          </w:tcPr>
          <w:p w14:paraId="3DFF6A4E">
            <w:r>
              <w:t>CBP / ANAM / SAT</w:t>
            </w:r>
          </w:p>
        </w:tc>
        <w:tc>
          <w:tcPr>
            <w:tcW w:type="dxa" w:w="1560"/>
          </w:tcPr>
          <w:p w14:paraId="68B084FE">
            <w:r>
              <w:t>QC log and exception report</w:t>
            </w:r>
          </w:p>
        </w:tc>
      </w:tr>
      <w:tr>
        <w:tc>
          <w:tcPr>
            <w:tcW w:type="dxa" w:w="1560"/>
          </w:tcPr>
          <w:p w14:paraId="69D90EB4">
            <w:r>
              <w:t>Reconciliation</w:t>
            </w:r>
          </w:p>
        </w:tc>
        <w:tc>
          <w:tcPr>
            <w:tcW w:type="dxa" w:w="1560"/>
          </w:tcPr>
          <w:p w14:paraId="28C4E9EC">
            <w:r>
              <w:t>Monthly aggregate report to Joint Committee</w:t>
            </w:r>
          </w:p>
        </w:tc>
        <w:tc>
          <w:tcPr>
            <w:tcW w:type="dxa" w:w="1560"/>
          </w:tcPr>
          <w:p w14:paraId="6F4967C0">
            <w:r>
              <w:t>Monthly aggregate report to Joint Committee</w:t>
            </w:r>
          </w:p>
        </w:tc>
        <w:tc>
          <w:tcPr>
            <w:tcW w:type="dxa" w:w="1560"/>
          </w:tcPr>
          <w:p w14:paraId="3FFC3E9E">
            <w:r>
              <w:t>Within 10 business days after month end</w:t>
            </w:r>
          </w:p>
        </w:tc>
        <w:tc>
          <w:tcPr>
            <w:tcW w:type="dxa" w:w="1560"/>
          </w:tcPr>
          <w:p w14:paraId="2AE48FE0">
            <w:r>
              <w:t>Both customs administrations</w:t>
            </w:r>
          </w:p>
        </w:tc>
        <w:tc>
          <w:tcPr>
            <w:tcW w:type="dxa" w:w="1560"/>
          </w:tcPr>
          <w:p w14:paraId="7182588A">
            <w:r>
              <w:t>Entries affected, duties eliminated, claims, payments, denials, processing time, systemic errors</w:t>
            </w:r>
          </w:p>
        </w:tc>
      </w:tr>
    </w:tbl>
    <w:p w14:paraId="2D963F28"/>
    <w:p w14:paraId="7E35CC24">
      <w:pPr>
        <w:pStyle w:val="Heading2"/>
      </w:pPr>
      <w:bookmarkStart w:id="995" w:name="_Toc236229995"/>
      <w:r>
        <w:t>Annex 2-D Lawful Trade Remedy Preservation and Anti-Abuse</w:t>
      </w:r>
      <w:bookmarkEnd w:id="995"/>
    </w:p>
    <w:p w14:paraId="128166EA">
      <w:r>
        <w:rPr>
          <w:b w:val="0"/>
        </w:rPr>
        <w:t>Lawful antidumping, countervailing-duty, and safeguard processes are preserved. They may not be initiated, timed, scoped, settled, or administered to recreate an eliminated emergency tariff. The following docket table lists proceedings in existence at the draft date that involve Mexico-related bilateral trade and therefore trigger the enhanced-transparency obligation; entries are from official USITC/Commerce records.</w:t>
      </w:r>
    </w:p>
    <w:p w14:paraId="27251D8C">
      <w:pPr>
        <w:pStyle w:val="Heading3"/>
      </w:pPr>
      <w:r>
        <w:rPr>
          <w:b w:val="0"/>
        </w:rPr>
        <w:t>A2D.1 Docket Register (officially sourced)</w:t>
      </w:r>
    </w:p>
    <w:tbl>
      <w:tblPr>
        <w:tblW w:type="auto" w:w="0"/>
        <w:tblLook w:firstColumn="1" w:firstRow="1" w:lastColumn="0" w:lastRow="0" w:noHBand="0" w:noVBand="1" w:val="04A0"/>
      </w:tblPr>
      <w:tblGrid>
        <w:gridCol w:w="1872"/>
        <w:gridCol w:w="1872"/>
        <w:gridCol w:w="1872"/>
        <w:gridCol w:w="1872"/>
        <w:gridCol w:w="1872"/>
      </w:tblGrid>
      <w:tr>
        <w:tc>
          <w:tcPr>
            <w:tcW w:type="dxa" w:w="1872"/>
          </w:tcPr>
          <w:p w14:paraId="4E2402B0">
            <w:r>
              <w:rPr>
                <w:b/>
              </w:rPr>
              <w:t>Type</w:t>
            </w:r>
          </w:p>
        </w:tc>
        <w:tc>
          <w:tcPr>
            <w:tcW w:type="dxa" w:w="1872"/>
          </w:tcPr>
          <w:p w14:paraId="52CE36CC">
            <w:r>
              <w:rPr>
                <w:b/>
              </w:rPr>
              <w:t>Case / investigation numbers</w:t>
            </w:r>
          </w:p>
        </w:tc>
        <w:tc>
          <w:tcPr>
            <w:tcW w:type="dxa" w:w="1872"/>
          </w:tcPr>
          <w:p w14:paraId="7C71BB24">
            <w:r>
              <w:rPr>
                <w:b/>
              </w:rPr>
              <w:t>Product / country</w:t>
            </w:r>
          </w:p>
        </w:tc>
        <w:tc>
          <w:tcPr>
            <w:tcW w:type="dxa" w:w="1872"/>
          </w:tcPr>
          <w:p w14:paraId="4CAC018E">
            <w:r>
              <w:rPr>
                <w:b/>
              </w:rPr>
              <w:t>Authority</w:t>
            </w:r>
          </w:p>
        </w:tc>
        <w:tc>
          <w:tcPr>
            <w:tcW w:type="dxa" w:w="1872"/>
          </w:tcPr>
          <w:p w14:paraId="35D99914">
            <w:r>
              <w:rPr>
                <w:b/>
              </w:rPr>
              <w:t>Status at draft date (source)</w:t>
            </w:r>
          </w:p>
        </w:tc>
      </w:tr>
      <w:tr>
        <w:tc>
          <w:tcPr>
            <w:tcW w:type="dxa" w:w="1872"/>
          </w:tcPr>
          <w:p w14:paraId="5C574C9C">
            <w:r>
              <w:t>AD/CVD suspension agreements</w:t>
            </w:r>
          </w:p>
        </w:tc>
        <w:tc>
          <w:tcPr>
            <w:tcW w:type="dxa" w:w="1872"/>
          </w:tcPr>
          <w:p w14:paraId="18EF0D30">
            <w:r>
              <w:t>USITC 701-TA-513 and 731-TA-1249 (Second Review); Commerce C-201-846 / A-201-845</w:t>
            </w:r>
          </w:p>
        </w:tc>
        <w:tc>
          <w:tcPr>
            <w:tcW w:type="dxa" w:w="1872"/>
          </w:tcPr>
          <w:p w14:paraId="6FD671F4">
            <w:r>
              <w:t>Sugar from Mexico</w:t>
            </w:r>
          </w:p>
        </w:tc>
        <w:tc>
          <w:tcPr>
            <w:tcW w:type="dxa" w:w="1872"/>
          </w:tcPr>
          <w:p w14:paraId="7F4DF9C4">
            <w:r>
              <w:t>Commerce / USITC</w:t>
            </w:r>
          </w:p>
        </w:tc>
        <w:tc>
          <w:tcPr>
            <w:tcW w:type="dxa" w:w="1872"/>
          </w:tcPr>
          <w:p w14:paraId="6B581346">
            <w:r>
              <w:t>Suspension agreements continued; USITC affirmative sunset determination Aug. 28, 2025 (USITC Pub. 5664)</w:t>
            </w:r>
          </w:p>
        </w:tc>
      </w:tr>
      <w:tr>
        <w:tc>
          <w:tcPr>
            <w:tcW w:type="dxa" w:w="1872"/>
          </w:tcPr>
          <w:p w14:paraId="78385478">
            <w:r>
              <w:t>AD order</w:t>
            </w:r>
          </w:p>
        </w:tc>
        <w:tc>
          <w:tcPr>
            <w:tcW w:type="dxa" w:w="1872"/>
          </w:tcPr>
          <w:p w14:paraId="2D700C54">
            <w:r>
              <w:t>USITC 731-TA-747 (Final); Commerce A-201-820</w:t>
            </w:r>
          </w:p>
        </w:tc>
        <w:tc>
          <w:tcPr>
            <w:tcW w:type="dxa" w:w="1872"/>
          </w:tcPr>
          <w:p w14:paraId="1B0CBD54">
            <w:r>
              <w:t>Fresh tomatoes from Mexico</w:t>
            </w:r>
          </w:p>
        </w:tc>
        <w:tc>
          <w:tcPr>
            <w:tcW w:type="dxa" w:w="1872"/>
          </w:tcPr>
          <w:p w14:paraId="1F12FCC6">
            <w:r>
              <w:t>Commerce / USITC</w:t>
            </w:r>
          </w:p>
        </w:tc>
        <w:tc>
          <w:tcPr>
            <w:tcW w:type="dxa" w:w="1872"/>
          </w:tcPr>
          <w:p w14:paraId="79C17986">
            <w:r>
              <w:t>2019 suspension agreement terminated; AD order effective July 14, 2025 (90 FR 33363), 20.91% most-favored rate; order remains</w:t>
            </w:r>
          </w:p>
        </w:tc>
      </w:tr>
      <w:tr>
        <w:tc>
          <w:tcPr>
            <w:tcW w:type="dxa" w:w="1872"/>
          </w:tcPr>
          <w:p w14:paraId="0391DA68">
            <w:r>
              <w:t>Changed-circumstances review</w:t>
            </w:r>
          </w:p>
        </w:tc>
        <w:tc>
          <w:tcPr>
            <w:tcW w:type="dxa" w:w="1872"/>
          </w:tcPr>
          <w:p w14:paraId="3FC80D76">
            <w:r>
              <w:t>USITC 751-TA-30</w:t>
            </w:r>
          </w:p>
        </w:tc>
        <w:tc>
          <w:tcPr>
            <w:tcW w:type="dxa" w:w="1872"/>
          </w:tcPr>
          <w:p w14:paraId="4B7777A0">
            <w:r>
              <w:t>Fresh tomatoes from Mexico</w:t>
            </w:r>
          </w:p>
        </w:tc>
        <w:tc>
          <w:tcPr>
            <w:tcW w:type="dxa" w:w="1872"/>
          </w:tcPr>
          <w:p w14:paraId="1177E1FE">
            <w:r>
              <w:t>USITC</w:t>
            </w:r>
          </w:p>
        </w:tc>
        <w:tc>
          <w:tcPr>
            <w:tcW w:type="dxa" w:w="1872"/>
          </w:tcPr>
          <w:p w14:paraId="3BA8ACD0">
            <w:r>
              <w:t>Instituted Jan. 21, 2026; negative determination June 30, 2026 (Pub. 5762) — order continues</w:t>
            </w:r>
          </w:p>
        </w:tc>
      </w:tr>
      <w:tr>
        <w:tc>
          <w:tcPr>
            <w:tcW w:type="dxa" w:w="1872"/>
          </w:tcPr>
          <w:p w14:paraId="2A4C76EA">
            <w:r>
              <w:t>Safeguard</w:t>
            </w:r>
          </w:p>
        </w:tc>
        <w:tc>
          <w:tcPr>
            <w:tcW w:type="dxa" w:w="1872"/>
          </w:tcPr>
          <w:p w14:paraId="5ADFE150">
            <w:r>
              <w:t>None identified involving Mexico at the draft date in official records</w:t>
            </w:r>
          </w:p>
        </w:tc>
        <w:tc>
          <w:tcPr>
            <w:tcW w:type="dxa" w:w="1872"/>
          </w:tcPr>
          <w:p w14:paraId="3D8C6D1A">
            <w:r>
              <w:t>—</w:t>
            </w:r>
          </w:p>
        </w:tc>
        <w:tc>
          <w:tcPr>
            <w:tcW w:type="dxa" w:w="1872"/>
          </w:tcPr>
          <w:p w14:paraId="07717538">
            <w:r>
              <w:t>—</w:t>
            </w:r>
          </w:p>
        </w:tc>
        <w:tc>
          <w:tcPr>
            <w:tcW w:type="dxa" w:w="1872"/>
          </w:tcPr>
          <w:p w14:paraId="43882D6E">
            <w:r>
              <w:t>Nil entry — screened, none found</w:t>
            </w:r>
          </w:p>
        </w:tc>
      </w:tr>
      <w:tr>
        <w:tc>
          <w:tcPr>
            <w:tcW w:type="dxa" w:w="1872"/>
          </w:tcPr>
          <w:p w14:paraId="31B27216">
            <w:r>
              <w:t>Section 232 (non-AD/CVD)</w:t>
            </w:r>
          </w:p>
        </w:tc>
        <w:tc>
          <w:tcPr>
            <w:tcW w:type="dxa" w:w="1872"/>
          </w:tcPr>
          <w:p w14:paraId="04DAD014">
            <w:r>
              <w:t>Proc. 10895, 10896, 10908, 10984 families</w:t>
            </w:r>
          </w:p>
        </w:tc>
        <w:tc>
          <w:tcPr>
            <w:tcW w:type="dxa" w:w="1872"/>
          </w:tcPr>
          <w:p w14:paraId="13C317E2">
            <w:r>
              <w:t>Steel, aluminum, autos/MHDV</w:t>
            </w:r>
          </w:p>
        </w:tc>
        <w:tc>
          <w:tcPr>
            <w:tcW w:type="dxa" w:w="1872"/>
          </w:tcPr>
          <w:p w14:paraId="42DD478E">
            <w:r>
              <w:t>President / Commerce</w:t>
            </w:r>
          </w:p>
        </w:tc>
        <w:tc>
          <w:tcPr>
            <w:tcW w:type="dxa" w:w="1872"/>
          </w:tcPr>
          <w:p w14:paraId="32B842AC">
            <w:r>
              <w:t>Tracked in Annex 2-B; not AD/CVD; preserved subject to this Agreement</w:t>
            </w:r>
          </w:p>
        </w:tc>
      </w:tr>
    </w:tbl>
    <w:p w14:paraId="1416F886"/>
    <w:p w14:paraId="5CF632CE">
      <w:pPr>
        <w:pStyle w:val="Heading3"/>
      </w:pPr>
      <w:r>
        <w:rPr>
          <w:b w:val="0"/>
        </w:rPr>
        <w:t>A2D.2 Quantitative Abuse Screen</w:t>
      </w:r>
    </w:p>
    <w:p w14:paraId="48B6C664">
      <w:r>
        <w:rPr>
          <w:b w:val="0"/>
        </w:rPr>
        <w:t>A measure is referred for enhanced review if its estimated duty-equivalent burden is at least 50 percent of the eliminated burden for the same product scope, or at least USD 250,000 annually, and it materially overlaps the eliminated measure in product, predicate, timing, or collection point. The screen is a referral trigger, not an automatic breach finding. Because no emergency measure has yet been eliminated under this draft, no screen has been run against a live elimination; the first screen runs at go-live under Annex 12-A.</w:t>
      </w:r>
    </w:p>
    <w:p>
      <w:r>
        <w:rPr>
          <w:b w:val="0"/>
        </w:rPr>
        <w:t xml:space="preserve">Illustrative screen at draft date: against the not-yet-eliminated families, the estimated duty-equivalent burden of each open AD/CVD order in A2D.1 was compared to the family burdens in Annex 2-B; no order exceeded the 50 percent overlap threshold on substantially the same product scope; the sugar suspension agreements and the tomatoes order operate under independent predicates (sunset review and suspension-agreement termination respectively) and are recorded as preserved. The first live screen runs at Day 1 and monthly thereafter, using the formula: estimated burden = (order rate × affected import value, trailing 12 months).</w:t>
      </w:r>
    </w:p>
    <w:p w14:paraId="49554322">
      <w:pPr>
        <w:pStyle w:val="Heading3"/>
      </w:pPr>
      <w:r>
        <w:rPr>
          <w:b w:val="0"/>
        </w:rPr>
        <w:t>A2D.3 Preservation Statement</w:t>
      </w:r>
    </w:p>
    <w:p w14:paraId="64C803C2">
      <w:r>
        <w:rPr>
          <w:b w:val="0"/>
        </w:rPr>
        <w:t>Nothing in this Agreement limits, modifies, or prejudices the orders, suspension agreements, reviews, or proceedings listed in A2D.1, any domestic appeal, or any future proceeding brought under domestic law and applicable international obligations.</w:t>
      </w:r>
    </w:p>
    <w:p w14:paraId="06D0FCE6">
      <w:pPr>
        <w:pStyle w:val="Heading2"/>
      </w:pPr>
      <w:bookmarkStart w:id="996" w:name="_Toc236229996"/>
      <w:r>
        <w:t>Annex 3-A 90-Day Implementation Calendar</w:t>
      </w:r>
      <w:bookmarkEnd w:id="996"/>
    </w:p>
    <w:tbl>
      <w:tblPr>
        <w:tblW w:type="auto" w:w="0"/>
        <w:tblLayout w:type="autofit"/>
        <w:tblLook w:firstColumn="1" w:firstRow="1" w:lastColumn="0" w:lastRow="0" w:noHBand="0" w:noVBand="1" w:val="04A0"/>
      </w:tblPr>
      <w:tblGrid>
        <w:gridCol w:w="3120"/>
        <w:gridCol w:w="3120"/>
        <w:gridCol w:w="3120"/>
      </w:tblGrid>
      <w:tr>
        <w:tc>
          <w:tcPr>
            <w:tcW w:type="dxa" w:w="3120"/>
          </w:tcPr>
          <w:p w14:paraId="6D6B71CC">
            <w:r>
              <w:rPr>
                <w:b/>
              </w:rPr>
              <w:t>Date / day</w:t>
            </w:r>
          </w:p>
        </w:tc>
        <w:tc>
          <w:tcPr>
            <w:tcW w:type="dxa" w:w="3120"/>
          </w:tcPr>
          <w:p w14:paraId="36D07248">
            <w:r>
              <w:rPr>
                <w:b/>
              </w:rPr>
              <w:t>Required action</w:t>
            </w:r>
          </w:p>
        </w:tc>
        <w:tc>
          <w:tcPr>
            <w:tcW w:type="dxa" w:w="3120"/>
          </w:tcPr>
          <w:p w14:paraId="7DD4D346">
            <w:r>
              <w:rPr>
                <w:b/>
              </w:rPr>
              <w:t>Named responsible authority</w:t>
            </w:r>
          </w:p>
        </w:tc>
      </w:tr>
      <w:tr>
        <w:tc>
          <w:tcPr>
            <w:tcW w:type="dxa" w:w="3120"/>
          </w:tcPr>
          <w:p>
            <w:r>
              <w:t xml:space="preserve">T-minus 10</w:t>
            </w:r>
          </w:p>
        </w:tc>
        <w:tc>
          <w:tcPr>
            <w:tcW w:type="dxa" w:w="3120"/>
          </w:tcPr>
          <w:p>
            <w:r>
              <w:t xml:space="preserve">Validate schedules, systems, guidance, and fallback instructions; confirm cutover plan</w:t>
            </w:r>
          </w:p>
        </w:tc>
        <w:tc>
          <w:tcPr>
            <w:tcW w:type="dxa" w:w="3120"/>
          </w:tcPr>
          <w:p>
            <w:r>
              <w:t xml:space="preserve">USTR / Secretaría de Economía</w:t>
            </w:r>
          </w:p>
        </w:tc>
      </w:tr>
      <w:tr>
        <w:tc>
          <w:tcPr>
            <w:tcW w:type="dxa" w:w="3120"/>
          </w:tcPr>
          <w:p>
            <w:r>
              <w:t xml:space="preserve">T-minus 5</w:t>
            </w:r>
          </w:p>
        </w:tc>
        <w:tc>
          <w:tcPr>
            <w:tcW w:type="dxa" w:w="3120"/>
          </w:tcPr>
          <w:p>
            <w:r>
              <w:t xml:space="preserve">Freeze draft schedule and publish pre-implementation notice</w:t>
            </w:r>
          </w:p>
        </w:tc>
        <w:tc>
          <w:tcPr>
            <w:tcW w:type="dxa" w:w="3120"/>
          </w:tcPr>
          <w:p>
            <w:r>
              <w:t xml:space="preserve">CBP / ANAM/SAT</w:t>
            </w:r>
          </w:p>
        </w:tc>
      </w:tr>
      <w:tr>
        <w:tc>
          <w:tcPr>
            <w:tcW w:type="dxa" w:w="3120"/>
          </w:tcPr>
          <w:p>
            <w:r>
              <w:t xml:space="preserve">T-minus 1</w:t>
            </w:r>
          </w:p>
        </w:tc>
        <w:tc>
          <w:tcPr>
            <w:tcW w:type="dxa" w:w="3120"/>
          </w:tcPr>
          <w:p>
            <w:r>
              <w:t xml:space="preserve">Load certified item IDs, test zero-collection flag, confirm transit rule</w:t>
            </w:r>
          </w:p>
        </w:tc>
        <w:tc>
          <w:tcPr>
            <w:tcW w:type="dxa" w:w="3120"/>
          </w:tcPr>
          <w:p>
            <w:r>
              <w:t xml:space="preserve">Customs technical leads</w:t>
            </w:r>
          </w:p>
        </w:tc>
      </w:tr>
      <w:tr>
        <w:tc>
          <w:tcPr>
            <w:tcW w:type="dxa" w:w="3120"/>
          </w:tcPr>
          <w:p w14:paraId="23054064">
            <w:r>
              <w:t>Day 0</w:t>
            </w:r>
          </w:p>
        </w:tc>
        <w:tc>
          <w:tcPr>
            <w:tcW w:type="dxa" w:w="3120"/>
          </w:tcPr>
          <w:p w14:paraId="191AD316">
            <w:r>
              <w:t>Entry into force upon last notification; anchor all T-minus and calendar dates</w:t>
            </w:r>
          </w:p>
        </w:tc>
        <w:tc>
          <w:tcPr>
            <w:tcW w:type="dxa" w:w="3120"/>
          </w:tcPr>
          <w:p w14:paraId="284330F2">
            <w:r>
              <w:t>Both contact points</w:t>
            </w:r>
          </w:p>
        </w:tc>
      </w:tr>
      <w:tr>
        <w:tc>
          <w:tcPr>
            <w:tcW w:type="dxa" w:w="3120"/>
          </w:tcPr>
          <w:p w14:paraId="08AA5A8C">
            <w:r>
              <w:t>Day 1, 00:01 UTC</w:t>
            </w:r>
          </w:p>
        </w:tc>
        <w:tc>
          <w:tcPr>
            <w:tcW w:type="dxa" w:w="3120"/>
          </w:tcPr>
          <w:p w14:paraId="07FC5BD4">
            <w:r>
              <w:t>Elimination effective; transmit machine-readable lists; stop collection in any publication gap</w:t>
            </w:r>
          </w:p>
        </w:tc>
        <w:tc>
          <w:tcPr>
            <w:tcW w:type="dxa" w:w="3120"/>
          </w:tcPr>
          <w:p w14:paraId="24D92FC6">
            <w:r>
              <w:t>USTR/CBP; Secretaría de Economía/ANAM</w:t>
            </w:r>
          </w:p>
        </w:tc>
      </w:tr>
      <w:tr>
        <w:tc>
          <w:tcPr>
            <w:tcW w:type="dxa" w:w="3120"/>
          </w:tcPr>
          <w:p w14:paraId="03085D0C">
            <w:r>
              <w:t>Within 5 days</w:t>
            </w:r>
          </w:p>
        </w:tc>
        <w:tc>
          <w:tcPr>
            <w:tcW w:type="dxa" w:w="3120"/>
          </w:tcPr>
          <w:p w14:paraId="06C2A822">
            <w:r>
              <w:t>Publish machine-readable elimination lists and importer guidance; no collection during gap except accrued liabilities</w:t>
            </w:r>
          </w:p>
        </w:tc>
        <w:tc>
          <w:tcPr>
            <w:tcW w:type="dxa" w:w="3120"/>
          </w:tcPr>
          <w:p w14:paraId="3FFBE28A">
            <w:r>
              <w:t>CBP; ANAM/SAT</w:t>
            </w:r>
          </w:p>
        </w:tc>
      </w:tr>
      <w:tr>
        <w:tc>
          <w:tcPr>
            <w:tcW w:type="dxa" w:w="3120"/>
          </w:tcPr>
          <w:p>
            <w:r>
              <w:t xml:space="preserve">Day 5 checkpoint</w:t>
            </w:r>
          </w:p>
        </w:tc>
        <w:tc>
          <w:tcPr>
            <w:tcW w:type="dxa" w:w="3120"/>
          </w:tcPr>
          <w:p>
            <w:r>
              <w:t xml:space="preserve">If any published list lags, the Article 2.2.3 no-collection bridge is in force; the Joint Committee records the gap and the correction path</w:t>
            </w:r>
          </w:p>
        </w:tc>
        <w:tc>
          <w:tcPr>
            <w:tcW w:type="dxa" w:w="3120"/>
          </w:tcPr>
          <w:p>
            <w:r>
              <w:t xml:space="preserve">Joint Committee</w:t>
            </w:r>
          </w:p>
        </w:tc>
      </w:tr>
      <w:tr>
        <w:tc>
          <w:tcPr>
            <w:tcW w:type="dxa" w:w="3120"/>
          </w:tcPr>
          <w:p w14:paraId="697980FA">
            <w:r>
              <w:t>Day 7</w:t>
            </w:r>
          </w:p>
        </w:tc>
        <w:tc>
          <w:tcPr>
            <w:tcW w:type="dxa" w:w="3120"/>
          </w:tcPr>
          <w:p w14:paraId="42A1D4E8">
            <w:r>
              <w:t>Working-group co-chairs and members appointed</w:t>
            </w:r>
          </w:p>
        </w:tc>
        <w:tc>
          <w:tcPr>
            <w:tcW w:type="dxa" w:w="3120"/>
          </w:tcPr>
          <w:p w14:paraId="4EB5B0E2">
            <w:r>
              <w:t>USTR; Secretaría de Economía</w:t>
            </w:r>
          </w:p>
        </w:tc>
      </w:tr>
      <w:tr>
        <w:tc>
          <w:tcPr>
            <w:tcW w:type="dxa" w:w="3120"/>
          </w:tcPr>
          <w:p w14:paraId="01CF3C50">
            <w:r>
              <w:t>Day 10</w:t>
            </w:r>
          </w:p>
        </w:tc>
        <w:tc>
          <w:tcPr>
            <w:tcW w:type="dxa" w:w="3120"/>
          </w:tcPr>
          <w:p w14:paraId="5057820C">
            <w:r>
              <w:t>Minimal dashboard live; Day-10 gate; working-group organizational meetings completed</w:t>
            </w:r>
          </w:p>
        </w:tc>
        <w:tc>
          <w:tcPr>
            <w:tcW w:type="dxa" w:w="3120"/>
          </w:tcPr>
          <w:p w14:paraId="23DFDAA8">
            <w:r>
              <w:t>Joint Committee secretariat</w:t>
            </w:r>
          </w:p>
        </w:tc>
      </w:tr>
      <w:tr>
        <w:tc>
          <w:tcPr>
            <w:tcW w:type="dxa" w:w="3120"/>
          </w:tcPr>
          <w:p w14:paraId="07D7D850">
            <w:r>
              <w:t>Day 12</w:t>
            </w:r>
          </w:p>
        </w:tc>
        <w:tc>
          <w:tcPr>
            <w:tcW w:type="dxa" w:w="3120"/>
          </w:tcPr>
          <w:p w14:paraId="0499927C">
            <w:r>
              <w:t>First substantive working-group meetings complete</w:t>
            </w:r>
          </w:p>
        </w:tc>
        <w:tc>
          <w:tcPr>
            <w:tcW w:type="dxa" w:w="3120"/>
          </w:tcPr>
          <w:p w14:paraId="3EF5367C">
            <w:r>
              <w:t>All working-group co-chairs</w:t>
            </w:r>
          </w:p>
        </w:tc>
      </w:tr>
      <w:tr>
        <w:tc>
          <w:tcPr>
            <w:tcW w:type="dxa" w:w="3120"/>
          </w:tcPr>
          <w:p w14:paraId="23F902F2">
            <w:r>
              <w:t>Day 15</w:t>
            </w:r>
          </w:p>
        </w:tc>
        <w:tc>
          <w:tcPr>
            <w:tcW w:type="dxa" w:w="3120"/>
          </w:tcPr>
          <w:p w14:paraId="4C0954EE">
            <w:r>
              <w:t>Full dashboard live; initial data-quality protocol adopted</w:t>
            </w:r>
          </w:p>
        </w:tc>
        <w:tc>
          <w:tcPr>
            <w:tcW w:type="dxa" w:w="3120"/>
          </w:tcPr>
          <w:p w14:paraId="282712EA">
            <w:r>
              <w:t>CBP; ANAM/SAT</w:t>
            </w:r>
          </w:p>
        </w:tc>
      </w:tr>
      <w:tr>
        <w:tc>
          <w:tcPr>
            <w:tcW w:type="dxa" w:w="3120"/>
          </w:tcPr>
          <w:p w14:paraId="7F91B36E">
            <w:r>
              <w:t>Day 18</w:t>
            </w:r>
          </w:p>
        </w:tc>
        <w:tc>
          <w:tcPr>
            <w:tcW w:type="dxa" w:w="3120"/>
          </w:tcPr>
          <w:p w14:paraId="2716E9E4">
            <w:r>
              <w:t>All working-group work plans adopted</w:t>
            </w:r>
          </w:p>
        </w:tc>
        <w:tc>
          <w:tcPr>
            <w:tcW w:type="dxa" w:w="3120"/>
          </w:tcPr>
          <w:p w14:paraId="218531DA">
            <w:r>
              <w:t>All working groups</w:t>
            </w:r>
          </w:p>
        </w:tc>
      </w:tr>
      <w:tr>
        <w:tc>
          <w:tcPr>
            <w:tcW w:type="dxa" w:w="3120"/>
          </w:tcPr>
          <w:p w14:paraId="493EDC56">
            <w:r>
              <w:t>Day 25</w:t>
            </w:r>
          </w:p>
        </w:tc>
        <w:tc>
          <w:tcPr>
            <w:tcW w:type="dxa" w:w="3120"/>
          </w:tcPr>
          <w:p w14:paraId="5CFFD3B4">
            <w:r>
              <w:t>Agriculture report; customs interoperability framework</w:t>
            </w:r>
          </w:p>
        </w:tc>
        <w:tc>
          <w:tcPr>
            <w:tcW w:type="dxa" w:w="3120"/>
          </w:tcPr>
          <w:p w14:paraId="26736C7A">
            <w:r>
              <w:t>WG C; WG G</w:t>
            </w:r>
          </w:p>
        </w:tc>
      </w:tr>
      <w:tr>
        <w:tc>
          <w:tcPr>
            <w:tcW w:type="dxa" w:w="3120"/>
          </w:tcPr>
          <w:p w14:paraId="7EC7C55C">
            <w:r>
              <w:t>Day 30</w:t>
            </w:r>
          </w:p>
        </w:tc>
        <w:tc>
          <w:tcPr>
            <w:tcW w:type="dxa" w:w="3120"/>
          </w:tcPr>
          <w:p w14:paraId="71820790">
            <w:r>
              <w:t>Roadmap adopted; progress review; panel roster progress; initial elimination data</w:t>
            </w:r>
          </w:p>
        </w:tc>
        <w:tc>
          <w:tcPr>
            <w:tcW w:type="dxa" w:w="3120"/>
          </w:tcPr>
          <w:p w14:paraId="71993A3E">
            <w:r>
              <w:t>Joint Committee</w:t>
            </w:r>
          </w:p>
        </w:tc>
      </w:tr>
      <w:tr>
        <w:tc>
          <w:tcPr>
            <w:tcW w:type="dxa" w:w="3120"/>
          </w:tcPr>
          <w:p w14:paraId="671CDA7C">
            <w:r>
              <w:t>Day 60</w:t>
            </w:r>
          </w:p>
        </w:tc>
        <w:tc>
          <w:tcPr>
            <w:tcW w:type="dxa" w:w="3120"/>
          </w:tcPr>
          <w:p w14:paraId="5F8E524A">
            <w:r>
              <w:t>Midpoint deliverables; refund performance; firewall integrity test</w:t>
            </w:r>
          </w:p>
        </w:tc>
        <w:tc>
          <w:tcPr>
            <w:tcW w:type="dxa" w:w="3120"/>
          </w:tcPr>
          <w:p w14:paraId="315EF294">
            <w:r>
              <w:t>Joint Committee</w:t>
            </w:r>
          </w:p>
        </w:tc>
      </w:tr>
      <w:tr>
        <w:tc>
          <w:tcPr>
            <w:tcW w:type="dxa" w:w="3120"/>
          </w:tcPr>
          <w:p w14:paraId="4C5921AC">
            <w:r>
              <w:t>Day 80</w:t>
            </w:r>
          </w:p>
        </w:tc>
        <w:tc>
          <w:tcPr>
            <w:tcW w:type="dxa" w:w="3120"/>
          </w:tcPr>
          <w:p w14:paraId="7A6AF2B6">
            <w:r>
              <w:t>Final recommendations; extension decision; legal scrub list</w:t>
            </w:r>
          </w:p>
        </w:tc>
        <w:tc>
          <w:tcPr>
            <w:tcW w:type="dxa" w:w="3120"/>
          </w:tcPr>
          <w:p w14:paraId="1F790A26">
            <w:r>
              <w:t>Joint Committee</w:t>
            </w:r>
          </w:p>
        </w:tc>
      </w:tr>
      <w:tr>
        <w:tc>
          <w:tcPr>
            <w:tcW w:type="dxa" w:w="3120"/>
          </w:tcPr>
          <w:p w14:paraId="345808F8">
            <w:r>
              <w:t>Day 90</w:t>
            </w:r>
          </w:p>
        </w:tc>
        <w:tc>
          <w:tcPr>
            <w:tcW w:type="dxa" w:w="3120"/>
          </w:tcPr>
          <w:p w14:paraId="383EB3FA">
            <w:r>
              <w:t>Expiry, extension, replacement, or targeted continuation decision</w:t>
            </w:r>
          </w:p>
        </w:tc>
        <w:tc>
          <w:tcPr>
            <w:tcW w:type="dxa" w:w="3120"/>
          </w:tcPr>
          <w:p w14:paraId="216A875C">
            <w:r>
              <w:t>Joint Committee / principals</w:t>
            </w:r>
          </w:p>
        </w:tc>
      </w:tr>
      <w:tr>
        <w:tc>
          <w:tcPr>
            <w:tcW w:type="dxa" w:w="3120"/>
          </w:tcPr>
          <w:p w14:paraId="75CF289A">
            <w:r>
              <w:t>Days 91–120</w:t>
            </w:r>
          </w:p>
        </w:tc>
        <w:tc>
          <w:tcPr>
            <w:tcW w:type="dxa" w:w="3120"/>
          </w:tcPr>
          <w:p w14:paraId="361F4542">
            <w:r>
              <w:t>Extension execution: only modified deliverables in written extension instrument</w:t>
            </w:r>
          </w:p>
        </w:tc>
        <w:tc>
          <w:tcPr>
            <w:tcW w:type="dxa" w:w="3120"/>
          </w:tcPr>
          <w:p w14:paraId="62810C1A">
            <w:r>
              <w:t>Joint Committee</w:t>
            </w:r>
          </w:p>
        </w:tc>
      </w:tr>
      <w:tr>
        <w:tc>
          <w:tcPr>
            <w:tcW w:type="dxa" w:w="3120"/>
          </w:tcPr>
          <w:p w14:paraId="1F973D9E">
            <w:r>
              <w:t>Days 121–135</w:t>
            </w:r>
          </w:p>
        </w:tc>
        <w:tc>
          <w:tcPr>
            <w:tcW w:type="dxa" w:w="3120"/>
          </w:tcPr>
          <w:p w14:paraId="35656470">
            <w:r>
              <w:t>Final extension review, transition inventory, wind-down preparation</w:t>
            </w:r>
          </w:p>
        </w:tc>
        <w:tc>
          <w:tcPr>
            <w:tcW w:type="dxa" w:w="3120"/>
          </w:tcPr>
          <w:p w14:paraId="270504DC">
            <w:r>
              <w:t>Joint Committee</w:t>
            </w:r>
          </w:p>
        </w:tc>
      </w:tr>
      <w:tr>
        <w:tc>
          <w:tcPr>
            <w:tcW w:type="dxa" w:w="3120"/>
          </w:tcPr>
          <w:p w14:paraId="2A8D792C">
            <w:r>
              <w:t>No later than Day 135</w:t>
            </w:r>
          </w:p>
        </w:tc>
        <w:tc>
          <w:tcPr>
            <w:tcW w:type="dxa" w:w="3120"/>
          </w:tcPr>
          <w:p w14:paraId="1C810F18">
            <w:r>
              <w:t>End of maximum Interim Period unless replacement instrument entered into force</w:t>
            </w:r>
          </w:p>
        </w:tc>
        <w:tc>
          <w:tcPr>
            <w:tcW w:type="dxa" w:w="3120"/>
          </w:tcPr>
          <w:p w14:paraId="2C25B882">
            <w:r>
              <w:t>Both Parties</w:t>
            </w:r>
          </w:p>
        </w:tc>
      </w:tr>
    </w:tbl>
    <w:p w14:paraId="72AEAEA2"/>
    <w:p w14:paraId="72745D4E">
      <w:pPr>
        <w:pStyle w:val="Heading2"/>
      </w:pPr>
      <w:bookmarkStart w:id="997" w:name="_Toc236229997"/>
      <w:r>
        <w:t>Annex 3-B Comprehensive Modernization Roadmap Template</w:t>
      </w:r>
      <w:bookmarkEnd w:id="997"/>
    </w:p>
    <w:tbl>
      <w:tblPr>
        <w:tblW w:type="auto" w:w="0"/>
        <w:tblLayout w:type="autofit"/>
        <w:tblLook w:firstColumn="1" w:firstRow="1" w:lastColumn="0" w:lastRow="0" w:noHBand="0" w:noVBand="1" w:val="04A0"/>
      </w:tblPr>
      <w:tblGrid>
        <w:gridCol w:w="3120"/>
        <w:gridCol w:w="3120"/>
        <w:gridCol w:w="3120"/>
      </w:tblGrid>
      <w:tr>
        <w:tc>
          <w:tcPr>
            <w:tcW w:type="dxa" w:w="3120"/>
          </w:tcPr>
          <w:p w14:paraId="6740332E">
            <w:r>
              <w:rPr>
                <w:b/>
              </w:rPr>
              <w:t>Roadmap field</w:t>
            </w:r>
          </w:p>
        </w:tc>
        <w:tc>
          <w:tcPr>
            <w:tcW w:type="dxa" w:w="3120"/>
          </w:tcPr>
          <w:p w14:paraId="2DDD62DC">
            <w:r>
              <w:rPr>
                <w:b/>
              </w:rPr>
              <w:t>Required content</w:t>
            </w:r>
          </w:p>
        </w:tc>
        <w:tc>
          <w:tcPr>
            <w:tcW w:type="dxa" w:w="3120"/>
          </w:tcPr>
          <w:p w14:paraId="7062B2D0">
            <w:r>
              <w:rPr>
                <w:b/>
              </w:rPr>
              <w:t>Draft entry</w:t>
            </w:r>
          </w:p>
        </w:tc>
      </w:tr>
      <w:tr>
        <w:tc>
          <w:tcPr>
            <w:tcW w:type="dxa" w:w="3120"/>
          </w:tcPr>
          <w:p w14:paraId="35836C28">
            <w:r>
              <w:t>Scope</w:t>
            </w:r>
          </w:p>
        </w:tc>
        <w:tc>
          <w:tcPr>
            <w:tcW w:type="dxa" w:w="3120"/>
          </w:tcPr>
          <w:p w14:paraId="67B8379A">
            <w:r>
              <w:t>Issues included and excluded</w:t>
            </w:r>
          </w:p>
        </w:tc>
        <w:tc>
          <w:tcPr>
            <w:tcW w:type="dxa" w:w="3120"/>
          </w:tcPr>
          <w:p w14:paraId="25D07CF6">
            <w:r>
              <w:t>Tariff implementation, origin, customs facilitation, sectoral cooperation, dispute modernization; services/digital/investment only if separately added</w:t>
            </w:r>
          </w:p>
        </w:tc>
      </w:tr>
      <w:tr>
        <w:tc>
          <w:tcPr>
            <w:tcW w:type="dxa" w:w="3120"/>
          </w:tcPr>
          <w:p w14:paraId="3E267DA2">
            <w:r>
              <w:t>Sequencing</w:t>
            </w:r>
          </w:p>
        </w:tc>
        <w:tc>
          <w:tcPr>
            <w:tcW w:type="dxa" w:w="3120"/>
          </w:tcPr>
          <w:p w14:paraId="49A923EA">
            <w:r>
              <w:t>Phases and dependencies</w:t>
            </w:r>
          </w:p>
        </w:tc>
        <w:tc>
          <w:tcPr>
            <w:tcW w:type="dxa" w:w="3120"/>
          </w:tcPr>
          <w:p w14:paraId="4C7FDE14">
            <w:r>
              <w:t>Phase 1 verification; Phase 2 technical drafting; Phase 3 legal scrub; Phase 4 adoption decision</w:t>
            </w:r>
          </w:p>
        </w:tc>
      </w:tr>
      <w:tr>
        <w:tc>
          <w:tcPr>
            <w:tcW w:type="dxa" w:w="3120"/>
          </w:tcPr>
          <w:p w14:paraId="10AB60F0">
            <w:r>
              <w:t>Timeline</w:t>
            </w:r>
          </w:p>
        </w:tc>
        <w:tc>
          <w:tcPr>
            <w:tcW w:type="dxa" w:w="3120"/>
          </w:tcPr>
          <w:p w14:paraId="3D642098">
            <w:r>
              <w:t>Calendar dates and day anchors</w:t>
            </w:r>
          </w:p>
        </w:tc>
        <w:tc>
          <w:tcPr>
            <w:tcW w:type="dxa" w:w="3120"/>
          </w:tcPr>
          <w:p w14:paraId="484B3D94">
            <w:r>
              <w:t>Anchored to entry-into-force notification date</w:t>
            </w:r>
          </w:p>
        </w:tc>
      </w:tr>
      <w:tr>
        <w:tc>
          <w:tcPr>
            <w:tcW w:type="dxa" w:w="3120"/>
          </w:tcPr>
          <w:p w14:paraId="498BD6AA">
            <w:r>
              <w:t>Deliverables</w:t>
            </w:r>
          </w:p>
        </w:tc>
        <w:tc>
          <w:tcPr>
            <w:tcW w:type="dxa" w:w="3120"/>
          </w:tcPr>
          <w:p w14:paraId="6955599A">
            <w:r>
              <w:t>Named output and receiving body</w:t>
            </w:r>
          </w:p>
        </w:tc>
        <w:tc>
          <w:tcPr>
            <w:tcW w:type="dxa" w:w="3120"/>
          </w:tcPr>
          <w:p w14:paraId="5DA9D3DC">
            <w:r>
              <w:t>Working-group deliverables to Joint Committee</w:t>
            </w:r>
          </w:p>
        </w:tc>
      </w:tr>
      <w:tr>
        <w:tc>
          <w:tcPr>
            <w:tcW w:type="dxa" w:w="3120"/>
          </w:tcPr>
          <w:p w14:paraId="465A6E36">
            <w:r>
              <w:t>Milestones</w:t>
            </w:r>
          </w:p>
        </w:tc>
        <w:tc>
          <w:tcPr>
            <w:tcW w:type="dxa" w:w="3120"/>
          </w:tcPr>
          <w:p w14:paraId="49C6D4F6">
            <w:r>
              <w:t>Decision points and gates</w:t>
            </w:r>
          </w:p>
        </w:tc>
        <w:tc>
          <w:tcPr>
            <w:tcW w:type="dxa" w:w="3120"/>
          </w:tcPr>
          <w:p w14:paraId="44948DB4">
            <w:r>
              <w:t>Days 10, 30, 60, 80, 90, and extension milestones</w:t>
            </w:r>
          </w:p>
        </w:tc>
      </w:tr>
      <w:tr>
        <w:tc>
          <w:tcPr>
            <w:tcW w:type="dxa" w:w="3120"/>
          </w:tcPr>
          <w:p w14:paraId="59389CFA">
            <w:r>
              <w:t>Lead officials</w:t>
            </w:r>
          </w:p>
        </w:tc>
        <w:tc>
          <w:tcPr>
            <w:tcW w:type="dxa" w:w="3120"/>
          </w:tcPr>
          <w:p w14:paraId="44FBE6C2">
            <w:r>
              <w:t>Named agency leads</w:t>
            </w:r>
          </w:p>
        </w:tc>
        <w:tc>
          <w:tcPr>
            <w:tcW w:type="dxa" w:w="3120"/>
          </w:tcPr>
          <w:p w14:paraId="6562FD64">
            <w:r>
              <w:t>USTR and Secretaría de Economía; issue leads by annex</w:t>
            </w:r>
          </w:p>
        </w:tc>
      </w:tr>
      <w:tr>
        <w:tc>
          <w:tcPr>
            <w:tcW w:type="dxa" w:w="3120"/>
          </w:tcPr>
          <w:p w14:paraId="3F2D9A42">
            <w:r>
              <w:t>Consultation windows</w:t>
            </w:r>
          </w:p>
        </w:tc>
        <w:tc>
          <w:tcPr>
            <w:tcW w:type="dxa" w:w="3120"/>
          </w:tcPr>
          <w:p w14:paraId="13EBD834">
            <w:r>
              <w:t>Stakeholder dates and disposition method</w:t>
            </w:r>
          </w:p>
        </w:tc>
        <w:tc>
          <w:tcPr>
            <w:tcW w:type="dxa" w:w="3120"/>
          </w:tcPr>
          <w:p w14:paraId="69E497E6">
            <w:r>
              <w:t>Annex 11-D protocol</w:t>
            </w:r>
          </w:p>
        </w:tc>
      </w:tr>
      <w:tr>
        <w:tc>
          <w:tcPr>
            <w:tcW w:type="dxa" w:w="3120"/>
          </w:tcPr>
          <w:p w14:paraId="374084DA">
            <w:r>
              <w:t>Legal review gates</w:t>
            </w:r>
          </w:p>
        </w:tc>
        <w:tc>
          <w:tcPr>
            <w:tcW w:type="dxa" w:w="3120"/>
          </w:tcPr>
          <w:p w14:paraId="42CDE258">
            <w:r>
              <w:t>Counsel review and domestic procedure</w:t>
            </w:r>
          </w:p>
        </w:tc>
        <w:tc>
          <w:tcPr>
            <w:tcW w:type="dxa" w:w="3120"/>
          </w:tcPr>
          <w:p w14:paraId="0E1CBABA">
            <w:r>
              <w:t>Annex 1-A and Annex 11-F</w:t>
            </w:r>
          </w:p>
        </w:tc>
      </w:tr>
      <w:tr>
        <w:tc>
          <w:tcPr>
            <w:tcW w:type="dxa" w:w="3120"/>
          </w:tcPr>
          <w:p w14:paraId="0D131BC6">
            <w:r>
              <w:t>Domestic procedure</w:t>
            </w:r>
          </w:p>
        </w:tc>
        <w:tc>
          <w:tcPr>
            <w:tcW w:type="dxa" w:w="3120"/>
          </w:tcPr>
          <w:p w14:paraId="62A852FA">
            <w:r>
              <w:t>Executive, legislative, regulatory, or treaty path</w:t>
            </w:r>
          </w:p>
        </w:tc>
        <w:tc>
          <w:tcPr>
            <w:tcW w:type="dxa" w:w="3120"/>
          </w:tcPr>
          <w:p w14:paraId="0D37D284">
            <w:r>
              <w:t xml:space="preserve">Article 9.8 classification: United States — executive agreement with HTSUS revision and CBP guidance; Mexico — Senate approval under Article 76 of the Constitution where required, DOF publication, TIGIE amendment</w:t>
            </w:r>
          </w:p>
        </w:tc>
      </w:tr>
      <w:tr>
        <w:tc>
          <w:tcPr>
            <w:tcW w:type="dxa" w:w="3120"/>
          </w:tcPr>
          <w:p w14:paraId="58CF947E">
            <w:r>
              <w:t>Survival classification</w:t>
            </w:r>
          </w:p>
        </w:tc>
        <w:tc>
          <w:tcPr>
            <w:tcW w:type="dxa" w:w="3120"/>
          </w:tcPr>
          <w:p w14:paraId="03B05DC2">
            <w:r>
              <w:t>Permanent, temporary, completed reform, or deferred</w:t>
            </w:r>
          </w:p>
        </w:tc>
        <w:tc>
          <w:tcPr>
            <w:tcW w:type="dxa" w:w="3120"/>
          </w:tcPr>
          <w:p w14:paraId="246E7AD8">
            <w:r>
              <w:t>Article 1.7 categories</w:t>
            </w:r>
          </w:p>
        </w:tc>
      </w:tr>
      <w:tr>
        <w:tc>
          <w:tcPr>
            <w:tcW w:type="dxa" w:w="3120"/>
          </w:tcPr>
          <w:p w14:paraId="78D9027E">
            <w:r>
              <w:t>Unresolved disagreement</w:t>
            </w:r>
          </w:p>
        </w:tc>
        <w:tc>
          <w:tcPr>
            <w:tcW w:type="dxa" w:w="3120"/>
          </w:tcPr>
          <w:p w14:paraId="2CD83A12">
            <w:r>
              <w:t>Specific text or policy disagreement</w:t>
            </w:r>
          </w:p>
        </w:tc>
        <w:tc>
          <w:tcPr>
            <w:tcW w:type="dxa" w:w="3120"/>
          </w:tcPr>
          <w:p w14:paraId="1B2AAF7C">
            <w:r>
              <w:t>To be completed by co-chairs</w:t>
            </w:r>
          </w:p>
        </w:tc>
      </w:tr>
    </w:tbl>
    <w:p w14:paraId="690301C0"/>
    <w:p w14:paraId="2E9B3DCA">
      <w:pPr>
        <w:pStyle w:val="Heading2"/>
      </w:pPr>
      <w:bookmarkStart w:id="998" w:name="_Toc236229998"/>
      <w:r>
        <w:t>Annex 4A-1 Automotive Rules of Origin and Verification Standards</w:t>
      </w:r>
      <w:bookmarkEnd w:id="998"/>
    </w:p>
    <w:p w14:paraId="7A77A582">
      <w:pPr>
        <w:pStyle w:val="Heading3"/>
      </w:pPr>
      <w:r>
        <w:t>Purpose</w:t>
      </w:r>
    </w:p>
    <w:p w14:paraId="54814186">
      <w:r>
        <w:rPr>
          <w:b w:val="0"/>
          <w:i w:val="0"/>
        </w:rPr>
        <w:t>Establish the verification file standard for automotive origin without changing USMCA/T-MEC rules by this draft.</w:t>
      </w:r>
    </w:p>
    <w:p w14:paraId="63A7185E">
      <w:pPr>
        <w:pStyle w:val="Heading3"/>
      </w:pPr>
      <w:r>
        <w:t>Modules</w:t>
      </w:r>
    </w:p>
    <w:p w14:paraId="1DE1F77A">
      <w:pPr>
        <w:pStyle w:val="ListParagraph"/>
      </w:pPr>
      <w:r>
        <w:t>– Audit-trail template: bill of material, supplier declarations, RVC worksheet, tariff shift analysis, production records, and certificate of origin.</w:t>
      </w:r>
    </w:p>
    <w:p w14:paraId="1DB26F80">
      <w:pPr>
        <w:pStyle w:val="ListParagraph"/>
      </w:pPr>
      <w:r>
        <w:t>– Sampling: initial risk-based sample of 5 percent of verified producers, with 100 percent review of high-risk anomalies; sampling is not a presumption of non-compliance.</w:t>
      </w:r>
    </w:p>
    <w:p w14:paraId="4CBBDDB0">
      <w:pPr>
        <w:pStyle w:val="ListParagraph"/>
      </w:pPr>
      <w:r>
        <w:t>– RVC worksheet: transaction value/net cost fields, core parts roll-up, battery content, steel/aluminum inputs, and reconciliation to producer fiscal records.</w:t>
      </w:r>
    </w:p>
    <w:p w14:paraId="26CAE57C">
      <w:pPr>
        <w:pStyle w:val="ListParagraph"/>
      </w:pPr>
      <w:r>
        <w:t>– E-certification data specification: importer, exporter, producer, vehicle model, HTSUS/TIGIE line, origin criterion, RVC result, signature, date, and certificate identifier.</w:t>
      </w:r>
    </w:p>
    <w:p>
      <w:pPr>
        <w:pStyle w:val="Heading3"/>
      </w:pPr>
      <w:r>
        <w:rPr>
          <w:b w:val="0"/>
        </w:rPr>
        <w:t xml:space="preserve">A4A.11 RVC Worksheet Field Specification</w:t>
      </w:r>
    </w:p>
    <w:p>
      <w:r>
        <w:rPr>
          <w:b w:val="0"/>
        </w:rPr>
        <w:t xml:space="preserve">The RVC worksheet records: vehicle line identifier; calculation method (transaction value or net cost); net cost; transaction value; non-originating material value determined under USMCA/T-MEC Article 4.8; intermediate-material treatment; roll-up designation; labor value content fields where applicable; steel and aluminum purchase evidence; the RVC result to one decimal place with the rounding rule stated; the averaging basis and averaging period; and a reconciliation reference to the producer’s GAAP ledger accounts.</w:t>
      </w:r>
    </w:p>
    <w:p>
      <w:pPr>
        <w:pStyle w:val="Heading3"/>
      </w:pPr>
      <w:r>
        <w:rPr>
          <w:b w:val="0"/>
        </w:rPr>
        <w:t xml:space="preserve">A4A.12 Audit Notice Contents</w:t>
      </w:r>
    </w:p>
    <w:p>
      <w:r>
        <w:rPr>
          <w:b w:val="0"/>
        </w:rPr>
        <w:t xml:space="preserve">An audit notice states: the producer; the goods in scope; the period covered, not exceeding three completed fiscal years absent stated reasons; the records requested, with specificity; the legal authority; a response deadline of not less than 30 days; an audit completion clock of 180 days from record production; and preliminary findings with a 30-day response window before any denial. These standards mirror and interoperate with the Canada–United States Annex 4A-1 so that a producer serving both markets faces one documentation set.</w:t>
      </w:r>
    </w:p>
    <w:p w14:paraId="67D140C4">
      <w:pPr>
        <w:pStyle w:val="Heading3"/>
      </w:pPr>
      <w:r>
        <w:t>Minimum record</w:t>
      </w:r>
    </w:p>
    <w:p w14:paraId="6A7DFDEC">
      <w:r>
        <w:rPr>
          <w:b w:val="0"/>
          <w:i w:val="0"/>
        </w:rPr>
        <w:t>Each module file must contain: issue statement; legal basis; data relied upon; options considered; affected USMCA/T-MEC provisions; domestic procedure; stakeholder input; economic and operational impact; implementation timeline; verification method; survival classification; bilateral-balance note; unresolved disagreement; and the names of responsible officials.</w:t>
      </w:r>
    </w:p>
    <w:p w14:paraId="770C4ED8">
      <w:pPr>
        <w:pStyle w:val="Heading3"/>
      </w:pPr>
      <w:r>
        <w:t>Review and handoff</w:t>
      </w:r>
    </w:p>
    <w:p w14:paraId="3DE15850">
      <w:r>
        <w:rPr>
          <w:b w:val="0"/>
          <w:i w:val="0"/>
        </w:rPr>
        <w:t>A module is handed off only when the co-chairs certify the record as complete, classify it as ready for legal drafting, further technical work, politically sensitive, deferred, or rejected, and transmit it to the Joint Committee with an exceptions list.</w:t>
      </w:r>
    </w:p>
    <w:p w14:paraId="10F3B4FE">
      <w:pPr>
        <w:pStyle w:val="Heading2"/>
      </w:pPr>
      <w:bookmarkStart w:id="999" w:name="_Toc236229999"/>
      <w:r>
        <w:t>Annex 4B-1 Steel, Aluminum, and Industrial Input Monitoring</w:t>
      </w:r>
      <w:bookmarkEnd w:id="999"/>
    </w:p>
    <w:p w14:paraId="6B006A8E">
      <w:pPr>
        <w:pStyle w:val="Heading3"/>
      </w:pPr>
      <w:r>
        <w:t>Purpose</w:t>
      </w:r>
    </w:p>
    <w:p w14:paraId="07CC7AB0">
      <w:r>
        <w:rPr>
          <w:b w:val="0"/>
          <w:i w:val="0"/>
        </w:rPr>
        <w:t>Create a monitoring and anti-circumvention record for metals and industrial inputs without recreating eliminated tariffs.</w:t>
      </w:r>
    </w:p>
    <w:p w14:paraId="30FFC664">
      <w:pPr>
        <w:pStyle w:val="Heading3"/>
      </w:pPr>
      <w:r>
        <w:t>Modules</w:t>
      </w:r>
    </w:p>
    <w:p w14:paraId="665767BA">
      <w:pPr>
        <w:pStyle w:val="ListParagraph"/>
      </w:pPr>
      <w:r>
        <w:t>– Melt-and-pour / smelt-and-cast schema: facility, country, heat or cast identifier, input origin, production date, product line, shipment, and certificate.</w:t>
      </w:r>
    </w:p>
    <w:p w14:paraId="6DE49EA4">
      <w:pPr>
        <w:pStyle w:val="ListParagraph"/>
      </w:pPr>
      <w:r>
        <w:t>– Anomaly triggers: import increase of 30 percent over a rolling 90-day baseline; price below verified benchmark by 15 percent; missing melt data above 2 percent of entries; or repeated classifier mismatch.</w:t>
      </w:r>
    </w:p>
    <w:p w14:paraId="22A83972">
      <w:pPr>
        <w:pStyle w:val="ListParagraph"/>
      </w:pPr>
      <w:r>
        <w:t>– Response ladder: data query, targeted document request, facility verification where lawful, then Part Seven referral.</w:t>
      </w:r>
    </w:p>
    <w:p>
      <w:pPr>
        <w:pStyle w:val="Heading3"/>
      </w:pPr>
      <w:r>
        <w:rPr>
          <w:b w:val="0"/>
        </w:rPr>
        <w:t xml:space="preserve">A4B.5 Monthly Data File Schema</w:t>
      </w:r>
    </w:p>
    <w:p>
      <w:r>
        <w:rPr>
          <w:b w:val="0"/>
        </w:rPr>
        <w:t xml:space="preserve">The monthly monitoring file (firm-level data excluded) records, per line: HS8/TIGIE line; quantity in metric tons or units; customs value; unit value; declared melt-and-pour or smelt-and-cast country; preference claim indicator (USMCA/T-MEC or MFN); port of entry; and entry month.</w:t>
      </w:r>
    </w:p>
    <w:p>
      <w:pPr>
        <w:pStyle w:val="Heading3"/>
      </w:pPr>
      <w:r>
        <w:rPr>
          <w:b w:val="0"/>
        </w:rPr>
        <w:t xml:space="preserve">A4B.6 Anomaly Scoring Rule</w:t>
      </w:r>
    </w:p>
    <w:p>
      <w:r>
        <w:rPr>
          <w:b w:val="0"/>
        </w:rPr>
        <w:t xml:space="preserve">A line is flagged where (a) trailing-3-month volume exceeds the trailing-12-month average by 40 percent with no seasonal explanation, or (b) unit value deviates more than 25 percent from the verified input-cost benchmark, or (c) melt-and-pour or smelt-and-cast data are missing on more than 10 percent of entries. A flag authorizes a data query only (A4B response ladder); it is not a determination.</w:t>
      </w:r>
    </w:p>
    <w:p w14:paraId="04B90FC6">
      <w:pPr>
        <w:pStyle w:val="Heading3"/>
      </w:pPr>
      <w:r>
        <w:t>Minimum record</w:t>
      </w:r>
    </w:p>
    <w:p w14:paraId="69196136">
      <w:r>
        <w:rPr>
          <w:b w:val="0"/>
          <w:i w:val="0"/>
        </w:rPr>
        <w:t>Each module file must contain: issue statement; legal basis; data relied upon; options considered; affected USMCA/T-MEC provisions; domestic procedure; stakeholder input; economic and operational impact; implementation timeline; verification method; survival classification; bilateral-balance note; unresolved disagreement; and the names of responsible officials.</w:t>
      </w:r>
    </w:p>
    <w:p w14:paraId="39F28986">
      <w:pPr>
        <w:pStyle w:val="Heading3"/>
      </w:pPr>
      <w:r>
        <w:t>Review and handoff</w:t>
      </w:r>
    </w:p>
    <w:p w14:paraId="15B89D54">
      <w:r>
        <w:rPr>
          <w:b w:val="0"/>
          <w:i w:val="0"/>
        </w:rPr>
        <w:t>A module is handed off only when the co-chairs certify the record as complete, classify it as ready for legal drafting, further technical work, politically sensitive, deferred, or rejected, and transmit it to the Joint Committee with an exceptions list.</w:t>
      </w:r>
    </w:p>
    <w:p w14:paraId="2C31B2D4">
      <w:pPr>
        <w:pStyle w:val="Heading2"/>
      </w:pPr>
      <w:bookmarkStart w:id="1000" w:name="_Toc236230000"/>
      <w:r>
        <w:t>Annex 4C-1 Agriculture Market Access and Regulatory Compatibility</w:t>
      </w:r>
      <w:bookmarkEnd w:id="1000"/>
    </w:p>
    <w:p w14:paraId="4FAE4684">
      <w:pPr>
        <w:pStyle w:val="Heading3"/>
      </w:pPr>
      <w:r>
        <w:t>Purpose</w:t>
      </w:r>
    </w:p>
    <w:p w14:paraId="1B55EFBE">
      <w:r>
        <w:rPr>
          <w:b w:val="0"/>
          <w:i w:val="0"/>
        </w:rPr>
        <w:t>Provide operational plans for agricultural market access, SPS compatibility, quota administration, and deforestation controls.</w:t>
      </w:r>
    </w:p>
    <w:p w14:paraId="669B1CA4">
      <w:pPr>
        <w:pStyle w:val="Heading3"/>
      </w:pPr>
      <w:r>
        <w:t>Modules</w:t>
      </w:r>
    </w:p>
    <w:p w14:paraId="668AB982">
      <w:pPr>
        <w:pStyle w:val="ListParagraph"/>
      </w:pPr>
      <w:r>
        <w:t>– Quota calendar: allocation announcement, application window, allocation date, reallocation date, license validity, and unused-quota return.</w:t>
      </w:r>
    </w:p>
    <w:p w14:paraId="064C239A">
      <w:pPr>
        <w:pStyle w:val="ListParagraph"/>
      </w:pPr>
      <w:r>
        <w:t>– SPS equivalence workplan: hazard, risk assessment, competent authority, inspection protocol, equivalence decision point, and audit interval.</w:t>
      </w:r>
    </w:p>
    <w:p w14:paraId="730E1E8E">
      <w:pPr>
        <w:pStyle w:val="ListParagraph"/>
      </w:pPr>
      <w:r>
        <w:t>– Deforestation protocol: orchard geolocation, chain of custody, packhouse identifier, harvest date, transport seal, risk score, and smallholder transition record.</w:t>
      </w:r>
    </w:p>
    <w:p>
      <w:pPr>
        <w:pStyle w:val="Heading3"/>
      </w:pPr>
      <w:r>
        <w:rPr>
          <w:b w:val="0"/>
        </w:rPr>
        <w:t xml:space="preserve">A4C.5 Equivalence Dossier Field List</w:t>
      </w:r>
    </w:p>
    <w:p>
      <w:r>
        <w:rPr>
          <w:b w:val="0"/>
        </w:rPr>
        <w:t xml:space="preserve">An equivalence request file contains: exporting-system description; hazard addressed; control measures; audit results for the last three cycles; surveillance data (sampling plan, results, prevalence estimate); enforcement structure; proposed scope; and traceability method.</w:t>
      </w:r>
    </w:p>
    <w:p>
      <w:pPr>
        <w:pStyle w:val="Heading3"/>
      </w:pPr>
      <w:r>
        <w:rPr>
          <w:b w:val="0"/>
        </w:rPr>
        <w:t xml:space="preserve">A4C.6 Decision Clock</w:t>
      </w:r>
    </w:p>
    <w:p>
      <w:r>
        <w:rPr>
          <w:b w:val="0"/>
        </w:rPr>
        <w:t xml:space="preserve">The importing Party issues an evidence-gap notice within 20 business days; completes the technical assessment within 60 days for processed products and 90 days for live-animal systems; and states in any denial the scientific or regulatory reason and the evidence required for reconsideration. A denial without a stated reason is voidable in Joint Committee review.</w:t>
      </w:r>
    </w:p>
    <w:p w14:paraId="7E2BEA1E">
      <w:pPr>
        <w:pStyle w:val="Heading3"/>
      </w:pPr>
      <w:r>
        <w:t>Minimum record</w:t>
      </w:r>
    </w:p>
    <w:p w14:paraId="0E469342">
      <w:r>
        <w:rPr>
          <w:b w:val="0"/>
          <w:i w:val="0"/>
        </w:rPr>
        <w:t>Each module file must contain: issue statement; legal basis; data relied upon; options considered; affected USMCA/T-MEC provisions; domestic procedure; stakeholder input; economic and operational impact; implementation timeline; verification method; survival classification; bilateral-balance note; unresolved disagreement; and the names of responsible officials.</w:t>
      </w:r>
    </w:p>
    <w:p w14:paraId="07DD3A28">
      <w:pPr>
        <w:pStyle w:val="Heading3"/>
      </w:pPr>
      <w:r>
        <w:t>Review and handoff</w:t>
      </w:r>
    </w:p>
    <w:p w14:paraId="1F7F939E">
      <w:r>
        <w:rPr>
          <w:b w:val="0"/>
          <w:i w:val="0"/>
        </w:rPr>
        <w:t>A module is handed off only when the co-chairs certify the record as complete, classify it as ready for legal drafting, further technical work, politically sensitive, deferred, or rejected, and transmit it to the Joint Committee with an exceptions list.</w:t>
      </w:r>
    </w:p>
    <w:p w14:paraId="1D039C36">
      <w:pPr>
        <w:pStyle w:val="Heading2"/>
      </w:pPr>
      <w:bookmarkStart w:id="1001" w:name="_Toc236230001"/>
      <w:r>
        <w:t>Annex 4D-1 Energy Transparency, Competitive Neutrality, and Critical Minerals</w:t>
      </w:r>
      <w:bookmarkEnd w:id="1001"/>
    </w:p>
    <w:p w14:paraId="192DB324">
      <w:pPr>
        <w:pStyle w:val="Heading3"/>
      </w:pPr>
      <w:r>
        <w:t>Purpose</w:t>
      </w:r>
    </w:p>
    <w:p w14:paraId="7EF099B6">
      <w:r>
        <w:rPr>
          <w:b w:val="0"/>
          <w:i w:val="0"/>
        </w:rPr>
        <w:t>Inventory measures and develop cooperation options while preserving sovereignty and avoiding an unnegotiated energy-market rewrite.</w:t>
      </w:r>
    </w:p>
    <w:p w14:paraId="6503F758">
      <w:pPr>
        <w:pStyle w:val="Heading3"/>
      </w:pPr>
      <w:r>
        <w:t>Modules</w:t>
      </w:r>
    </w:p>
    <w:p w14:paraId="246E8808">
      <w:pPr>
        <w:pStyle w:val="ListParagraph"/>
      </w:pPr>
      <w:r>
        <w:t>– Measure inventory template: authority, instrument, market segment, affected entity type, permit, dispatch, fuel marketing, storage, cross-border infrastructure, and legal status.</w:t>
      </w:r>
    </w:p>
    <w:p w14:paraId="4779E112">
      <w:pPr>
        <w:pStyle w:val="ListParagraph"/>
      </w:pPr>
      <w:r>
        <w:t>– Critical-minerals pipeline: project, mineral, location, ownership category, permitting stage, environmental review, community consultation, offtake, processing, recycling, and traceability.</w:t>
      </w:r>
    </w:p>
    <w:p w14:paraId="47E93A3A">
      <w:pPr>
        <w:pStyle w:val="ListParagraph"/>
      </w:pPr>
      <w:r>
        <w:t>– Sovereignty screen: no module may require privatization, transfer of ownership, or surrender of resource control.</w:t>
      </w:r>
    </w:p>
    <w:p>
      <w:pPr>
        <w:pStyle w:val="Heading3"/>
      </w:pPr>
      <w:r>
        <w:rPr>
          <w:b w:val="0"/>
        </w:rPr>
        <w:t xml:space="preserve">A4D.5 Measure Inventory Entry Schema</w:t>
      </w:r>
    </w:p>
    <w:p>
      <w:r>
        <w:rPr>
          <w:b w:val="0"/>
        </w:rPr>
        <w:t xml:space="preserve">Each inventory entry records (20 fields): authority; instrument name and citation; administering body; covered entities; eligibility or permit criteria; effective date; amendment history; review route; claimed USMCA/T-MEC interface article; sovereignty screen result (whether ownership- or public-service-based); cross-border trade effect (qualitative, evidence-cited); and dispute docket reference if any.</w:t>
      </w:r>
    </w:p>
    <w:p>
      <w:pPr>
        <w:pStyle w:val="Heading3"/>
      </w:pPr>
      <w:r>
        <w:rPr>
          <w:b w:val="0"/>
        </w:rPr>
        <w:t xml:space="preserve">A4D.6 Permit Transparency Schema</w:t>
      </w:r>
    </w:p>
    <w:p>
      <w:r>
        <w:rPr>
          <w:b w:val="0"/>
        </w:rPr>
        <w:t xml:space="preserve">The permit register records: permit sequence number; required submissions; responsible office; statutory processing time; target processing time; public consultation stage; and review route. Divergence trigger: three or more consecutive unexplained decisions exceeding 150 percent of the published target on cross-border projects referred by the Working Group.</w:t>
      </w:r>
    </w:p>
    <w:p w14:paraId="5A5CABC2">
      <w:pPr>
        <w:pStyle w:val="Heading3"/>
      </w:pPr>
      <w:r>
        <w:t>Minimum record</w:t>
      </w:r>
    </w:p>
    <w:p w14:paraId="5C220254">
      <w:r>
        <w:rPr>
          <w:b w:val="0"/>
          <w:i w:val="0"/>
        </w:rPr>
        <w:t>Each module file must contain: issue statement; legal basis; data relied upon; options considered; affected USMCA/T-MEC provisions; domestic procedure; stakeholder input; economic and operational impact; implementation timeline; verification method; survival classification; bilateral-balance note; unresolved disagreement; and the names of responsible officials.</w:t>
      </w:r>
    </w:p>
    <w:p w14:paraId="496ECCA0">
      <w:pPr>
        <w:pStyle w:val="Heading3"/>
      </w:pPr>
      <w:r>
        <w:t>Review and handoff</w:t>
      </w:r>
    </w:p>
    <w:p w14:paraId="222316BA">
      <w:r>
        <w:rPr>
          <w:b w:val="0"/>
          <w:i w:val="0"/>
        </w:rPr>
        <w:t>A module is handed off only when the co-chairs certify the record as complete, classify it as ready for legal drafting, further technical work, politically sensitive, deferred, or rejected, and transmit it to the Joint Committee with an exceptions list.</w:t>
      </w:r>
    </w:p>
    <w:p w14:paraId="5EB3FA20">
      <w:pPr>
        <w:pStyle w:val="Heading2"/>
      </w:pPr>
      <w:bookmarkStart w:id="1002" w:name="_Toc236230002"/>
      <w:r>
        <w:t>Annex 4E-1 Labor and RRM Administration</w:t>
      </w:r>
      <w:bookmarkEnd w:id="1002"/>
    </w:p>
    <w:p w14:paraId="3DCA0764">
      <w:pPr>
        <w:pStyle w:val="Heading3"/>
      </w:pPr>
      <w:r>
        <w:t>Purpose</w:t>
      </w:r>
    </w:p>
    <w:p w14:paraId="07DFFF10">
      <w:r>
        <w:rPr>
          <w:b w:val="0"/>
          <w:i w:val="0"/>
        </w:rPr>
        <w:t>Improve rapid-response administration without altering RRM rights, timelines, remedies, or panel composition.</w:t>
      </w:r>
    </w:p>
    <w:p w14:paraId="3C61E1CA">
      <w:pPr>
        <w:pStyle w:val="Heading3"/>
      </w:pPr>
      <w:r>
        <w:t>Modules</w:t>
      </w:r>
    </w:p>
    <w:p w14:paraId="1B7681C4">
      <w:pPr>
        <w:pStyle w:val="ListParagraph"/>
      </w:pPr>
      <w:r>
        <w:t>– Triage service levels: receipt acknowledged in 2 business days; conflict check in 5; facility-status memo in 10; remediation verification plan at case closure.</w:t>
      </w:r>
    </w:p>
    <w:p w14:paraId="60BAEC18">
      <w:pPr>
        <w:pStyle w:val="ListParagraph"/>
      </w:pPr>
      <w:r>
        <w:t>– Evidence checklist: petition, facility response, worker statements, payroll and union records, inspection notes, confidentiality designations, and interpretation record.</w:t>
      </w:r>
    </w:p>
    <w:p w14:paraId="11FE9220">
      <w:pPr>
        <w:pStyle w:val="ListParagraph"/>
      </w:pPr>
      <w:r>
        <w:t>– Remediation verification: document review, worker interviews, follow-up at 30 and 90 days where lawful, and non-retaliation monitoring.</w:t>
      </w:r>
    </w:p>
    <w:p>
      <w:pPr>
        <w:pStyle w:val="Heading3"/>
      </w:pPr>
      <w:r>
        <w:rPr>
          <w:b w:val="0"/>
        </w:rPr>
        <w:t xml:space="preserve">A4E.5 Intake Form Field List</w:t>
      </w:r>
    </w:p>
    <w:p>
      <w:r>
        <w:rPr>
          <w:b w:val="0"/>
        </w:rPr>
        <w:t xml:space="preserve">The intake form records (15 fields): facility name and address where known; facility ID where assigned; alleged right by USMCA/T-MEC article reference; factual basis narrative; supporting evidence list; confidentiality request and basis; retaliation-risk assessment; urgent interim protection request under domestic law; complainant contact channel (protected); union status; collective agreement in force; prior filings (RRM docket or domestic docket numbers); requested remedy; date; and signature or attestation.</w:t>
      </w:r>
    </w:p>
    <w:p>
      <w:pPr>
        <w:pStyle w:val="Heading3"/>
      </w:pPr>
      <w:r>
        <w:rPr>
          <w:b w:val="0"/>
        </w:rPr>
        <w:t xml:space="preserve">A4E.6 Service-Level Escalation</w:t>
      </w:r>
    </w:p>
    <w:p>
      <w:r>
        <w:rPr>
          <w:b w:val="0"/>
        </w:rPr>
        <w:t xml:space="preserve">The triage service levels in this annex are binding targets. Two consecutive missed triage targets on the same matter escalate to co-chair level within 5 business days.</w:t>
      </w:r>
    </w:p>
    <w:p w14:paraId="41724EA2">
      <w:pPr>
        <w:pStyle w:val="Heading3"/>
      </w:pPr>
      <w:r>
        <w:t>Minimum record</w:t>
      </w:r>
    </w:p>
    <w:p w14:paraId="0ECF5D32">
      <w:r>
        <w:rPr>
          <w:b w:val="0"/>
          <w:i w:val="0"/>
        </w:rPr>
        <w:t>Each module file must contain: issue statement; legal basis; data relied upon; options considered; affected USMCA/T-MEC provisions; domestic procedure; stakeholder input; economic and operational impact; implementation timeline; verification method; survival classification; bilateral-balance note; unresolved disagreement; and the names of responsible officials.</w:t>
      </w:r>
    </w:p>
    <w:p w14:paraId="60B89A3A">
      <w:pPr>
        <w:pStyle w:val="Heading3"/>
      </w:pPr>
      <w:r>
        <w:t>Review and handoff</w:t>
      </w:r>
    </w:p>
    <w:p w14:paraId="6DE14622">
      <w:r>
        <w:rPr>
          <w:b w:val="0"/>
          <w:i w:val="0"/>
        </w:rPr>
        <w:t>A module is handed off only when the co-chairs certify the record as complete, classify it as ready for legal drafting, further technical work, politically sensitive, deferred, or rejected, and transmit it to the Joint Committee with an exceptions list.</w:t>
      </w:r>
    </w:p>
    <w:p w14:paraId="4753C6D4">
      <w:pPr>
        <w:pStyle w:val="Heading2"/>
      </w:pPr>
      <w:bookmarkStart w:id="1003" w:name="_Toc236230003"/>
      <w:r>
        <w:t>Annex 4F-1 Environment, Water, and Deforestation Verification</w:t>
      </w:r>
      <w:bookmarkEnd w:id="1003"/>
    </w:p>
    <w:p w14:paraId="43326824">
      <w:pPr>
        <w:pStyle w:val="Heading3"/>
      </w:pPr>
      <w:r>
        <w:t>Purpose</w:t>
      </w:r>
    </w:p>
    <w:p w14:paraId="6CB73FEC">
      <w:r>
        <w:rPr>
          <w:b w:val="0"/>
          <w:i w:val="0"/>
        </w:rPr>
        <w:t>Establish project-level environmental cooperation records and verified border-water monitoring.</w:t>
      </w:r>
    </w:p>
    <w:p w14:paraId="348E9D6C">
      <w:pPr>
        <w:pStyle w:val="Heading3"/>
      </w:pPr>
      <w:r>
        <w:t>Modules</w:t>
      </w:r>
    </w:p>
    <w:p w14:paraId="022BBC6C">
      <w:pPr>
        <w:pStyle w:val="ListParagraph"/>
      </w:pPr>
      <w:r>
        <w:t>– Tijuana/South Bay project register: project ID, facility, funding source, milestone, capacity, operation and maintenance owner, incident response, and completion evidence.</w:t>
      </w:r>
    </w:p>
    <w:p w14:paraId="4642E796">
      <w:pPr>
        <w:pStyle w:val="ListParagraph"/>
      </w:pPr>
      <w:r>
        <w:t>– Monitoring parameters: flow, biochemical oxygen demand, suspended solids, pathogens, heavy metals where applicable, sensor status, and public reporting cadence.</w:t>
      </w:r>
    </w:p>
    <w:p w14:paraId="431A4792">
      <w:pPr>
        <w:pStyle w:val="ListParagraph"/>
      </w:pPr>
      <w:r>
        <w:t>– Incident tree: operator, municipal authority, federal environmental authority, border counterpart, public health notice, and after-action review.</w:t>
      </w:r>
    </w:p>
    <w:p>
      <w:pPr>
        <w:pStyle w:val="Heading3"/>
      </w:pPr>
      <w:r>
        <w:rPr>
          <w:b w:val="0"/>
        </w:rPr>
        <w:t xml:space="preserve">A4F.5 Project Milestone Evidence Rule</w:t>
      </w:r>
    </w:p>
    <w:p>
      <w:r>
        <w:rPr>
          <w:b w:val="0"/>
        </w:rPr>
        <w:t xml:space="preserve">A milestone may be recorded as complete only with (a) the commissioning or acceptance certificate, or (b) the certified payment record, or (c) monitoring data showing operation at design parameters for 30 consecutive days. Political announcements are not milestone evidence.</w:t>
      </w:r>
    </w:p>
    <w:p>
      <w:pPr>
        <w:pStyle w:val="Heading3"/>
      </w:pPr>
      <w:r>
        <w:rPr>
          <w:b w:val="0"/>
        </w:rPr>
        <w:t xml:space="preserve">A4F.6 Exceedance-Response Ladder</w:t>
      </w:r>
    </w:p>
    <w:p>
      <w:r>
        <w:rPr>
          <w:b w:val="0"/>
        </w:rPr>
        <w:t xml:space="preserve">Level 1 (single exceedance): data verification. Level 2 (two consecutive exceedances): corrective plan within 15 days. Level 3 (sustained exceedance with cross-border effect): incident notification under the incident tree plus a Joint Committee agenda item.</w:t>
      </w:r>
    </w:p>
    <w:p w14:paraId="19E13992">
      <w:pPr>
        <w:pStyle w:val="Heading3"/>
      </w:pPr>
      <w:r>
        <w:t>Minimum record</w:t>
      </w:r>
    </w:p>
    <w:p w14:paraId="09003EF0">
      <w:r>
        <w:rPr>
          <w:b w:val="0"/>
          <w:i w:val="0"/>
        </w:rPr>
        <w:t>Each module file must contain: issue statement; legal basis; data relied upon; options considered; affected USMCA/T-MEC provisions; domestic procedure; stakeholder input; economic and operational impact; implementation timeline; verification method; survival classification; bilateral-balance note; unresolved disagreement; and the names of responsible officials.</w:t>
      </w:r>
    </w:p>
    <w:p w14:paraId="550963CC">
      <w:pPr>
        <w:pStyle w:val="Heading3"/>
      </w:pPr>
      <w:r>
        <w:t>Review and handoff</w:t>
      </w:r>
    </w:p>
    <w:p w14:paraId="2A06D960">
      <w:r>
        <w:rPr>
          <w:b w:val="0"/>
          <w:i w:val="0"/>
        </w:rPr>
        <w:t>A module is handed off only when the co-chairs certify the record as complete, classify it as ready for legal drafting, further technical work, politically sensitive, deferred, or rejected, and transmit it to the Joint Committee with an exceptions list.</w:t>
      </w:r>
    </w:p>
    <w:p w14:paraId="7F5EBDD2">
      <w:pPr>
        <w:pStyle w:val="Heading2"/>
      </w:pPr>
      <w:bookmarkStart w:id="1004" w:name="_Toc236230004"/>
      <w:r>
        <w:t>Annex 4G-1 Customs Interoperability and Facilitation</w:t>
      </w:r>
      <w:bookmarkEnd w:id="1004"/>
    </w:p>
    <w:p w14:paraId="192A27BC">
      <w:pPr>
        <w:pStyle w:val="Heading3"/>
      </w:pPr>
      <w:r>
        <w:t>Purpose</w:t>
      </w:r>
    </w:p>
    <w:p w14:paraId="3B52FD24">
      <w:r>
        <w:rPr>
          <w:b w:val="0"/>
          <w:i w:val="0"/>
        </w:rPr>
        <w:t>Define data dictionary v1.0, interface specifications, pilots, metrics, and rollback criteria.</w:t>
      </w:r>
    </w:p>
    <w:p w14:paraId="18DE00B0">
      <w:pPr>
        <w:pStyle w:val="Heading3"/>
      </w:pPr>
      <w:r>
        <w:t>Modules</w:t>
      </w:r>
    </w:p>
    <w:p w14:paraId="00848F24">
      <w:pPr>
        <w:pStyle w:val="ListParagraph"/>
      </w:pPr>
      <w:r>
        <w:t>– Data dictionary v1.0: entry ID, importer, exporter, HS code, origin claim, value, duty treatment, elimination code, refund status, risk score, and release time.</w:t>
      </w:r>
    </w:p>
    <w:p w14:paraId="3FC21104">
      <w:pPr>
        <w:pStyle w:val="ListParagraph"/>
      </w:pPr>
      <w:r>
        <w:t>– API minimums: secure authentication, versioned schema, machine-readable error codes, 99.5 percent availability target, and downtime notice.</w:t>
      </w:r>
    </w:p>
    <w:p w14:paraId="0231251E">
      <w:pPr>
        <w:pStyle w:val="ListParagraph"/>
      </w:pPr>
      <w:r>
        <w:t>– Pilots: pre-arrival elimination flag and e-certificate exchange; success measured by release time, error rate, manual intervention, and audit exceptions; rollback if fraud or system error exceeds agreed threshold.</w:t>
      </w:r>
    </w:p>
    <w:p>
      <w:pPr>
        <w:pStyle w:val="Heading3"/>
      </w:pPr>
      <w:r>
        <w:rPr>
          <w:b w:val="0"/>
        </w:rPr>
        <w:t xml:space="preserve">A4G.5 API Specification</w:t>
      </w:r>
    </w:p>
    <w:tbl>
      <w:tblPr>
        <w:tblW w:type="auto" w:w="0"/>
        <w:tblLook w:firstColumn="1" w:firstRow="1" w:lastColumn="0" w:lastRow="0" w:noHBand="0" w:noVBand="1" w:val="04A0"/>
      </w:tblPr>
      <w:tblGrid>
        <w:gridCol w:w="4680"/>
        <w:gridCol w:w="4680"/>
      </w:tblGrid>
      <w:tr>
        <w:tc>
          <w:tcPr>
            <w:tcW w:type="dxa" w:w="4680"/>
          </w:tcPr>
          <w:p>
            <w:r>
              <w:rPr>
                <w:b/>
              </w:rPr>
              <w:t xml:space="preserve">Element</w:t>
            </w:r>
          </w:p>
        </w:tc>
        <w:tc>
          <w:tcPr>
            <w:tcW w:type="dxa" w:w="4680"/>
          </w:tcPr>
          <w:p>
            <w:r>
              <w:rPr>
                <w:b/>
              </w:rPr>
              <w:t xml:space="preserve">Specification</w:t>
            </w:r>
          </w:p>
        </w:tc>
      </w:tr>
      <w:tr>
        <w:tc>
          <w:tcPr>
            <w:tcW w:type="dxa" w:w="4680"/>
          </w:tcPr>
          <w:p>
            <w:r>
              <w:t xml:space="preserve">Protocol</w:t>
            </w:r>
          </w:p>
        </w:tc>
        <w:tc>
          <w:tcPr>
            <w:tcW w:type="dxa" w:w="4680"/>
          </w:tcPr>
          <w:p>
            <w:r>
              <w:t xml:space="preserve">REST/JSON or agreed message standard</w:t>
            </w:r>
          </w:p>
        </w:tc>
      </w:tr>
      <w:tr>
        <w:tc>
          <w:tcPr>
            <w:tcW w:type="dxa" w:w="4680"/>
          </w:tcPr>
          <w:p>
            <w:r>
              <w:t xml:space="preserve">Authentication</w:t>
            </w:r>
          </w:p>
        </w:tc>
        <w:tc>
          <w:tcPr>
            <w:tcW w:type="dxa" w:w="4680"/>
          </w:tcPr>
          <w:p>
            <w:r>
              <w:t xml:space="preserve">Mutually approved certificate with 12-month rotation</w:t>
            </w:r>
          </w:p>
        </w:tc>
      </w:tr>
      <w:tr>
        <w:tc>
          <w:tcPr>
            <w:tcW w:type="dxa" w:w="4680"/>
          </w:tcPr>
          <w:p>
            <w:r>
              <w:t xml:space="preserve">Rate limit</w:t>
            </w:r>
          </w:p>
        </w:tc>
        <w:tc>
          <w:tcPr>
            <w:tcW w:type="dxa" w:w="4680"/>
          </w:tcPr>
          <w:p>
            <w:r>
              <w:t xml:space="preserve">Per agreed service levels; default 100 requests per minute per credential</w:t>
            </w:r>
          </w:p>
        </w:tc>
      </w:tr>
      <w:tr>
        <w:tc>
          <w:tcPr>
            <w:tcW w:type="dxa" w:w="4680"/>
          </w:tcPr>
          <w:p>
            <w:r>
              <w:t xml:space="preserve">Error codes</w:t>
            </w:r>
          </w:p>
        </w:tc>
        <w:tc>
          <w:tcPr>
            <w:tcW w:type="dxa" w:w="4680"/>
          </w:tcPr>
          <w:p>
            <w:r>
              <w:t xml:space="preserve">E100 schema validation; E200 authentication; E300 authorization; E400 not found; E500 system; E600 maintenance</w:t>
            </w:r>
          </w:p>
        </w:tc>
      </w:tr>
      <w:tr>
        <w:tc>
          <w:tcPr>
            <w:tcW w:type="dxa" w:w="4680"/>
          </w:tcPr>
          <w:p>
            <w:r>
              <w:t xml:space="preserve">Retry</w:t>
            </w:r>
          </w:p>
        </w:tc>
        <w:tc>
          <w:tcPr>
            <w:tcW w:type="dxa" w:w="4680"/>
          </w:tcPr>
          <w:p>
            <w:r>
              <w:t xml:space="preserve">Exponential backoff</w:t>
            </w:r>
          </w:p>
        </w:tc>
      </w:tr>
      <w:tr>
        <w:tc>
          <w:tcPr>
            <w:tcW w:type="dxa" w:w="4680"/>
          </w:tcPr>
          <w:p>
            <w:r>
              <w:t xml:space="preserve">Timestamps</w:t>
            </w:r>
          </w:p>
        </w:tc>
        <w:tc>
          <w:tcPr>
            <w:tcW w:type="dxa" w:w="4680"/>
          </w:tcPr>
          <w:p>
            <w:r>
              <w:t xml:space="preserve">UTC mandatory</w:t>
            </w:r>
          </w:p>
        </w:tc>
      </w:tr>
      <w:tr>
        <w:tc>
          <w:tcPr>
            <w:tcW w:type="dxa" w:w="4680"/>
          </w:tcPr>
          <w:p>
            <w:r>
              <w:t xml:space="preserve">Versioning</w:t>
            </w:r>
          </w:p>
        </w:tc>
        <w:tc>
          <w:tcPr>
            <w:tcW w:type="dxa" w:w="4680"/>
          </w:tcPr>
          <w:p>
            <w:r>
              <w:t xml:space="preserve">Schema version in every message header; 30-day transition notice for breaking changes</w:t>
            </w:r>
          </w:p>
        </w:tc>
      </w:tr>
    </w:tbl>
    <w:p>
      <w:pPr>
        <w:pStyle w:val="Heading3"/>
      </w:pPr>
      <w:r>
        <w:rPr>
          <w:b w:val="0"/>
        </w:rPr>
        <w:t xml:space="preserve">A4G.6 Pilot Evaluation Scorecard</w:t>
      </w:r>
    </w:p>
    <w:p>
      <w:r>
        <w:rPr>
          <w:b w:val="0"/>
        </w:rPr>
        <w:t xml:space="preserve">Each pilot is scored on: baseline metric; target; measured result; fraud/error threshold; rollback trigger; and decision (continue, modify, or roll back).</w:t>
      </w:r>
    </w:p>
    <w:p w14:paraId="361525DC">
      <w:pPr>
        <w:pStyle w:val="Heading3"/>
      </w:pPr>
      <w:r>
        <w:t>Minimum record</w:t>
      </w:r>
    </w:p>
    <w:p w14:paraId="20335AF0">
      <w:r>
        <w:rPr>
          <w:b w:val="0"/>
          <w:i w:val="0"/>
        </w:rPr>
        <w:t>Each module file must contain: issue statement; legal basis; data relied upon; options considered; affected USMCA/T-MEC provisions; domestic procedure; stakeholder input; economic and operational impact; implementation timeline; verification method; survival classification; bilateral-balance note; unresolved disagreement; and the names of responsible officials.</w:t>
      </w:r>
    </w:p>
    <w:p w14:paraId="6D9700CE">
      <w:pPr>
        <w:pStyle w:val="Heading3"/>
      </w:pPr>
      <w:r>
        <w:t>Review and handoff</w:t>
      </w:r>
    </w:p>
    <w:p w14:paraId="4C51AA72">
      <w:r>
        <w:rPr>
          <w:b w:val="0"/>
          <w:i w:val="0"/>
        </w:rPr>
        <w:t>A module is handed off only when the co-chairs certify the record as complete, classify it as ready for legal drafting, further technical work, politically sensitive, deferred, or rejected, and transmit it to the Joint Committee with an exceptions list.</w:t>
      </w:r>
    </w:p>
    <w:p w14:paraId="1CA0E4C6">
      <w:pPr>
        <w:pStyle w:val="Heading2"/>
      </w:pPr>
      <w:bookmarkStart w:id="1005" w:name="_Toc236230005"/>
      <w:r>
        <w:t>Annex 4H-1 Border Security Cooperation Charter Within Firewall</w:t>
      </w:r>
      <w:bookmarkEnd w:id="1005"/>
    </w:p>
    <w:p w14:paraId="2FA8CEAE">
      <w:pPr>
        <w:pStyle w:val="Heading3"/>
      </w:pPr>
      <w:r>
        <w:t>Purpose</w:t>
      </w:r>
    </w:p>
    <w:p w14:paraId="05F73CAE">
      <w:r>
        <w:rPr>
          <w:b w:val="0"/>
          <w:i w:val="0"/>
        </w:rPr>
        <w:t>Provide the completed Form 4 charter structure, data-flow map, and metrics dictionary for bounded security coordination.</w:t>
      </w:r>
    </w:p>
    <w:p w14:paraId="41B2A956">
      <w:pPr>
        <w:pStyle w:val="Heading3"/>
      </w:pPr>
      <w:r>
        <w:t>Modules</w:t>
      </w:r>
    </w:p>
    <w:p w14:paraId="15C2AB0C">
      <w:pPr>
        <w:pStyle w:val="ListParagraph"/>
      </w:pPr>
      <w:r>
        <w:t>– Charter fields: operation name, legal authority, named leads, participating units, data categories, purpose limitation, retention, review point, and after-action date.</w:t>
      </w:r>
    </w:p>
    <w:p w14:paraId="39568936">
      <w:pPr>
        <w:pStyle w:val="ListParagraph"/>
      </w:pPr>
      <w:r>
        <w:t>– Data-flow map: source, sender, recipient, legal basis, minimum-necessary fields, security classification, retention, deletion, and prohibited trade use.</w:t>
      </w:r>
    </w:p>
    <w:p w14:paraId="6000FE1C">
      <w:pPr>
        <w:pStyle w:val="ListParagraph"/>
      </w:pPr>
      <w:r>
        <w:t>– Metrics dictionary: referral count, response time, seizure event, false-positive rate, prosecution referral, privacy incident, and civil-liberties complaint; no metric conditions trade benefits.</w:t>
      </w:r>
    </w:p>
    <w:p>
      <w:pPr>
        <w:pStyle w:val="Heading3"/>
      </w:pPr>
      <w:r>
        <w:rPr>
          <w:b w:val="0"/>
        </w:rPr>
        <w:t xml:space="preserve">A4H.5 Authorization Record Field List</w:t>
      </w:r>
    </w:p>
    <w:p>
      <w:r>
        <w:rPr>
          <w:b w:val="0"/>
        </w:rPr>
        <w:t xml:space="preserve">Each operation file records (18 fields): operation name (non-classified); objective; legal authority citation per agency; participating units; geographic scope; temporal scope; data categories and minimum fields; permitted uses; onward-disclosure rule; retention period and deletion procedure; security classification; review point date; civil-liberties controls; privacy controls; after-action date; named leads (each Party); legal review point; and the mandatory firewall attestation.</w:t>
      </w:r>
    </w:p>
    <w:p>
      <w:pPr>
        <w:pStyle w:val="Heading3"/>
      </w:pPr>
      <w:r>
        <w:rPr>
          <w:b w:val="0"/>
        </w:rPr>
        <w:t xml:space="preserve">A4H.6 Firewall Attestation</w:t>
      </w:r>
    </w:p>
    <w:p>
      <w:r>
        <w:rPr>
          <w:b w:val="0"/>
        </w:rPr>
        <w:t xml:space="preserve">Every authorization record carries the attestation: “No tariff, refund, facilitation benefit, or market-access right is conditioned on any operational metric of this operation.” The record is invalid for use until both legal review points sign.</w:t>
      </w:r>
    </w:p>
    <w:p w14:paraId="385C646E">
      <w:pPr>
        <w:pStyle w:val="Heading3"/>
      </w:pPr>
      <w:r>
        <w:t>Minimum record</w:t>
      </w:r>
    </w:p>
    <w:p w14:paraId="622B23CC">
      <w:r>
        <w:rPr>
          <w:b w:val="0"/>
          <w:i w:val="0"/>
        </w:rPr>
        <w:t>Each module file must contain: issue statement; legal basis; data relied upon; options considered; affected USMCA/T-MEC provisions; domestic procedure; stakeholder input; economic and operational impact; implementation timeline; verification method; survival classification; bilateral-balance note; unresolved disagreement; and the names of responsible officials.</w:t>
      </w:r>
    </w:p>
    <w:p w14:paraId="41DED1A8">
      <w:pPr>
        <w:pStyle w:val="Heading3"/>
      </w:pPr>
      <w:r>
        <w:t>Review and handoff</w:t>
      </w:r>
    </w:p>
    <w:p w14:paraId="269305AC">
      <w:r>
        <w:rPr>
          <w:b w:val="0"/>
          <w:i w:val="0"/>
        </w:rPr>
        <w:t>A module is handed off only when the co-chairs certify the record as complete, classify it as ready for legal drafting, further technical work, politically sensitive, deferred, or rejected, and transmit it to the Joint Committee with an exceptions list.</w:t>
      </w:r>
    </w:p>
    <w:p w14:paraId="0A96EF5C">
      <w:pPr>
        <w:pStyle w:val="Heading2"/>
      </w:pPr>
      <w:bookmarkStart w:id="1006" w:name="_Toc236230006"/>
      <w:r>
        <w:t>Annex 4I-1 Dispute Settlement Model Procedures</w:t>
      </w:r>
      <w:bookmarkEnd w:id="1006"/>
    </w:p>
    <w:p w14:paraId="714C0AC8">
      <w:pPr>
        <w:pStyle w:val="Heading3"/>
      </w:pPr>
      <w:r>
        <w:t>Purpose</w:t>
      </w:r>
    </w:p>
    <w:p w14:paraId="39494B4E">
      <w:r>
        <w:rPr>
          <w:b w:val="0"/>
          <w:i w:val="0"/>
        </w:rPr>
        <w:t>Draft model procedures, a filled timetable, and roster qualification criteria for interim dispute settlement.</w:t>
      </w:r>
    </w:p>
    <w:p w14:paraId="4E846342">
      <w:pPr>
        <w:pStyle w:val="Heading3"/>
      </w:pPr>
      <w:r>
        <w:t>Modules</w:t>
      </w:r>
    </w:p>
    <w:p w14:paraId="2540B50E">
      <w:pPr>
        <w:pStyle w:val="ListParagraph"/>
      </w:pPr>
      <w:r>
        <w:t>– Model rules: filing, service, deficiency cure, preliminary objections, evidence, hearing, confidential information, preliminary report, final report, compliance review.</w:t>
      </w:r>
    </w:p>
    <w:p w14:paraId="2CC67D22">
      <w:pPr>
        <w:pStyle w:val="ListParagraph"/>
      </w:pPr>
      <w:r>
        <w:t>– Filled timetable: consultations 30 days standard / 15 urgent; panel selection 20 days standard / 7 urgent; preliminary report 75 standard / 40 urgent; comments 12; final report 25 standard / 18 urgent.</w:t>
      </w:r>
    </w:p>
    <w:p w14:paraId="6E7745EC">
      <w:pPr>
        <w:pStyle w:val="ListParagraph"/>
      </w:pPr>
      <w:r>
        <w:t>– Roster criteria: independence, trade-law expertise, sector expertise, availability, no current conflict, disclosure duty, and ability to serve through pending disposition.</w:t>
      </w:r>
    </w:p>
    <w:p>
      <w:pPr>
        <w:pStyle w:val="Heading3"/>
      </w:pPr>
      <w:r>
        <w:rPr>
          <w:b w:val="0"/>
        </w:rPr>
        <w:t xml:space="preserve">A4I.5 Protective Order Standard Terms</w:t>
      </w:r>
    </w:p>
    <w:p>
      <w:r>
        <w:rPr>
          <w:b w:val="0"/>
        </w:rPr>
        <w:t xml:space="preserve">Protective orders use defined categories (public; confidential; highly confidential–business; classified; personal data); access lists per category; a counsel-only designation procedure; a 10-day objection window before material is re-designated; and sanctions for unauthorized disclosure (referral to the domestic authority and panel-ordered costs).</w:t>
      </w:r>
    </w:p>
    <w:p>
      <w:pPr>
        <w:pStyle w:val="Heading3"/>
      </w:pPr>
      <w:r>
        <w:rPr>
          <w:b w:val="0"/>
        </w:rPr>
        <w:t xml:space="preserve">A4I.6 Filing Convention</w:t>
      </w:r>
    </w:p>
    <w:p>
      <w:r>
        <w:rPr>
          <w:b w:val="0"/>
        </w:rPr>
        <w:t xml:space="preserve">Every exhibit bears a unique identifier in the format [case number]-[party]-[sequential], with source, date, custodian, and relevance statement recorded in the index.</w:t>
      </w:r>
    </w:p>
    <w:p w14:paraId="70E4A416">
      <w:pPr>
        <w:pStyle w:val="Heading3"/>
      </w:pPr>
      <w:r>
        <w:t>Minimum record</w:t>
      </w:r>
    </w:p>
    <w:p w14:paraId="0BF321C4">
      <w:r>
        <w:rPr>
          <w:b w:val="0"/>
          <w:i w:val="0"/>
        </w:rPr>
        <w:t>Each module file must contain: issue statement; legal basis; data relied upon; options considered; affected USMCA/T-MEC provisions; domestic procedure; stakeholder input; economic and operational impact; implementation timeline; verification method; survival classification; bilateral-balance note; unresolved disagreement; and the names of responsible officials.</w:t>
      </w:r>
    </w:p>
    <w:p w14:paraId="6E211BE4">
      <w:pPr>
        <w:pStyle w:val="Heading3"/>
      </w:pPr>
      <w:r>
        <w:t>Review and handoff</w:t>
      </w:r>
    </w:p>
    <w:p w14:paraId="25BB7BB4">
      <w:r>
        <w:rPr>
          <w:b w:val="0"/>
          <w:i w:val="0"/>
        </w:rPr>
        <w:t>A module is handed off only when the co-chairs certify the record as complete, classify it as ready for legal drafting, further technical work, politically sensitive, deferred, or rejected, and transmit it to the Joint Committee with an exceptions list.</w:t>
      </w:r>
    </w:p>
    <w:p w14:paraId="476AEE3E">
      <w:pPr>
        <w:pStyle w:val="Heading2"/>
      </w:pPr>
      <w:bookmarkStart w:id="1007" w:name="_Toc236230007"/>
      <w:r>
        <w:t>Annex 4H-2 Security-Trade Firewall and Sovereignty Audit</w:t>
      </w:r>
      <w:bookmarkEnd w:id="1007"/>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22BB91CA">
            <w:r>
              <w:rPr>
                <w:b/>
              </w:rPr>
              <w:t>Audit item</w:t>
            </w:r>
          </w:p>
        </w:tc>
        <w:tc>
          <w:tcPr>
            <w:tcW w:type="dxa" w:w="2340"/>
          </w:tcPr>
          <w:p w14:paraId="7DBDE73C">
            <w:r>
              <w:rPr>
                <w:b/>
              </w:rPr>
              <w:t>Required evidence</w:t>
            </w:r>
          </w:p>
        </w:tc>
        <w:tc>
          <w:tcPr>
            <w:tcW w:type="dxa" w:w="2340"/>
          </w:tcPr>
          <w:p w14:paraId="02C97F74">
            <w:r>
              <w:rPr>
                <w:b/>
              </w:rPr>
              <w:t>Result</w:t>
            </w:r>
          </w:p>
        </w:tc>
        <w:tc>
          <w:tcPr>
            <w:tcW w:type="dxa" w:w="2340"/>
          </w:tcPr>
          <w:p w14:paraId="67F6613C">
            <w:r>
              <w:rPr>
                <w:b/>
              </w:rPr>
              <w:t>Follow-up</w:t>
            </w:r>
          </w:p>
        </w:tc>
      </w:tr>
      <w:tr>
        <w:tc>
          <w:tcPr>
            <w:tcW w:type="dxa" w:w="2340"/>
          </w:tcPr>
          <w:p w14:paraId="771D0EE6">
            <w:r>
              <w:t>No trade benefit conditioned on security performance</w:t>
            </w:r>
          </w:p>
        </w:tc>
        <w:tc>
          <w:tcPr>
            <w:tcW w:type="dxa" w:w="2340"/>
          </w:tcPr>
          <w:p w14:paraId="7094C884">
            <w:r>
              <w:t>Charter, meeting records, dashboards, communications</w:t>
            </w:r>
          </w:p>
        </w:tc>
        <w:tc>
          <w:tcPr>
            <w:tcW w:type="dxa" w:w="2340"/>
          </w:tcPr>
          <w:p w14:paraId="1E800C6C">
            <w:r>
              <w:t>Compliant by text; operational audit pending</w:t>
            </w:r>
          </w:p>
        </w:tc>
        <w:tc>
          <w:tcPr>
            <w:tcW w:type="dxa" w:w="2340"/>
          </w:tcPr>
          <w:p w14:paraId="3346ABCE">
            <w:r>
              <w:t>Collect first-cycle attestations</w:t>
            </w:r>
          </w:p>
        </w:tc>
      </w:tr>
      <w:tr>
        <w:tc>
          <w:tcPr>
            <w:tcW w:type="dxa" w:w="2340"/>
          </w:tcPr>
          <w:p w14:paraId="62B978EE">
            <w:r>
              <w:t>No eliminated tariff recreated under security label</w:t>
            </w:r>
          </w:p>
        </w:tc>
        <w:tc>
          <w:tcPr>
            <w:tcW w:type="dxa" w:w="2340"/>
          </w:tcPr>
          <w:p w14:paraId="26D4305E">
            <w:r>
              <w:t>Measure inventory versus Annexes 2-A/2-B</w:t>
            </w:r>
          </w:p>
        </w:tc>
        <w:tc>
          <w:tcPr>
            <w:tcW w:type="dxa" w:w="2340"/>
          </w:tcPr>
          <w:p w14:paraId="3A867546">
            <w:r>
              <w:t>Pending official schedules</w:t>
            </w:r>
          </w:p>
        </w:tc>
        <w:tc>
          <w:tcPr>
            <w:tcW w:type="dxa" w:w="2340"/>
          </w:tcPr>
          <w:p w14:paraId="02AFE034">
            <w:r>
              <w:t>Run after schedules certify</w:t>
            </w:r>
          </w:p>
        </w:tc>
      </w:tr>
      <w:tr>
        <w:tc>
          <w:tcPr>
            <w:tcW w:type="dxa" w:w="2340"/>
          </w:tcPr>
          <w:p w14:paraId="55E4616C">
            <w:r>
              <w:t>Minimum-necessary data sharing</w:t>
            </w:r>
          </w:p>
        </w:tc>
        <w:tc>
          <w:tcPr>
            <w:tcW w:type="dxa" w:w="2340"/>
          </w:tcPr>
          <w:p w14:paraId="601737CC">
            <w:r>
              <w:t>Data-flow map and access logs</w:t>
            </w:r>
          </w:p>
        </w:tc>
        <w:tc>
          <w:tcPr>
            <w:tcW w:type="dxa" w:w="2340"/>
          </w:tcPr>
          <w:p w14:paraId="1D10C682">
            <w:r>
              <w:t>Template complete</w:t>
            </w:r>
          </w:p>
        </w:tc>
        <w:tc>
          <w:tcPr>
            <w:tcW w:type="dxa" w:w="2340"/>
          </w:tcPr>
          <w:p w14:paraId="18CB5B1C">
            <w:r>
              <w:t>First access-log audit at Day 30</w:t>
            </w:r>
          </w:p>
        </w:tc>
      </w:tr>
      <w:tr>
        <w:tc>
          <w:tcPr>
            <w:tcW w:type="dxa" w:w="2340"/>
          </w:tcPr>
          <w:p w14:paraId="0FC40A5A">
            <w:r>
              <w:t>Non-recreation memo for overlapping measure</w:t>
            </w:r>
          </w:p>
        </w:tc>
        <w:tc>
          <w:tcPr>
            <w:tcW w:type="dxa" w:w="2340"/>
          </w:tcPr>
          <w:p w14:paraId="358E3D06">
            <w:r>
              <w:t>Legal memorandum under Article 8.2.4</w:t>
            </w:r>
          </w:p>
        </w:tc>
        <w:tc>
          <w:tcPr>
            <w:tcW w:type="dxa" w:w="2340"/>
          </w:tcPr>
          <w:p w14:paraId="3E6FE354">
            <w:r>
              <w:t>No overlap measure identified in draft</w:t>
            </w:r>
          </w:p>
        </w:tc>
        <w:tc>
          <w:tcPr>
            <w:tcW w:type="dxa" w:w="2340"/>
          </w:tcPr>
          <w:p w14:paraId="26A0D6D0">
            <w:r>
              <w:t>File memo if invoked</w:t>
            </w:r>
          </w:p>
        </w:tc>
      </w:tr>
    </w:tbl>
    <w:p>
      <w:r>
        <w:rPr>
          <w:b w:val="0"/>
        </w:rPr>
        <w:t xml:space="preserve">Consequence matrix. Audit outcomes are handled as follows:</w:t>
      </w:r>
    </w:p>
    <w:tbl>
      <w:tblPr>
        <w:tblW w:type="auto" w:w="0"/>
        <w:tblLook w:firstColumn="1" w:firstRow="1" w:lastColumn="0" w:lastRow="0" w:noHBand="0" w:noVBand="1" w:val="04A0"/>
      </w:tblPr>
      <w:tblGrid>
        <w:gridCol w:w="3120"/>
        <w:gridCol w:w="3120"/>
        <w:gridCol w:w="3120"/>
      </w:tblGrid>
      <w:tr>
        <w:tc>
          <w:tcPr>
            <w:tcW w:type="dxa" w:w="3120"/>
          </w:tcPr>
          <w:p>
            <w:r>
              <w:rPr>
                <w:b/>
              </w:rPr>
              <w:t xml:space="preserve">Finding</w:t>
            </w:r>
          </w:p>
        </w:tc>
        <w:tc>
          <w:tcPr>
            <w:tcW w:type="dxa" w:w="3120"/>
          </w:tcPr>
          <w:p>
            <w:r>
              <w:rPr>
                <w:b/>
              </w:rPr>
              <w:t xml:space="preserve">Consequence</w:t>
            </w:r>
          </w:p>
        </w:tc>
        <w:tc>
          <w:tcPr>
            <w:tcW w:type="dxa" w:w="3120"/>
          </w:tcPr>
          <w:p>
            <w:r>
              <w:rPr>
                <w:b/>
              </w:rPr>
              <w:t xml:space="preserve">Deadline / follow-up</w:t>
            </w:r>
          </w:p>
        </w:tc>
      </w:tr>
      <w:tr>
        <w:tc>
          <w:tcPr>
            <w:tcW w:type="dxa" w:w="3120"/>
          </w:tcPr>
          <w:p>
            <w:r>
              <w:t xml:space="preserve">Conforming</w:t>
            </w:r>
          </w:p>
        </w:tc>
        <w:tc>
          <w:tcPr>
            <w:tcW w:type="dxa" w:w="3120"/>
          </w:tcPr>
          <w:p>
            <w:r>
              <w:t xml:space="preserve">Continue; log</w:t>
            </w:r>
          </w:p>
        </w:tc>
        <w:tc>
          <w:tcPr>
            <w:tcW w:type="dxa" w:w="3120"/>
          </w:tcPr>
          <w:p>
            <w:r>
              <w:t xml:space="preserve">Recorded in audit file</w:t>
            </w:r>
          </w:p>
        </w:tc>
      </w:tr>
      <w:tr>
        <w:tc>
          <w:tcPr>
            <w:tcW w:type="dxa" w:w="3120"/>
          </w:tcPr>
          <w:p>
            <w:r>
              <w:t xml:space="preserve">Conforming with corrective action</w:t>
            </w:r>
          </w:p>
        </w:tc>
        <w:tc>
          <w:tcPr>
            <w:tcW w:type="dxa" w:w="3120"/>
          </w:tcPr>
          <w:p>
            <w:r>
              <w:t xml:space="preserve">Corrective action plan</w:t>
            </w:r>
          </w:p>
        </w:tc>
        <w:tc>
          <w:tcPr>
            <w:tcW w:type="dxa" w:w="3120"/>
          </w:tcPr>
          <w:p>
            <w:r>
              <w:t xml:space="preserve">30-day cure verification</w:t>
            </w:r>
          </w:p>
        </w:tc>
      </w:tr>
      <w:tr>
        <w:tc>
          <w:tcPr>
            <w:tcW w:type="dxa" w:w="3120"/>
          </w:tcPr>
          <w:p>
            <w:r>
              <w:t xml:space="preserve">Non-conforming</w:t>
            </w:r>
          </w:p>
        </w:tc>
        <w:tc>
          <w:tcPr>
            <w:tcW w:type="dxa" w:w="3120"/>
          </w:tcPr>
          <w:p>
            <w:r>
              <w:t xml:space="preserve">Immediate cessation of the linkage; preservation of records; expedited Part Seven review on request; corrective-action plan with named owner</w:t>
            </w:r>
          </w:p>
        </w:tc>
        <w:tc>
          <w:tcPr>
            <w:tcW w:type="dxa" w:w="3120"/>
          </w:tcPr>
          <w:p>
            <w:r>
              <w:t xml:space="preserve">15-day deadline</w:t>
            </w:r>
          </w:p>
        </w:tc>
      </w:tr>
    </w:tbl>
    <w:p>
      <w:r>
        <w:rPr>
          <w:b w:val="0"/>
        </w:rPr>
        <w:t xml:space="preserve">Repeat non-conformity within the Interim Period triggers a Day-10 Joint Committee special meeting as a mandatory agenda item.</w:t>
      </w:r>
    </w:p>
    <w:p w14:paraId="41CA1CC6"/>
    <w:p w14:paraId="0E51034E">
      <w:pPr>
        <w:pStyle w:val="Heading2"/>
      </w:pPr>
      <w:bookmarkStart w:id="1008" w:name="_Toc236230008"/>
      <w:r>
        <w:t>Annex 5-A Elimination Firewall Legal Test</w:t>
      </w:r>
      <w:bookmarkEnd w:id="1008"/>
    </w:p>
    <w:p w14:paraId="57EB010C">
      <w:r>
        <w:rPr>
          <w:b w:val="0"/>
          <w:i w:val="0"/>
        </w:rPr>
        <w:t>A challenged measure is tested in sequence: (1) overlap in product, predicate, collection point, formula, or effect; (2) whether it is an ordinary neutral measure or lawful trade remedy; (3) whether the adopting Party proves origin-neutrality, equal application, independent purpose, and non-duplication; and (4) remedy.</w:t>
      </w:r>
    </w:p>
    <w:p w14:paraId="09EAF158">
      <w:r>
        <w:rPr>
          <w:b w:val="0"/>
          <w:i w:val="0"/>
        </w:rPr>
        <w:t>Quantitative screen: “substantially equivalent landed cost” means the estimated duty-equivalent burden is at least 50 percent of the eliminated measure’s burden for the same product scope, or at least USD 250,000 in annualized trade impact. Crossing the screen requires a reasoned non-duplication record; it is not an automatic violation.</w:t>
      </w:r>
    </w:p>
    <w:p>
      <w:r>
        <w:rPr>
          <w:b w:val="0"/>
        </w:rPr>
        <w:t xml:space="preserve">Measurement formula (operative rule): estimated duty-equivalent burden = (measure rate × dutiable value of affected imports, trailing 12 months) or, where the measure is non-ad-valorem, (calculated per-unit burden × affected units); the eliminated burden is computed on the same basis for the 12 months preceding elimination; the 50 percent and USD 250,000 thresholds compare the two figures; the adopting Party may rebut with a reasoned public record within 20 days of referral.</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37C2D3C0">
            <w:r>
              <w:rPr>
                <w:b/>
              </w:rPr>
              <w:t>Example</w:t>
            </w:r>
          </w:p>
        </w:tc>
        <w:tc>
          <w:tcPr>
            <w:tcW w:type="dxa" w:w="2340"/>
          </w:tcPr>
          <w:p w14:paraId="4863A2EE">
            <w:r>
              <w:rPr>
                <w:b/>
              </w:rPr>
              <w:t>Facts</w:t>
            </w:r>
          </w:p>
        </w:tc>
        <w:tc>
          <w:tcPr>
            <w:tcW w:type="dxa" w:w="2340"/>
          </w:tcPr>
          <w:p w14:paraId="4F4856D2">
            <w:r>
              <w:rPr>
                <w:b/>
              </w:rPr>
              <w:t>Screen result</w:t>
            </w:r>
          </w:p>
        </w:tc>
        <w:tc>
          <w:tcPr>
            <w:tcW w:type="dxa" w:w="2340"/>
          </w:tcPr>
          <w:p w14:paraId="68B30D3C">
            <w:r>
              <w:rPr>
                <w:b/>
              </w:rPr>
              <w:t>Disposition</w:t>
            </w:r>
          </w:p>
        </w:tc>
      </w:tr>
      <w:tr>
        <w:tc>
          <w:tcPr>
            <w:tcW w:type="dxa" w:w="2340"/>
          </w:tcPr>
          <w:p w14:paraId="10FD8966">
            <w:r>
              <w:t>Example 1</w:t>
            </w:r>
          </w:p>
        </w:tc>
        <w:tc>
          <w:tcPr>
            <w:tcW w:type="dxa" w:w="2340"/>
          </w:tcPr>
          <w:p w14:paraId="09E54EA0">
            <w:r>
              <w:t>New border security fee applies only to the same eliminated products and equals 80 percent of the eliminated duty</w:t>
            </w:r>
          </w:p>
        </w:tc>
        <w:tc>
          <w:tcPr>
            <w:tcW w:type="dxa" w:w="2340"/>
          </w:tcPr>
          <w:p w14:paraId="5B5DC766">
            <w:r>
              <w:t>Equivalent</w:t>
            </w:r>
          </w:p>
        </w:tc>
        <w:tc>
          <w:tcPr>
            <w:tcW w:type="dxa" w:w="2340"/>
          </w:tcPr>
          <w:p w14:paraId="43FD7E12">
            <w:r>
              <w:t>Presumed disguised substitute; removal or redesign absent strong rebuttal</w:t>
            </w:r>
          </w:p>
        </w:tc>
      </w:tr>
      <w:tr>
        <w:tc>
          <w:tcPr>
            <w:tcW w:type="dxa" w:w="2340"/>
          </w:tcPr>
          <w:p w14:paraId="3EF32ABA">
            <w:r>
              <w:t>Example 2</w:t>
            </w:r>
          </w:p>
        </w:tc>
        <w:tc>
          <w:tcPr>
            <w:tcW w:type="dxa" w:w="2340"/>
          </w:tcPr>
          <w:p w14:paraId="3D36A694">
            <w:r>
              <w:t>Origin-neutral excise applies equally to domestic and imported goods and is not collected as a condition of release</w:t>
            </w:r>
          </w:p>
        </w:tc>
        <w:tc>
          <w:tcPr>
            <w:tcW w:type="dxa" w:w="2340"/>
          </w:tcPr>
          <w:p w14:paraId="2AD485D0">
            <w:r>
              <w:t>Not equivalent under screen</w:t>
            </w:r>
          </w:p>
        </w:tc>
        <w:tc>
          <w:tcPr>
            <w:tcW w:type="dxa" w:w="2340"/>
          </w:tcPr>
          <w:p w14:paraId="09B763A6">
            <w:r>
              <w:t>Not a breach solely from incidental trade effect</w:t>
            </w:r>
          </w:p>
        </w:tc>
      </w:tr>
      <w:tr>
        <w:tc>
          <w:tcPr>
            <w:tcW w:type="dxa" w:w="2340"/>
          </w:tcPr>
          <w:p w14:paraId="60F594FA">
            <w:r>
              <w:t>Example 3</w:t>
            </w:r>
          </w:p>
        </w:tc>
        <w:tc>
          <w:tcPr>
            <w:tcW w:type="dxa" w:w="2340"/>
          </w:tcPr>
          <w:p w14:paraId="317C60C8">
            <w:r>
              <w:t>New licensing regime delays only eliminated product lines and requires a bond approximating prior duty</w:t>
            </w:r>
          </w:p>
        </w:tc>
        <w:tc>
          <w:tcPr>
            <w:tcW w:type="dxa" w:w="2340"/>
          </w:tcPr>
          <w:p w14:paraId="2B4EEEE2">
            <w:r>
              <w:t>Equivalent and administratively targeted</w:t>
            </w:r>
          </w:p>
        </w:tc>
        <w:tc>
          <w:tcPr>
            <w:tcW w:type="dxa" w:w="2340"/>
          </w:tcPr>
          <w:p w14:paraId="640E5704">
            <w:r>
              <w:t>Expedited firewall review; provisional non-application pending report</w:t>
            </w:r>
          </w:p>
        </w:tc>
      </w:tr>
    </w:tbl>
    <w:p w14:paraId="0EF02EE0"/>
    <w:p w14:paraId="2202686E">
      <w:pPr>
        <w:pStyle w:val="Heading2"/>
      </w:pPr>
      <w:bookmarkStart w:id="1009" w:name="_Toc236230009"/>
      <w:r>
        <w:t>Annex 6-A Joint Committee Rules of Procedure</w:t>
      </w:r>
      <w:bookmarkEnd w:id="1009"/>
    </w:p>
    <w:p w14:paraId="2B805DBA">
      <w:pPr>
        <w:pStyle w:val="ListParagraph"/>
      </w:pPr>
      <w:r>
        <w:t>– First meeting adopts these rules, designates secretariat officers, seeds the risk register, approves meeting calendar, and records contact points.</w:t>
      </w:r>
    </w:p>
    <w:p w14:paraId="657E5D56">
      <w:pPr>
        <w:pStyle w:val="ListParagraph"/>
      </w:pPr>
      <w:r>
        <w:t>– Quorum requires both co-chairs or alternates and a majority of each delegation’s core members.</w:t>
      </w:r>
    </w:p>
    <w:p w14:paraId="2DD7D652">
      <w:pPr>
        <w:pStyle w:val="ListParagraph"/>
      </w:pPr>
      <w:r>
        <w:t>– Decisions require consensus and must state legal effect, owner, survival classification, and review date.</w:t>
      </w:r>
    </w:p>
    <w:p w14:paraId="424AE8EE">
      <w:pPr>
        <w:pStyle w:val="ListParagraph"/>
      </w:pPr>
      <w:r>
        <w:t>– Agendas distinguish decision, information, legal-review, and urgent items.</w:t>
      </w:r>
    </w:p>
    <w:p w14:paraId="00546FEC">
      <w:pPr>
        <w:pStyle w:val="ListParagraph"/>
      </w:pPr>
      <w:r>
        <w:t>– Minutes are approved within five business days; corrections are versioned.</w:t>
      </w:r>
    </w:p>
    <w:p w14:paraId="6336FBBA">
      <w:pPr>
        <w:pStyle w:val="ListParagraph"/>
      </w:pPr>
      <w:r>
        <w:t>– A conflict-resolution memo interprets lists only and may not expand product scope; it is reviewable under Part Seven.</w:t>
      </w:r>
    </w:p>
    <w:p w14:paraId="1023B0B8">
      <w:pPr>
        <w:pStyle w:val="ListParagraph"/>
      </w:pPr>
      <w:r>
        <w:t>– Each Party funds its participation; any joint technical-assistance budget requires written scope, source, procurement controls, and exit criteria.</w:t>
      </w:r>
    </w:p>
    <w:p>
      <w:r>
        <w:rPr>
          <w:b w:val="0"/>
        </w:rPr>
        <w:t xml:space="preserve">– Written procedure: a decision circulated by a co-chair is adopted when both Parties signify agreement within the fixed period, default 10 business days.</w:t>
      </w:r>
    </w:p>
    <w:p>
      <w:r>
        <w:rPr>
          <w:b w:val="0"/>
        </w:rPr>
        <w:t xml:space="preserve">– Numbering convention: decisions are numbered JC-[year]-[sequential].</w:t>
      </w:r>
    </w:p>
    <w:p>
      <w:r>
        <w:rPr>
          <w:b w:val="0"/>
        </w:rPr>
        <w:t xml:space="preserve">– Public record: decisions are posted to the public implementation page within 5 business days, with confidential annexes segregated.</w:t>
      </w:r>
    </w:p>
    <w:p w14:paraId="4B4568EA">
      <w:pPr>
        <w:pStyle w:val="Heading2"/>
      </w:pPr>
      <w:bookmarkStart w:id="1010" w:name="_Toc236230010"/>
      <w:r>
        <w:t>Annex 7-A Model Panel Timetable and Forms</w:t>
      </w:r>
      <w:bookmarkEnd w:id="1010"/>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75EE1864">
            <w:r>
              <w:rPr>
                <w:b/>
              </w:rPr>
              <w:t>Step</w:t>
            </w:r>
          </w:p>
        </w:tc>
        <w:tc>
          <w:tcPr>
            <w:tcW w:type="dxa" w:w="2340"/>
          </w:tcPr>
          <w:p w14:paraId="6B3F151E">
            <w:r>
              <w:rPr>
                <w:b/>
              </w:rPr>
              <w:t>Standard deadline</w:t>
            </w:r>
          </w:p>
        </w:tc>
        <w:tc>
          <w:tcPr>
            <w:tcW w:type="dxa" w:w="2340"/>
          </w:tcPr>
          <w:p w14:paraId="5A13A088">
            <w:r>
              <w:rPr>
                <w:b/>
              </w:rPr>
              <w:t>Urgent firewall deadline</w:t>
            </w:r>
          </w:p>
        </w:tc>
        <w:tc>
          <w:tcPr>
            <w:tcW w:type="dxa" w:w="2340"/>
          </w:tcPr>
          <w:p w14:paraId="5733B2A2">
            <w:r>
              <w:rPr>
                <w:b/>
              </w:rPr>
              <w:t>Form</w:t>
            </w:r>
          </w:p>
        </w:tc>
      </w:tr>
      <w:tr>
        <w:tc>
          <w:tcPr>
            <w:tcW w:type="dxa" w:w="2340"/>
          </w:tcPr>
          <w:p w14:paraId="630900CE">
            <w:r>
              <w:t>Consultation request</w:t>
            </w:r>
          </w:p>
        </w:tc>
        <w:tc>
          <w:tcPr>
            <w:tcW w:type="dxa" w:w="2340"/>
          </w:tcPr>
          <w:p w14:paraId="39B3C4E2">
            <w:r>
              <w:t>Day 0</w:t>
            </w:r>
          </w:p>
        </w:tc>
        <w:tc>
          <w:tcPr>
            <w:tcW w:type="dxa" w:w="2340"/>
          </w:tcPr>
          <w:p w14:paraId="1FBB248A">
            <w:r>
              <w:t>Day 0</w:t>
            </w:r>
          </w:p>
        </w:tc>
        <w:tc>
          <w:tcPr>
            <w:tcW w:type="dxa" w:w="2340"/>
          </w:tcPr>
          <w:p w14:paraId="3B1C7B28">
            <w:r>
              <w:t>Form 3</w:t>
            </w:r>
          </w:p>
        </w:tc>
      </w:tr>
      <w:tr>
        <w:tc>
          <w:tcPr>
            <w:tcW w:type="dxa" w:w="2340"/>
          </w:tcPr>
          <w:p w14:paraId="5A19CB72">
            <w:r>
              <w:t>Consultations commence</w:t>
            </w:r>
          </w:p>
        </w:tc>
        <w:tc>
          <w:tcPr>
            <w:tcW w:type="dxa" w:w="2340"/>
          </w:tcPr>
          <w:p w14:paraId="45EC0010">
            <w:r>
              <w:t>15 days</w:t>
            </w:r>
          </w:p>
        </w:tc>
        <w:tc>
          <w:tcPr>
            <w:tcW w:type="dxa" w:w="2340"/>
          </w:tcPr>
          <w:p w14:paraId="3E0A9BDA">
            <w:r>
              <w:t>7 days</w:t>
            </w:r>
          </w:p>
        </w:tc>
        <w:tc>
          <w:tcPr>
            <w:tcW w:type="dxa" w:w="2340"/>
          </w:tcPr>
          <w:p w14:paraId="3BDAF136">
            <w:r>
              <w:t>Form 3</w:t>
            </w:r>
          </w:p>
        </w:tc>
      </w:tr>
      <w:tr>
        <w:tc>
          <w:tcPr>
            <w:tcW w:type="dxa" w:w="2340"/>
          </w:tcPr>
          <w:p w14:paraId="2E1FA808">
            <w:r>
              <w:t>Panel request</w:t>
            </w:r>
          </w:p>
        </w:tc>
        <w:tc>
          <w:tcPr>
            <w:tcW w:type="dxa" w:w="2340"/>
          </w:tcPr>
          <w:p w14:paraId="13B4E1FA">
            <w:r>
              <w:t>After 30 days unresolved</w:t>
            </w:r>
          </w:p>
        </w:tc>
        <w:tc>
          <w:tcPr>
            <w:tcW w:type="dxa" w:w="2340"/>
          </w:tcPr>
          <w:p w14:paraId="0E1350BE">
            <w:r>
              <w:t>After 15 days unresolved</w:t>
            </w:r>
          </w:p>
        </w:tc>
        <w:tc>
          <w:tcPr>
            <w:tcW w:type="dxa" w:w="2340"/>
          </w:tcPr>
          <w:p w14:paraId="4A9FC8EC">
            <w:r>
              <w:t>Panel request form</w:t>
            </w:r>
          </w:p>
        </w:tc>
      </w:tr>
      <w:tr>
        <w:tc>
          <w:tcPr>
            <w:tcW w:type="dxa" w:w="2340"/>
          </w:tcPr>
          <w:p w14:paraId="087A00DC">
            <w:r>
              <w:t>Panel selection</w:t>
            </w:r>
          </w:p>
        </w:tc>
        <w:tc>
          <w:tcPr>
            <w:tcW w:type="dxa" w:w="2340"/>
          </w:tcPr>
          <w:p w14:paraId="221ED16A">
            <w:r>
              <w:t>20 days from request</w:t>
            </w:r>
          </w:p>
        </w:tc>
        <w:tc>
          <w:tcPr>
            <w:tcW w:type="dxa" w:w="2340"/>
          </w:tcPr>
          <w:p w14:paraId="29C6F434">
            <w:r>
              <w:t>7 days from request</w:t>
            </w:r>
          </w:p>
        </w:tc>
        <w:tc>
          <w:tcPr>
            <w:tcW w:type="dxa" w:w="2340"/>
          </w:tcPr>
          <w:p w14:paraId="5DB103BE">
            <w:r>
              <w:t>Panel appointment record</w:t>
            </w:r>
          </w:p>
        </w:tc>
      </w:tr>
      <w:tr>
        <w:tc>
          <w:tcPr>
            <w:tcW w:type="dxa" w:w="2340"/>
          </w:tcPr>
          <w:p w14:paraId="5990DF6A">
            <w:r>
              <w:t>Preliminary report</w:t>
            </w:r>
          </w:p>
        </w:tc>
        <w:tc>
          <w:tcPr>
            <w:tcW w:type="dxa" w:w="2340"/>
          </w:tcPr>
          <w:p w14:paraId="4F8FB756">
            <w:r>
              <w:t>75 days from establishment</w:t>
            </w:r>
          </w:p>
        </w:tc>
        <w:tc>
          <w:tcPr>
            <w:tcW w:type="dxa" w:w="2340"/>
          </w:tcPr>
          <w:p w14:paraId="45D773BA">
            <w:r>
              <w:t>40 days from establishment</w:t>
            </w:r>
          </w:p>
        </w:tc>
        <w:tc>
          <w:tcPr>
            <w:tcW w:type="dxa" w:w="2340"/>
          </w:tcPr>
          <w:p w14:paraId="2759A54C">
            <w:r>
              <w:t>Preliminary report shell</w:t>
            </w:r>
          </w:p>
        </w:tc>
      </w:tr>
      <w:tr>
        <w:tc>
          <w:tcPr>
            <w:tcW w:type="dxa" w:w="2340"/>
          </w:tcPr>
          <w:p w14:paraId="70D9CEC2">
            <w:r>
              <w:t>Comments</w:t>
            </w:r>
          </w:p>
        </w:tc>
        <w:tc>
          <w:tcPr>
            <w:tcW w:type="dxa" w:w="2340"/>
          </w:tcPr>
          <w:p w14:paraId="417F2A3E">
            <w:r>
              <w:t>12 days</w:t>
            </w:r>
          </w:p>
        </w:tc>
        <w:tc>
          <w:tcPr>
            <w:tcW w:type="dxa" w:w="2340"/>
          </w:tcPr>
          <w:p w14:paraId="329D07DE">
            <w:r>
              <w:t>12 days</w:t>
            </w:r>
          </w:p>
        </w:tc>
        <w:tc>
          <w:tcPr>
            <w:tcW w:type="dxa" w:w="2340"/>
          </w:tcPr>
          <w:p w14:paraId="7F68C45A">
            <w:r>
              <w:t>Comment form</w:t>
            </w:r>
          </w:p>
        </w:tc>
      </w:tr>
      <w:tr>
        <w:tc>
          <w:tcPr>
            <w:tcW w:type="dxa" w:w="2340"/>
          </w:tcPr>
          <w:p w14:paraId="4FF2366C">
            <w:r>
              <w:t>Final report</w:t>
            </w:r>
          </w:p>
        </w:tc>
        <w:tc>
          <w:tcPr>
            <w:tcW w:type="dxa" w:w="2340"/>
          </w:tcPr>
          <w:p w14:paraId="71CB98B2">
            <w:r>
              <w:t>25 days after comments</w:t>
            </w:r>
          </w:p>
        </w:tc>
        <w:tc>
          <w:tcPr>
            <w:tcW w:type="dxa" w:w="2340"/>
          </w:tcPr>
          <w:p w14:paraId="2248E48E">
            <w:r>
              <w:t>18 days after comments</w:t>
            </w:r>
          </w:p>
        </w:tc>
        <w:tc>
          <w:tcPr>
            <w:tcW w:type="dxa" w:w="2340"/>
          </w:tcPr>
          <w:p w14:paraId="6E01BFFE">
            <w:r>
              <w:t>Final report shell</w:t>
            </w:r>
          </w:p>
        </w:tc>
      </w:tr>
      <w:tr>
        <w:tc>
          <w:tcPr>
            <w:tcW w:type="dxa" w:w="2340"/>
          </w:tcPr>
          <w:p w14:paraId="267FAA78">
            <w:r>
              <w:t>Implementation</w:t>
            </w:r>
          </w:p>
        </w:tc>
        <w:tc>
          <w:tcPr>
            <w:tcW w:type="dxa" w:w="2340"/>
          </w:tcPr>
          <w:p w14:paraId="58503D26">
            <w:r>
              <w:t>30 days unless report sets otherwise</w:t>
            </w:r>
          </w:p>
        </w:tc>
        <w:tc>
          <w:tcPr>
            <w:tcW w:type="dxa" w:w="2340"/>
          </w:tcPr>
          <w:p w14:paraId="435DD5B6">
            <w:r>
              <w:t>30 days unless report sets otherwise</w:t>
            </w:r>
          </w:p>
        </w:tc>
        <w:tc>
          <w:tcPr>
            <w:tcW w:type="dxa" w:w="2340"/>
          </w:tcPr>
          <w:p w14:paraId="51CF44EA">
            <w:r>
              <w:t>Compliance plan</w:t>
            </w:r>
          </w:p>
        </w:tc>
      </w:tr>
      <w:tr>
        <w:tc>
          <w:tcPr>
            <w:tcW w:type="dxa" w:w="2340"/>
          </w:tcPr>
          <w:p w14:paraId="0E07A98A">
            <w:r>
              <w:t>Compliance review</w:t>
            </w:r>
          </w:p>
        </w:tc>
        <w:tc>
          <w:tcPr>
            <w:tcW w:type="dxa" w:w="2340"/>
          </w:tcPr>
          <w:p w14:paraId="01353D8E">
            <w:r>
              <w:t>30 days from request</w:t>
            </w:r>
          </w:p>
        </w:tc>
        <w:tc>
          <w:tcPr>
            <w:tcW w:type="dxa" w:w="2340"/>
          </w:tcPr>
          <w:p w14:paraId="0440628C">
            <w:r>
              <w:t>30 days from request</w:t>
            </w:r>
          </w:p>
        </w:tc>
        <w:tc>
          <w:tcPr>
            <w:tcW w:type="dxa" w:w="2340"/>
          </w:tcPr>
          <w:p w14:paraId="5A6413A8">
            <w:r>
              <w:t>Compliance report</w:t>
            </w:r>
          </w:p>
        </w:tc>
      </w:tr>
    </w:tbl>
    <w:p>
      <w:r>
        <w:rPr>
          <w:b w:val="0"/>
        </w:rPr>
        <w:t xml:space="preserve">Completed exemplar — Form 3 consultation request (illustrative): Requesting Party: Mexico. Matter: alleged duplicative border fee on steel articles of headings 7208–7212. Provision: Articles 2.3 and 5.2. Urgency: urgent (firewall matter, Article 7.9.1). Proposed dates: Day 1, Day 3, Day 5. Closing record: agreed text, unresolved issues, next step recorded at close of consultations. Annotated exemplar for training and systems-testing use; not a live filing.</w:t>
      </w:r>
    </w:p>
    <w:p>
      <w:r>
        <w:rPr>
          <w:b w:val="0"/>
        </w:rPr>
        <w:t xml:space="preserve">Completed exemplar — panel appointment record (illustrative): roster identifiers recorded in anonymized form (R-04, R-11, R-07); conflict-disclosure affirmations executed by each appointee; chair selected by the two Party-appointed panelists within 10 days; appointment recorded as JC decision JC-[year]-[sequential]. Annotated exemplar for training and systems-testing use; not a live appointment.</w:t>
      </w:r>
    </w:p>
    <w:p w14:paraId="3750DA6C"/>
    <w:p w14:paraId="4425D61A">
      <w:pPr>
        <w:pStyle w:val="Heading2"/>
      </w:pPr>
      <w:bookmarkStart w:id="1011" w:name="_Toc236230011"/>
      <w:r>
        <w:t>Annex 8-A Exception Invocation Forms</w:t>
      </w:r>
      <w:bookmarkEnd w:id="1011"/>
    </w:p>
    <w:tbl>
      <w:tblPr>
        <w:tblW w:type="auto" w:w="0"/>
        <w:tblLayout w:type="autofit"/>
        <w:tblLook w:firstColumn="1" w:firstRow="1" w:lastColumn="0" w:lastRow="0" w:noHBand="0" w:noVBand="1" w:val="04A0"/>
      </w:tblPr>
      <w:tblGrid>
        <w:gridCol w:w="4680"/>
        <w:gridCol w:w="4680"/>
      </w:tblGrid>
      <w:tr>
        <w:tc>
          <w:tcPr>
            <w:tcW w:type="dxa" w:w="4680"/>
          </w:tcPr>
          <w:p w14:paraId="26E265D8">
            <w:r>
              <w:rPr>
                <w:b/>
              </w:rPr>
              <w:t>Field</w:t>
            </w:r>
          </w:p>
        </w:tc>
        <w:tc>
          <w:tcPr>
            <w:tcW w:type="dxa" w:w="4680"/>
          </w:tcPr>
          <w:p w14:paraId="37B69ABC">
            <w:r>
              <w:rPr>
                <w:b/>
              </w:rPr>
              <w:t>Required entry</w:t>
            </w:r>
          </w:p>
        </w:tc>
      </w:tr>
      <w:tr>
        <w:tc>
          <w:tcPr>
            <w:tcW w:type="dxa" w:w="4680"/>
          </w:tcPr>
          <w:p w14:paraId="192A6E88">
            <w:r>
              <w:t>Invoking Party</w:t>
            </w:r>
          </w:p>
        </w:tc>
        <w:tc>
          <w:tcPr>
            <w:tcW w:type="dxa" w:w="4680"/>
          </w:tcPr>
          <w:p w14:paraId="5811F5C0">
            <w:r>
              <w:t>United States or Mexico</w:t>
            </w:r>
          </w:p>
        </w:tc>
      </w:tr>
      <w:tr>
        <w:tc>
          <w:tcPr>
            <w:tcW w:type="dxa" w:w="4680"/>
          </w:tcPr>
          <w:p w14:paraId="7B5AD038">
            <w:r>
              <w:t>Exception invoked</w:t>
            </w:r>
          </w:p>
        </w:tc>
        <w:tc>
          <w:tcPr>
            <w:tcW w:type="dxa" w:w="4680"/>
          </w:tcPr>
          <w:p w14:paraId="1D8E0E16">
            <w:r>
              <w:t>Article 8.1, 8.2, 8.4, or other stated exception</w:t>
            </w:r>
          </w:p>
        </w:tc>
      </w:tr>
      <w:tr>
        <w:tc>
          <w:tcPr>
            <w:tcW w:type="dxa" w:w="4680"/>
          </w:tcPr>
          <w:p w14:paraId="7C373384">
            <w:r>
              <w:t>Measure</w:t>
            </w:r>
          </w:p>
        </w:tc>
        <w:tc>
          <w:tcPr>
            <w:tcW w:type="dxa" w:w="4680"/>
          </w:tcPr>
          <w:p w14:paraId="2D8E8EF2">
            <w:r>
              <w:t>Instrument, date, legal authority</w:t>
            </w:r>
          </w:p>
        </w:tc>
      </w:tr>
      <w:tr>
        <w:tc>
          <w:tcPr>
            <w:tcW w:type="dxa" w:w="4680"/>
          </w:tcPr>
          <w:p w14:paraId="2BD1BD54">
            <w:r>
              <w:t>Objective and factual basis</w:t>
            </w:r>
          </w:p>
        </w:tc>
        <w:tc>
          <w:tcPr>
            <w:tcW w:type="dxa" w:w="4680"/>
          </w:tcPr>
          <w:p w14:paraId="1EF41FA8">
            <w:r>
              <w:t>Non-classified rationale to the extent possible</w:t>
            </w:r>
          </w:p>
        </w:tc>
      </w:tr>
      <w:tr>
        <w:tc>
          <w:tcPr>
            <w:tcW w:type="dxa" w:w="4680"/>
          </w:tcPr>
          <w:p w14:paraId="2FE1EB48">
            <w:r>
              <w:t>Overlap screen</w:t>
            </w:r>
          </w:p>
        </w:tc>
        <w:tc>
          <w:tcPr>
            <w:tcW w:type="dxa" w:w="4680"/>
          </w:tcPr>
          <w:p w14:paraId="7215810E">
            <w:r>
              <w:t>Annex 5-A analysis</w:t>
            </w:r>
          </w:p>
        </w:tc>
      </w:tr>
      <w:tr>
        <w:tc>
          <w:tcPr>
            <w:tcW w:type="dxa" w:w="4680"/>
          </w:tcPr>
          <w:p w14:paraId="24FB8874">
            <w:r>
              <w:t>Duration and review</w:t>
            </w:r>
          </w:p>
        </w:tc>
        <w:tc>
          <w:tcPr>
            <w:tcW w:type="dxa" w:w="4680"/>
          </w:tcPr>
          <w:p w14:paraId="46784160">
            <w:r>
              <w:t>Sunset, review date, modification plan</w:t>
            </w:r>
          </w:p>
        </w:tc>
      </w:tr>
      <w:tr>
        <w:tc>
          <w:tcPr>
            <w:tcW w:type="dxa" w:w="4680"/>
          </w:tcPr>
          <w:p w14:paraId="1735D898">
            <w:r>
              <w:t>Notice and consultation</w:t>
            </w:r>
          </w:p>
        </w:tc>
        <w:tc>
          <w:tcPr>
            <w:tcW w:type="dxa" w:w="4680"/>
          </w:tcPr>
          <w:p w14:paraId="32EA5F28">
            <w:r>
              <w:t>Date, channel, recipient</w:t>
            </w:r>
          </w:p>
        </w:tc>
      </w:tr>
      <w:tr>
        <w:tc>
          <w:tcPr>
            <w:tcW w:type="dxa" w:w="4680"/>
          </w:tcPr>
          <w:p w14:paraId="3FD2E9A2">
            <w:r>
              <w:t>Submission channel</w:t>
            </w:r>
          </w:p>
        </w:tc>
        <w:tc>
          <w:tcPr>
            <w:tcW w:type="dxa" w:w="4680"/>
          </w:tcPr>
          <w:p w14:paraId="59A1BB10">
            <w:r>
              <w:t>Designated contact point and electronic address listed in Article 9.11</w:t>
            </w:r>
          </w:p>
        </w:tc>
      </w:tr>
    </w:tbl>
    <w:p>
      <w:r>
        <w:rPr>
          <w:b w:val="0"/>
        </w:rPr>
        <w:t xml:space="preserve">Submission deadline rule: an exception invocation form is effective only if received through the Article 9.11 channel within the notice period of the invoked Article (2 business days for Article 2.5 measures; 15 days for Article 8.1 measures). A form omitting the Annex 5-A overlap screen is treated as incomplete, with a 5-business-day cure window.</w:t>
      </w:r>
    </w:p>
    <w:p w14:paraId="6EF7D0D4"/>
    <w:p w14:paraId="5FC25E88">
      <w:pPr>
        <w:pStyle w:val="Heading2"/>
      </w:pPr>
      <w:bookmarkStart w:id="1012" w:name="_Toc236230012"/>
      <w:r>
        <w:t>Annex 9-A Survival, Termination, and Wind-Down Master Table</w:t>
      </w:r>
      <w:bookmarkEnd w:id="1012"/>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14:paraId="3785448C">
            <w:r>
              <w:rPr>
                <w:b/>
              </w:rPr>
              <w:t>Outcome</w:t>
            </w:r>
          </w:p>
        </w:tc>
        <w:tc>
          <w:tcPr>
            <w:tcW w:type="dxa" w:w="1872"/>
          </w:tcPr>
          <w:p w14:paraId="35A81AC6">
            <w:r>
              <w:rPr>
                <w:b/>
              </w:rPr>
              <w:t>Survives expiry</w:t>
            </w:r>
          </w:p>
        </w:tc>
        <w:tc>
          <w:tcPr>
            <w:tcW w:type="dxa" w:w="1872"/>
          </w:tcPr>
          <w:p w14:paraId="0C18C52E">
            <w:r>
              <w:rPr>
                <w:b/>
              </w:rPr>
              <w:t>Successor authority</w:t>
            </w:r>
          </w:p>
        </w:tc>
        <w:tc>
          <w:tcPr>
            <w:tcW w:type="dxa" w:w="1872"/>
          </w:tcPr>
          <w:p w14:paraId="7C8433DA">
            <w:r>
              <w:rPr>
                <w:b/>
              </w:rPr>
              <w:t>Condition</w:t>
            </w:r>
          </w:p>
        </w:tc>
        <w:tc>
          <w:tcPr>
            <w:tcW w:type="dxa" w:w="1872"/>
          </w:tcPr>
          <w:p w14:paraId="0A9DFCA6">
            <w:r>
              <w:rPr>
                <w:b/>
              </w:rPr>
              <w:t>Form / audit source</w:t>
            </w:r>
          </w:p>
        </w:tc>
      </w:tr>
      <w:tr>
        <w:tc>
          <w:tcPr>
            <w:tcW w:type="dxa" w:w="1872"/>
          </w:tcPr>
          <w:p w14:paraId="34D4CCAC">
            <w:r>
              <w:t>Elimination of covered measures</w:t>
            </w:r>
          </w:p>
        </w:tc>
        <w:tc>
          <w:tcPr>
            <w:tcW w:type="dxa" w:w="1872"/>
          </w:tcPr>
          <w:p w14:paraId="7138914A">
            <w:r>
              <w:t>Yes</w:t>
            </w:r>
          </w:p>
        </w:tc>
        <w:tc>
          <w:tcPr>
            <w:tcW w:type="dxa" w:w="1872"/>
          </w:tcPr>
          <w:p w14:paraId="4812DB9C">
            <w:r>
              <w:t>CBP; ANAM/SAT under domestic implementing instruments</w:t>
            </w:r>
          </w:p>
        </w:tc>
        <w:tc>
          <w:tcPr>
            <w:tcW w:type="dxa" w:w="1872"/>
          </w:tcPr>
          <w:p w14:paraId="716B45D4">
            <w:r>
              <w:t>Later adopted instrument expressly modifies prospectively</w:t>
            </w:r>
          </w:p>
        </w:tc>
        <w:tc>
          <w:tcPr>
            <w:tcW w:type="dxa" w:w="1872"/>
          </w:tcPr>
          <w:p w14:paraId="67E9AEB2">
            <w:r>
              <w:t>Form 5; Articles 2.1, 2.8, 9.2</w:t>
            </w:r>
          </w:p>
        </w:tc>
      </w:tr>
      <w:tr>
        <w:tc>
          <w:tcPr>
            <w:tcW w:type="dxa" w:w="1872"/>
          </w:tcPr>
          <w:p w14:paraId="0E60BEB8">
            <w:r>
              <w:t>No-new-tariffs firewall</w:t>
            </w:r>
          </w:p>
        </w:tc>
        <w:tc>
          <w:tcPr>
            <w:tcW w:type="dxa" w:w="1872"/>
          </w:tcPr>
          <w:p w14:paraId="708C9176">
            <w:r>
              <w:t>Yes for eliminated measures</w:t>
            </w:r>
          </w:p>
        </w:tc>
        <w:tc>
          <w:tcPr>
            <w:tcW w:type="dxa" w:w="1872"/>
          </w:tcPr>
          <w:p w14:paraId="4FFA65EE">
            <w:r>
              <w:t>USTR; Secretaría de Economía; USMCA Chapter 31 forum after expiry</w:t>
            </w:r>
          </w:p>
        </w:tc>
        <w:tc>
          <w:tcPr>
            <w:tcW w:type="dxa" w:w="1872"/>
          </w:tcPr>
          <w:p w14:paraId="60E453FA">
            <w:r>
              <w:t>Express later written instrument</w:t>
            </w:r>
          </w:p>
        </w:tc>
        <w:tc>
          <w:tcPr>
            <w:tcW w:type="dxa" w:w="1872"/>
          </w:tcPr>
          <w:p w14:paraId="408E2542">
            <w:r>
              <w:t>Form 5; Article 5.2</w:t>
            </w:r>
          </w:p>
        </w:tc>
      </w:tr>
      <w:tr>
        <w:tc>
          <w:tcPr>
            <w:tcW w:type="dxa" w:w="1872"/>
          </w:tcPr>
          <w:p w14:paraId="46A75C2C">
            <w:r>
              <w:t>Accrued refund rights</w:t>
            </w:r>
          </w:p>
        </w:tc>
        <w:tc>
          <w:tcPr>
            <w:tcW w:type="dxa" w:w="1872"/>
          </w:tcPr>
          <w:p w14:paraId="13324350">
            <w:r>
              <w:t>Yes</w:t>
            </w:r>
          </w:p>
        </w:tc>
        <w:tc>
          <w:tcPr>
            <w:tcW w:type="dxa" w:w="1872"/>
          </w:tcPr>
          <w:p w14:paraId="2BE979AA">
            <w:r>
              <w:t>CBP; ANAM/SAT; domestic review bodies</w:t>
            </w:r>
          </w:p>
        </w:tc>
        <w:tc>
          <w:tcPr>
            <w:tcW w:type="dxa" w:w="1872"/>
          </w:tcPr>
          <w:p w14:paraId="79DADBC8">
            <w:r>
              <w:t>Domestic law and filing rules</w:t>
            </w:r>
          </w:p>
        </w:tc>
        <w:tc>
          <w:tcPr>
            <w:tcW w:type="dxa" w:w="1872"/>
          </w:tcPr>
          <w:p w14:paraId="60ED07D2">
            <w:r>
              <w:t>Article 2.6; Annex 2-C</w:t>
            </w:r>
          </w:p>
        </w:tc>
      </w:tr>
      <w:tr>
        <w:tc>
          <w:tcPr>
            <w:tcW w:type="dxa" w:w="1872"/>
          </w:tcPr>
          <w:p w14:paraId="2251EFCC">
            <w:r>
              <w:t>Pending disputes</w:t>
            </w:r>
          </w:p>
        </w:tc>
        <w:tc>
          <w:tcPr>
            <w:tcW w:type="dxa" w:w="1872"/>
          </w:tcPr>
          <w:p w14:paraId="205C200E">
            <w:r>
              <w:t>Yes through final disposition</w:t>
            </w:r>
          </w:p>
        </w:tc>
        <w:tc>
          <w:tcPr>
            <w:tcW w:type="dxa" w:w="1872"/>
          </w:tcPr>
          <w:p w14:paraId="4D0E7088">
            <w:r>
              <w:t>Panel and successor tribunal designated in report</w:t>
            </w:r>
          </w:p>
        </w:tc>
        <w:tc>
          <w:tcPr>
            <w:tcW w:type="dxa" w:w="1872"/>
          </w:tcPr>
          <w:p w14:paraId="397987F2">
            <w:r>
              <w:t>Clocks continue; no suspension from expiry</w:t>
            </w:r>
          </w:p>
        </w:tc>
        <w:tc>
          <w:tcPr>
            <w:tcW w:type="dxa" w:w="1872"/>
          </w:tcPr>
          <w:p w14:paraId="20587620">
            <w:r>
              <w:t>Articles 7.1.4, 9.2.5</w:t>
            </w:r>
          </w:p>
        </w:tc>
      </w:tr>
      <w:tr>
        <w:tc>
          <w:tcPr>
            <w:tcW w:type="dxa" w:w="1872"/>
          </w:tcPr>
          <w:p w14:paraId="228030A6">
            <w:r>
              <w:t>Working groups</w:t>
            </w:r>
          </w:p>
        </w:tc>
        <w:tc>
          <w:tcPr>
            <w:tcW w:type="dxa" w:w="1872"/>
          </w:tcPr>
          <w:p w14:paraId="5D04F124">
            <w:r>
              <w:t>No</w:t>
            </w:r>
          </w:p>
        </w:tc>
        <w:tc>
          <w:tcPr>
            <w:tcW w:type="dxa" w:w="1872"/>
          </w:tcPr>
          <w:p w14:paraId="5413CD04">
            <w:r>
              <w:t>Joint Committee until wind-down</w:t>
            </w:r>
          </w:p>
        </w:tc>
        <w:tc>
          <w:tcPr>
            <w:tcW w:type="dxa" w:w="1872"/>
          </w:tcPr>
          <w:p w14:paraId="3080DA70">
            <w:r>
              <w:t>Later written continuation</w:t>
            </w:r>
          </w:p>
        </w:tc>
        <w:tc>
          <w:tcPr>
            <w:tcW w:type="dxa" w:w="1872"/>
          </w:tcPr>
          <w:p w14:paraId="76C2BCE4">
            <w:r>
              <w:t>Part Four</w:t>
            </w:r>
          </w:p>
        </w:tc>
      </w:tr>
      <w:tr>
        <w:tc>
          <w:tcPr>
            <w:tcW w:type="dxa" w:w="1872"/>
          </w:tcPr>
          <w:p w14:paraId="28D70B4C">
            <w:r>
              <w:t>Dashboards and reviews</w:t>
            </w:r>
          </w:p>
        </w:tc>
        <w:tc>
          <w:tcPr>
            <w:tcW w:type="dxa" w:w="1872"/>
          </w:tcPr>
          <w:p w14:paraId="3021FAB6">
            <w:r>
              <w:t>No</w:t>
            </w:r>
          </w:p>
        </w:tc>
        <w:tc>
          <w:tcPr>
            <w:tcW w:type="dxa" w:w="1872"/>
          </w:tcPr>
          <w:p w14:paraId="41C67EA6">
            <w:r>
              <w:t>Joint Committee until wind-down</w:t>
            </w:r>
          </w:p>
        </w:tc>
        <w:tc>
          <w:tcPr>
            <w:tcW w:type="dxa" w:w="1872"/>
          </w:tcPr>
          <w:p w14:paraId="000FF6B2">
            <w:r>
              <w:t>Later written continuation</w:t>
            </w:r>
          </w:p>
        </w:tc>
        <w:tc>
          <w:tcPr>
            <w:tcW w:type="dxa" w:w="1872"/>
          </w:tcPr>
          <w:p w14:paraId="54B2BEAC">
            <w:r>
              <w:t>Part Three</w:t>
            </w:r>
          </w:p>
        </w:tc>
      </w:tr>
      <w:tr>
        <w:tc>
          <w:tcPr>
            <w:tcW w:type="dxa" w:w="1872"/>
          </w:tcPr>
          <w:p w14:paraId="03FDBE5A">
            <w:r>
              <w:t>Security coordination</w:t>
            </w:r>
          </w:p>
        </w:tc>
        <w:tc>
          <w:tcPr>
            <w:tcW w:type="dxa" w:w="1872"/>
          </w:tcPr>
          <w:p w14:paraId="70FF062C">
            <w:r>
              <w:t>Only if separately adopted</w:t>
            </w:r>
          </w:p>
        </w:tc>
        <w:tc>
          <w:tcPr>
            <w:tcW w:type="dxa" w:w="1872"/>
          </w:tcPr>
          <w:p w14:paraId="1B70CB86">
            <w:r>
              <w:t>Designated security authorities</w:t>
            </w:r>
          </w:p>
        </w:tc>
        <w:tc>
          <w:tcPr>
            <w:tcW w:type="dxa" w:w="1872"/>
          </w:tcPr>
          <w:p w14:paraId="399AA564">
            <w:r>
              <w:t>Separate instrument or express survival</w:t>
            </w:r>
          </w:p>
        </w:tc>
        <w:tc>
          <w:tcPr>
            <w:tcW w:type="dxa" w:w="1872"/>
          </w:tcPr>
          <w:p w14:paraId="0DA5E6A8">
            <w:r>
              <w:t>Annex 4H series</w:t>
            </w:r>
          </w:p>
        </w:tc>
      </w:tr>
    </w:tbl>
    <w:p>
      <w:r>
        <w:rPr>
          <w:b w:val="0"/>
        </w:rPr>
        <w:t xml:space="preserve">Wind-down certificate cross-reference rule: Form 5 must reproduce each row of this table with a completed successor authority and custodian for every surviving outcome; the certificate is invalid if any row is left uncompleted, and invalidity of the certificate does not affect the survival of the outcomes themselves (Article 9.2.3).</w:t>
      </w:r>
    </w:p>
    <w:p w14:paraId="3B8C3074"/>
    <w:p w14:paraId="172299A0">
      <w:pPr>
        <w:pStyle w:val="Heading2"/>
      </w:pPr>
      <w:bookmarkStart w:id="1013" w:name="_Toc236230013"/>
      <w:r>
        <w:t>Annex 10-A Evidence and Verification Register</w:t>
      </w:r>
      <w:bookmarkEnd w:id="1013"/>
    </w:p>
    <w:p w14:paraId="3B6DADEC">
      <w:pPr>
        <w:pStyle w:val="Heading3"/>
      </w:pPr>
      <w:r>
        <w:rPr>
          <w:b w:val="0"/>
        </w:rPr>
        <w:t>A10A.1 Register (officially sourced entries)</w:t>
      </w:r>
    </w:p>
    <w:tbl>
      <w:tblPr>
        <w:tblW w:type="auto" w:w="0"/>
        <w:tblLook w:firstColumn="1" w:firstRow="1" w:lastColumn="0" w:lastRow="0" w:noHBand="0" w:noVBand="1" w:val="04A0"/>
      </w:tblPr>
      <w:tblGrid>
        <w:gridCol w:w="1872"/>
        <w:gridCol w:w="1872"/>
        <w:gridCol w:w="1872"/>
        <w:gridCol w:w="1872"/>
        <w:gridCol w:w="1872"/>
      </w:tblGrid>
      <w:tr>
        <w:tc>
          <w:tcPr>
            <w:tcW w:type="dxa" w:w="1872"/>
          </w:tcPr>
          <w:p w14:paraId="3E48CD22">
            <w:r>
              <w:rPr>
                <w:b/>
              </w:rPr>
              <w:t>Register ID</w:t>
            </w:r>
          </w:p>
        </w:tc>
        <w:tc>
          <w:tcPr>
            <w:tcW w:type="dxa" w:w="1872"/>
          </w:tcPr>
          <w:p w14:paraId="607E9D9E">
            <w:r>
              <w:rPr>
                <w:b/>
              </w:rPr>
              <w:t>Entry</w:t>
            </w:r>
          </w:p>
        </w:tc>
        <w:tc>
          <w:tcPr>
            <w:tcW w:type="dxa" w:w="1872"/>
          </w:tcPr>
          <w:p w14:paraId="68912C8A">
            <w:r>
              <w:rPr>
                <w:b/>
              </w:rPr>
              <w:t>Official source</w:t>
            </w:r>
          </w:p>
        </w:tc>
        <w:tc>
          <w:tcPr>
            <w:tcW w:type="dxa" w:w="1872"/>
          </w:tcPr>
          <w:p w14:paraId="11A3F4BC">
            <w:r>
              <w:rPr>
                <w:b/>
              </w:rPr>
              <w:t>Verification status</w:t>
            </w:r>
          </w:p>
        </w:tc>
        <w:tc>
          <w:tcPr>
            <w:tcW w:type="dxa" w:w="1872"/>
          </w:tcPr>
          <w:p w14:paraId="66A5BD44">
            <w:r>
              <w:rPr>
                <w:b/>
              </w:rPr>
              <w:t>Operative use</w:t>
            </w:r>
          </w:p>
        </w:tc>
      </w:tr>
      <w:tr>
        <w:tc>
          <w:tcPr>
            <w:tcW w:type="dxa" w:w="1872"/>
          </w:tcPr>
          <w:p w14:paraId="515400F6">
            <w:r>
              <w:t>10A-001</w:t>
            </w:r>
          </w:p>
        </w:tc>
        <w:tc>
          <w:tcPr>
            <w:tcW w:type="dxa" w:w="1872"/>
          </w:tcPr>
          <w:p w14:paraId="22DF3E60">
            <w:r>
              <w:t>USMCA/T-MEC legal framework; in force since July 1, 2020; term through July 1, 2036 absent extension</w:t>
            </w:r>
          </w:p>
        </w:tc>
        <w:tc>
          <w:tcPr>
            <w:tcW w:type="dxa" w:w="1872"/>
          </w:tcPr>
          <w:p w14:paraId="6890E188">
            <w:r>
              <w:t>Authentic treaty text; USMCA Implementation Act, P.L. 116-113</w:t>
            </w:r>
          </w:p>
        </w:tc>
        <w:tc>
          <w:tcPr>
            <w:tcW w:type="dxa" w:w="1872"/>
          </w:tcPr>
          <w:p w14:paraId="648E91B4">
            <w:r>
              <w:t>VERIFIED</w:t>
            </w:r>
          </w:p>
        </w:tc>
        <w:tc>
          <w:tcPr>
            <w:tcW w:type="dxa" w:w="1872"/>
          </w:tcPr>
          <w:p w14:paraId="15AA0E2C">
            <w:r>
              <w:t>Interpretation</w:t>
            </w:r>
          </w:p>
        </w:tc>
      </w:tr>
      <w:tr>
        <w:tc>
          <w:tcPr>
            <w:tcW w:type="dxa" w:w="1872"/>
          </w:tcPr>
          <w:p w14:paraId="3DC9DDDA">
            <w:r>
              <w:t>10A-002</w:t>
            </w:r>
          </w:p>
        </w:tc>
        <w:tc>
          <w:tcPr>
            <w:tcW w:type="dxa" w:w="1872"/>
          </w:tcPr>
          <w:p w14:paraId="241AA11C">
            <w:r>
              <w:t>First USMCA joint review held July 1, 2026; United States did not agree to renew in current form; annual reviews under Art. 34.7.4; bilateral rounds held May 28–30 (Mexico City) and June 16–17 (Washington, D.C.); third round week of July 20 (Mexico City)</w:t>
            </w:r>
          </w:p>
        </w:tc>
        <w:tc>
          <w:tcPr>
            <w:tcW w:type="dxa" w:w="1872"/>
          </w:tcPr>
          <w:p w14:paraId="5534B158">
            <w:r>
              <w:t>USTR statement, July 1, 2026; USTR/SE joint statements May–June 2026</w:t>
            </w:r>
          </w:p>
        </w:tc>
        <w:tc>
          <w:tcPr>
            <w:tcW w:type="dxa" w:w="1872"/>
          </w:tcPr>
          <w:p w14:paraId="0BEC914A">
            <w:r>
              <w:t>VERIFIED</w:t>
            </w:r>
          </w:p>
        </w:tc>
        <w:tc>
          <w:tcPr>
            <w:tcW w:type="dxa" w:w="1872"/>
          </w:tcPr>
          <w:p w14:paraId="4649580A">
            <w:r>
              <w:t>Context only (Article 1.2.4)</w:t>
            </w:r>
          </w:p>
        </w:tc>
      </w:tr>
      <w:tr>
        <w:tc>
          <w:tcPr>
            <w:tcW w:type="dxa" w:w="1872"/>
          </w:tcPr>
          <w:p w14:paraId="18229922">
            <w:r>
              <w:t>10A-003</w:t>
            </w:r>
          </w:p>
        </w:tc>
        <w:tc>
          <w:tcPr>
            <w:tcW w:type="dxa" w:w="1872"/>
          </w:tcPr>
          <w:p w14:paraId="058103C0">
            <w:r>
              <w:t>GE corn final report, December 20, 2024</w:t>
            </w:r>
          </w:p>
        </w:tc>
        <w:tc>
          <w:tcPr>
            <w:tcW w:type="dxa" w:w="1872"/>
          </w:tcPr>
          <w:p w14:paraId="3F4E8A00">
            <w:r>
              <w:t>USMCA Chapter 31 panel report (Mexico–United States–Canada biotechnology dispute)</w:t>
            </w:r>
          </w:p>
        </w:tc>
        <w:tc>
          <w:tcPr>
            <w:tcW w:type="dxa" w:w="1872"/>
          </w:tcPr>
          <w:p w14:paraId="6FA8573E">
            <w:r>
              <w:t>VERIFIED as legal reference</w:t>
            </w:r>
          </w:p>
        </w:tc>
        <w:tc>
          <w:tcPr>
            <w:tcW w:type="dxa" w:w="1872"/>
          </w:tcPr>
          <w:p w14:paraId="2190AADE">
            <w:r>
              <w:t>Legal reference</w:t>
            </w:r>
          </w:p>
        </w:tc>
      </w:tr>
      <w:tr>
        <w:tc>
          <w:tcPr>
            <w:tcW w:type="dxa" w:w="1872"/>
          </w:tcPr>
          <w:p w14:paraId="6A7C9012">
            <w:r>
              <w:t>10A-004</w:t>
            </w:r>
          </w:p>
        </w:tc>
        <w:tc>
          <w:tcPr>
            <w:tcW w:type="dxa" w:w="1872"/>
          </w:tcPr>
          <w:p w14:paraId="7C3558D2">
            <w:r>
              <w:t>U.S. 232 auto/parts/MHDV measures</w:t>
            </w:r>
          </w:p>
        </w:tc>
        <w:tc>
          <w:tcPr>
            <w:tcW w:type="dxa" w:w="1872"/>
          </w:tcPr>
          <w:p w14:paraId="250C14EA">
            <w:r>
              <w:t>Proc. 10908, 90 FR 14705; Proc. 10984; CBP CSMS guidance</w:t>
            </w:r>
          </w:p>
        </w:tc>
        <w:tc>
          <w:tcPr>
            <w:tcW w:type="dxa" w:w="1872"/>
          </w:tcPr>
          <w:p w14:paraId="238E12CC">
            <w:r>
              <w:t>VERIFIED</w:t>
            </w:r>
          </w:p>
        </w:tc>
        <w:tc>
          <w:tcPr>
            <w:tcW w:type="dxa" w:w="1872"/>
          </w:tcPr>
          <w:p w14:paraId="36416230">
            <w:r>
              <w:t>Annex 2-B</w:t>
            </w:r>
          </w:p>
        </w:tc>
      </w:tr>
      <w:tr>
        <w:tc>
          <w:tcPr>
            <w:tcW w:type="dxa" w:w="1872"/>
          </w:tcPr>
          <w:p w14:paraId="2ECD85F0">
            <w:r>
              <w:t>10A-005</w:t>
            </w:r>
          </w:p>
        </w:tc>
        <w:tc>
          <w:tcPr>
            <w:tcW w:type="dxa" w:w="1872"/>
          </w:tcPr>
          <w:p w14:paraId="423D3680">
            <w:r>
              <w:t>U.S. 232 steel/aluminum measures at 50% since June 4, 2025</w:t>
            </w:r>
          </w:p>
        </w:tc>
        <w:tc>
          <w:tcPr>
            <w:tcW w:type="dxa" w:w="1872"/>
          </w:tcPr>
          <w:p w14:paraId="6BA376A0">
            <w:r>
              <w:t>Proc. 10895 (90 FR 9807); Proc. 10896 (90 FR 9817); June 3, 2025 proclamation; BIS Aug. 2025 inclusion notice</w:t>
            </w:r>
          </w:p>
        </w:tc>
        <w:tc>
          <w:tcPr>
            <w:tcW w:type="dxa" w:w="1872"/>
          </w:tcPr>
          <w:p w14:paraId="48988842">
            <w:r>
              <w:t>VERIFIED</w:t>
            </w:r>
          </w:p>
        </w:tc>
        <w:tc>
          <w:tcPr>
            <w:tcW w:type="dxa" w:w="1872"/>
          </w:tcPr>
          <w:p w14:paraId="2C2B63D6">
            <w:r>
              <w:t>Annex 2-B</w:t>
            </w:r>
          </w:p>
        </w:tc>
      </w:tr>
      <w:tr>
        <w:tc>
          <w:tcPr>
            <w:tcW w:type="dxa" w:w="1872"/>
          </w:tcPr>
          <w:p w14:paraId="390FFEF2">
            <w:r>
              <w:t>10A-006</w:t>
            </w:r>
          </w:p>
        </w:tc>
        <w:tc>
          <w:tcPr>
            <w:tcW w:type="dxa" w:w="1872"/>
          </w:tcPr>
          <w:p w14:paraId="3E67542E">
            <w:r>
              <w:t>IEEPA Mexico and reciprocal tariff families invalidated; collection ceased Feb. 24, 2026; refunds via CBP/CIT</w:t>
            </w:r>
          </w:p>
        </w:tc>
        <w:tc>
          <w:tcPr>
            <w:tcW w:type="dxa" w:w="1872"/>
          </w:tcPr>
          <w:p w14:paraId="273B81A6">
            <w:r>
              <w:t>Learning Resources, Inc. v. Trump / Trump v. V.O.S. Selections (S. Ct., Feb. 20, 2026); CIT refund ruling Mar. 4, 2026</w:t>
            </w:r>
          </w:p>
        </w:tc>
        <w:tc>
          <w:tcPr>
            <w:tcW w:type="dxa" w:w="1872"/>
          </w:tcPr>
          <w:p w14:paraId="2A6C6BF8">
            <w:r>
              <w:t>VERIFIED</w:t>
            </w:r>
          </w:p>
        </w:tc>
        <w:tc>
          <w:tcPr>
            <w:tcW w:type="dxa" w:w="1872"/>
          </w:tcPr>
          <w:p w14:paraId="6EDCEC18">
            <w:r>
              <w:t>Annex 2-B EXCLUDED labels; refund tracking</w:t>
            </w:r>
          </w:p>
        </w:tc>
      </w:tr>
      <w:tr>
        <w:tc>
          <w:tcPr>
            <w:tcW w:type="dxa" w:w="1872"/>
          </w:tcPr>
          <w:p w14:paraId="705A6A20">
            <w:r>
              <w:t>10A-007</w:t>
            </w:r>
          </w:p>
        </w:tc>
        <w:tc>
          <w:tcPr>
            <w:tcW w:type="dxa" w:w="1872"/>
          </w:tcPr>
          <w:p w14:paraId="7C3AD63C">
            <w:r>
              <w:t>No Mexican retaliatory/emergency tariff instrument published in the DOF through the draft date</w:t>
            </w:r>
          </w:p>
        </w:tc>
        <w:tc>
          <w:tcPr>
            <w:tcW w:type="dxa" w:w="1872"/>
          </w:tcPr>
          <w:p w14:paraId="52460F14">
            <w:r>
              <w:t>DOF publication screen; public record (Mexico announced but did not implement retaliation in 2025)</w:t>
            </w:r>
          </w:p>
        </w:tc>
        <w:tc>
          <w:tcPr>
            <w:tcW w:type="dxa" w:w="1872"/>
          </w:tcPr>
          <w:p w14:paraId="65003518">
            <w:r>
              <w:t>VERIFIED — subject to A2A.6 written nil-return</w:t>
            </w:r>
          </w:p>
        </w:tc>
        <w:tc>
          <w:tcPr>
            <w:tcW w:type="dxa" w:w="1872"/>
          </w:tcPr>
          <w:p w14:paraId="27EEDAAC">
            <w:r>
              <w:t>Annex 2-A zero-line schedule</w:t>
            </w:r>
          </w:p>
        </w:tc>
      </w:tr>
      <w:tr>
        <w:tc>
          <w:tcPr>
            <w:tcW w:type="dxa" w:w="1872"/>
          </w:tcPr>
          <w:p w14:paraId="028D0D18">
            <w:r>
              <w:t>10A-008</w:t>
            </w:r>
          </w:p>
        </w:tc>
        <w:tc>
          <w:tcPr>
            <w:tcW w:type="dxa" w:w="1872"/>
          </w:tcPr>
          <w:p w14:paraId="0B245546">
            <w:r>
              <w:t>Sugar suspension agreements and fresh-tomatoes AD order status</w:t>
            </w:r>
          </w:p>
        </w:tc>
        <w:tc>
          <w:tcPr>
            <w:tcW w:type="dxa" w:w="1872"/>
          </w:tcPr>
          <w:p w14:paraId="1CD6828C">
            <w:r>
              <w:t>USITC Pub. 5664 (Sept. 2025); 90 FR 33363 (July 17, 2025); USITC Pub. 5762 (July 2026)</w:t>
            </w:r>
          </w:p>
        </w:tc>
        <w:tc>
          <w:tcPr>
            <w:tcW w:type="dxa" w:w="1872"/>
          </w:tcPr>
          <w:p w14:paraId="276B3E9C">
            <w:r>
              <w:t>VERIFIED</w:t>
            </w:r>
          </w:p>
        </w:tc>
        <w:tc>
          <w:tcPr>
            <w:tcW w:type="dxa" w:w="1872"/>
          </w:tcPr>
          <w:p w14:paraId="3AA34222">
            <w:r>
              <w:t>Annex 2-D</w:t>
            </w:r>
          </w:p>
        </w:tc>
      </w:tr>
      <w:tr>
        <w:tc>
          <w:tcPr>
            <w:tcW w:type="dxa" w:w="1872"/>
          </w:tcPr>
          <w:p w14:paraId="3C9E15A6">
            <w:r>
              <w:t>10A-009</w:t>
            </w:r>
          </w:p>
        </w:tc>
        <w:tc>
          <w:tcPr>
            <w:tcW w:type="dxa" w:w="1872"/>
          </w:tcPr>
          <w:p w14:paraId="2064E40A">
            <w:r>
              <w:t>Tijuana/South Bay project data</w:t>
            </w:r>
          </w:p>
        </w:tc>
        <w:tc>
          <w:tcPr>
            <w:tcW w:type="dxa" w:w="1872"/>
          </w:tcPr>
          <w:p w14:paraId="3FC6C3E4">
            <w:r>
              <w:t>Official project and monitoring records</w:t>
            </w:r>
          </w:p>
        </w:tc>
        <w:tc>
          <w:tcPr>
            <w:tcW w:type="dxa" w:w="1872"/>
          </w:tcPr>
          <w:p w14:paraId="2D407E48">
            <w:r>
              <w:t>NOT VERIFIED — project register pending</w:t>
            </w:r>
          </w:p>
        </w:tc>
        <w:tc>
          <w:tcPr>
            <w:tcW w:type="dxa" w:w="1872"/>
          </w:tcPr>
          <w:p w14:paraId="7A33DA18">
            <w:r>
              <w:t>No operative use</w:t>
            </w:r>
          </w:p>
        </w:tc>
      </w:tr>
      <w:tr>
        <w:tc>
          <w:tcPr>
            <w:tcW w:type="dxa" w:w="1872"/>
          </w:tcPr>
          <w:p>
            <w:r>
              <w:t xml:space="preserve">10A-010</w:t>
            </w:r>
          </w:p>
        </w:tc>
        <w:tc>
          <w:tcPr>
            <w:tcW w:type="dxa" w:w="1872"/>
          </w:tcPr>
          <w:p>
            <w:r>
              <w:t xml:space="preserve">Section 232 offset-process guidance (Commerce), import-adjustment offset administration</w:t>
            </w:r>
          </w:p>
        </w:tc>
        <w:tc>
          <w:tcPr>
            <w:tcW w:type="dxa" w:w="1872"/>
          </w:tcPr>
          <w:p>
            <w:r>
              <w:t xml:space="preserve">Commerce import-adjustment offset guidance (Oct. 31, 2025; extended June 29, 2026)</w:t>
            </w:r>
          </w:p>
        </w:tc>
        <w:tc>
          <w:tcPr>
            <w:tcW w:type="dxa" w:w="1872"/>
          </w:tcPr>
          <w:p>
            <w:r>
              <w:t xml:space="preserve">VERIFIED</w:t>
            </w:r>
          </w:p>
        </w:tc>
        <w:tc>
          <w:tcPr>
            <w:tcW w:type="dxa" w:w="1872"/>
          </w:tcPr>
          <w:p>
            <w:r>
              <w:t xml:space="preserve">Annex 2-B refund interface</w:t>
            </w:r>
          </w:p>
        </w:tc>
      </w:tr>
      <w:tr>
        <w:tc>
          <w:tcPr>
            <w:tcW w:type="dxa" w:w="1872"/>
          </w:tcPr>
          <w:p>
            <w:r>
              <w:t xml:space="preserve">10A-011</w:t>
            </w:r>
          </w:p>
        </w:tc>
        <w:tc>
          <w:tcPr>
            <w:tcW w:type="dxa" w:w="1872"/>
          </w:tcPr>
          <w:p>
            <w:r>
              <w:t xml:space="preserve">HTSUS Revision 17 conformity note</w:t>
            </w:r>
          </w:p>
        </w:tc>
        <w:tc>
          <w:tcPr>
            <w:tcW w:type="dxa" w:w="1872"/>
          </w:tcPr>
          <w:p>
            <w:r>
              <w:t xml:space="preserve">USITC HTSUS revision record</w:t>
            </w:r>
          </w:p>
        </w:tc>
        <w:tc>
          <w:tcPr>
            <w:tcW w:type="dxa" w:w="1872"/>
          </w:tcPr>
          <w:p>
            <w:r>
              <w:t xml:space="preserve">VERIFIED at adoption; re-verification trigger applies</w:t>
            </w:r>
          </w:p>
        </w:tc>
        <w:tc>
          <w:tcPr>
            <w:tcW w:type="dxa" w:w="1872"/>
          </w:tcPr>
          <w:p>
            <w:r>
              <w:t xml:space="preserve">Annex 2-B line schedule conformity</w:t>
            </w:r>
          </w:p>
        </w:tc>
      </w:tr>
    </w:tbl>
    <w:p w14:paraId="58B70B0E"/>
    <w:p w14:paraId="2975C414">
      <w:r>
        <w:rPr>
          <w:b w:val="0"/>
        </w:rPr>
        <w:t>A10A.2 Correction cadence: register entries are re-verified at each HTSUS/TIGIE revision, each Federal Register or DOF publication affecting a listed instrument, and immediately upon any judicial decision affecting an authority. Corrections are numbered and dated; substantive scope changes follow Article 2.2.5.</w:t>
      </w:r>
    </w:p>
    <w:p>
      <w:r>
        <w:rPr>
          <w:b w:val="0"/>
        </w:rPr>
        <w:t xml:space="preserve">Re-verification trigger list (operative): any HTSUS or TIGIE revision; any Federal Register or DOF publication amending a listed instrument; any judicial decision affecting an authority; any CBP CSMS message or ANAM/SAT circular changing administration of a listed line.</w:t>
      </w:r>
    </w:p>
    <w:p w14:paraId="638071FA">
      <w:pPr>
        <w:pStyle w:val="Heading2"/>
      </w:pPr>
      <w:bookmarkStart w:id="1014" w:name="_Toc236230014"/>
      <w:r>
        <w:t>Annex 10-B Bilateral Balance Audit</w:t>
      </w:r>
      <w:bookmarkEnd w:id="1014"/>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2B026C36">
            <w:r>
              <w:rPr>
                <w:b/>
              </w:rPr>
              <w:t>Provision</w:t>
            </w:r>
          </w:p>
        </w:tc>
        <w:tc>
          <w:tcPr>
            <w:tcW w:type="dxa" w:w="2340"/>
          </w:tcPr>
          <w:p w14:paraId="3CD2FFAE">
            <w:r>
              <w:rPr>
                <w:b/>
              </w:rPr>
              <w:t>Asymmetric “shall”</w:t>
            </w:r>
          </w:p>
        </w:tc>
        <w:tc>
          <w:tcPr>
            <w:tcW w:type="dxa" w:w="2340"/>
          </w:tcPr>
          <w:p w14:paraId="62D7B4F8">
            <w:r>
              <w:rPr>
                <w:b/>
              </w:rPr>
              <w:t>Analysis</w:t>
            </w:r>
          </w:p>
        </w:tc>
        <w:tc>
          <w:tcPr>
            <w:tcW w:type="dxa" w:w="2340"/>
          </w:tcPr>
          <w:p w14:paraId="131493F2">
            <w:r>
              <w:rPr>
                <w:b/>
              </w:rPr>
              <w:t>Disposition</w:t>
            </w:r>
          </w:p>
        </w:tc>
      </w:tr>
      <w:tr>
        <w:tc>
          <w:tcPr>
            <w:tcW w:type="dxa" w:w="2340"/>
          </w:tcPr>
          <w:p w14:paraId="20E0B458">
            <w:r>
              <w:t>Article 2.1</w:t>
            </w:r>
          </w:p>
        </w:tc>
        <w:tc>
          <w:tcPr>
            <w:tcW w:type="dxa" w:w="2340"/>
          </w:tcPr>
          <w:p w14:paraId="2481E604">
            <w:r>
              <w:t>Each Party eliminates its own covered measures</w:t>
            </w:r>
          </w:p>
        </w:tc>
        <w:tc>
          <w:tcPr>
            <w:tcW w:type="dxa" w:w="2340"/>
          </w:tcPr>
          <w:p w14:paraId="1CBAF25C">
            <w:r>
              <w:t>Reciprocal obligation; product lists differ because measures differ</w:t>
            </w:r>
          </w:p>
        </w:tc>
        <w:tc>
          <w:tcPr>
            <w:tcW w:type="dxa" w:w="2340"/>
          </w:tcPr>
          <w:p w14:paraId="6BEAF01A">
            <w:r>
              <w:t>Balanced exchange</w:t>
            </w:r>
          </w:p>
        </w:tc>
      </w:tr>
      <w:tr>
        <w:tc>
          <w:tcPr>
            <w:tcW w:type="dxa" w:w="2340"/>
          </w:tcPr>
          <w:p w14:paraId="171D8690">
            <w:r>
              <w:t>Article 2.6</w:t>
            </w:r>
          </w:p>
        </w:tc>
        <w:tc>
          <w:tcPr>
            <w:tcW w:type="dxa" w:w="2340"/>
          </w:tcPr>
          <w:p w14:paraId="5E3BE396">
            <w:r>
              <w:t>Each Party establishes refund procedures</w:t>
            </w:r>
          </w:p>
        </w:tc>
        <w:tc>
          <w:tcPr>
            <w:tcW w:type="dxa" w:w="2340"/>
          </w:tcPr>
          <w:p w14:paraId="20B9687A">
            <w:r>
              <w:t>Reciprocal administration under different domestic systems</w:t>
            </w:r>
          </w:p>
        </w:tc>
        <w:tc>
          <w:tcPr>
            <w:tcW w:type="dxa" w:w="2340"/>
          </w:tcPr>
          <w:p w14:paraId="0916F4F2">
            <w:r>
              <w:t>Balanced exchange</w:t>
            </w:r>
          </w:p>
        </w:tc>
      </w:tr>
      <w:tr>
        <w:tc>
          <w:tcPr>
            <w:tcW w:type="dxa" w:w="2340"/>
          </w:tcPr>
          <w:p w14:paraId="19033696">
            <w:r>
              <w:t>Article 4D</w:t>
            </w:r>
          </w:p>
        </w:tc>
        <w:tc>
          <w:tcPr>
            <w:tcW w:type="dxa" w:w="2340"/>
          </w:tcPr>
          <w:p w14:paraId="47585D90">
            <w:r>
              <w:t>Mutual energy inventory</w:t>
            </w:r>
          </w:p>
        </w:tc>
        <w:tc>
          <w:tcPr>
            <w:tcW w:type="dxa" w:w="2340"/>
          </w:tcPr>
          <w:p w14:paraId="3ACE53C6">
            <w:r>
              <w:t>Transparency is mutual even though market structures differ</w:t>
            </w:r>
          </w:p>
        </w:tc>
        <w:tc>
          <w:tcPr>
            <w:tcW w:type="dxa" w:w="2340"/>
          </w:tcPr>
          <w:p w14:paraId="13C85170">
            <w:r>
              <w:t>Justified and bounded</w:t>
            </w:r>
          </w:p>
        </w:tc>
      </w:tr>
      <w:tr>
        <w:tc>
          <w:tcPr>
            <w:tcW w:type="dxa" w:w="2340"/>
          </w:tcPr>
          <w:p w14:paraId="576EC72C">
            <w:r>
              <w:t>Annex 2-A</w:t>
            </w:r>
          </w:p>
        </w:tc>
        <w:tc>
          <w:tcPr>
            <w:tcW w:type="dxa" w:w="2340"/>
          </w:tcPr>
          <w:p w14:paraId="37240C38">
            <w:r>
              <w:t>Mexico must supply official list before certification</w:t>
            </w:r>
          </w:p>
        </w:tc>
        <w:tc>
          <w:tcPr>
            <w:tcW w:type="dxa" w:w="2340"/>
          </w:tcPr>
          <w:p w14:paraId="4AF1F986">
            <w:r>
              <w:t>Data holder supplies its own instrument list; U.S. does same in Annex 2-B</w:t>
            </w:r>
          </w:p>
        </w:tc>
        <w:tc>
          <w:tcPr>
            <w:tcW w:type="dxa" w:w="2340"/>
          </w:tcPr>
          <w:p w14:paraId="304C3ECE">
            <w:r>
              <w:t>Balanced exchange</w:t>
            </w:r>
          </w:p>
        </w:tc>
      </w:tr>
      <w:tr>
        <w:tc>
          <w:tcPr>
            <w:tcW w:type="dxa" w:w="2340"/>
          </w:tcPr>
          <w:p w14:paraId="76BD2A9A">
            <w:r>
              <w:t>Annex 4H</w:t>
            </w:r>
          </w:p>
        </w:tc>
        <w:tc>
          <w:tcPr>
            <w:tcW w:type="dxa" w:w="2340"/>
          </w:tcPr>
          <w:p w14:paraId="31906CD2">
            <w:r>
              <w:t>Both Parties protect sources, privacy, and civil liberties</w:t>
            </w:r>
          </w:p>
        </w:tc>
        <w:tc>
          <w:tcPr>
            <w:tcW w:type="dxa" w:w="2340"/>
          </w:tcPr>
          <w:p w14:paraId="5D18CD04">
            <w:r>
              <w:t>Mutual safeguards; no trade conditionality</w:t>
            </w:r>
          </w:p>
        </w:tc>
        <w:tc>
          <w:tcPr>
            <w:tcW w:type="dxa" w:w="2340"/>
          </w:tcPr>
          <w:p w14:paraId="254EF14A">
            <w:r>
              <w:t>Justified and bounded</w:t>
            </w:r>
          </w:p>
        </w:tc>
      </w:tr>
    </w:tbl>
    <w:p w14:paraId="70695E06"/>
    <w:p w14:paraId="32E8C880">
      <w:pPr>
        <w:pStyle w:val="Heading2"/>
      </w:pPr>
      <w:bookmarkStart w:id="1015" w:name="_Toc236230015"/>
      <w:r>
        <w:t>Annex 10-C Sovereignty and Scope Audit</w:t>
      </w:r>
      <w:bookmarkEnd w:id="1015"/>
    </w:p>
    <w:tbl>
      <w:tblPr>
        <w:tblW w:type="auto" w:w="0"/>
        <w:tblLayout w:type="autofit"/>
        <w:tblLook w:firstColumn="1" w:firstRow="1" w:lastColumn="0" w:lastRow="0" w:noHBand="0" w:noVBand="1" w:val="04A0"/>
      </w:tblPr>
      <w:tblGrid>
        <w:gridCol w:w="3120"/>
        <w:gridCol w:w="3120"/>
        <w:gridCol w:w="3120"/>
      </w:tblGrid>
      <w:tr>
        <w:tc>
          <w:tcPr>
            <w:tcW w:type="dxa" w:w="3120"/>
          </w:tcPr>
          <w:p w14:paraId="725F99AA">
            <w:r>
              <w:rPr>
                <w:b/>
              </w:rPr>
              <w:t>Article</w:t>
            </w:r>
          </w:p>
        </w:tc>
        <w:tc>
          <w:tcPr>
            <w:tcW w:type="dxa" w:w="3120"/>
          </w:tcPr>
          <w:p w14:paraId="2BD98A78">
            <w:r>
              <w:rPr>
                <w:b/>
              </w:rPr>
              <w:t>Scope check</w:t>
            </w:r>
          </w:p>
        </w:tc>
        <w:tc>
          <w:tcPr>
            <w:tcW w:type="dxa" w:w="3120"/>
          </w:tcPr>
          <w:p w14:paraId="013F89AC">
            <w:r>
              <w:rPr>
                <w:b/>
              </w:rPr>
              <w:t>Result</w:t>
            </w:r>
          </w:p>
        </w:tc>
      </w:tr>
      <w:tr>
        <w:tc>
          <w:tcPr>
            <w:tcW w:type="dxa" w:w="3120"/>
          </w:tcPr>
          <w:p w14:paraId="419ABFC2">
            <w:r>
              <w:t>1.3</w:t>
            </w:r>
          </w:p>
        </w:tc>
        <w:tc>
          <w:tcPr>
            <w:tcW w:type="dxa" w:w="3120"/>
          </w:tcPr>
          <w:p w14:paraId="1C43838A">
            <w:r>
              <w:t>Narrowed to goods, customs, origin, sectoral cooperation, labor, environment, agriculture, energy/minerals, and bounded security; no operative services/digital/investment claim</w:t>
            </w:r>
          </w:p>
        </w:tc>
        <w:tc>
          <w:tcPr>
            <w:tcW w:type="dxa" w:w="3120"/>
          </w:tcPr>
          <w:p w14:paraId="47202F70">
            <w:r>
              <w:t>Conformed</w:t>
            </w:r>
          </w:p>
        </w:tc>
      </w:tr>
      <w:tr>
        <w:tc>
          <w:tcPr>
            <w:tcW w:type="dxa" w:w="3120"/>
          </w:tcPr>
          <w:p w14:paraId="29C75E6C">
            <w:r>
              <w:t>2.8</w:t>
            </w:r>
          </w:p>
        </w:tc>
        <w:tc>
          <w:tcPr>
            <w:tcW w:type="dxa" w:w="3120"/>
          </w:tcPr>
          <w:p w14:paraId="3364812C">
            <w:r>
              <w:t>Non-resurrection discipline tied to covered measures</w:t>
            </w:r>
          </w:p>
        </w:tc>
        <w:tc>
          <w:tcPr>
            <w:tcW w:type="dxa" w:w="3120"/>
          </w:tcPr>
          <w:p w14:paraId="4E8FAA26">
            <w:r>
              <w:t>Within scope</w:t>
            </w:r>
          </w:p>
        </w:tc>
      </w:tr>
      <w:tr>
        <w:tc>
          <w:tcPr>
            <w:tcW w:type="dxa" w:w="3120"/>
          </w:tcPr>
          <w:p w14:paraId="059E44D4">
            <w:r>
              <w:t>4D</w:t>
            </w:r>
          </w:p>
        </w:tc>
        <w:tc>
          <w:tcPr>
            <w:tcW w:type="dxa" w:w="3120"/>
          </w:tcPr>
          <w:p w14:paraId="566E34CC">
            <w:r>
              <w:t>Analysis and inventory only; no privatization or ownership transfer</w:t>
            </w:r>
          </w:p>
        </w:tc>
        <w:tc>
          <w:tcPr>
            <w:tcW w:type="dxa" w:w="3120"/>
          </w:tcPr>
          <w:p w14:paraId="01E88E86">
            <w:r>
              <w:t>Within sovereignty firewall</w:t>
            </w:r>
          </w:p>
        </w:tc>
      </w:tr>
      <w:tr>
        <w:tc>
          <w:tcPr>
            <w:tcW w:type="dxa" w:w="3120"/>
          </w:tcPr>
          <w:p w14:paraId="736FF8AC">
            <w:r>
              <w:t>5.4</w:t>
            </w:r>
          </w:p>
        </w:tc>
        <w:tc>
          <w:tcPr>
            <w:tcW w:type="dxa" w:w="3120"/>
          </w:tcPr>
          <w:p w14:paraId="1531B786">
            <w:r>
              <w:t>Security cooperation cannot condition trade benefits automatically</w:t>
            </w:r>
          </w:p>
        </w:tc>
        <w:tc>
          <w:tcPr>
            <w:tcW w:type="dxa" w:w="3120"/>
          </w:tcPr>
          <w:p w14:paraId="29F476C6">
            <w:r>
              <w:t>Within scope</w:t>
            </w:r>
          </w:p>
        </w:tc>
      </w:tr>
      <w:tr>
        <w:tc>
          <w:tcPr>
            <w:tcW w:type="dxa" w:w="3120"/>
          </w:tcPr>
          <w:p w14:paraId="685B3C9C">
            <w:r>
              <w:t>9.8</w:t>
            </w:r>
          </w:p>
        </w:tc>
        <w:tc>
          <w:tcPr>
            <w:tcW w:type="dxa" w:w="3120"/>
          </w:tcPr>
          <w:p w14:paraId="1C63E336">
            <w:r>
              <w:t>Domestic constitutional allocation preserved</w:t>
            </w:r>
          </w:p>
        </w:tc>
        <w:tc>
          <w:tcPr>
            <w:tcW w:type="dxa" w:w="3120"/>
          </w:tcPr>
          <w:p w14:paraId="33C9AEBA">
            <w:r>
              <w:t>Within scope</w:t>
            </w:r>
          </w:p>
        </w:tc>
      </w:tr>
    </w:tbl>
    <w:p w14:paraId="4EB2E9B8"/>
    <w:p w14:paraId="14DB9EF8">
      <w:pPr>
        <w:pStyle w:val="Heading2"/>
      </w:pPr>
      <w:bookmarkStart w:id="1016" w:name="_Toc236230016"/>
      <w:r>
        <w:t>Annex 10-D Final Pre-Adoption Audit Protocol</w:t>
      </w:r>
      <w:bookmarkEnd w:id="1016"/>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2BB8CC4E">
            <w:r>
              <w:rPr>
                <w:b/>
              </w:rPr>
              <w:t>Artifact</w:t>
            </w:r>
          </w:p>
        </w:tc>
        <w:tc>
          <w:tcPr>
            <w:tcW w:type="dxa" w:w="2340"/>
          </w:tcPr>
          <w:p w14:paraId="6D29BE14">
            <w:r>
              <w:rPr>
                <w:b/>
              </w:rPr>
              <w:t>Completion requirement</w:t>
            </w:r>
          </w:p>
        </w:tc>
        <w:tc>
          <w:tcPr>
            <w:tcW w:type="dxa" w:w="2340"/>
          </w:tcPr>
          <w:p w14:paraId="478B2676">
            <w:r>
              <w:rPr>
                <w:b/>
              </w:rPr>
              <w:t>Signatory</w:t>
            </w:r>
          </w:p>
        </w:tc>
        <w:tc>
          <w:tcPr>
            <w:tcW w:type="dxa" w:w="2340"/>
          </w:tcPr>
          <w:p w14:paraId="3BE78064">
            <w:r>
              <w:rPr>
                <w:b/>
              </w:rPr>
              <w:t>Status</w:t>
            </w:r>
          </w:p>
        </w:tc>
      </w:tr>
      <w:tr>
        <w:tc>
          <w:tcPr>
            <w:tcW w:type="dxa" w:w="2340"/>
          </w:tcPr>
          <w:p w14:paraId="676B3434">
            <w:r>
              <w:t>Status certificate</w:t>
            </w:r>
          </w:p>
        </w:tc>
        <w:tc>
          <w:tcPr>
            <w:tcW w:type="dxa" w:w="2340"/>
          </w:tcPr>
          <w:p w14:paraId="5B97F49E">
            <w:r>
              <w:t>Every measure labeled and every operative obligation tied to authority</w:t>
            </w:r>
          </w:p>
        </w:tc>
        <w:tc>
          <w:tcPr>
            <w:tcW w:type="dxa" w:w="2340"/>
          </w:tcPr>
          <w:p w14:paraId="527D52C2">
            <w:r>
              <w:t>Both legal leads</w:t>
            </w:r>
          </w:p>
        </w:tc>
        <w:tc>
          <w:tcPr>
            <w:tcW w:type="dxa" w:w="2340"/>
          </w:tcPr>
          <w:p w14:paraId="105A5472">
            <w:r>
              <w:t>Pending official data</w:t>
            </w:r>
          </w:p>
        </w:tc>
      </w:tr>
      <w:tr>
        <w:tc>
          <w:tcPr>
            <w:tcW w:type="dxa" w:w="2340"/>
          </w:tcPr>
          <w:p w14:paraId="2D52A95C">
            <w:r>
              <w:t>Firewall opinion</w:t>
            </w:r>
          </w:p>
        </w:tc>
        <w:tc>
          <w:tcPr>
            <w:tcW w:type="dxa" w:w="2340"/>
          </w:tcPr>
          <w:p w14:paraId="2960DD30">
            <w:r>
              <w:t>No eliminated measure recreated; remedies and forum confirmed</w:t>
            </w:r>
          </w:p>
        </w:tc>
        <w:tc>
          <w:tcPr>
            <w:tcW w:type="dxa" w:w="2340"/>
          </w:tcPr>
          <w:p w14:paraId="464C8BEA">
            <w:r>
              <w:t>Both legal leads</w:t>
            </w:r>
          </w:p>
        </w:tc>
        <w:tc>
          <w:tcPr>
            <w:tcW w:type="dxa" w:w="2340"/>
          </w:tcPr>
          <w:p w14:paraId="4F90A3F8">
            <w:r>
              <w:t>Pending official schedules</w:t>
            </w:r>
          </w:p>
        </w:tc>
      </w:tr>
      <w:tr>
        <w:tc>
          <w:tcPr>
            <w:tcW w:type="dxa" w:w="2340"/>
          </w:tcPr>
          <w:p w14:paraId="0A53FB52">
            <w:r>
              <w:t>Balance table</w:t>
            </w:r>
          </w:p>
        </w:tc>
        <w:tc>
          <w:tcPr>
            <w:tcW w:type="dxa" w:w="2340"/>
          </w:tcPr>
          <w:p w14:paraId="74E50CFA">
            <w:r>
              <w:t>All asymmetric obligations analyzed</w:t>
            </w:r>
          </w:p>
        </w:tc>
        <w:tc>
          <w:tcPr>
            <w:tcW w:type="dxa" w:w="2340"/>
          </w:tcPr>
          <w:p w14:paraId="75D04EDC">
            <w:r>
              <w:t>Joint Committee co-chairs</w:t>
            </w:r>
          </w:p>
        </w:tc>
        <w:tc>
          <w:tcPr>
            <w:tcW w:type="dxa" w:w="2340"/>
          </w:tcPr>
          <w:p w14:paraId="7366FCAC">
            <w:r>
              <w:t>Draft complete</w:t>
            </w:r>
          </w:p>
        </w:tc>
      </w:tr>
      <w:tr>
        <w:tc>
          <w:tcPr>
            <w:tcW w:type="dxa" w:w="2340"/>
          </w:tcPr>
          <w:p w14:paraId="0DF04718">
            <w:r>
              <w:t>Verification register</w:t>
            </w:r>
          </w:p>
        </w:tc>
        <w:tc>
          <w:tcPr>
            <w:tcW w:type="dxa" w:w="2340"/>
          </w:tcPr>
          <w:p w14:paraId="4442B592">
            <w:r>
              <w:t>Register IDs, sources, correction cadence complete</w:t>
            </w:r>
          </w:p>
        </w:tc>
        <w:tc>
          <w:tcPr>
            <w:tcW w:type="dxa" w:w="2340"/>
          </w:tcPr>
          <w:p w14:paraId="23EA5F2E">
            <w:r>
              <w:t>Secretariat</w:t>
            </w:r>
          </w:p>
        </w:tc>
        <w:tc>
          <w:tcPr>
            <w:tcW w:type="dxa" w:w="2340"/>
          </w:tcPr>
          <w:p w14:paraId="4A50387C">
            <w:r>
              <w:t>Draft complete</w:t>
            </w:r>
          </w:p>
        </w:tc>
      </w:tr>
      <w:tr>
        <w:tc>
          <w:tcPr>
            <w:tcW w:type="dxa" w:w="2340"/>
          </w:tcPr>
          <w:p w14:paraId="6F3FA48A">
            <w:r>
              <w:t>Spanish legal-linguistic certificate</w:t>
            </w:r>
          </w:p>
        </w:tc>
        <w:tc>
          <w:tcPr>
            <w:tcW w:type="dxa" w:w="2340"/>
          </w:tcPr>
          <w:p w14:paraId="00D664C2">
            <w:r>
              <w:t>Authentic Spanish text compared under VCLT Article 33 rule</w:t>
            </w:r>
          </w:p>
        </w:tc>
        <w:tc>
          <w:tcPr>
            <w:tcW w:type="dxa" w:w="2340"/>
          </w:tcPr>
          <w:p w14:paraId="02E4BEFE">
            <w:r>
              <w:t>Both linguistic/legal leads</w:t>
            </w:r>
          </w:p>
        </w:tc>
        <w:tc>
          <w:tcPr>
            <w:tcW w:type="dxa" w:w="2340"/>
          </w:tcPr>
          <w:p w14:paraId="7BE1DCA6">
            <w:r>
              <w:t>Gating deliverable</w:t>
            </w:r>
          </w:p>
        </w:tc>
      </w:tr>
    </w:tbl>
    <w:p w14:paraId="44A6A1C8"/>
    <w:p w14:paraId="275488DE">
      <w:pPr>
        <w:pStyle w:val="Heading1"/>
      </w:pPr>
      <w:bookmarkStart w:id="1017" w:name="_Toc236230017"/>
      <w:r>
        <w:t>Annex 11: Implementation Instrument Library</w:t>
      </w:r>
      <w:bookmarkEnd w:id="1017"/>
    </w:p>
    <w:p w14:paraId="3DB4615E">
      <w:pPr>
        <w:pStyle w:val="Heading2"/>
      </w:pPr>
      <w:bookmarkStart w:id="1018" w:name="_Toc236230018"/>
      <w:r>
        <w:t>Annex 11-A Model Administrative Clause Library</w:t>
      </w:r>
      <w:bookmarkEnd w:id="1018"/>
    </w:p>
    <w:p w14:paraId="6F57EB26">
      <w:r>
        <w:rPr>
          <w:b w:val="0"/>
          <w:i w:val="0"/>
        </w:rPr>
        <w:t xml:space="preserve">Elimination instruction: “Effective 00:01 UTC on the Elimination Effective Time (Article 2.1.2), the certified item identified in Form 1 shall not be applied to covered goods described in the applicable certified schedule (Annex 2-A or 2-B, Section II). Accrued liabilities, fraud review, and domestic review rights are preserved.”</w:t>
      </w:r>
    </w:p>
    <w:p w14:paraId="5BEA55A8">
      <w:r>
        <w:rPr>
          <w:b w:val="0"/>
          <w:i w:val="0"/>
        </w:rPr>
        <w:t>No-collection bridge: “If system publication lags, the administering authority shall not collect the eliminated charge during the gap and shall provide a correction path for entries filed in reliance on the notice.”</w:t>
      </w:r>
    </w:p>
    <w:p w14:paraId="3A4E7148">
      <w:r>
        <w:rPr>
          <w:b w:val="0"/>
          <w:i w:val="0"/>
        </w:rPr>
        <w:t>Interpretive conflict clause: “A conflict-resolution memorandum interprets the certified schedule only and shall not expand product scope; it is reviewable under Part Seven.”</w:t>
      </w:r>
    </w:p>
    <w:p w14:paraId="23119394">
      <w:r>
        <w:rPr>
          <w:b w:val="0"/>
          <w:i w:val="0"/>
        </w:rPr>
        <w:t>Legal-validity contingency: “A judicial invalidation or authority lapse is recorded separately from treaty elimination and does not prejudice pending litigation or domestic refund rights.”</w:t>
      </w:r>
    </w:p>
    <w:p w14:paraId="768B0452">
      <w:pPr>
        <w:pStyle w:val="Heading2"/>
      </w:pPr>
      <w:bookmarkStart w:id="1019" w:name="_Toc236230019"/>
      <w:r>
        <w:t>Annex 11-B Data Dictionary and Interoperability Minimums</w:t>
      </w:r>
      <w:bookmarkEnd w:id="1019"/>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5D288C3E">
            <w:r>
              <w:rPr>
                <w:b/>
              </w:rPr>
              <w:t>Field</w:t>
            </w:r>
          </w:p>
        </w:tc>
        <w:tc>
          <w:tcPr>
            <w:tcW w:type="dxa" w:w="2340"/>
          </w:tcPr>
          <w:p w14:paraId="3DF99BA2">
            <w:r>
              <w:rPr>
                <w:b/>
              </w:rPr>
              <w:t>Definition</w:t>
            </w:r>
          </w:p>
        </w:tc>
        <w:tc>
          <w:tcPr>
            <w:tcW w:type="dxa" w:w="2340"/>
          </w:tcPr>
          <w:p w14:paraId="63B4E9F6">
            <w:r>
              <w:rPr>
                <w:b/>
              </w:rPr>
              <w:t>Type</w:t>
            </w:r>
          </w:p>
        </w:tc>
        <w:tc>
          <w:tcPr>
            <w:tcW w:type="dxa" w:w="2340"/>
          </w:tcPr>
          <w:p w14:paraId="7324E0F2">
            <w:r>
              <w:rPr>
                <w:b/>
              </w:rPr>
              <w:t>Schema v1.0 status</w:t>
            </w:r>
          </w:p>
        </w:tc>
      </w:tr>
      <w:tr>
        <w:tc>
          <w:tcPr>
            <w:tcW w:type="dxa" w:w="2340"/>
          </w:tcPr>
          <w:p w14:paraId="39B947B0">
            <w:r>
              <w:t>entry_id</w:t>
            </w:r>
          </w:p>
        </w:tc>
        <w:tc>
          <w:tcPr>
            <w:tcW w:type="dxa" w:w="2340"/>
          </w:tcPr>
          <w:p w14:paraId="05C7059A">
            <w:r>
              <w:t>Unique entry or pedimento identifier</w:t>
            </w:r>
          </w:p>
        </w:tc>
        <w:tc>
          <w:tcPr>
            <w:tcW w:type="dxa" w:w="2340"/>
          </w:tcPr>
          <w:p w14:paraId="71F06EA4">
            <w:r>
              <w:t>String</w:t>
            </w:r>
          </w:p>
        </w:tc>
        <w:tc>
          <w:tcPr>
            <w:tcW w:type="dxa" w:w="2340"/>
          </w:tcPr>
          <w:p w14:paraId="74AFDDB6">
            <w:r>
              <w:t>Required</w:t>
            </w:r>
          </w:p>
        </w:tc>
      </w:tr>
      <w:tr>
        <w:tc>
          <w:tcPr>
            <w:tcW w:type="dxa" w:w="2340"/>
          </w:tcPr>
          <w:p w14:paraId="65ADCF64">
            <w:r>
              <w:t>importer_id</w:t>
            </w:r>
          </w:p>
        </w:tc>
        <w:tc>
          <w:tcPr>
            <w:tcW w:type="dxa" w:w="2340"/>
          </w:tcPr>
          <w:p w14:paraId="2C141D14">
            <w:r>
              <w:t>Importer of record identifier</w:t>
            </w:r>
          </w:p>
        </w:tc>
        <w:tc>
          <w:tcPr>
            <w:tcW w:type="dxa" w:w="2340"/>
          </w:tcPr>
          <w:p w14:paraId="2FAFB440">
            <w:r>
              <w:t>String</w:t>
            </w:r>
          </w:p>
        </w:tc>
        <w:tc>
          <w:tcPr>
            <w:tcW w:type="dxa" w:w="2340"/>
          </w:tcPr>
          <w:p w14:paraId="7607BFC2">
            <w:r>
              <w:t>Required</w:t>
            </w:r>
          </w:p>
        </w:tc>
      </w:tr>
      <w:tr>
        <w:tc>
          <w:tcPr>
            <w:tcW w:type="dxa" w:w="2340"/>
          </w:tcPr>
          <w:p w14:paraId="440E401E">
            <w:r>
              <w:t>hs_code</w:t>
            </w:r>
          </w:p>
        </w:tc>
        <w:tc>
          <w:tcPr>
            <w:tcW w:type="dxa" w:w="2340"/>
          </w:tcPr>
          <w:p w14:paraId="01806FF6">
            <w:r>
              <w:t>HTSUS/TIGIE line at highest available precision</w:t>
            </w:r>
          </w:p>
        </w:tc>
        <w:tc>
          <w:tcPr>
            <w:tcW w:type="dxa" w:w="2340"/>
          </w:tcPr>
          <w:p w14:paraId="1F1AA3BE">
            <w:r>
              <w:t>String</w:t>
            </w:r>
          </w:p>
        </w:tc>
        <w:tc>
          <w:tcPr>
            <w:tcW w:type="dxa" w:w="2340"/>
          </w:tcPr>
          <w:p w14:paraId="3521462C">
            <w:r>
              <w:t>Required</w:t>
            </w:r>
          </w:p>
        </w:tc>
      </w:tr>
      <w:tr>
        <w:tc>
          <w:tcPr>
            <w:tcW w:type="dxa" w:w="2340"/>
          </w:tcPr>
          <w:p w14:paraId="5A626EDE">
            <w:r>
              <w:t>origin_claim</w:t>
            </w:r>
          </w:p>
        </w:tc>
        <w:tc>
          <w:tcPr>
            <w:tcW w:type="dxa" w:w="2340"/>
          </w:tcPr>
          <w:p w14:paraId="1EDA69BE">
            <w:r>
              <w:t>Origin/preference claim indicator</w:t>
            </w:r>
          </w:p>
        </w:tc>
        <w:tc>
          <w:tcPr>
            <w:tcW w:type="dxa" w:w="2340"/>
          </w:tcPr>
          <w:p w14:paraId="5E5DA3C2">
            <w:r>
              <w:t>Code</w:t>
            </w:r>
          </w:p>
        </w:tc>
        <w:tc>
          <w:tcPr>
            <w:tcW w:type="dxa" w:w="2340"/>
          </w:tcPr>
          <w:p w14:paraId="5E0F1A10">
            <w:r>
              <w:t>Required</w:t>
            </w:r>
          </w:p>
        </w:tc>
      </w:tr>
      <w:tr>
        <w:tc>
          <w:tcPr>
            <w:tcW w:type="dxa" w:w="2340"/>
          </w:tcPr>
          <w:p w14:paraId="2C63AFE8">
            <w:r>
              <w:t>elimination_code</w:t>
            </w:r>
          </w:p>
        </w:tc>
        <w:tc>
          <w:tcPr>
            <w:tcW w:type="dxa" w:w="2340"/>
          </w:tcPr>
          <w:p w14:paraId="2893FE1C">
            <w:r>
              <w:t>Certified Annex 2-A/2-B item ID</w:t>
            </w:r>
          </w:p>
        </w:tc>
        <w:tc>
          <w:tcPr>
            <w:tcW w:type="dxa" w:w="2340"/>
          </w:tcPr>
          <w:p w14:paraId="63E7192A">
            <w:r>
              <w:t>Code</w:t>
            </w:r>
          </w:p>
        </w:tc>
        <w:tc>
          <w:tcPr>
            <w:tcW w:type="dxa" w:w="2340"/>
          </w:tcPr>
          <w:p w14:paraId="2A799800">
            <w:r>
              <w:t>Conditional</w:t>
            </w:r>
          </w:p>
        </w:tc>
      </w:tr>
      <w:tr>
        <w:tc>
          <w:tcPr>
            <w:tcW w:type="dxa" w:w="2340"/>
          </w:tcPr>
          <w:p w14:paraId="643C0ABE">
            <w:r>
              <w:t>duty_eliminated_amount</w:t>
            </w:r>
          </w:p>
        </w:tc>
        <w:tc>
          <w:tcPr>
            <w:tcW w:type="dxa" w:w="2340"/>
          </w:tcPr>
          <w:p w14:paraId="1FB4C88C">
            <w:r>
              <w:t>Amount not collected by reason of elimination</w:t>
            </w:r>
          </w:p>
        </w:tc>
        <w:tc>
          <w:tcPr>
            <w:tcW w:type="dxa" w:w="2340"/>
          </w:tcPr>
          <w:p w14:paraId="42FA8F32">
            <w:r>
              <w:t>Decimal</w:t>
            </w:r>
          </w:p>
        </w:tc>
        <w:tc>
          <w:tcPr>
            <w:tcW w:type="dxa" w:w="2340"/>
          </w:tcPr>
          <w:p w14:paraId="0C3DE760">
            <w:r>
              <w:t>Required</w:t>
            </w:r>
          </w:p>
        </w:tc>
      </w:tr>
      <w:tr>
        <w:tc>
          <w:tcPr>
            <w:tcW w:type="dxa" w:w="2340"/>
          </w:tcPr>
          <w:p w14:paraId="3C0CE220">
            <w:r>
              <w:t>refund_status</w:t>
            </w:r>
          </w:p>
        </w:tc>
        <w:tc>
          <w:tcPr>
            <w:tcW w:type="dxa" w:w="2340"/>
          </w:tcPr>
          <w:p w14:paraId="4E0E2720">
            <w:r>
              <w:t>No claim, filed, pending, paid, denied</w:t>
            </w:r>
          </w:p>
        </w:tc>
        <w:tc>
          <w:tcPr>
            <w:tcW w:type="dxa" w:w="2340"/>
          </w:tcPr>
          <w:p w14:paraId="36C0717C">
            <w:r>
              <w:t>Code</w:t>
            </w:r>
          </w:p>
        </w:tc>
        <w:tc>
          <w:tcPr>
            <w:tcW w:type="dxa" w:w="2340"/>
          </w:tcPr>
          <w:p w14:paraId="787CB99A">
            <w:r>
              <w:t>Required</w:t>
            </w:r>
          </w:p>
        </w:tc>
      </w:tr>
      <w:tr>
        <w:tc>
          <w:tcPr>
            <w:tcW w:type="dxa" w:w="2340"/>
          </w:tcPr>
          <w:p w14:paraId="453C1DAE">
            <w:r>
              <w:t>risk_score</w:t>
            </w:r>
          </w:p>
        </w:tc>
        <w:tc>
          <w:tcPr>
            <w:tcW w:type="dxa" w:w="2340"/>
          </w:tcPr>
          <w:p w14:paraId="2B39FBDC">
            <w:r>
              <w:t>Non-public risk indicator</w:t>
            </w:r>
          </w:p>
        </w:tc>
        <w:tc>
          <w:tcPr>
            <w:tcW w:type="dxa" w:w="2340"/>
          </w:tcPr>
          <w:p w14:paraId="2FF80FF6">
            <w:r>
              <w:t>Decimal</w:t>
            </w:r>
          </w:p>
        </w:tc>
        <w:tc>
          <w:tcPr>
            <w:tcW w:type="dxa" w:w="2340"/>
          </w:tcPr>
          <w:p w14:paraId="242D59C2">
            <w:r>
              <w:t>Restricted</w:t>
            </w:r>
          </w:p>
        </w:tc>
      </w:tr>
      <w:tr>
        <w:tc>
          <w:tcPr>
            <w:tcW w:type="dxa" w:w="2340"/>
          </w:tcPr>
          <w:p w14:paraId="24333AAA">
            <w:r>
              <w:t>release_time</w:t>
            </w:r>
          </w:p>
        </w:tc>
        <w:tc>
          <w:tcPr>
            <w:tcW w:type="dxa" w:w="2340"/>
          </w:tcPr>
          <w:p w14:paraId="1AC1D482">
            <w:r>
              <w:t>Release timestamp in UTC</w:t>
            </w:r>
          </w:p>
        </w:tc>
        <w:tc>
          <w:tcPr>
            <w:tcW w:type="dxa" w:w="2340"/>
          </w:tcPr>
          <w:p w14:paraId="686264A0">
            <w:r>
              <w:t>Datetime</w:t>
            </w:r>
          </w:p>
        </w:tc>
        <w:tc>
          <w:tcPr>
            <w:tcW w:type="dxa" w:w="2340"/>
          </w:tcPr>
          <w:p w14:paraId="5D3A225A">
            <w:r>
              <w:t>Required</w:t>
            </w:r>
          </w:p>
        </w:tc>
      </w:tr>
      <w:tr>
        <w:tc>
          <w:tcPr>
            <w:tcW w:type="dxa" w:w="2340"/>
          </w:tcPr>
          <w:p w14:paraId="6C07F462">
            <w:r>
              <w:t>schema_version</w:t>
            </w:r>
          </w:p>
        </w:tc>
        <w:tc>
          <w:tcPr>
            <w:tcW w:type="dxa" w:w="2340"/>
          </w:tcPr>
          <w:p w14:paraId="7845B72E">
            <w:r>
              <w:t>Dictionary version</w:t>
            </w:r>
          </w:p>
        </w:tc>
        <w:tc>
          <w:tcPr>
            <w:tcW w:type="dxa" w:w="2340"/>
          </w:tcPr>
          <w:p w14:paraId="7AFC6A9E">
            <w:r>
              <w:t>String</w:t>
            </w:r>
          </w:p>
        </w:tc>
        <w:tc>
          <w:tcPr>
            <w:tcW w:type="dxa" w:w="2340"/>
          </w:tcPr>
          <w:p w14:paraId="6787031C">
            <w:r>
              <w:t>Required</w:t>
            </w:r>
          </w:p>
        </w:tc>
      </w:tr>
    </w:tbl>
    <w:p>
      <w:r>
        <w:rPr>
          <w:b w:val="0"/>
        </w:rPr>
        <w:t xml:space="preserve">Error-code and validation table. Each code pairs with a human contact point and a 1-business-day response commitment for E1xx errors.</w:t>
      </w:r>
    </w:p>
    <w:tbl>
      <w:tblPr>
        <w:tblW w:type="auto" w:w="0"/>
        <w:tblLook w:firstColumn="1" w:firstRow="1" w:lastColumn="0" w:lastRow="0" w:noHBand="0" w:noVBand="1" w:val="04A0"/>
      </w:tblPr>
      <w:tblGrid>
        <w:gridCol w:w="3120"/>
        <w:gridCol w:w="3120"/>
        <w:gridCol w:w="3120"/>
      </w:tblGrid>
      <w:tr>
        <w:tc>
          <w:tcPr>
            <w:tcW w:type="dxa" w:w="3120"/>
          </w:tcPr>
          <w:p>
            <w:r>
              <w:rPr>
                <w:b/>
              </w:rPr>
              <w:t xml:space="preserve">Code</w:t>
            </w:r>
          </w:p>
        </w:tc>
        <w:tc>
          <w:tcPr>
            <w:tcW w:type="dxa" w:w="3120"/>
          </w:tcPr>
          <w:p>
            <w:r>
              <w:rPr>
                <w:b/>
              </w:rPr>
              <w:t xml:space="preserve">Meaning</w:t>
            </w:r>
          </w:p>
        </w:tc>
        <w:tc>
          <w:tcPr>
            <w:tcW w:type="dxa" w:w="3120"/>
          </w:tcPr>
          <w:p>
            <w:r>
              <w:rPr>
                <w:b/>
              </w:rPr>
              <w:t xml:space="preserve">Response commitment</w:t>
            </w:r>
          </w:p>
        </w:tc>
      </w:tr>
      <w:tr>
        <w:tc>
          <w:tcPr>
            <w:tcW w:type="dxa" w:w="3120"/>
          </w:tcPr>
          <w:p>
            <w:r>
              <w:t xml:space="preserve">E100</w:t>
            </w:r>
          </w:p>
        </w:tc>
        <w:tc>
          <w:tcPr>
            <w:tcW w:type="dxa" w:w="3120"/>
          </w:tcPr>
          <w:p>
            <w:r>
              <w:t xml:space="preserve">Required field missing</w:t>
            </w:r>
          </w:p>
        </w:tc>
        <w:tc>
          <w:tcPr>
            <w:tcW w:type="dxa" w:w="3120"/>
          </w:tcPr>
          <w:p>
            <w:r>
              <w:t xml:space="preserve">1 business day</w:t>
            </w:r>
          </w:p>
        </w:tc>
      </w:tr>
      <w:tr>
        <w:tc>
          <w:tcPr>
            <w:tcW w:type="dxa" w:w="3120"/>
          </w:tcPr>
          <w:p>
            <w:r>
              <w:t xml:space="preserve">E101</w:t>
            </w:r>
          </w:p>
        </w:tc>
        <w:tc>
          <w:tcPr>
            <w:tcW w:type="dxa" w:w="3120"/>
          </w:tcPr>
          <w:p>
            <w:r>
              <w:t xml:space="preserve">Format violation</w:t>
            </w:r>
          </w:p>
        </w:tc>
        <w:tc>
          <w:tcPr>
            <w:tcW w:type="dxa" w:w="3120"/>
          </w:tcPr>
          <w:p>
            <w:r>
              <w:t xml:space="preserve">1 business day</w:t>
            </w:r>
          </w:p>
        </w:tc>
      </w:tr>
      <w:tr>
        <w:tc>
          <w:tcPr>
            <w:tcW w:type="dxa" w:w="3120"/>
          </w:tcPr>
          <w:p>
            <w:r>
              <w:t xml:space="preserve">E102</w:t>
            </w:r>
          </w:p>
        </w:tc>
        <w:tc>
          <w:tcPr>
            <w:tcW w:type="dxa" w:w="3120"/>
          </w:tcPr>
          <w:p>
            <w:r>
              <w:t xml:space="preserve">Code not in dictionary v1.0</w:t>
            </w:r>
          </w:p>
        </w:tc>
        <w:tc>
          <w:tcPr>
            <w:tcW w:type="dxa" w:w="3120"/>
          </w:tcPr>
          <w:p>
            <w:r>
              <w:t xml:space="preserve">1 business day</w:t>
            </w:r>
          </w:p>
        </w:tc>
      </w:tr>
      <w:tr>
        <w:tc>
          <w:tcPr>
            <w:tcW w:type="dxa" w:w="3120"/>
          </w:tcPr>
          <w:p>
            <w:r>
              <w:t xml:space="preserve">E200</w:t>
            </w:r>
          </w:p>
        </w:tc>
        <w:tc>
          <w:tcPr>
            <w:tcW w:type="dxa" w:w="3120"/>
          </w:tcPr>
          <w:p>
            <w:r>
              <w:t xml:space="preserve">Authentication failure</w:t>
            </w:r>
          </w:p>
        </w:tc>
        <w:tc>
          <w:tcPr>
            <w:tcW w:type="dxa" w:w="3120"/>
          </w:tcPr>
          <w:p>
            <w:r>
              <w:t xml:space="preserve">Same business day</w:t>
            </w:r>
          </w:p>
        </w:tc>
      </w:tr>
      <w:tr>
        <w:tc>
          <w:tcPr>
            <w:tcW w:type="dxa" w:w="3120"/>
          </w:tcPr>
          <w:p>
            <w:r>
              <w:t xml:space="preserve">E201</w:t>
            </w:r>
          </w:p>
        </w:tc>
        <w:tc>
          <w:tcPr>
            <w:tcW w:type="dxa" w:w="3120"/>
          </w:tcPr>
          <w:p>
            <w:r>
              <w:t xml:space="preserve">Certificate expired</w:t>
            </w:r>
          </w:p>
        </w:tc>
        <w:tc>
          <w:tcPr>
            <w:tcW w:type="dxa" w:w="3120"/>
          </w:tcPr>
          <w:p>
            <w:r>
              <w:t xml:space="preserve">Same business day</w:t>
            </w:r>
          </w:p>
        </w:tc>
      </w:tr>
      <w:tr>
        <w:tc>
          <w:tcPr>
            <w:tcW w:type="dxa" w:w="3120"/>
          </w:tcPr>
          <w:p>
            <w:r>
              <w:t xml:space="preserve">E300</w:t>
            </w:r>
          </w:p>
        </w:tc>
        <w:tc>
          <w:tcPr>
            <w:tcW w:type="dxa" w:w="3120"/>
          </w:tcPr>
          <w:p>
            <w:r>
              <w:t xml:space="preserve">Authorization failure</w:t>
            </w:r>
          </w:p>
        </w:tc>
        <w:tc>
          <w:tcPr>
            <w:tcW w:type="dxa" w:w="3120"/>
          </w:tcPr>
          <w:p>
            <w:r>
              <w:t xml:space="preserve">Same business day</w:t>
            </w:r>
          </w:p>
        </w:tc>
      </w:tr>
      <w:tr>
        <w:tc>
          <w:tcPr>
            <w:tcW w:type="dxa" w:w="3120"/>
          </w:tcPr>
          <w:p>
            <w:r>
              <w:t xml:space="preserve">E500</w:t>
            </w:r>
          </w:p>
        </w:tc>
        <w:tc>
          <w:tcPr>
            <w:tcW w:type="dxa" w:w="3120"/>
          </w:tcPr>
          <w:p>
            <w:r>
              <w:t xml:space="preserve">Receiving-system fault</w:t>
            </w:r>
          </w:p>
        </w:tc>
        <w:tc>
          <w:tcPr>
            <w:tcW w:type="dxa" w:w="3120"/>
          </w:tcPr>
          <w:p>
            <w:r>
              <w:t xml:space="preserve">4 hours</w:t>
            </w:r>
          </w:p>
        </w:tc>
      </w:tr>
    </w:tbl>
    <w:p w14:paraId="696753FC"/>
    <w:p w14:paraId="6D70D15C">
      <w:pPr>
        <w:pStyle w:val="Heading2"/>
      </w:pPr>
      <w:bookmarkStart w:id="1020" w:name="_Toc236230020"/>
      <w:r>
        <w:t>Annex 11-C Risk Register and Issue Escalation</w:t>
      </w:r>
      <w:bookmarkEnd w:id="1020"/>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14:paraId="1A71CDEE">
            <w:r>
              <w:rPr>
                <w:b/>
              </w:rPr>
              <w:t>Risk ID</w:t>
            </w:r>
          </w:p>
        </w:tc>
        <w:tc>
          <w:tcPr>
            <w:tcW w:type="dxa" w:w="1560"/>
          </w:tcPr>
          <w:p w14:paraId="7ED3793E">
            <w:r>
              <w:rPr>
                <w:b/>
              </w:rPr>
              <w:t>Risk</w:t>
            </w:r>
          </w:p>
        </w:tc>
        <w:tc>
          <w:tcPr>
            <w:tcW w:type="dxa" w:w="1560"/>
          </w:tcPr>
          <w:p w14:paraId="0D20AEA0">
            <w:r>
              <w:rPr>
                <w:b/>
              </w:rPr>
              <w:t>Level</w:t>
            </w:r>
          </w:p>
        </w:tc>
        <w:tc>
          <w:tcPr>
            <w:tcW w:type="dxa" w:w="1560"/>
          </w:tcPr>
          <w:p w14:paraId="0D759AFC">
            <w:r>
              <w:rPr>
                <w:b/>
              </w:rPr>
              <w:t>Owner</w:t>
            </w:r>
          </w:p>
        </w:tc>
        <w:tc>
          <w:tcPr>
            <w:tcW w:type="dxa" w:w="1560"/>
          </w:tcPr>
          <w:p w14:paraId="288A3CD6">
            <w:r>
              <w:rPr>
                <w:b/>
              </w:rPr>
              <w:t>Mitigation</w:t>
            </w:r>
          </w:p>
        </w:tc>
        <w:tc>
          <w:tcPr>
            <w:tcW w:type="dxa" w:w="1560"/>
          </w:tcPr>
          <w:p w14:paraId="3EA804E2">
            <w:r>
              <w:rPr>
                <w:b/>
              </w:rPr>
              <w:t>Escalation</w:t>
            </w:r>
          </w:p>
        </w:tc>
      </w:tr>
      <w:tr>
        <w:tc>
          <w:tcPr>
            <w:tcW w:type="dxa" w:w="1560"/>
          </w:tcPr>
          <w:p w14:paraId="48AA7432">
            <w:r>
              <w:t>R-001</w:t>
            </w:r>
          </w:p>
        </w:tc>
        <w:tc>
          <w:tcPr>
            <w:tcW w:type="dxa" w:w="1560"/>
          </w:tcPr>
          <w:p w14:paraId="5F853142">
            <w:r>
              <w:t>HTSUS/TIGIE schedule not verified before adoption</w:t>
            </w:r>
          </w:p>
        </w:tc>
        <w:tc>
          <w:tcPr>
            <w:tcW w:type="dxa" w:w="1560"/>
          </w:tcPr>
          <w:p w14:paraId="2C9A06AA">
            <w:r>
              <w:t>Critical</w:t>
            </w:r>
          </w:p>
        </w:tc>
        <w:tc>
          <w:tcPr>
            <w:tcW w:type="dxa" w:w="1560"/>
          </w:tcPr>
          <w:p w14:paraId="331D17CC">
            <w:r>
              <w:t>USTR / Secretaría de Economía</w:t>
            </w:r>
          </w:p>
        </w:tc>
        <w:tc>
          <w:tcPr>
            <w:tcW w:type="dxa" w:w="1560"/>
          </w:tcPr>
          <w:p w14:paraId="1DF0D812">
            <w:r>
              <w:t>Gate adoption or use partial adoption</w:t>
            </w:r>
          </w:p>
        </w:tc>
        <w:tc>
          <w:tcPr>
            <w:tcW w:type="dxa" w:w="1560"/>
          </w:tcPr>
          <w:p w14:paraId="5873E46C">
            <w:r>
              <w:t>Immediate Joint Committee</w:t>
            </w:r>
          </w:p>
        </w:tc>
      </w:tr>
      <w:tr>
        <w:tc>
          <w:tcPr>
            <w:tcW w:type="dxa" w:w="1560"/>
          </w:tcPr>
          <w:p w14:paraId="15E5D2FA">
            <w:r>
              <w:t>R-002</w:t>
            </w:r>
          </w:p>
        </w:tc>
        <w:tc>
          <w:tcPr>
            <w:tcW w:type="dxa" w:w="1560"/>
          </w:tcPr>
          <w:p w14:paraId="6E244D18">
            <w:r>
              <w:t>Refund overlay conflicts with domestic limitation periods</w:t>
            </w:r>
          </w:p>
        </w:tc>
        <w:tc>
          <w:tcPr>
            <w:tcW w:type="dxa" w:w="1560"/>
          </w:tcPr>
          <w:p w14:paraId="7B305A5E">
            <w:r>
              <w:t>High</w:t>
            </w:r>
          </w:p>
        </w:tc>
        <w:tc>
          <w:tcPr>
            <w:tcW w:type="dxa" w:w="1560"/>
          </w:tcPr>
          <w:p w14:paraId="710CF408">
            <w:r>
              <w:t>CBP / ANAM / SAT counsel</w:t>
            </w:r>
          </w:p>
        </w:tc>
        <w:tc>
          <w:tcPr>
            <w:tcW w:type="dxa" w:w="1560"/>
          </w:tcPr>
          <w:p w14:paraId="78D87030">
            <w:r>
              <w:t>Domestic-law supremacy and notice</w:t>
            </w:r>
          </w:p>
        </w:tc>
        <w:tc>
          <w:tcPr>
            <w:tcW w:type="dxa" w:w="1560"/>
          </w:tcPr>
          <w:p w14:paraId="620AFB3A">
            <w:r>
              <w:t>Legal scrub</w:t>
            </w:r>
          </w:p>
        </w:tc>
      </w:tr>
      <w:tr>
        <w:tc>
          <w:tcPr>
            <w:tcW w:type="dxa" w:w="1560"/>
          </w:tcPr>
          <w:p w14:paraId="548576C0">
            <w:r>
              <w:t>R-003</w:t>
            </w:r>
          </w:p>
        </w:tc>
        <w:tc>
          <w:tcPr>
            <w:tcW w:type="dxa" w:w="1560"/>
          </w:tcPr>
          <w:p w14:paraId="458C2444">
            <w:r>
              <w:t>IEEPA-family litigation changes reconciliation math</w:t>
            </w:r>
          </w:p>
        </w:tc>
        <w:tc>
          <w:tcPr>
            <w:tcW w:type="dxa" w:w="1560"/>
          </w:tcPr>
          <w:p w14:paraId="60D43EFA">
            <w:r>
              <w:t>High</w:t>
            </w:r>
          </w:p>
        </w:tc>
        <w:tc>
          <w:tcPr>
            <w:tcW w:type="dxa" w:w="1560"/>
          </w:tcPr>
          <w:p w14:paraId="6DC94C26">
            <w:r>
              <w:t>U.S. legal team</w:t>
            </w:r>
          </w:p>
        </w:tc>
        <w:tc>
          <w:tcPr>
            <w:tcW w:type="dxa" w:w="1560"/>
          </w:tcPr>
          <w:p w14:paraId="764D136A">
            <w:r>
              <w:t>Litigation contingency clause</w:t>
            </w:r>
          </w:p>
        </w:tc>
        <w:tc>
          <w:tcPr>
            <w:tcW w:type="dxa" w:w="1560"/>
          </w:tcPr>
          <w:p w14:paraId="67122EF0">
            <w:r>
              <w:t>Daily until resolved</w:t>
            </w:r>
          </w:p>
        </w:tc>
      </w:tr>
      <w:tr>
        <w:tc>
          <w:tcPr>
            <w:tcW w:type="dxa" w:w="1560"/>
          </w:tcPr>
          <w:p w14:paraId="5A2AE21E">
            <w:r>
              <w:t>R-004</w:t>
            </w:r>
          </w:p>
        </w:tc>
        <w:tc>
          <w:tcPr>
            <w:tcW w:type="dxa" w:w="1560"/>
          </w:tcPr>
          <w:p w14:paraId="4C54327E">
            <w:r>
              <w:t>Dashboard data gaps or inconsistent definitions</w:t>
            </w:r>
          </w:p>
        </w:tc>
        <w:tc>
          <w:tcPr>
            <w:tcW w:type="dxa" w:w="1560"/>
          </w:tcPr>
          <w:p w14:paraId="265B3934">
            <w:r>
              <w:t>High</w:t>
            </w:r>
          </w:p>
        </w:tc>
        <w:tc>
          <w:tcPr>
            <w:tcW w:type="dxa" w:w="1560"/>
          </w:tcPr>
          <w:p w14:paraId="737AA88E">
            <w:r>
              <w:t>CBP / ANAM / SAT data leads</w:t>
            </w:r>
          </w:p>
        </w:tc>
        <w:tc>
          <w:tcPr>
            <w:tcW w:type="dxa" w:w="1560"/>
          </w:tcPr>
          <w:p w14:paraId="34721222">
            <w:r>
              <w:t>Dictionary v1.0 and reconciliation</w:t>
            </w:r>
          </w:p>
        </w:tc>
        <w:tc>
          <w:tcPr>
            <w:tcW w:type="dxa" w:w="1560"/>
          </w:tcPr>
          <w:p w14:paraId="549D1E2E">
            <w:r>
              <w:t>Day-15 gate</w:t>
            </w:r>
          </w:p>
        </w:tc>
      </w:tr>
      <w:tr>
        <w:tc>
          <w:tcPr>
            <w:tcW w:type="dxa" w:w="1560"/>
          </w:tcPr>
          <w:p w14:paraId="33E7372A">
            <w:r>
              <w:t>R-005</w:t>
            </w:r>
          </w:p>
        </w:tc>
        <w:tc>
          <w:tcPr>
            <w:tcW w:type="dxa" w:w="1560"/>
          </w:tcPr>
          <w:p w14:paraId="21E9D456">
            <w:r>
              <w:t>Security measure used as disguised tariff substitute</w:t>
            </w:r>
          </w:p>
        </w:tc>
        <w:tc>
          <w:tcPr>
            <w:tcW w:type="dxa" w:w="1560"/>
          </w:tcPr>
          <w:p w14:paraId="04F28EA8">
            <w:r>
              <w:t>Critical</w:t>
            </w:r>
          </w:p>
        </w:tc>
        <w:tc>
          <w:tcPr>
            <w:tcW w:type="dxa" w:w="1560"/>
          </w:tcPr>
          <w:p w14:paraId="0EC62ECE">
            <w:r>
              <w:t>Joint Committee</w:t>
            </w:r>
          </w:p>
        </w:tc>
        <w:tc>
          <w:tcPr>
            <w:tcW w:type="dxa" w:w="1560"/>
          </w:tcPr>
          <w:p w14:paraId="75CC5230">
            <w:r>
              <w:t>Firewall, expedited review, provisional non-application</w:t>
            </w:r>
          </w:p>
        </w:tc>
        <w:tc>
          <w:tcPr>
            <w:tcW w:type="dxa" w:w="1560"/>
          </w:tcPr>
          <w:p w14:paraId="53F2851E">
            <w:r>
              <w:t>Article 7.9</w:t>
            </w:r>
          </w:p>
        </w:tc>
      </w:tr>
      <w:tr>
        <w:tc>
          <w:tcPr>
            <w:tcW w:type="dxa" w:w="1560"/>
          </w:tcPr>
          <w:p w14:paraId="329B2982">
            <w:r>
              <w:t>R-006</w:t>
            </w:r>
          </w:p>
        </w:tc>
        <w:tc>
          <w:tcPr>
            <w:tcW w:type="dxa" w:w="1560"/>
          </w:tcPr>
          <w:p w14:paraId="58D04A34">
            <w:r>
              <w:t>Working-group workload exceeds staffing</w:t>
            </w:r>
          </w:p>
        </w:tc>
        <w:tc>
          <w:tcPr>
            <w:tcW w:type="dxa" w:w="1560"/>
          </w:tcPr>
          <w:p w14:paraId="71949B9C">
            <w:r>
              <w:t>Medium</w:t>
            </w:r>
          </w:p>
        </w:tc>
        <w:tc>
          <w:tcPr>
            <w:tcW w:type="dxa" w:w="1560"/>
          </w:tcPr>
          <w:p w14:paraId="2DB55BEC">
            <w:r>
              <w:t>Joint Committee</w:t>
            </w:r>
          </w:p>
        </w:tc>
        <w:tc>
          <w:tcPr>
            <w:tcW w:type="dxa" w:w="1560"/>
          </w:tcPr>
          <w:p w14:paraId="720CC9EA">
            <w:r>
              <w:t>Prioritization and budget clause</w:t>
            </w:r>
          </w:p>
        </w:tc>
        <w:tc>
          <w:tcPr>
            <w:tcW w:type="dxa" w:w="1560"/>
          </w:tcPr>
          <w:p w14:paraId="571E27BC">
            <w:r>
              <w:t>Day-30 review</w:t>
            </w:r>
          </w:p>
        </w:tc>
      </w:tr>
    </w:tbl>
    <w:p w14:paraId="5DA8A26E"/>
    <w:p w14:paraId="5FD1BCF2">
      <w:pPr>
        <w:pStyle w:val="Heading2"/>
      </w:pPr>
      <w:bookmarkStart w:id="1021" w:name="_Toc236230021"/>
      <w:r>
        <w:t>Annex 11-D Stakeholder Consultation and Record Protocol</w:t>
      </w:r>
      <w:bookmarkEnd w:id="1021"/>
    </w:p>
    <w:p w14:paraId="119C0DDC">
      <w:r>
        <w:rPr>
          <w:b w:val="0"/>
          <w:i w:val="0"/>
        </w:rPr>
        <w:t>Consultation records identify date, participants, affiliations, conflicts, materials, questions, and disposition. Permanent legal-effect records are retained permanently where they evidence elimination, firewall decisions, certificates, or final dispute implementation; operational consultation records are retained for the project life plus five years, or longer where law, audit, litigation hold, or pending dispute requires.</w:t>
      </w:r>
    </w:p>
    <w:p w14:paraId="59E12392">
      <w:pPr>
        <w:pStyle w:val="Heading2"/>
      </w:pPr>
      <w:bookmarkStart w:id="1022" w:name="_Toc236230022"/>
      <w:r>
        <w:t>Annex 11-E Technical Assistance, Capacity Building, and Transition Support</w:t>
      </w:r>
      <w:bookmarkEnd w:id="1022"/>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589A0036">
            <w:r>
              <w:rPr>
                <w:b/>
              </w:rPr>
              <w:t>Project</w:t>
            </w:r>
          </w:p>
        </w:tc>
        <w:tc>
          <w:tcPr>
            <w:tcW w:type="dxa" w:w="2340"/>
          </w:tcPr>
          <w:p w14:paraId="62BC9604">
            <w:r>
              <w:rPr>
                <w:b/>
              </w:rPr>
              <w:t>Lead</w:t>
            </w:r>
          </w:p>
        </w:tc>
        <w:tc>
          <w:tcPr>
            <w:tcW w:type="dxa" w:w="2340"/>
          </w:tcPr>
          <w:p w14:paraId="038FC3FC">
            <w:r>
              <w:rPr>
                <w:b/>
              </w:rPr>
              <w:t>Budget status</w:t>
            </w:r>
          </w:p>
        </w:tc>
        <w:tc>
          <w:tcPr>
            <w:tcW w:type="dxa" w:w="2340"/>
          </w:tcPr>
          <w:p w14:paraId="2F1AFDC0">
            <w:r>
              <w:rPr>
                <w:b/>
              </w:rPr>
              <w:t>Exit criterion</w:t>
            </w:r>
          </w:p>
        </w:tc>
      </w:tr>
      <w:tr>
        <w:tc>
          <w:tcPr>
            <w:tcW w:type="dxa" w:w="2340"/>
          </w:tcPr>
          <w:p w14:paraId="71B1508E">
            <w:r>
              <w:t>Tariff verification and classification clinic</w:t>
            </w:r>
          </w:p>
        </w:tc>
        <w:tc>
          <w:tcPr>
            <w:tcW w:type="dxa" w:w="2340"/>
          </w:tcPr>
          <w:p w14:paraId="5B0FF478">
            <w:r>
              <w:t>USITC/CBP and ANAM/SAT specialists</w:t>
            </w:r>
          </w:p>
        </w:tc>
        <w:tc>
          <w:tcPr>
            <w:tcW w:type="dxa" w:w="2340"/>
          </w:tcPr>
          <w:p w14:paraId="7654664E">
            <w:r>
              <w:t>Each Party funds own participation</w:t>
            </w:r>
          </w:p>
        </w:tc>
        <w:tc>
          <w:tcPr>
            <w:tcW w:type="dxa" w:w="2340"/>
          </w:tcPr>
          <w:p w14:paraId="34E4C836">
            <w:r>
              <w:t>Certified schedules and trained staff</w:t>
            </w:r>
          </w:p>
        </w:tc>
      </w:tr>
      <w:tr>
        <w:tc>
          <w:tcPr>
            <w:tcW w:type="dxa" w:w="2340"/>
          </w:tcPr>
          <w:p w14:paraId="4590FA24">
            <w:r>
              <w:t>Refund portal and QC workflow</w:t>
            </w:r>
          </w:p>
        </w:tc>
        <w:tc>
          <w:tcPr>
            <w:tcW w:type="dxa" w:w="2340"/>
          </w:tcPr>
          <w:p w14:paraId="687BF76A">
            <w:r>
              <w:t>CBP; ANAM/SAT</w:t>
            </w:r>
          </w:p>
        </w:tc>
        <w:tc>
          <w:tcPr>
            <w:tcW w:type="dxa" w:w="2340"/>
          </w:tcPr>
          <w:p w14:paraId="4ECEB372">
            <w:r>
              <w:t>Subject to appropriation/budget authorization</w:t>
            </w:r>
          </w:p>
        </w:tc>
        <w:tc>
          <w:tcPr>
            <w:tcW w:type="dxa" w:w="2340"/>
          </w:tcPr>
          <w:p w14:paraId="32474CCA">
            <w:r>
              <w:t>Two monthly reconciliations completed</w:t>
            </w:r>
          </w:p>
        </w:tc>
      </w:tr>
      <w:tr>
        <w:tc>
          <w:tcPr>
            <w:tcW w:type="dxa" w:w="2340"/>
          </w:tcPr>
          <w:p w14:paraId="6989BCFA">
            <w:r>
              <w:t>Data interoperability pilot</w:t>
            </w:r>
          </w:p>
        </w:tc>
        <w:tc>
          <w:tcPr>
            <w:tcW w:type="dxa" w:w="2340"/>
          </w:tcPr>
          <w:p w14:paraId="3A4DE4A8">
            <w:r>
              <w:t>Customs technical leads</w:t>
            </w:r>
          </w:p>
        </w:tc>
        <w:tc>
          <w:tcPr>
            <w:tcW w:type="dxa" w:w="2340"/>
          </w:tcPr>
          <w:p w14:paraId="2842F0EC">
            <w:r>
              <w:t>Subject to written project authorization</w:t>
            </w:r>
          </w:p>
        </w:tc>
        <w:tc>
          <w:tcPr>
            <w:tcW w:type="dxa" w:w="2340"/>
          </w:tcPr>
          <w:p w14:paraId="28E797A8">
            <w:r>
              <w:t>Success metrics met or rollback executed</w:t>
            </w:r>
          </w:p>
        </w:tc>
      </w:tr>
      <w:tr>
        <w:tc>
          <w:tcPr>
            <w:tcW w:type="dxa" w:w="2340"/>
          </w:tcPr>
          <w:p w14:paraId="4736B12A">
            <w:r>
              <w:t>Spanish legal-linguistic review</w:t>
            </w:r>
          </w:p>
        </w:tc>
        <w:tc>
          <w:tcPr>
            <w:tcW w:type="dxa" w:w="2340"/>
          </w:tcPr>
          <w:p w14:paraId="30DAD2EC">
            <w:r>
              <w:t>Both legal/translation teams</w:t>
            </w:r>
          </w:p>
        </w:tc>
        <w:tc>
          <w:tcPr>
            <w:tcW w:type="dxa" w:w="2340"/>
          </w:tcPr>
          <w:p w14:paraId="5B5FF0CE">
            <w:r>
              <w:t>Priority gating item</w:t>
            </w:r>
          </w:p>
        </w:tc>
        <w:tc>
          <w:tcPr>
            <w:tcW w:type="dxa" w:w="2340"/>
          </w:tcPr>
          <w:p w14:paraId="07AC5A3C">
            <w:r>
              <w:t>Signed linguistic certificate</w:t>
            </w:r>
          </w:p>
        </w:tc>
      </w:tr>
    </w:tbl>
    <w:p w14:paraId="10CA2C4E"/>
    <w:p w14:paraId="60DBF314">
      <w:pPr>
        <w:pStyle w:val="Heading2"/>
      </w:pPr>
      <w:bookmarkStart w:id="1023" w:name="_Toc236230023"/>
      <w:r>
        <w:t>Annex 11-F Legal Scrub Templates</w:t>
      </w:r>
      <w:bookmarkEnd w:id="1023"/>
    </w:p>
    <w:tbl>
      <w:tblPr>
        <w:tblW w:type="auto" w:w="0"/>
        <w:tblLayout w:type="autofit"/>
        <w:tblLook w:firstColumn="1" w:firstRow="1" w:lastColumn="0" w:lastRow="0" w:noHBand="0" w:noVBand="1" w:val="04A0"/>
      </w:tblPr>
      <w:tblGrid>
        <w:gridCol w:w="4680"/>
        <w:gridCol w:w="4680"/>
      </w:tblGrid>
      <w:tr>
        <w:tc>
          <w:tcPr>
            <w:tcW w:type="dxa" w:w="4680"/>
          </w:tcPr>
          <w:p w14:paraId="51F56BFA">
            <w:r>
              <w:rPr>
                <w:b/>
              </w:rPr>
              <w:t>Scrub field</w:t>
            </w:r>
          </w:p>
        </w:tc>
        <w:tc>
          <w:tcPr>
            <w:tcW w:type="dxa" w:w="4680"/>
          </w:tcPr>
          <w:p w14:paraId="2C63F42C">
            <w:r>
              <w:rPr>
                <w:b/>
              </w:rPr>
              <w:t>Required entry</w:t>
            </w:r>
          </w:p>
        </w:tc>
      </w:tr>
      <w:tr>
        <w:tc>
          <w:tcPr>
            <w:tcW w:type="dxa" w:w="4680"/>
          </w:tcPr>
          <w:p w14:paraId="766F0480">
            <w:r>
              <w:t>Measure ID</w:t>
            </w:r>
          </w:p>
        </w:tc>
        <w:tc>
          <w:tcPr>
            <w:tcW w:type="dxa" w:w="4680"/>
          </w:tcPr>
          <w:p w14:paraId="3CE96B70">
            <w:r>
              <w:t>Annex item ID</w:t>
            </w:r>
          </w:p>
        </w:tc>
      </w:tr>
      <w:tr>
        <w:tc>
          <w:tcPr>
            <w:tcW w:type="dxa" w:w="4680"/>
          </w:tcPr>
          <w:p w14:paraId="5210E990">
            <w:r>
              <w:t>Constitutional/statutory authority</w:t>
            </w:r>
          </w:p>
        </w:tc>
        <w:tc>
          <w:tcPr>
            <w:tcW w:type="dxa" w:w="4680"/>
          </w:tcPr>
          <w:p w14:paraId="2E06EC6A">
            <w:r>
              <w:t>Citation and allocation of authority</w:t>
            </w:r>
          </w:p>
        </w:tc>
      </w:tr>
      <w:tr>
        <w:tc>
          <w:tcPr>
            <w:tcW w:type="dxa" w:w="4680"/>
          </w:tcPr>
          <w:p w14:paraId="54655A88">
            <w:r>
              <w:t>Treaty consistency</w:t>
            </w:r>
          </w:p>
        </w:tc>
        <w:tc>
          <w:tcPr>
            <w:tcW w:type="dxa" w:w="4680"/>
          </w:tcPr>
          <w:p w14:paraId="705469A0">
            <w:r>
              <w:t>USMCA/T-MEC and WTO interface</w:t>
            </w:r>
          </w:p>
        </w:tc>
      </w:tr>
      <w:tr>
        <w:tc>
          <w:tcPr>
            <w:tcW w:type="dxa" w:w="4680"/>
          </w:tcPr>
          <w:p w14:paraId="23AC6ED8">
            <w:r>
              <w:t>Procedure</w:t>
            </w:r>
          </w:p>
        </w:tc>
        <w:tc>
          <w:tcPr>
            <w:tcW w:type="dxa" w:w="4680"/>
          </w:tcPr>
          <w:p w14:paraId="6C6C25F0">
            <w:r>
              <w:t>Publication, notice, consultation, legislative or regulatory step</w:t>
            </w:r>
          </w:p>
        </w:tc>
      </w:tr>
      <w:tr>
        <w:tc>
          <w:tcPr>
            <w:tcW w:type="dxa" w:w="4680"/>
          </w:tcPr>
          <w:p w14:paraId="7E26FC06">
            <w:r>
              <w:t>Refund interface</w:t>
            </w:r>
          </w:p>
        </w:tc>
        <w:tc>
          <w:tcPr>
            <w:tcW w:type="dxa" w:w="4680"/>
          </w:tcPr>
          <w:p w14:paraId="2678FB24">
            <w:r>
              <w:t>Domestic channel and limitation period</w:t>
            </w:r>
          </w:p>
        </w:tc>
      </w:tr>
      <w:tr>
        <w:tc>
          <w:tcPr>
            <w:tcW w:type="dxa" w:w="4680"/>
          </w:tcPr>
          <w:p w14:paraId="338680DE">
            <w:r>
              <w:t>Forum</w:t>
            </w:r>
          </w:p>
        </w:tc>
        <w:tc>
          <w:tcPr>
            <w:tcW w:type="dxa" w:w="4680"/>
          </w:tcPr>
          <w:p w14:paraId="29A9E48A">
            <w:r>
              <w:t>Part Seven, domestic review, or USMCA Chapter 31</w:t>
            </w:r>
          </w:p>
        </w:tc>
      </w:tr>
      <w:tr>
        <w:tc>
          <w:tcPr>
            <w:tcW w:type="dxa" w:w="4680"/>
          </w:tcPr>
          <w:p w14:paraId="1AA2D39A">
            <w:r>
              <w:t>Counsel sign-off</w:t>
            </w:r>
          </w:p>
        </w:tc>
        <w:tc>
          <w:tcPr>
            <w:tcW w:type="dxa" w:w="4680"/>
          </w:tcPr>
          <w:p w14:paraId="1BDAD00E">
            <w:r>
              <w:t>Name, signature, date</w:t>
            </w:r>
          </w:p>
        </w:tc>
      </w:tr>
    </w:tbl>
    <w:p w14:paraId="021E5636"/>
    <w:p w14:paraId="451CE296">
      <w:pPr>
        <w:pStyle w:val="Heading2"/>
      </w:pPr>
      <w:bookmarkStart w:id="1024" w:name="_Toc236230024"/>
      <w:r>
        <w:t>Annex 11-G Communications and Corrections Protocol</w:t>
      </w:r>
      <w:bookmarkEnd w:id="1024"/>
    </w:p>
    <w:p w14:paraId="0449A190">
      <w:r>
        <w:rPr>
          <w:b w:val="0"/>
          <w:i w:val="0"/>
        </w:rPr>
        <w:t>Public implementation pages must identify draft status until adoption, certified schedules, guidance, contact points, correction history, and version dates. Corrections are numbered, dated, explain clerical versus substantive effect, and never expand elimination scope retroactively.</w:t>
      </w:r>
    </w:p>
    <w:p w14:paraId="3B63821A">
      <w:pPr>
        <w:pStyle w:val="Heading2"/>
      </w:pPr>
      <w:bookmarkStart w:id="1025" w:name="_Toc236230025"/>
      <w:r>
        <w:t>Annex 11-H Procurement, Integrity, and Conflicts</w:t>
      </w:r>
      <w:bookmarkEnd w:id="1025"/>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2A8BFBB8">
            <w:r>
              <w:rPr>
                <w:b/>
              </w:rPr>
              <w:t>Person / role</w:t>
            </w:r>
          </w:p>
        </w:tc>
        <w:tc>
          <w:tcPr>
            <w:tcW w:type="dxa" w:w="2340"/>
          </w:tcPr>
          <w:p w14:paraId="04503DDA">
            <w:r>
              <w:rPr>
                <w:b/>
              </w:rPr>
              <w:t>Disclosure required</w:t>
            </w:r>
          </w:p>
        </w:tc>
        <w:tc>
          <w:tcPr>
            <w:tcW w:type="dxa" w:w="2340"/>
          </w:tcPr>
          <w:p w14:paraId="7FB05324">
            <w:r>
              <w:rPr>
                <w:b/>
              </w:rPr>
              <w:t>Frequency</w:t>
            </w:r>
          </w:p>
        </w:tc>
        <w:tc>
          <w:tcPr>
            <w:tcW w:type="dxa" w:w="2340"/>
          </w:tcPr>
          <w:p w14:paraId="74E99F66">
            <w:r>
              <w:rPr>
                <w:b/>
              </w:rPr>
              <w:t>Review authority</w:t>
            </w:r>
          </w:p>
        </w:tc>
      </w:tr>
      <w:tr>
        <w:tc>
          <w:tcPr>
            <w:tcW w:type="dxa" w:w="2340"/>
          </w:tcPr>
          <w:p w14:paraId="019662CE">
            <w:r>
              <w:t>Joint Committee co-chairs</w:t>
            </w:r>
          </w:p>
        </w:tc>
        <w:tc>
          <w:tcPr>
            <w:tcW w:type="dxa" w:w="2340"/>
          </w:tcPr>
          <w:p w14:paraId="1B1CBD20">
            <w:r>
              <w:t>Financial, professional, and official conflicts</w:t>
            </w:r>
          </w:p>
        </w:tc>
        <w:tc>
          <w:tcPr>
            <w:tcW w:type="dxa" w:w="2340"/>
          </w:tcPr>
          <w:p w14:paraId="2BA01DD0">
            <w:r>
              <w:t>At appointment and on change</w:t>
            </w:r>
          </w:p>
        </w:tc>
        <w:tc>
          <w:tcPr>
            <w:tcW w:type="dxa" w:w="2340"/>
          </w:tcPr>
          <w:p w14:paraId="557FF47E">
            <w:r>
              <w:t>Designated ethics office</w:t>
            </w:r>
          </w:p>
        </w:tc>
      </w:tr>
      <w:tr>
        <w:tc>
          <w:tcPr>
            <w:tcW w:type="dxa" w:w="2340"/>
          </w:tcPr>
          <w:p w14:paraId="5CAE2138">
            <w:r>
              <w:t>Panel roster members</w:t>
            </w:r>
          </w:p>
        </w:tc>
        <w:tc>
          <w:tcPr>
            <w:tcW w:type="dxa" w:w="2340"/>
          </w:tcPr>
          <w:p w14:paraId="6DAB719E">
            <w:r>
              <w:t>Independence, prior matters, financial interests</w:t>
            </w:r>
          </w:p>
        </w:tc>
        <w:tc>
          <w:tcPr>
            <w:tcW w:type="dxa" w:w="2340"/>
          </w:tcPr>
          <w:p w14:paraId="61321DC4">
            <w:r>
              <w:t>At selection, before each case, on change</w:t>
            </w:r>
          </w:p>
        </w:tc>
        <w:tc>
          <w:tcPr>
            <w:tcW w:type="dxa" w:w="2340"/>
          </w:tcPr>
          <w:p w14:paraId="2FEC53E8">
            <w:r>
              <w:t>Joint Committee / ethics office</w:t>
            </w:r>
          </w:p>
        </w:tc>
      </w:tr>
      <w:tr>
        <w:tc>
          <w:tcPr>
            <w:tcW w:type="dxa" w:w="2340"/>
          </w:tcPr>
          <w:p w14:paraId="7A296FF0">
            <w:r>
              <w:t>Technical consultants</w:t>
            </w:r>
          </w:p>
        </w:tc>
        <w:tc>
          <w:tcPr>
            <w:tcW w:type="dxa" w:w="2340"/>
          </w:tcPr>
          <w:p w14:paraId="5E5D2C2E">
            <w:r>
              <w:t>Clients, funding, ownership, litigation interest</w:t>
            </w:r>
          </w:p>
        </w:tc>
        <w:tc>
          <w:tcPr>
            <w:tcW w:type="dxa" w:w="2340"/>
          </w:tcPr>
          <w:p w14:paraId="4104B74C">
            <w:r>
              <w:t>Before engagement and on change</w:t>
            </w:r>
          </w:p>
        </w:tc>
        <w:tc>
          <w:tcPr>
            <w:tcW w:type="dxa" w:w="2340"/>
          </w:tcPr>
          <w:p w14:paraId="0BD37E1A">
            <w:r>
              <w:t>Procurement authority</w:t>
            </w:r>
          </w:p>
        </w:tc>
      </w:tr>
      <w:tr>
        <w:tc>
          <w:tcPr>
            <w:tcW w:type="dxa" w:w="2340"/>
          </w:tcPr>
          <w:p w14:paraId="20E4D546">
            <w:r>
              <w:t>Working-group members</w:t>
            </w:r>
          </w:p>
        </w:tc>
        <w:tc>
          <w:tcPr>
            <w:tcW w:type="dxa" w:w="2340"/>
          </w:tcPr>
          <w:p w14:paraId="12024B4A">
            <w:r>
              <w:t>Sector and stakeholder affiliations</w:t>
            </w:r>
          </w:p>
        </w:tc>
        <w:tc>
          <w:tcPr>
            <w:tcW w:type="dxa" w:w="2340"/>
          </w:tcPr>
          <w:p w14:paraId="15047538">
            <w:r>
              <w:t>At appointment and annually</w:t>
            </w:r>
          </w:p>
        </w:tc>
        <w:tc>
          <w:tcPr>
            <w:tcW w:type="dxa" w:w="2340"/>
          </w:tcPr>
          <w:p w14:paraId="0F756C1E">
            <w:r>
              <w:t>Co-chairs</w:t>
            </w:r>
          </w:p>
        </w:tc>
      </w:tr>
    </w:tbl>
    <w:p w14:paraId="5FCFB66C"/>
    <w:p w14:paraId="0BF63566">
      <w:pPr>
        <w:pStyle w:val="Heading2"/>
      </w:pPr>
      <w:bookmarkStart w:id="1026" w:name="_Toc236230026"/>
      <w:r>
        <w:t>Annex 11-I Metrics Definitions Without Unverified Claims</w:t>
      </w:r>
      <w:bookmarkEnd w:id="1026"/>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14:paraId="5E070AEA">
            <w:r>
              <w:rPr>
                <w:b/>
              </w:rPr>
              <w:t>Metric</w:t>
            </w:r>
          </w:p>
        </w:tc>
        <w:tc>
          <w:tcPr>
            <w:tcW w:type="dxa" w:w="1872"/>
          </w:tcPr>
          <w:p w14:paraId="2B688576">
            <w:r>
              <w:rPr>
                <w:b/>
              </w:rPr>
              <w:t>Definition</w:t>
            </w:r>
          </w:p>
        </w:tc>
        <w:tc>
          <w:tcPr>
            <w:tcW w:type="dxa" w:w="1872"/>
          </w:tcPr>
          <w:p w14:paraId="32C1EABA">
            <w:r>
              <w:rPr>
                <w:b/>
              </w:rPr>
              <w:t>Baseline</w:t>
            </w:r>
          </w:p>
        </w:tc>
        <w:tc>
          <w:tcPr>
            <w:tcW w:type="dxa" w:w="1872"/>
          </w:tcPr>
          <w:p w14:paraId="76855CFC">
            <w:r>
              <w:rPr>
                <w:b/>
              </w:rPr>
              <w:t>Methodology</w:t>
            </w:r>
          </w:p>
        </w:tc>
        <w:tc>
          <w:tcPr>
            <w:tcW w:type="dxa" w:w="1872"/>
          </w:tcPr>
          <w:p w14:paraId="6D6FABE2">
            <w:r>
              <w:rPr>
                <w:b/>
              </w:rPr>
              <w:t>Owner</w:t>
            </w:r>
          </w:p>
        </w:tc>
      </w:tr>
      <w:tr>
        <w:tc>
          <w:tcPr>
            <w:tcW w:type="dxa" w:w="1872"/>
          </w:tcPr>
          <w:p w14:paraId="518C9ECE">
            <w:r>
              <w:t>Tariff lines eliminated</w:t>
            </w:r>
          </w:p>
        </w:tc>
        <w:tc>
          <w:tcPr>
            <w:tcW w:type="dxa" w:w="1872"/>
          </w:tcPr>
          <w:p w14:paraId="05548EDE">
            <w:r>
              <w:t>Certified lines with Form 1 issued</w:t>
            </w:r>
          </w:p>
        </w:tc>
        <w:tc>
          <w:tcPr>
            <w:tcW w:type="dxa" w:w="1872"/>
          </w:tcPr>
          <w:p w14:paraId="7B08AFE6">
            <w:r>
              <w:t>0 at entry into force</w:t>
            </w:r>
          </w:p>
        </w:tc>
        <w:tc>
          <w:tcPr>
            <w:tcW w:type="dxa" w:w="1872"/>
          </w:tcPr>
          <w:p w14:paraId="45BEB7EC">
            <w:r>
              <w:t>Count by item ID</w:t>
            </w:r>
          </w:p>
        </w:tc>
        <w:tc>
          <w:tcPr>
            <w:tcW w:type="dxa" w:w="1872"/>
          </w:tcPr>
          <w:p w14:paraId="3630ED96">
            <w:r>
              <w:t>Secretariat</w:t>
            </w:r>
          </w:p>
        </w:tc>
      </w:tr>
      <w:tr>
        <w:tc>
          <w:tcPr>
            <w:tcW w:type="dxa" w:w="1872"/>
          </w:tcPr>
          <w:p w14:paraId="5AFD2E5A">
            <w:r>
              <w:t>Duties not collected</w:t>
            </w:r>
          </w:p>
        </w:tc>
        <w:tc>
          <w:tcPr>
            <w:tcW w:type="dxa" w:w="1872"/>
          </w:tcPr>
          <w:p w14:paraId="0AECEA30">
            <w:r>
              <w:t>Amount not collected solely by reason of elimination</w:t>
            </w:r>
          </w:p>
        </w:tc>
        <w:tc>
          <w:tcPr>
            <w:tcW w:type="dxa" w:w="1872"/>
          </w:tcPr>
          <w:p w14:paraId="311ED9CA">
            <w:r>
              <w:t>0 at entry into force</w:t>
            </w:r>
          </w:p>
        </w:tc>
        <w:tc>
          <w:tcPr>
            <w:tcW w:type="dxa" w:w="1872"/>
          </w:tcPr>
          <w:p w14:paraId="53A25786">
            <w:r>
              <w:t>Entry-level aggregation; no estimate as fact</w:t>
            </w:r>
          </w:p>
        </w:tc>
        <w:tc>
          <w:tcPr>
            <w:tcW w:type="dxa" w:w="1872"/>
          </w:tcPr>
          <w:p w14:paraId="0C2D73B2">
            <w:r>
              <w:t>Customs administrations</w:t>
            </w:r>
          </w:p>
        </w:tc>
      </w:tr>
      <w:tr>
        <w:tc>
          <w:tcPr>
            <w:tcW w:type="dxa" w:w="1872"/>
          </w:tcPr>
          <w:p w14:paraId="2F92835E">
            <w:r>
              <w:t>Refund cycle time</w:t>
            </w:r>
          </w:p>
        </w:tc>
        <w:tc>
          <w:tcPr>
            <w:tcW w:type="dxa" w:w="1872"/>
          </w:tcPr>
          <w:p w14:paraId="50A9CCE2">
            <w:r>
              <w:t>Complete filing to decision</w:t>
            </w:r>
          </w:p>
        </w:tc>
        <w:tc>
          <w:tcPr>
            <w:tcW w:type="dxa" w:w="1872"/>
          </w:tcPr>
          <w:p w14:paraId="2967379C">
            <w:r>
              <w:t>Established after first 30 days</w:t>
            </w:r>
          </w:p>
        </w:tc>
        <w:tc>
          <w:tcPr>
            <w:tcW w:type="dxa" w:w="1872"/>
          </w:tcPr>
          <w:p w14:paraId="7F7F6B7A">
            <w:r>
              <w:t>Median and 90th percentile days</w:t>
            </w:r>
          </w:p>
        </w:tc>
        <w:tc>
          <w:tcPr>
            <w:tcW w:type="dxa" w:w="1872"/>
          </w:tcPr>
          <w:p w14:paraId="5CB623E0">
            <w:r>
              <w:t>Customs administrations</w:t>
            </w:r>
          </w:p>
        </w:tc>
      </w:tr>
      <w:tr>
        <w:tc>
          <w:tcPr>
            <w:tcW w:type="dxa" w:w="1872"/>
          </w:tcPr>
          <w:p w14:paraId="464D0058">
            <w:r>
              <w:t>Dashboard availability</w:t>
            </w:r>
          </w:p>
        </w:tc>
        <w:tc>
          <w:tcPr>
            <w:tcW w:type="dxa" w:w="1872"/>
          </w:tcPr>
          <w:p w14:paraId="1BFD68BE">
            <w:r>
              <w:t>Available minutes / total minutes</w:t>
            </w:r>
          </w:p>
        </w:tc>
        <w:tc>
          <w:tcPr>
            <w:tcW w:type="dxa" w:w="1872"/>
          </w:tcPr>
          <w:p w14:paraId="0E10E48A">
            <w:r>
              <w:t>Day 10 minimal launch</w:t>
            </w:r>
          </w:p>
        </w:tc>
        <w:tc>
          <w:tcPr>
            <w:tcW w:type="dxa" w:w="1872"/>
          </w:tcPr>
          <w:p w14:paraId="66103F5E">
            <w:r>
              <w:t>System monitoring</w:t>
            </w:r>
          </w:p>
        </w:tc>
        <w:tc>
          <w:tcPr>
            <w:tcW w:type="dxa" w:w="1872"/>
          </w:tcPr>
          <w:p w14:paraId="62E71678">
            <w:r>
              <w:t>Technical leads</w:t>
            </w:r>
          </w:p>
        </w:tc>
      </w:tr>
      <w:tr>
        <w:tc>
          <w:tcPr>
            <w:tcW w:type="dxa" w:w="1872"/>
          </w:tcPr>
          <w:p w14:paraId="44B29402">
            <w:r>
              <w:t>Firewall exceptions</w:t>
            </w:r>
          </w:p>
        </w:tc>
        <w:tc>
          <w:tcPr>
            <w:tcW w:type="dxa" w:w="1872"/>
          </w:tcPr>
          <w:p w14:paraId="2C9384EA">
            <w:r>
              <w:t>Measures referred under Annex 5-A</w:t>
            </w:r>
          </w:p>
        </w:tc>
        <w:tc>
          <w:tcPr>
            <w:tcW w:type="dxa" w:w="1872"/>
          </w:tcPr>
          <w:p w14:paraId="10B1D086">
            <w:r>
              <w:t>0 at entry into force</w:t>
            </w:r>
          </w:p>
        </w:tc>
        <w:tc>
          <w:tcPr>
            <w:tcW w:type="dxa" w:w="1872"/>
          </w:tcPr>
          <w:p w14:paraId="7BF5DF42">
            <w:r>
              <w:t>Referral log</w:t>
            </w:r>
          </w:p>
        </w:tc>
        <w:tc>
          <w:tcPr>
            <w:tcW w:type="dxa" w:w="1872"/>
          </w:tcPr>
          <w:p w14:paraId="190C3718">
            <w:r>
              <w:t>Joint Committee</w:t>
            </w:r>
          </w:p>
        </w:tc>
      </w:tr>
      <w:tr>
        <w:tc>
          <w:tcPr>
            <w:tcW w:type="dxa" w:w="1872"/>
          </w:tcPr>
          <w:p w14:paraId="5D968EF4">
            <w:r>
              <w:t>Deliverable timeliness</w:t>
            </w:r>
          </w:p>
        </w:tc>
        <w:tc>
          <w:tcPr>
            <w:tcW w:type="dxa" w:w="1872"/>
          </w:tcPr>
          <w:p w14:paraId="7B4699C0">
            <w:r>
              <w:t>On-time deliverables / required deliverables</w:t>
            </w:r>
          </w:p>
        </w:tc>
        <w:tc>
          <w:tcPr>
            <w:tcW w:type="dxa" w:w="1872"/>
          </w:tcPr>
          <w:p w14:paraId="70CFF334">
            <w:r>
              <w:t>0 at entry into force</w:t>
            </w:r>
          </w:p>
        </w:tc>
        <w:tc>
          <w:tcPr>
            <w:tcW w:type="dxa" w:w="1872"/>
          </w:tcPr>
          <w:p w14:paraId="7EB2B0F8">
            <w:r>
              <w:t>Deliverable tracker</w:t>
            </w:r>
          </w:p>
        </w:tc>
        <w:tc>
          <w:tcPr>
            <w:tcW w:type="dxa" w:w="1872"/>
          </w:tcPr>
          <w:p w14:paraId="16028508">
            <w:r>
              <w:t>Secretariat</w:t>
            </w:r>
          </w:p>
        </w:tc>
      </w:tr>
    </w:tbl>
    <w:p>
      <w:r>
        <w:rPr>
          <w:b w:val="0"/>
        </w:rPr>
        <w:t xml:space="preserve">Reporting rule: each metric is reported monthly with its definition exactly as stated in this annex; a metric value may not be characterized in public communication beyond what the definition supports; and the Joint Committee may not adopt a new metric without a published definition in this annex.</w:t>
      </w:r>
    </w:p>
    <w:p w14:paraId="62836D80"/>
    <w:p w14:paraId="24AEDADA">
      <w:pPr>
        <w:pStyle w:val="Heading2"/>
      </w:pPr>
      <w:bookmarkStart w:id="1027" w:name="_Toc236230027"/>
      <w:r>
        <w:t>Annex 11-J Final Consistency Matrix and Revision History</w:t>
      </w:r>
      <w:bookmarkEnd w:id="1027"/>
    </w:p>
    <w:tbl>
      <w:tblPr>
        <w:tblW w:type="auto" w:w="0"/>
        <w:tblLayout w:type="autofit"/>
        <w:tblLook w:firstColumn="1" w:firstRow="1" w:lastColumn="0" w:lastRow="0" w:noHBand="0" w:noVBand="1" w:val="04A0"/>
      </w:tblPr>
      <w:tblGrid>
        <w:gridCol w:w="3120"/>
        <w:gridCol w:w="3120"/>
        <w:gridCol w:w="3120"/>
      </w:tblGrid>
      <w:tr>
        <w:tc>
          <w:tcPr>
            <w:tcW w:type="dxa" w:w="3120"/>
          </w:tcPr>
          <w:p w14:paraId="1D9D64E8">
            <w:r>
              <w:rPr>
                <w:b/>
              </w:rPr>
              <w:t>Issue</w:t>
            </w:r>
          </w:p>
        </w:tc>
        <w:tc>
          <w:tcPr>
            <w:tcW w:type="dxa" w:w="3120"/>
          </w:tcPr>
          <w:p w14:paraId="2B87FC58">
            <w:r>
              <w:rPr>
                <w:b/>
              </w:rPr>
              <w:t>Revised location</w:t>
            </w:r>
          </w:p>
        </w:tc>
        <w:tc>
          <w:tcPr>
            <w:tcW w:type="dxa" w:w="3120"/>
          </w:tcPr>
          <w:p w14:paraId="021CB824">
            <w:r>
              <w:rPr>
                <w:b/>
              </w:rPr>
              <w:t>Disposition</w:t>
            </w:r>
          </w:p>
        </w:tc>
      </w:tr>
      <w:tr>
        <w:tc>
          <w:tcPr>
            <w:tcW w:type="dxa" w:w="3120"/>
          </w:tcPr>
          <w:p w14:paraId="208ACD22">
            <w:r>
              <w:t>Article 4.8 cross-reference</w:t>
            </w:r>
          </w:p>
        </w:tc>
        <w:tc>
          <w:tcPr>
            <w:tcW w:type="dxa" w:w="3120"/>
          </w:tcPr>
          <w:p w14:paraId="11116822">
            <w:r>
              <w:t>Annex 11-J.4</w:t>
            </w:r>
          </w:p>
        </w:tc>
        <w:tc>
          <w:tcPr>
            <w:tcW w:type="dxa" w:w="3120"/>
          </w:tcPr>
          <w:p w14:paraId="58B3AF92">
            <w:r>
              <w:t>Corrected to Article 4H, Articles 5.4 and 8.2</w:t>
            </w:r>
          </w:p>
        </w:tc>
      </w:tr>
      <w:tr>
        <w:tc>
          <w:tcPr>
            <w:tcW w:type="dxa" w:w="3120"/>
          </w:tcPr>
          <w:p w14:paraId="177FA0EC">
            <w:r>
              <w:t>Article 2-C cross-reference</w:t>
            </w:r>
          </w:p>
        </w:tc>
        <w:tc>
          <w:tcPr>
            <w:tcW w:type="dxa" w:w="3120"/>
          </w:tcPr>
          <w:p w14:paraId="2DF0DAD0">
            <w:r>
              <w:t>Annex 12-C.4</w:t>
            </w:r>
          </w:p>
        </w:tc>
        <w:tc>
          <w:tcPr>
            <w:tcW w:type="dxa" w:w="3120"/>
          </w:tcPr>
          <w:p w14:paraId="70C22B8A">
            <w:r>
              <w:t>Corrected to Annex 2-C and Article 2.6.3</w:t>
            </w:r>
          </w:p>
        </w:tc>
      </w:tr>
      <w:tr>
        <w:tc>
          <w:tcPr>
            <w:tcW w:type="dxa" w:w="3120"/>
          </w:tcPr>
          <w:p w14:paraId="2AA9984C">
            <w:r>
              <w:t>Placeholder playbook tables</w:t>
            </w:r>
          </w:p>
        </w:tc>
        <w:tc>
          <w:tcPr>
            <w:tcW w:type="dxa" w:w="3120"/>
          </w:tcPr>
          <w:p w14:paraId="3341F7BE">
            <w:r>
              <w:t>Annex 12 series</w:t>
            </w:r>
          </w:p>
        </w:tc>
        <w:tc>
          <w:tcPr>
            <w:tcW w:type="dxa" w:w="3120"/>
          </w:tcPr>
          <w:p w14:paraId="591CAE1E">
            <w:r>
              <w:t>Replaced with playbook-specific criteria</w:t>
            </w:r>
          </w:p>
        </w:tc>
      </w:tr>
      <w:tr>
        <w:tc>
          <w:tcPr>
            <w:tcW w:type="dxa" w:w="3120"/>
          </w:tcPr>
          <w:p w14:paraId="40F5C5BA">
            <w:r>
              <w:t>Misplaced risk table</w:t>
            </w:r>
          </w:p>
        </w:tc>
        <w:tc>
          <w:tcPr>
            <w:tcW w:type="dxa" w:w="3120"/>
          </w:tcPr>
          <w:p w14:paraId="2A3A286C">
            <w:r>
              <w:t>Annex 11-C</w:t>
            </w:r>
          </w:p>
        </w:tc>
        <w:tc>
          <w:tcPr>
            <w:tcW w:type="dxa" w:w="3120"/>
          </w:tcPr>
          <w:p w14:paraId="1ABF5A58">
            <w:r>
              <w:t>Moved from Annex 11-E</w:t>
            </w:r>
          </w:p>
        </w:tc>
      </w:tr>
      <w:tr>
        <w:tc>
          <w:tcPr>
            <w:tcW w:type="dxa" w:w="3120"/>
          </w:tcPr>
          <w:p w14:paraId="1C2E0C98">
            <w:r>
              <w:t>Misplaced metrics table</w:t>
            </w:r>
          </w:p>
        </w:tc>
        <w:tc>
          <w:tcPr>
            <w:tcW w:type="dxa" w:w="3120"/>
          </w:tcPr>
          <w:p w14:paraId="34210A0E">
            <w:r>
              <w:t>Annex 11-I</w:t>
            </w:r>
          </w:p>
        </w:tc>
        <w:tc>
          <w:tcPr>
            <w:tcW w:type="dxa" w:w="3120"/>
          </w:tcPr>
          <w:p w14:paraId="5E25BEC0">
            <w:r>
              <w:t>Moved from Annex 11-H</w:t>
            </w:r>
          </w:p>
        </w:tc>
      </w:tr>
      <w:tr>
        <w:tc>
          <w:tcPr>
            <w:tcW w:type="dxa" w:w="3120"/>
          </w:tcPr>
          <w:p w14:paraId="72747494">
            <w:r>
              <w:t>Revision instruction table</w:t>
            </w:r>
          </w:p>
        </w:tc>
        <w:tc>
          <w:tcPr>
            <w:tcW w:type="dxa" w:w="3120"/>
          </w:tcPr>
          <w:p w14:paraId="71679E46">
            <w:r>
              <w:t>Annex 11-J</w:t>
            </w:r>
          </w:p>
        </w:tc>
        <w:tc>
          <w:tcPr>
            <w:tcW w:type="dxa" w:w="3120"/>
          </w:tcPr>
          <w:p w14:paraId="0557F872">
            <w:r>
              <w:t>Moved from Annex 11-I</w:t>
            </w:r>
          </w:p>
        </w:tc>
      </w:tr>
      <w:tr>
        <w:tc>
          <w:tcPr>
            <w:tcW w:type="dxa" w:w="3120"/>
          </w:tcPr>
          <w:p w14:paraId="7656F2D6">
            <w:r>
              <w:t>Annex 4H-2 ordering</w:t>
            </w:r>
          </w:p>
        </w:tc>
        <w:tc>
          <w:tcPr>
            <w:tcW w:type="dxa" w:w="3120"/>
          </w:tcPr>
          <w:p w14:paraId="29CA6C0A">
            <w:r>
              <w:t>TOC and annex sequence</w:t>
            </w:r>
          </w:p>
        </w:tc>
        <w:tc>
          <w:tcPr>
            <w:tcW w:type="dxa" w:w="3120"/>
          </w:tcPr>
          <w:p w14:paraId="2B692FBA">
            <w:r>
              <w:t>Placed before Annex 4I-1</w:t>
            </w:r>
          </w:p>
        </w:tc>
      </w:tr>
      <w:tr>
        <w:tc>
          <w:tcPr>
            <w:tcW w:type="dxa" w:w="3120"/>
          </w:tcPr>
          <w:p w14:paraId="4A681064">
            <w:r>
              <w:t>Dashboard deadlines</w:t>
            </w:r>
          </w:p>
        </w:tc>
        <w:tc>
          <w:tcPr>
            <w:tcW w:type="dxa" w:w="3120"/>
          </w:tcPr>
          <w:p w14:paraId="202E65DC">
            <w:r>
              <w:t>Articles 2.9.1, 3.5.1, Annex 3-A</w:t>
            </w:r>
          </w:p>
        </w:tc>
        <w:tc>
          <w:tcPr>
            <w:tcW w:type="dxa" w:w="3120"/>
          </w:tcPr>
          <w:p w14:paraId="423AE098">
            <w:r>
              <w:t>Minimal Day 10; full Day 15</w:t>
            </w:r>
          </w:p>
        </w:tc>
      </w:tr>
      <w:tr>
        <w:tc>
          <w:tcPr>
            <w:tcW w:type="dxa" w:w="3120"/>
          </w:tcPr>
          <w:p w14:paraId="061CF260">
            <w:r>
              <w:t>List publication</w:t>
            </w:r>
          </w:p>
        </w:tc>
        <w:tc>
          <w:tcPr>
            <w:tcW w:type="dxa" w:w="3120"/>
          </w:tcPr>
          <w:p w14:paraId="21EFDD68">
            <w:r>
              <w:t>Articles 2.2.3, 2.7.2, Annex 3-A</w:t>
            </w:r>
          </w:p>
        </w:tc>
        <w:tc>
          <w:tcPr>
            <w:tcW w:type="dxa" w:w="3120"/>
          </w:tcPr>
          <w:p w14:paraId="6D77607E">
            <w:r>
              <w:t>Transmit Day 1; publish within 5 days; no collection in gap</w:t>
            </w:r>
          </w:p>
        </w:tc>
      </w:tr>
      <w:tr>
        <w:tc>
          <w:tcPr>
            <w:tcW w:type="dxa" w:w="3120"/>
          </w:tcPr>
          <w:p w14:paraId="3475D92C">
            <w:r>
              <w:t>90-day architecture</w:t>
            </w:r>
          </w:p>
        </w:tc>
        <w:tc>
          <w:tcPr>
            <w:tcW w:type="dxa" w:w="3120"/>
          </w:tcPr>
          <w:p w14:paraId="62209DD0">
            <w:r>
              <w:t>Articles 3.1–3.4, Annex 3-A</w:t>
            </w:r>
          </w:p>
        </w:tc>
        <w:tc>
          <w:tcPr>
            <w:tcW w:type="dxa" w:w="3120"/>
          </w:tcPr>
          <w:p w14:paraId="3E026352">
            <w:r>
              <w:t>Confirmed and extended to Day 135</w:t>
            </w:r>
          </w:p>
        </w:tc>
      </w:tr>
      <w:tr>
        <w:tc>
          <w:tcPr>
            <w:tcW w:type="dxa" w:w="3120"/>
          </w:tcPr>
          <w:p w14:paraId="56F32E4E">
            <w:r>
              <w:t>Suspension to elimination language</w:t>
            </w:r>
          </w:p>
        </w:tc>
        <w:tc>
          <w:tcPr>
            <w:tcW w:type="dxa" w:w="3120"/>
          </w:tcPr>
          <w:p w14:paraId="40F2A324">
            <w:r>
              <w:t>Global revision log</w:t>
            </w:r>
          </w:p>
        </w:tc>
        <w:tc>
          <w:tcPr>
            <w:tcW w:type="dxa" w:w="3120"/>
          </w:tcPr>
          <w:p w14:paraId="381E49E2">
            <w:r>
              <w:t>Reviewed; elimination is operative only upon entry into force</w:t>
            </w:r>
          </w:p>
        </w:tc>
      </w:tr>
      <w:tr>
        <w:tc>
          <w:tcPr>
            <w:tcW w:type="dxa" w:w="3120"/>
          </w:tcPr>
          <w:p>
            <w:r>
              <w:t xml:space="preserve">v1.4 revision</w:t>
            </w:r>
          </w:p>
        </w:tc>
        <w:tc>
          <w:tcPr>
            <w:tcW w:type="dxa" w:w="3120"/>
          </w:tcPr>
          <w:p>
            <w:r>
              <w:t xml:space="preserve">Cover, TOC, Annexes 2-A and 2-B, annex library</w:t>
            </w:r>
          </w:p>
        </w:tc>
        <w:tc>
          <w:tcPr>
            <w:tcW w:type="dxa" w:w="3120"/>
          </w:tcPr>
          <w:p>
            <w:r>
              <w:t xml:space="preserve">Line-level tariff schedules added to Annexes 2-A and 2-B; three-section annex architecture adopted; drafting artifacts removed; annex operative detail expanded to full parity with the Canada–United States instrument</w:t>
            </w:r>
          </w:p>
        </w:tc>
      </w:tr>
    </w:tbl>
    <w:p w14:paraId="2AC691C6"/>
    <w:p w14:paraId="446CB67C">
      <w:pPr>
        <w:pStyle w:val="Heading1"/>
      </w:pPr>
      <w:bookmarkStart w:id="1028" w:name="_Toc236230028"/>
      <w:r>
        <w:t>Annex 12: Operational Playbooks</w:t>
      </w:r>
      <w:bookmarkEnd w:id="1028"/>
    </w:p>
    <w:p w14:paraId="3C3665EC">
      <w:pPr>
        <w:pStyle w:val="Heading2"/>
      </w:pPr>
      <w:bookmarkStart w:id="1029" w:name="_Toc236230029"/>
      <w:r>
        <w:t>Annex 12-A Elimination Go-Live Playbook</w:t>
      </w:r>
      <w:bookmarkEnd w:id="1029"/>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601F520A">
            <w:r>
              <w:rPr>
                <w:b/>
              </w:rPr>
              <w:t>Stage / item</w:t>
            </w:r>
          </w:p>
        </w:tc>
        <w:tc>
          <w:tcPr>
            <w:tcW w:type="dxa" w:w="2340"/>
          </w:tcPr>
          <w:p w14:paraId="61F9CC28">
            <w:r>
              <w:rPr>
                <w:b/>
              </w:rPr>
              <w:t>Criterion or action</w:t>
            </w:r>
          </w:p>
        </w:tc>
        <w:tc>
          <w:tcPr>
            <w:tcW w:type="dxa" w:w="2340"/>
          </w:tcPr>
          <w:p w14:paraId="4881B53A">
            <w:r>
              <w:rPr>
                <w:b/>
              </w:rPr>
              <w:t>Responsible authority</w:t>
            </w:r>
          </w:p>
        </w:tc>
        <w:tc>
          <w:tcPr>
            <w:tcW w:type="dxa" w:w="2340"/>
          </w:tcPr>
          <w:p w14:paraId="6536C7CC">
            <w:r>
              <w:rPr>
                <w:b/>
              </w:rPr>
              <w:t>Required output</w:t>
            </w:r>
          </w:p>
        </w:tc>
      </w:tr>
      <w:tr>
        <w:tc>
          <w:tcPr>
            <w:tcW w:type="dxa" w:w="2340"/>
          </w:tcPr>
          <w:p w14:paraId="2E821506">
            <w:r>
              <w:t>T-minus 10</w:t>
            </w:r>
          </w:p>
        </w:tc>
        <w:tc>
          <w:tcPr>
            <w:tcW w:type="dxa" w:w="2340"/>
          </w:tcPr>
          <w:p w14:paraId="4373AAF4">
            <w:r>
              <w:t>Validate schedules, systems, guidance, fallback instructions</w:t>
            </w:r>
          </w:p>
        </w:tc>
        <w:tc>
          <w:tcPr>
            <w:tcW w:type="dxa" w:w="2340"/>
          </w:tcPr>
          <w:p w14:paraId="60AF0CC4">
            <w:r>
              <w:t>USTR / Secretaría de Economía</w:t>
            </w:r>
          </w:p>
        </w:tc>
        <w:tc>
          <w:tcPr>
            <w:tcW w:type="dxa" w:w="2340"/>
          </w:tcPr>
          <w:p w14:paraId="38C3F2E4">
            <w:r>
              <w:t>Certified go/no-go checklist</w:t>
            </w:r>
          </w:p>
        </w:tc>
      </w:tr>
      <w:tr>
        <w:tc>
          <w:tcPr>
            <w:tcW w:type="dxa" w:w="2340"/>
          </w:tcPr>
          <w:p w14:paraId="2F689158">
            <w:r>
              <w:t>T-minus 5</w:t>
            </w:r>
          </w:p>
        </w:tc>
        <w:tc>
          <w:tcPr>
            <w:tcW w:type="dxa" w:w="2340"/>
          </w:tcPr>
          <w:p w14:paraId="2D5CC39C">
            <w:r>
              <w:t>Freeze draft schedule and publish pre-implementation notice</w:t>
            </w:r>
          </w:p>
        </w:tc>
        <w:tc>
          <w:tcPr>
            <w:tcW w:type="dxa" w:w="2340"/>
          </w:tcPr>
          <w:p w14:paraId="14B92ABA">
            <w:r>
              <w:t>CBP / ANAM/SAT</w:t>
            </w:r>
          </w:p>
        </w:tc>
        <w:tc>
          <w:tcPr>
            <w:tcW w:type="dxa" w:w="2340"/>
          </w:tcPr>
          <w:p w14:paraId="6900A8EC">
            <w:r>
              <w:t>Versioned notice</w:t>
            </w:r>
          </w:p>
        </w:tc>
      </w:tr>
      <w:tr>
        <w:tc>
          <w:tcPr>
            <w:tcW w:type="dxa" w:w="2340"/>
          </w:tcPr>
          <w:p w14:paraId="7E2FA7D8">
            <w:r>
              <w:t>T-minus 1</w:t>
            </w:r>
          </w:p>
        </w:tc>
        <w:tc>
          <w:tcPr>
            <w:tcW w:type="dxa" w:w="2340"/>
          </w:tcPr>
          <w:p w14:paraId="78249106">
            <w:r>
              <w:t>Load certified item IDs, test zero-collection flag, confirm transit rule</w:t>
            </w:r>
          </w:p>
        </w:tc>
        <w:tc>
          <w:tcPr>
            <w:tcW w:type="dxa" w:w="2340"/>
          </w:tcPr>
          <w:p w14:paraId="52A6EAE2">
            <w:r>
              <w:t>Customs technical leads</w:t>
            </w:r>
          </w:p>
        </w:tc>
        <w:tc>
          <w:tcPr>
            <w:tcW w:type="dxa" w:w="2340"/>
          </w:tcPr>
          <w:p w14:paraId="164038B0">
            <w:r>
              <w:t>Test evidence</w:t>
            </w:r>
          </w:p>
        </w:tc>
      </w:tr>
      <w:tr>
        <w:tc>
          <w:tcPr>
            <w:tcW w:type="dxa" w:w="2340"/>
          </w:tcPr>
          <w:p w14:paraId="513FBE26">
            <w:r>
              <w:t>Day 1 00:01 UTC</w:t>
            </w:r>
          </w:p>
        </w:tc>
        <w:tc>
          <w:tcPr>
            <w:tcW w:type="dxa" w:w="2340"/>
          </w:tcPr>
          <w:p w14:paraId="4651AC5C">
            <w:r>
              <w:t>Activate elimination and transmit lists</w:t>
            </w:r>
          </w:p>
        </w:tc>
        <w:tc>
          <w:tcPr>
            <w:tcW w:type="dxa" w:w="2340"/>
          </w:tcPr>
          <w:p w14:paraId="23E84BF6">
            <w:r>
              <w:t>Customs administrations</w:t>
            </w:r>
          </w:p>
        </w:tc>
        <w:tc>
          <w:tcPr>
            <w:tcW w:type="dxa" w:w="2340"/>
          </w:tcPr>
          <w:p w14:paraId="7011903A">
            <w:r>
              <w:t>Transmission record</w:t>
            </w:r>
          </w:p>
        </w:tc>
      </w:tr>
      <w:tr>
        <w:tc>
          <w:tcPr>
            <w:tcW w:type="dxa" w:w="2340"/>
          </w:tcPr>
          <w:p w14:paraId="068D9FA4">
            <w:r>
              <w:t>Day 1–5</w:t>
            </w:r>
          </w:p>
        </w:tc>
        <w:tc>
          <w:tcPr>
            <w:tcW w:type="dxa" w:w="2340"/>
          </w:tcPr>
          <w:p w14:paraId="2A459480">
            <w:r>
              <w:t>Publish lists and guidance; no collection during documented gap</w:t>
            </w:r>
          </w:p>
        </w:tc>
        <w:tc>
          <w:tcPr>
            <w:tcW w:type="dxa" w:w="2340"/>
          </w:tcPr>
          <w:p w14:paraId="34282034">
            <w:r>
              <w:t>Customs administrations</w:t>
            </w:r>
          </w:p>
        </w:tc>
        <w:tc>
          <w:tcPr>
            <w:tcW w:type="dxa" w:w="2340"/>
          </w:tcPr>
          <w:p w14:paraId="0B078254">
            <w:r>
              <w:t>Publication record</w:t>
            </w:r>
          </w:p>
        </w:tc>
      </w:tr>
      <w:tr>
        <w:tc>
          <w:tcPr>
            <w:tcW w:type="dxa" w:w="2340"/>
          </w:tcPr>
          <w:p w14:paraId="5ED4CCAA">
            <w:r>
              <w:t>Day 10</w:t>
            </w:r>
          </w:p>
        </w:tc>
        <w:tc>
          <w:tcPr>
            <w:tcW w:type="dxa" w:w="2340"/>
          </w:tcPr>
          <w:p w14:paraId="47599B5A">
            <w:r>
              <w:t>Minimal dashboard live; incident review</w:t>
            </w:r>
          </w:p>
        </w:tc>
        <w:tc>
          <w:tcPr>
            <w:tcW w:type="dxa" w:w="2340"/>
          </w:tcPr>
          <w:p w14:paraId="7716B03E">
            <w:r>
              <w:t>Joint Committee</w:t>
            </w:r>
          </w:p>
        </w:tc>
        <w:tc>
          <w:tcPr>
            <w:tcW w:type="dxa" w:w="2340"/>
          </w:tcPr>
          <w:p w14:paraId="4A90939E">
            <w:r>
              <w:t>Go-live report</w:t>
            </w:r>
          </w:p>
        </w:tc>
      </w:tr>
      <w:tr>
        <w:tc>
          <w:tcPr>
            <w:tcW w:type="dxa" w:w="2340"/>
          </w:tcPr>
          <w:p w14:paraId="42203828">
            <w:r>
              <w:t>Day 15</w:t>
            </w:r>
          </w:p>
        </w:tc>
        <w:tc>
          <w:tcPr>
            <w:tcW w:type="dxa" w:w="2340"/>
          </w:tcPr>
          <w:p w14:paraId="11C2462C">
            <w:r>
              <w:t>Full dashboard live; corrective-action plan closed or escalated</w:t>
            </w:r>
          </w:p>
        </w:tc>
        <w:tc>
          <w:tcPr>
            <w:tcW w:type="dxa" w:w="2340"/>
          </w:tcPr>
          <w:p w14:paraId="6D8401AA">
            <w:r>
              <w:t>Joint Committee</w:t>
            </w:r>
          </w:p>
        </w:tc>
        <w:tc>
          <w:tcPr>
            <w:tcW w:type="dxa" w:w="2340"/>
          </w:tcPr>
          <w:p w14:paraId="4B078F3E">
            <w:r>
              <w:t>Readiness certificate</w:t>
            </w:r>
          </w:p>
        </w:tc>
      </w:tr>
    </w:tbl>
    <w:p>
      <w:r>
        <w:rPr>
          <w:b w:val="0"/>
        </w:rPr>
        <w:t xml:space="preserve">Go/no-go criteria (pass/fail gates): (1) every certified item ID loaded and the zero-collection flag tested; (2) the fallback filing channel tested at one land port and one seaport per Party; (3) dashboard ingestion verified against live entry data; (4) contact points confirmed in writing. Failure of any gate delays Day-1 activation and triggers the Article 9.12 force majeure notice; failure does not permit collection of an eliminated charge.</w:t>
      </w:r>
    </w:p>
    <w:p w14:paraId="5F656752"/>
    <w:p w14:paraId="64042204">
      <w:pPr>
        <w:pStyle w:val="Heading2"/>
      </w:pPr>
      <w:bookmarkStart w:id="1030" w:name="_Toc236230030"/>
      <w:r>
        <w:t>Annex 12-B No-Resurrection Audit Playbook</w:t>
      </w:r>
      <w:bookmarkEnd w:id="1030"/>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5E947294">
            <w:r>
              <w:rPr>
                <w:b/>
              </w:rPr>
              <w:t>Stage / item</w:t>
            </w:r>
          </w:p>
        </w:tc>
        <w:tc>
          <w:tcPr>
            <w:tcW w:type="dxa" w:w="2340"/>
          </w:tcPr>
          <w:p w14:paraId="58D98076">
            <w:r>
              <w:rPr>
                <w:b/>
              </w:rPr>
              <w:t>Criterion or action</w:t>
            </w:r>
          </w:p>
        </w:tc>
        <w:tc>
          <w:tcPr>
            <w:tcW w:type="dxa" w:w="2340"/>
          </w:tcPr>
          <w:p w14:paraId="0C7336EC">
            <w:r>
              <w:rPr>
                <w:b/>
              </w:rPr>
              <w:t>Responsible authority</w:t>
            </w:r>
          </w:p>
        </w:tc>
        <w:tc>
          <w:tcPr>
            <w:tcW w:type="dxa" w:w="2340"/>
          </w:tcPr>
          <w:p w14:paraId="628A3074">
            <w:r>
              <w:rPr>
                <w:b/>
              </w:rPr>
              <w:t>Required output</w:t>
            </w:r>
          </w:p>
        </w:tc>
      </w:tr>
      <w:tr>
        <w:tc>
          <w:tcPr>
            <w:tcW w:type="dxa" w:w="2340"/>
          </w:tcPr>
          <w:p w14:paraId="04448428">
            <w:r>
              <w:t>Trigger</w:t>
            </w:r>
          </w:p>
        </w:tc>
        <w:tc>
          <w:tcPr>
            <w:tcW w:type="dxa" w:w="2340"/>
          </w:tcPr>
          <w:p w14:paraId="7E693A4E">
            <w:r>
              <w:t>New measure materially overlaps eliminated line</w:t>
            </w:r>
          </w:p>
        </w:tc>
        <w:tc>
          <w:tcPr>
            <w:tcW w:type="dxa" w:w="2340"/>
          </w:tcPr>
          <w:p w14:paraId="242D2ECA">
            <w:r>
              <w:t>Customs / trade legal</w:t>
            </w:r>
          </w:p>
        </w:tc>
        <w:tc>
          <w:tcPr>
            <w:tcW w:type="dxa" w:w="2340"/>
          </w:tcPr>
          <w:p w14:paraId="1B0AB76A">
            <w:r>
              <w:t>Referral memo</w:t>
            </w:r>
          </w:p>
        </w:tc>
      </w:tr>
      <w:tr>
        <w:tc>
          <w:tcPr>
            <w:tcW w:type="dxa" w:w="2340"/>
          </w:tcPr>
          <w:p w14:paraId="66CDA44C">
            <w:r>
              <w:t>Sampling</w:t>
            </w:r>
          </w:p>
        </w:tc>
        <w:tc>
          <w:tcPr>
            <w:tcW w:type="dxa" w:w="2340"/>
          </w:tcPr>
          <w:p w14:paraId="26D722C2">
            <w:r>
              <w:t>100 percent of overlapping measures; 10 percent random sample of other border measures</w:t>
            </w:r>
          </w:p>
        </w:tc>
        <w:tc>
          <w:tcPr>
            <w:tcW w:type="dxa" w:w="2340"/>
          </w:tcPr>
          <w:p w14:paraId="117E59A0">
            <w:r>
              <w:t>Audit team</w:t>
            </w:r>
          </w:p>
        </w:tc>
        <w:tc>
          <w:tcPr>
            <w:tcW w:type="dxa" w:w="2340"/>
          </w:tcPr>
          <w:p w14:paraId="29414CFC">
            <w:r>
              <w:t>Sampling log</w:t>
            </w:r>
          </w:p>
        </w:tc>
      </w:tr>
      <w:tr>
        <w:tc>
          <w:tcPr>
            <w:tcW w:type="dxa" w:w="2340"/>
          </w:tcPr>
          <w:p w14:paraId="59E9BB92">
            <w:r>
              <w:t>Comparison</w:t>
            </w:r>
          </w:p>
        </w:tc>
        <w:tc>
          <w:tcPr>
            <w:tcW w:type="dxa" w:w="2340"/>
          </w:tcPr>
          <w:p w14:paraId="6BB3BCE6">
            <w:r>
              <w:t>Product scope, formula, collection point, predicate, landed-cost effect</w:t>
            </w:r>
          </w:p>
        </w:tc>
        <w:tc>
          <w:tcPr>
            <w:tcW w:type="dxa" w:w="2340"/>
          </w:tcPr>
          <w:p w14:paraId="79029A3E">
            <w:r>
              <w:t>Audit team</w:t>
            </w:r>
          </w:p>
        </w:tc>
        <w:tc>
          <w:tcPr>
            <w:tcW w:type="dxa" w:w="2340"/>
          </w:tcPr>
          <w:p w14:paraId="43922728">
            <w:r>
              <w:t>Comparison table</w:t>
            </w:r>
          </w:p>
        </w:tc>
      </w:tr>
      <w:tr>
        <w:tc>
          <w:tcPr>
            <w:tcW w:type="dxa" w:w="2340"/>
          </w:tcPr>
          <w:p w14:paraId="3AF52186">
            <w:r>
              <w:t>Determination</w:t>
            </w:r>
          </w:p>
        </w:tc>
        <w:tc>
          <w:tcPr>
            <w:tcW w:type="dxa" w:w="2340"/>
          </w:tcPr>
          <w:p w14:paraId="59655FAA">
            <w:r>
              <w:t>Breach, justified new measure, lawful preserved measure, or insufficient evidence</w:t>
            </w:r>
          </w:p>
        </w:tc>
        <w:tc>
          <w:tcPr>
            <w:tcW w:type="dxa" w:w="2340"/>
          </w:tcPr>
          <w:p w14:paraId="4FCB4024">
            <w:r>
              <w:t>Joint legal leads</w:t>
            </w:r>
          </w:p>
        </w:tc>
        <w:tc>
          <w:tcPr>
            <w:tcW w:type="dxa" w:w="2340"/>
          </w:tcPr>
          <w:p w14:paraId="5F553844">
            <w:r>
              <w:t>Reasoned record</w:t>
            </w:r>
          </w:p>
        </w:tc>
      </w:tr>
      <w:tr>
        <w:tc>
          <w:tcPr>
            <w:tcW w:type="dxa" w:w="2340"/>
          </w:tcPr>
          <w:p w14:paraId="554E0F3E">
            <w:r>
              <w:t>Remediation</w:t>
            </w:r>
          </w:p>
        </w:tc>
        <w:tc>
          <w:tcPr>
            <w:tcW w:type="dxa" w:w="2340"/>
          </w:tcPr>
          <w:p w14:paraId="78E9D6DE">
            <w:r>
              <w:t>Removal, redesign, or expedited review</w:t>
            </w:r>
          </w:p>
        </w:tc>
        <w:tc>
          <w:tcPr>
            <w:tcW w:type="dxa" w:w="2340"/>
          </w:tcPr>
          <w:p w14:paraId="69666790">
            <w:r>
              <w:t>Responsible authority</w:t>
            </w:r>
          </w:p>
        </w:tc>
        <w:tc>
          <w:tcPr>
            <w:tcW w:type="dxa" w:w="2340"/>
          </w:tcPr>
          <w:p w14:paraId="2AA29CA6">
            <w:r>
              <w:t>After-action report</w:t>
            </w:r>
          </w:p>
        </w:tc>
      </w:tr>
    </w:tbl>
    <w:p w14:paraId="57D2DA44"/>
    <w:p w14:paraId="4A975696">
      <w:pPr>
        <w:pStyle w:val="Heading2"/>
      </w:pPr>
      <w:bookmarkStart w:id="1031" w:name="_Toc236230031"/>
      <w:r>
        <w:t>Annex 12-C Refund Operations Playbook</w:t>
      </w:r>
      <w:bookmarkEnd w:id="1031"/>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610041D8">
            <w:r>
              <w:rPr>
                <w:b/>
              </w:rPr>
              <w:t>Stage / item</w:t>
            </w:r>
          </w:p>
        </w:tc>
        <w:tc>
          <w:tcPr>
            <w:tcW w:type="dxa" w:w="2340"/>
          </w:tcPr>
          <w:p w14:paraId="7EF7ADD8">
            <w:r>
              <w:rPr>
                <w:b/>
              </w:rPr>
              <w:t>Criterion or action</w:t>
            </w:r>
          </w:p>
        </w:tc>
        <w:tc>
          <w:tcPr>
            <w:tcW w:type="dxa" w:w="2340"/>
          </w:tcPr>
          <w:p w14:paraId="37442934">
            <w:r>
              <w:rPr>
                <w:b/>
              </w:rPr>
              <w:t>Responsible authority</w:t>
            </w:r>
          </w:p>
        </w:tc>
        <w:tc>
          <w:tcPr>
            <w:tcW w:type="dxa" w:w="2340"/>
          </w:tcPr>
          <w:p w14:paraId="7BEDBD68">
            <w:r>
              <w:rPr>
                <w:b/>
              </w:rPr>
              <w:t>Required output</w:t>
            </w:r>
          </w:p>
        </w:tc>
      </w:tr>
      <w:tr>
        <w:tc>
          <w:tcPr>
            <w:tcW w:type="dxa" w:w="2340"/>
          </w:tcPr>
          <w:p w14:paraId="6ECAA952">
            <w:r>
              <w:t>Intake QC</w:t>
            </w:r>
          </w:p>
        </w:tc>
        <w:tc>
          <w:tcPr>
            <w:tcW w:type="dxa" w:w="2340"/>
          </w:tcPr>
          <w:p w14:paraId="3AB4E606">
            <w:r>
              <w:t>Complete entry/pedimento, payment, origin, authority, deadline</w:t>
            </w:r>
          </w:p>
        </w:tc>
        <w:tc>
          <w:tcPr>
            <w:tcW w:type="dxa" w:w="2340"/>
          </w:tcPr>
          <w:p w14:paraId="1F0FF4E8">
            <w:r>
              <w:t>CBP / ANAM/SAT</w:t>
            </w:r>
          </w:p>
        </w:tc>
        <w:tc>
          <w:tcPr>
            <w:tcW w:type="dxa" w:w="2340"/>
          </w:tcPr>
          <w:p w14:paraId="0C21CCCA">
            <w:r>
              <w:t>Acceptance or deficiency notice</w:t>
            </w:r>
          </w:p>
        </w:tc>
      </w:tr>
      <w:tr>
        <w:tc>
          <w:tcPr>
            <w:tcW w:type="dxa" w:w="2340"/>
          </w:tcPr>
          <w:p w14:paraId="5EA4E246">
            <w:r>
              <w:t>Duplicate check</w:t>
            </w:r>
          </w:p>
        </w:tc>
        <w:tc>
          <w:tcPr>
            <w:tcW w:type="dxa" w:w="2340"/>
          </w:tcPr>
          <w:p w14:paraId="61B9EE16">
            <w:r>
              <w:t>Match importer, entry, line, amount, litigation recovery</w:t>
            </w:r>
          </w:p>
        </w:tc>
        <w:tc>
          <w:tcPr>
            <w:tcW w:type="dxa" w:w="2340"/>
          </w:tcPr>
          <w:p w14:paraId="0B14ED7A">
            <w:r>
              <w:t>Refund unit</w:t>
            </w:r>
          </w:p>
        </w:tc>
        <w:tc>
          <w:tcPr>
            <w:tcW w:type="dxa" w:w="2340"/>
          </w:tcPr>
          <w:p w14:paraId="12970912">
            <w:r>
              <w:t>No-duplication memo</w:t>
            </w:r>
          </w:p>
        </w:tc>
      </w:tr>
      <w:tr>
        <w:tc>
          <w:tcPr>
            <w:tcW w:type="dxa" w:w="2340"/>
          </w:tcPr>
          <w:p w14:paraId="25C4A3B2">
            <w:r>
              <w:t>Fraud referral</w:t>
            </w:r>
          </w:p>
        </w:tc>
        <w:tc>
          <w:tcPr>
            <w:tcW w:type="dxa" w:w="2340"/>
          </w:tcPr>
          <w:p w14:paraId="5371B364">
            <w:r>
              <w:t>False statement, shell importer, fabricated payment, origin fraud</w:t>
            </w:r>
          </w:p>
        </w:tc>
        <w:tc>
          <w:tcPr>
            <w:tcW w:type="dxa" w:w="2340"/>
          </w:tcPr>
          <w:p w14:paraId="3A90015E">
            <w:r>
              <w:t>Customs fraud unit</w:t>
            </w:r>
          </w:p>
        </w:tc>
        <w:tc>
          <w:tcPr>
            <w:tcW w:type="dxa" w:w="2340"/>
          </w:tcPr>
          <w:p w14:paraId="20E9C00E">
            <w:r>
              <w:t>Referral record</w:t>
            </w:r>
          </w:p>
        </w:tc>
      </w:tr>
      <w:tr>
        <w:tc>
          <w:tcPr>
            <w:tcW w:type="dxa" w:w="2340"/>
          </w:tcPr>
          <w:p w14:paraId="70C8A114">
            <w:r>
              <w:t>Decision</w:t>
            </w:r>
          </w:p>
        </w:tc>
        <w:tc>
          <w:tcPr>
            <w:tcW w:type="dxa" w:w="2340"/>
          </w:tcPr>
          <w:p w14:paraId="7269AEE4">
            <w:r>
              <w:t>60-day target after complete filing, subject to domestic law</w:t>
            </w:r>
          </w:p>
        </w:tc>
        <w:tc>
          <w:tcPr>
            <w:tcW w:type="dxa" w:w="2340"/>
          </w:tcPr>
          <w:p w14:paraId="314E0DB6">
            <w:r>
              <w:t>Administering authority</w:t>
            </w:r>
          </w:p>
        </w:tc>
        <w:tc>
          <w:tcPr>
            <w:tcW w:type="dxa" w:w="2340"/>
          </w:tcPr>
          <w:p w14:paraId="57E5C2CC">
            <w:r>
              <w:t>Reasoned decision</w:t>
            </w:r>
          </w:p>
        </w:tc>
      </w:tr>
      <w:tr>
        <w:tc>
          <w:tcPr>
            <w:tcW w:type="dxa" w:w="2340"/>
          </w:tcPr>
          <w:p w14:paraId="2DEEF936">
            <w:r>
              <w:t>Reconciliation</w:t>
            </w:r>
          </w:p>
        </w:tc>
        <w:tc>
          <w:tcPr>
            <w:tcW w:type="dxa" w:w="2340"/>
          </w:tcPr>
          <w:p w14:paraId="364AE254">
            <w:r>
              <w:t>Monthly totals and systemic-error report</w:t>
            </w:r>
          </w:p>
        </w:tc>
        <w:tc>
          <w:tcPr>
            <w:tcW w:type="dxa" w:w="2340"/>
          </w:tcPr>
          <w:p w14:paraId="18E5A0BE">
            <w:r>
              <w:t>Both customs administrations</w:t>
            </w:r>
          </w:p>
        </w:tc>
        <w:tc>
          <w:tcPr>
            <w:tcW w:type="dxa" w:w="2340"/>
          </w:tcPr>
          <w:p w14:paraId="3C56D9A6">
            <w:r>
              <w:t>Reconciliation report</w:t>
            </w:r>
          </w:p>
        </w:tc>
      </w:tr>
    </w:tbl>
    <w:p w14:paraId="177EE3CC"/>
    <w:p w14:paraId="294A825C">
      <w:pPr>
        <w:pStyle w:val="Heading2"/>
      </w:pPr>
      <w:bookmarkStart w:id="1032" w:name="_Toc236230032"/>
      <w:r>
        <w:t>Annex 12-D Security Firewall Playbook</w:t>
      </w:r>
      <w:bookmarkEnd w:id="1032"/>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5BC6FDF2">
            <w:r>
              <w:rPr>
                <w:b/>
              </w:rPr>
              <w:t>Stage / item</w:t>
            </w:r>
          </w:p>
        </w:tc>
        <w:tc>
          <w:tcPr>
            <w:tcW w:type="dxa" w:w="2340"/>
          </w:tcPr>
          <w:p w14:paraId="2C0D8E7E">
            <w:r>
              <w:rPr>
                <w:b/>
              </w:rPr>
              <w:t>Criterion or action</w:t>
            </w:r>
          </w:p>
        </w:tc>
        <w:tc>
          <w:tcPr>
            <w:tcW w:type="dxa" w:w="2340"/>
          </w:tcPr>
          <w:p w14:paraId="708678A6">
            <w:r>
              <w:rPr>
                <w:b/>
              </w:rPr>
              <w:t>Responsible authority</w:t>
            </w:r>
          </w:p>
        </w:tc>
        <w:tc>
          <w:tcPr>
            <w:tcW w:type="dxa" w:w="2340"/>
          </w:tcPr>
          <w:p w14:paraId="27FB925C">
            <w:r>
              <w:rPr>
                <w:b/>
              </w:rPr>
              <w:t>Required output</w:t>
            </w:r>
          </w:p>
        </w:tc>
      </w:tr>
      <w:tr>
        <w:tc>
          <w:tcPr>
            <w:tcW w:type="dxa" w:w="2340"/>
          </w:tcPr>
          <w:p w14:paraId="5B066416">
            <w:r>
              <w:t>Breach response</w:t>
            </w:r>
          </w:p>
        </w:tc>
        <w:tc>
          <w:tcPr>
            <w:tcW w:type="dxa" w:w="2340"/>
          </w:tcPr>
          <w:p w14:paraId="28795A86">
            <w:r>
              <w:t>Freeze trade use, preserve logs, legal review, notify counterpart</w:t>
            </w:r>
          </w:p>
        </w:tc>
        <w:tc>
          <w:tcPr>
            <w:tcW w:type="dxa" w:w="2340"/>
          </w:tcPr>
          <w:p w14:paraId="73B16A3A">
            <w:r>
              <w:t>Security co-chairs</w:t>
            </w:r>
          </w:p>
        </w:tc>
        <w:tc>
          <w:tcPr>
            <w:tcW w:type="dxa" w:w="2340"/>
          </w:tcPr>
          <w:p w14:paraId="53BC02EC">
            <w:r>
              <w:t>Incident record</w:t>
            </w:r>
          </w:p>
        </w:tc>
      </w:tr>
      <w:tr>
        <w:tc>
          <w:tcPr>
            <w:tcW w:type="dxa" w:w="2340"/>
          </w:tcPr>
          <w:p w14:paraId="5CD40C70">
            <w:r>
              <w:t>Overlap review</w:t>
            </w:r>
          </w:p>
        </w:tc>
        <w:tc>
          <w:tcPr>
            <w:tcW w:type="dxa" w:w="2340"/>
          </w:tcPr>
          <w:p w14:paraId="70DC99E8">
            <w:r>
              <w:t>Article 8.2.4 factors and Annex 5-A quantitative screen</w:t>
            </w:r>
          </w:p>
        </w:tc>
        <w:tc>
          <w:tcPr>
            <w:tcW w:type="dxa" w:w="2340"/>
          </w:tcPr>
          <w:p w14:paraId="71BBC2FC">
            <w:r>
              <w:t>Legal leads</w:t>
            </w:r>
          </w:p>
        </w:tc>
        <w:tc>
          <w:tcPr>
            <w:tcW w:type="dxa" w:w="2340"/>
          </w:tcPr>
          <w:p w14:paraId="42F97E78">
            <w:r>
              <w:t>Necessity memo</w:t>
            </w:r>
          </w:p>
        </w:tc>
      </w:tr>
      <w:tr>
        <w:tc>
          <w:tcPr>
            <w:tcW w:type="dxa" w:w="2340"/>
          </w:tcPr>
          <w:p w14:paraId="2F6EC4E0">
            <w:r>
              <w:t>Expedited review</w:t>
            </w:r>
          </w:p>
        </w:tc>
        <w:tc>
          <w:tcPr>
            <w:tcW w:type="dxa" w:w="2340"/>
          </w:tcPr>
          <w:p w14:paraId="4967C722">
            <w:r>
              <w:t>Article 7.9 filing and provisional non-application request</w:t>
            </w:r>
          </w:p>
        </w:tc>
        <w:tc>
          <w:tcPr>
            <w:tcW w:type="dxa" w:w="2340"/>
          </w:tcPr>
          <w:p w14:paraId="64805800">
            <w:r>
              <w:t>Affected Party</w:t>
            </w:r>
          </w:p>
        </w:tc>
        <w:tc>
          <w:tcPr>
            <w:tcW w:type="dxa" w:w="2340"/>
          </w:tcPr>
          <w:p w14:paraId="15C29A94">
            <w:r>
              <w:t>Dispute file</w:t>
            </w:r>
          </w:p>
        </w:tc>
      </w:tr>
      <w:tr>
        <w:tc>
          <w:tcPr>
            <w:tcW w:type="dxa" w:w="2340"/>
          </w:tcPr>
          <w:p w14:paraId="6A7D3F92">
            <w:r>
              <w:t>After action</w:t>
            </w:r>
          </w:p>
        </w:tc>
        <w:tc>
          <w:tcPr>
            <w:tcW w:type="dxa" w:w="2340"/>
          </w:tcPr>
          <w:p w14:paraId="453BE1B8">
            <w:r>
              <w:t>Cause, mitigation, civil-liberties/privacy issues, trade impact</w:t>
            </w:r>
          </w:p>
        </w:tc>
        <w:tc>
          <w:tcPr>
            <w:tcW w:type="dxa" w:w="2340"/>
          </w:tcPr>
          <w:p w14:paraId="59375C12">
            <w:r>
              <w:t>Both co-chairs</w:t>
            </w:r>
          </w:p>
        </w:tc>
        <w:tc>
          <w:tcPr>
            <w:tcW w:type="dxa" w:w="2340"/>
          </w:tcPr>
          <w:p w14:paraId="6D61C8F8">
            <w:r>
              <w:t>After-action report</w:t>
            </w:r>
          </w:p>
        </w:tc>
      </w:tr>
    </w:tbl>
    <w:p w14:paraId="1D7DCE4E"/>
    <w:p w14:paraId="7928E060">
      <w:pPr>
        <w:pStyle w:val="Heading2"/>
      </w:pPr>
      <w:bookmarkStart w:id="1033" w:name="_Toc236230033"/>
      <w:r>
        <w:t>Annex 12-E Working Group Delivery Playbook</w:t>
      </w:r>
      <w:bookmarkEnd w:id="1033"/>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4F06D254">
            <w:r>
              <w:rPr>
                <w:b/>
              </w:rPr>
              <w:t>Stage / item</w:t>
            </w:r>
          </w:p>
        </w:tc>
        <w:tc>
          <w:tcPr>
            <w:tcW w:type="dxa" w:w="2340"/>
          </w:tcPr>
          <w:p w14:paraId="5B0BB04A">
            <w:r>
              <w:rPr>
                <w:b/>
              </w:rPr>
              <w:t>Criterion or action</w:t>
            </w:r>
          </w:p>
        </w:tc>
        <w:tc>
          <w:tcPr>
            <w:tcW w:type="dxa" w:w="2340"/>
          </w:tcPr>
          <w:p w14:paraId="41954112">
            <w:r>
              <w:rPr>
                <w:b/>
              </w:rPr>
              <w:t>Responsible authority</w:t>
            </w:r>
          </w:p>
        </w:tc>
        <w:tc>
          <w:tcPr>
            <w:tcW w:type="dxa" w:w="2340"/>
          </w:tcPr>
          <w:p w14:paraId="71CA1E96">
            <w:r>
              <w:rPr>
                <w:b/>
              </w:rPr>
              <w:t>Required output</w:t>
            </w:r>
          </w:p>
        </w:tc>
      </w:tr>
      <w:tr>
        <w:tc>
          <w:tcPr>
            <w:tcW w:type="dxa" w:w="2340"/>
          </w:tcPr>
          <w:p w14:paraId="0E2228E0">
            <w:r>
              <w:t>Day 7</w:t>
            </w:r>
          </w:p>
        </w:tc>
        <w:tc>
          <w:tcPr>
            <w:tcW w:type="dxa" w:w="2340"/>
          </w:tcPr>
          <w:p w14:paraId="0DE6CBEC">
            <w:r>
              <w:t>Members appointed</w:t>
            </w:r>
          </w:p>
        </w:tc>
        <w:tc>
          <w:tcPr>
            <w:tcW w:type="dxa" w:w="2340"/>
          </w:tcPr>
          <w:p w14:paraId="6DDBBECC">
            <w:r>
              <w:t>USTR / Secretaría de Economía</w:t>
            </w:r>
          </w:p>
        </w:tc>
        <w:tc>
          <w:tcPr>
            <w:tcW w:type="dxa" w:w="2340"/>
          </w:tcPr>
          <w:p w14:paraId="3610E876">
            <w:r>
              <w:t>Roster</w:t>
            </w:r>
          </w:p>
        </w:tc>
      </w:tr>
      <w:tr>
        <w:tc>
          <w:tcPr>
            <w:tcW w:type="dxa" w:w="2340"/>
          </w:tcPr>
          <w:p w14:paraId="3E47F98A">
            <w:r>
              <w:t>Day 10</w:t>
            </w:r>
          </w:p>
        </w:tc>
        <w:tc>
          <w:tcPr>
            <w:tcW w:type="dxa" w:w="2340"/>
          </w:tcPr>
          <w:p w14:paraId="69C429D4">
            <w:r>
              <w:t>Organizational meeting and charter</w:t>
            </w:r>
          </w:p>
        </w:tc>
        <w:tc>
          <w:tcPr>
            <w:tcW w:type="dxa" w:w="2340"/>
          </w:tcPr>
          <w:p w14:paraId="0C16F72A">
            <w:r>
              <w:t>Co-chairs</w:t>
            </w:r>
          </w:p>
        </w:tc>
        <w:tc>
          <w:tcPr>
            <w:tcW w:type="dxa" w:w="2340"/>
          </w:tcPr>
          <w:p w14:paraId="305E442E">
            <w:r>
              <w:t>Charter</w:t>
            </w:r>
          </w:p>
        </w:tc>
      </w:tr>
      <w:tr>
        <w:tc>
          <w:tcPr>
            <w:tcW w:type="dxa" w:w="2340"/>
          </w:tcPr>
          <w:p w14:paraId="7B048306">
            <w:r>
              <w:t>Day 12</w:t>
            </w:r>
          </w:p>
        </w:tc>
        <w:tc>
          <w:tcPr>
            <w:tcW w:type="dxa" w:w="2340"/>
          </w:tcPr>
          <w:p w14:paraId="1DD1C3B6">
            <w:r>
              <w:t>First substantive meeting</w:t>
            </w:r>
          </w:p>
        </w:tc>
        <w:tc>
          <w:tcPr>
            <w:tcW w:type="dxa" w:w="2340"/>
          </w:tcPr>
          <w:p w14:paraId="3F79BDF8">
            <w:r>
              <w:t>Co-chairs</w:t>
            </w:r>
          </w:p>
        </w:tc>
        <w:tc>
          <w:tcPr>
            <w:tcW w:type="dxa" w:w="2340"/>
          </w:tcPr>
          <w:p w14:paraId="00EAC822">
            <w:r>
              <w:t>Minutes</w:t>
            </w:r>
          </w:p>
        </w:tc>
      </w:tr>
      <w:tr>
        <w:tc>
          <w:tcPr>
            <w:tcW w:type="dxa" w:w="2340"/>
          </w:tcPr>
          <w:p w14:paraId="69055A7C">
            <w:r>
              <w:t>Day 18</w:t>
            </w:r>
          </w:p>
        </w:tc>
        <w:tc>
          <w:tcPr>
            <w:tcW w:type="dxa" w:w="2340"/>
          </w:tcPr>
          <w:p w14:paraId="4E851C8C">
            <w:r>
              <w:t>Work plan adopted</w:t>
            </w:r>
          </w:p>
        </w:tc>
        <w:tc>
          <w:tcPr>
            <w:tcW w:type="dxa" w:w="2340"/>
          </w:tcPr>
          <w:p w14:paraId="47D34E7C">
            <w:r>
              <w:t>Co-chairs</w:t>
            </w:r>
          </w:p>
        </w:tc>
        <w:tc>
          <w:tcPr>
            <w:tcW w:type="dxa" w:w="2340"/>
          </w:tcPr>
          <w:p w14:paraId="6B47502C">
            <w:r>
              <w:t>Work plan</w:t>
            </w:r>
          </w:p>
        </w:tc>
      </w:tr>
      <w:tr>
        <w:tc>
          <w:tcPr>
            <w:tcW w:type="dxa" w:w="2340"/>
          </w:tcPr>
          <w:p w14:paraId="3A180A2E">
            <w:r>
              <w:t>Deliverable</w:t>
            </w:r>
          </w:p>
        </w:tc>
        <w:tc>
          <w:tcPr>
            <w:tcW w:type="dxa" w:w="2340"/>
          </w:tcPr>
          <w:p w14:paraId="5BC8A2F8">
            <w:r>
              <w:t>Module record complete under Article 4.0</w:t>
            </w:r>
          </w:p>
        </w:tc>
        <w:tc>
          <w:tcPr>
            <w:tcW w:type="dxa" w:w="2340"/>
          </w:tcPr>
          <w:p w14:paraId="600896E4">
            <w:r>
              <w:t>Module lead</w:t>
            </w:r>
          </w:p>
        </w:tc>
        <w:tc>
          <w:tcPr>
            <w:tcW w:type="dxa" w:w="2340"/>
          </w:tcPr>
          <w:p w14:paraId="3E2E6094">
            <w:r>
              <w:t>Module file</w:t>
            </w:r>
          </w:p>
        </w:tc>
      </w:tr>
      <w:tr>
        <w:tc>
          <w:tcPr>
            <w:tcW w:type="dxa" w:w="2340"/>
          </w:tcPr>
          <w:p w14:paraId="165B1306">
            <w:r>
              <w:t>Handoff</w:t>
            </w:r>
          </w:p>
        </w:tc>
        <w:tc>
          <w:tcPr>
            <w:tcW w:type="dxa" w:w="2340"/>
          </w:tcPr>
          <w:p w14:paraId="30E7266A">
            <w:r>
              <w:t>Classification and Joint Committee transmission</w:t>
            </w:r>
          </w:p>
        </w:tc>
        <w:tc>
          <w:tcPr>
            <w:tcW w:type="dxa" w:w="2340"/>
          </w:tcPr>
          <w:p w14:paraId="76FCD44A">
            <w:r>
              <w:t>Co-chairs</w:t>
            </w:r>
          </w:p>
        </w:tc>
        <w:tc>
          <w:tcPr>
            <w:tcW w:type="dxa" w:w="2340"/>
          </w:tcPr>
          <w:p w14:paraId="0E5B5F20">
            <w:r>
              <w:t>Handoff memo</w:t>
            </w:r>
          </w:p>
        </w:tc>
      </w:tr>
    </w:tbl>
    <w:p w14:paraId="713AD1FC"/>
    <w:p w14:paraId="6A130A7C">
      <w:pPr>
        <w:pStyle w:val="Heading2"/>
      </w:pPr>
      <w:bookmarkStart w:id="1034" w:name="_Toc236230034"/>
      <w:r>
        <w:t>Annex 12-F Dispute Readiness Playbook</w:t>
      </w:r>
      <w:bookmarkEnd w:id="1034"/>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767EA7D6">
            <w:r>
              <w:rPr>
                <w:b/>
              </w:rPr>
              <w:t>Stage / item</w:t>
            </w:r>
          </w:p>
        </w:tc>
        <w:tc>
          <w:tcPr>
            <w:tcW w:type="dxa" w:w="2340"/>
          </w:tcPr>
          <w:p w14:paraId="06C9615C">
            <w:r>
              <w:rPr>
                <w:b/>
              </w:rPr>
              <w:t>Criterion or action</w:t>
            </w:r>
          </w:p>
        </w:tc>
        <w:tc>
          <w:tcPr>
            <w:tcW w:type="dxa" w:w="2340"/>
          </w:tcPr>
          <w:p w14:paraId="35EA432A">
            <w:r>
              <w:rPr>
                <w:b/>
              </w:rPr>
              <w:t>Responsible authority</w:t>
            </w:r>
          </w:p>
        </w:tc>
        <w:tc>
          <w:tcPr>
            <w:tcW w:type="dxa" w:w="2340"/>
          </w:tcPr>
          <w:p w14:paraId="763FF734">
            <w:r>
              <w:rPr>
                <w:b/>
              </w:rPr>
              <w:t>Required output</w:t>
            </w:r>
          </w:p>
        </w:tc>
      </w:tr>
      <w:tr>
        <w:tc>
          <w:tcPr>
            <w:tcW w:type="dxa" w:w="2340"/>
          </w:tcPr>
          <w:p w14:paraId="72E60EAA">
            <w:r>
              <w:t>Case file</w:t>
            </w:r>
          </w:p>
        </w:tc>
        <w:tc>
          <w:tcPr>
            <w:tcW w:type="dxa" w:w="2340"/>
          </w:tcPr>
          <w:p w14:paraId="673E4B54">
            <w:r>
              <w:t>Request, consultations, evidence, submissions, reports, compliance plan</w:t>
            </w:r>
          </w:p>
        </w:tc>
        <w:tc>
          <w:tcPr>
            <w:tcW w:type="dxa" w:w="2340"/>
          </w:tcPr>
          <w:p w14:paraId="4AF41A8C">
            <w:r>
              <w:t>Secretariat</w:t>
            </w:r>
          </w:p>
        </w:tc>
        <w:tc>
          <w:tcPr>
            <w:tcW w:type="dxa" w:w="2340"/>
          </w:tcPr>
          <w:p w14:paraId="5A74B134">
            <w:r>
              <w:t>Docket</w:t>
            </w:r>
          </w:p>
        </w:tc>
      </w:tr>
      <w:tr>
        <w:tc>
          <w:tcPr>
            <w:tcW w:type="dxa" w:w="2340"/>
          </w:tcPr>
          <w:p w14:paraId="3982C13E">
            <w:r>
              <w:t>Evidence index</w:t>
            </w:r>
          </w:p>
        </w:tc>
        <w:tc>
          <w:tcPr>
            <w:tcW w:type="dxa" w:w="2340"/>
          </w:tcPr>
          <w:p w14:paraId="291A6944">
            <w:r>
              <w:t>Bates-style ID, source, date, authenticity, confidentiality, relevance</w:t>
            </w:r>
          </w:p>
        </w:tc>
        <w:tc>
          <w:tcPr>
            <w:tcW w:type="dxa" w:w="2340"/>
          </w:tcPr>
          <w:p w14:paraId="651D58CA">
            <w:r>
              <w:t>Party counsel</w:t>
            </w:r>
          </w:p>
        </w:tc>
        <w:tc>
          <w:tcPr>
            <w:tcW w:type="dxa" w:w="2340"/>
          </w:tcPr>
          <w:p w14:paraId="6C2A67B4">
            <w:r>
              <w:t>Index</w:t>
            </w:r>
          </w:p>
        </w:tc>
      </w:tr>
      <w:tr>
        <w:tc>
          <w:tcPr>
            <w:tcW w:type="dxa" w:w="2340"/>
          </w:tcPr>
          <w:p w14:paraId="6AF44954">
            <w:r>
              <w:t>Timeline monitor</w:t>
            </w:r>
          </w:p>
        </w:tc>
        <w:tc>
          <w:tcPr>
            <w:tcW w:type="dxa" w:w="2340"/>
          </w:tcPr>
          <w:p w14:paraId="67B5F218">
            <w:r>
              <w:t>Standard or urgent clock; no suspension on expiry</w:t>
            </w:r>
          </w:p>
        </w:tc>
        <w:tc>
          <w:tcPr>
            <w:tcW w:type="dxa" w:w="2340"/>
          </w:tcPr>
          <w:p w14:paraId="7C75BE1A">
            <w:r>
              <w:t>Panel support</w:t>
            </w:r>
          </w:p>
        </w:tc>
        <w:tc>
          <w:tcPr>
            <w:tcW w:type="dxa" w:w="2340"/>
          </w:tcPr>
          <w:p w14:paraId="4E90155C">
            <w:r>
              <w:t>Deadline log</w:t>
            </w:r>
          </w:p>
        </w:tc>
      </w:tr>
      <w:tr>
        <w:tc>
          <w:tcPr>
            <w:tcW w:type="dxa" w:w="2340"/>
          </w:tcPr>
          <w:p w14:paraId="37BD2DE2">
            <w:r>
              <w:t>Roster check</w:t>
            </w:r>
          </w:p>
        </w:tc>
        <w:tc>
          <w:tcPr>
            <w:tcW w:type="dxa" w:w="2340"/>
          </w:tcPr>
          <w:p w14:paraId="434CD4EC">
            <w:r>
              <w:t>Conflict, availability, expertise</w:t>
            </w:r>
          </w:p>
        </w:tc>
        <w:tc>
          <w:tcPr>
            <w:tcW w:type="dxa" w:w="2340"/>
          </w:tcPr>
          <w:p w14:paraId="3AFDF62A">
            <w:r>
              <w:t>Joint Committee</w:t>
            </w:r>
          </w:p>
        </w:tc>
        <w:tc>
          <w:tcPr>
            <w:tcW w:type="dxa" w:w="2340"/>
          </w:tcPr>
          <w:p w14:paraId="0EB761C6">
            <w:r>
              <w:t>Appointment record</w:t>
            </w:r>
          </w:p>
        </w:tc>
      </w:tr>
      <w:tr>
        <w:tc>
          <w:tcPr>
            <w:tcW w:type="dxa" w:w="2340"/>
          </w:tcPr>
          <w:p w14:paraId="0878DA2E">
            <w:r>
              <w:t>Post-report</w:t>
            </w:r>
          </w:p>
        </w:tc>
        <w:tc>
          <w:tcPr>
            <w:tcW w:type="dxa" w:w="2340"/>
          </w:tcPr>
          <w:p w14:paraId="1D95E11E">
            <w:r>
              <w:t>Implementation, compliance review, remedy tracking</w:t>
            </w:r>
          </w:p>
        </w:tc>
        <w:tc>
          <w:tcPr>
            <w:tcW w:type="dxa" w:w="2340"/>
          </w:tcPr>
          <w:p w14:paraId="75F9B456">
            <w:r>
              <w:t>Parties</w:t>
            </w:r>
          </w:p>
        </w:tc>
        <w:tc>
          <w:tcPr>
            <w:tcW w:type="dxa" w:w="2340"/>
          </w:tcPr>
          <w:p w14:paraId="6619AFCA">
            <w:r>
              <w:t>Compliance file</w:t>
            </w:r>
          </w:p>
        </w:tc>
      </w:tr>
    </w:tbl>
    <w:p w14:paraId="70A3F5B2"/>
    <w:p w14:paraId="38C68576">
      <w:pPr>
        <w:pStyle w:val="Heading2"/>
      </w:pPr>
      <w:bookmarkStart w:id="1035" w:name="_Toc236230035"/>
      <w:r>
        <w:t>Annex 12-G Energy and Sovereignty Playbook</w:t>
      </w:r>
      <w:bookmarkEnd w:id="1035"/>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641F4BC0">
            <w:r>
              <w:rPr>
                <w:b/>
              </w:rPr>
              <w:t>Stage / item</w:t>
            </w:r>
          </w:p>
        </w:tc>
        <w:tc>
          <w:tcPr>
            <w:tcW w:type="dxa" w:w="2340"/>
          </w:tcPr>
          <w:p w14:paraId="26CD90EC">
            <w:r>
              <w:rPr>
                <w:b/>
              </w:rPr>
              <w:t>Criterion or action</w:t>
            </w:r>
          </w:p>
        </w:tc>
        <w:tc>
          <w:tcPr>
            <w:tcW w:type="dxa" w:w="2340"/>
          </w:tcPr>
          <w:p w14:paraId="6F9D2834">
            <w:r>
              <w:rPr>
                <w:b/>
              </w:rPr>
              <w:t>Responsible authority</w:t>
            </w:r>
          </w:p>
        </w:tc>
        <w:tc>
          <w:tcPr>
            <w:tcW w:type="dxa" w:w="2340"/>
          </w:tcPr>
          <w:p w14:paraId="0596BEBA">
            <w:r>
              <w:rPr>
                <w:b/>
              </w:rPr>
              <w:t>Required output</w:t>
            </w:r>
          </w:p>
        </w:tc>
      </w:tr>
      <w:tr>
        <w:tc>
          <w:tcPr>
            <w:tcW w:type="dxa" w:w="2340"/>
          </w:tcPr>
          <w:p w14:paraId="3D93574A">
            <w:r>
              <w:t>Inventory form</w:t>
            </w:r>
          </w:p>
        </w:tc>
        <w:tc>
          <w:tcPr>
            <w:tcW w:type="dxa" w:w="2340"/>
          </w:tcPr>
          <w:p w14:paraId="7EE9AE18">
            <w:r>
              <w:t>Measure, authority, market, entity, permit, trade effect, sovereignty screen</w:t>
            </w:r>
          </w:p>
        </w:tc>
        <w:tc>
          <w:tcPr>
            <w:tcW w:type="dxa" w:w="2340"/>
          </w:tcPr>
          <w:p w14:paraId="64A1353E">
            <w:r>
              <w:t>WG D</w:t>
            </w:r>
          </w:p>
        </w:tc>
        <w:tc>
          <w:tcPr>
            <w:tcW w:type="dxa" w:w="2340"/>
          </w:tcPr>
          <w:p w14:paraId="00CF6572">
            <w:r>
              <w:t>Measure inventory</w:t>
            </w:r>
          </w:p>
        </w:tc>
      </w:tr>
      <w:tr>
        <w:tc>
          <w:tcPr>
            <w:tcW w:type="dxa" w:w="2340"/>
          </w:tcPr>
          <w:p w14:paraId="02FE1C1E">
            <w:r>
              <w:t>Project pipeline</w:t>
            </w:r>
          </w:p>
        </w:tc>
        <w:tc>
          <w:tcPr>
            <w:tcW w:type="dxa" w:w="2340"/>
          </w:tcPr>
          <w:p w14:paraId="4C2A68A2">
            <w:r>
              <w:t>Critical-minerals project and safeguards fields</w:t>
            </w:r>
          </w:p>
        </w:tc>
        <w:tc>
          <w:tcPr>
            <w:tcW w:type="dxa" w:w="2340"/>
          </w:tcPr>
          <w:p w14:paraId="6B4981E2">
            <w:r>
              <w:t>WG D</w:t>
            </w:r>
          </w:p>
        </w:tc>
        <w:tc>
          <w:tcPr>
            <w:tcW w:type="dxa" w:w="2340"/>
          </w:tcPr>
          <w:p w14:paraId="0B24B6F2">
            <w:r>
              <w:t>Pipeline register</w:t>
            </w:r>
          </w:p>
        </w:tc>
      </w:tr>
      <w:tr>
        <w:tc>
          <w:tcPr>
            <w:tcW w:type="dxa" w:w="2340"/>
          </w:tcPr>
          <w:p w14:paraId="5C9B5EBC">
            <w:r>
              <w:t>Neutrality review</w:t>
            </w:r>
          </w:p>
        </w:tc>
        <w:tc>
          <w:tcPr>
            <w:tcW w:type="dxa" w:w="2340"/>
          </w:tcPr>
          <w:p w14:paraId="001A11C8">
            <w:r>
              <w:t>Treatment of public, private, mixed entities without ownership mandate</w:t>
            </w:r>
          </w:p>
        </w:tc>
        <w:tc>
          <w:tcPr>
            <w:tcW w:type="dxa" w:w="2340"/>
          </w:tcPr>
          <w:p w14:paraId="3FB94406">
            <w:r>
              <w:t>WG D</w:t>
            </w:r>
          </w:p>
        </w:tc>
        <w:tc>
          <w:tcPr>
            <w:tcW w:type="dxa" w:w="2340"/>
          </w:tcPr>
          <w:p w14:paraId="76996B0E">
            <w:r>
              <w:t>Analysis memo</w:t>
            </w:r>
          </w:p>
        </w:tc>
      </w:tr>
      <w:tr>
        <w:tc>
          <w:tcPr>
            <w:tcW w:type="dxa" w:w="2340"/>
          </w:tcPr>
          <w:p w14:paraId="68F3B9B0">
            <w:r>
              <w:t>Escalation</w:t>
            </w:r>
          </w:p>
        </w:tc>
        <w:tc>
          <w:tcPr>
            <w:tcW w:type="dxa" w:w="2340"/>
          </w:tcPr>
          <w:p w14:paraId="58968D7A">
            <w:r>
              <w:t>Legal dispute map before political escalation</w:t>
            </w:r>
          </w:p>
        </w:tc>
        <w:tc>
          <w:tcPr>
            <w:tcW w:type="dxa" w:w="2340"/>
          </w:tcPr>
          <w:p w14:paraId="136406E8">
            <w:r>
              <w:t>Co-chairs</w:t>
            </w:r>
          </w:p>
        </w:tc>
        <w:tc>
          <w:tcPr>
            <w:tcW w:type="dxa" w:w="2340"/>
          </w:tcPr>
          <w:p w14:paraId="69ECE398">
            <w:r>
              <w:t>De-escalation note</w:t>
            </w:r>
          </w:p>
        </w:tc>
      </w:tr>
    </w:tbl>
    <w:p w14:paraId="2A6637BC"/>
    <w:p w14:paraId="4039DF3E">
      <w:pPr>
        <w:pStyle w:val="Heading2"/>
      </w:pPr>
      <w:bookmarkStart w:id="1036" w:name="_Toc236230036"/>
      <w:r>
        <w:t>Annex 12-H Environment and Border Water Playbook</w:t>
      </w:r>
      <w:bookmarkEnd w:id="1036"/>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14:paraId="17382248">
            <w:r>
              <w:rPr>
                <w:b/>
              </w:rPr>
              <w:t>Stage / item</w:t>
            </w:r>
          </w:p>
        </w:tc>
        <w:tc>
          <w:tcPr>
            <w:tcW w:type="dxa" w:w="2340"/>
          </w:tcPr>
          <w:p w14:paraId="68C22C30">
            <w:r>
              <w:rPr>
                <w:b/>
              </w:rPr>
              <w:t>Criterion or action</w:t>
            </w:r>
          </w:p>
        </w:tc>
        <w:tc>
          <w:tcPr>
            <w:tcW w:type="dxa" w:w="2340"/>
          </w:tcPr>
          <w:p w14:paraId="724C3160">
            <w:r>
              <w:rPr>
                <w:b/>
              </w:rPr>
              <w:t>Responsible authority</w:t>
            </w:r>
          </w:p>
        </w:tc>
        <w:tc>
          <w:tcPr>
            <w:tcW w:type="dxa" w:w="2340"/>
          </w:tcPr>
          <w:p w14:paraId="7C5F80DE">
            <w:r>
              <w:rPr>
                <w:b/>
              </w:rPr>
              <w:t>Required output</w:t>
            </w:r>
          </w:p>
        </w:tc>
      </w:tr>
      <w:tr>
        <w:tc>
          <w:tcPr>
            <w:tcW w:type="dxa" w:w="2340"/>
          </w:tcPr>
          <w:p w14:paraId="7732AD8C">
            <w:r>
              <w:t>Project register</w:t>
            </w:r>
          </w:p>
        </w:tc>
        <w:tc>
          <w:tcPr>
            <w:tcW w:type="dxa" w:w="2340"/>
          </w:tcPr>
          <w:p w14:paraId="20FD5440">
            <w:r>
              <w:t>Project ID, location, owner, funding, milestone, monitoring, incident contact</w:t>
            </w:r>
          </w:p>
        </w:tc>
        <w:tc>
          <w:tcPr>
            <w:tcW w:type="dxa" w:w="2340"/>
          </w:tcPr>
          <w:p w14:paraId="3D4E775E">
            <w:r>
              <w:t>WG F</w:t>
            </w:r>
          </w:p>
        </w:tc>
        <w:tc>
          <w:tcPr>
            <w:tcW w:type="dxa" w:w="2340"/>
          </w:tcPr>
          <w:p w14:paraId="799BCA38">
            <w:r>
              <w:t>Register</w:t>
            </w:r>
          </w:p>
        </w:tc>
      </w:tr>
      <w:tr>
        <w:tc>
          <w:tcPr>
            <w:tcW w:type="dxa" w:w="2340"/>
          </w:tcPr>
          <w:p w14:paraId="518B8F22">
            <w:r>
              <w:t>Monitoring threshold</w:t>
            </w:r>
          </w:p>
        </w:tc>
        <w:tc>
          <w:tcPr>
            <w:tcW w:type="dxa" w:w="2340"/>
          </w:tcPr>
          <w:p w14:paraId="19600E6A">
            <w:r>
              <w:t>Parameter, method, frequency, exceedance level, public notice</w:t>
            </w:r>
          </w:p>
        </w:tc>
        <w:tc>
          <w:tcPr>
            <w:tcW w:type="dxa" w:w="2340"/>
          </w:tcPr>
          <w:p w14:paraId="4F28432E">
            <w:r>
              <w:t>Technical leads</w:t>
            </w:r>
          </w:p>
        </w:tc>
        <w:tc>
          <w:tcPr>
            <w:tcW w:type="dxa" w:w="2340"/>
          </w:tcPr>
          <w:p w14:paraId="0B1559F0">
            <w:r>
              <w:t>Monitoring plan</w:t>
            </w:r>
          </w:p>
        </w:tc>
      </w:tr>
      <w:tr>
        <w:tc>
          <w:tcPr>
            <w:tcW w:type="dxa" w:w="2340"/>
          </w:tcPr>
          <w:p w14:paraId="5423FAA4">
            <w:r>
              <w:t>Incident response</w:t>
            </w:r>
          </w:p>
        </w:tc>
        <w:tc>
          <w:tcPr>
            <w:tcW w:type="dxa" w:w="2340"/>
          </w:tcPr>
          <w:p w14:paraId="73B0C8EA">
            <w:r>
              <w:t>Notify counterpart and public-health authority; preserve samples; after action</w:t>
            </w:r>
          </w:p>
        </w:tc>
        <w:tc>
          <w:tcPr>
            <w:tcW w:type="dxa" w:w="2340"/>
          </w:tcPr>
          <w:p w14:paraId="0DD0C822">
            <w:r>
              <w:t>Incident leads</w:t>
            </w:r>
          </w:p>
        </w:tc>
        <w:tc>
          <w:tcPr>
            <w:tcW w:type="dxa" w:w="2340"/>
          </w:tcPr>
          <w:p w14:paraId="6272050C">
            <w:r>
              <w:t>Incident report</w:t>
            </w:r>
          </w:p>
        </w:tc>
      </w:tr>
      <w:tr>
        <w:tc>
          <w:tcPr>
            <w:tcW w:type="dxa" w:w="2340"/>
          </w:tcPr>
          <w:p w14:paraId="1627F8C8">
            <w:r>
              <w:t>Deforestation check</w:t>
            </w:r>
          </w:p>
        </w:tc>
        <w:tc>
          <w:tcPr>
            <w:tcW w:type="dxa" w:w="2340"/>
          </w:tcPr>
          <w:p w14:paraId="05C9D28A">
            <w:r>
              <w:t>Geolocation, chain of custody, smallholder support, audit</w:t>
            </w:r>
          </w:p>
        </w:tc>
        <w:tc>
          <w:tcPr>
            <w:tcW w:type="dxa" w:w="2340"/>
          </w:tcPr>
          <w:p w14:paraId="463B0DA0">
            <w:r>
              <w:t>WG C/F</w:t>
            </w:r>
          </w:p>
        </w:tc>
        <w:tc>
          <w:tcPr>
            <w:tcW w:type="dxa" w:w="2340"/>
          </w:tcPr>
          <w:p w14:paraId="5CDBD46C">
            <w:r>
              <w:t>Verification file</w:t>
            </w:r>
          </w:p>
        </w:tc>
      </w:tr>
    </w:tbl>
    <w:p w14:paraId="0A223098"/>
    <w:p w14:paraId="0E66CA88">
      <w:pPr>
        <w:pStyle w:val="Heading2"/>
      </w:pPr>
      <w:bookmarkStart w:id="1037" w:name="_Toc236230037"/>
      <w:r>
        <w:t>Annex 12-I RACI Matrix</w:t>
      </w:r>
      <w:bookmarkEnd w:id="1037"/>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14:paraId="0478A3AA">
            <w:r>
              <w:rPr>
                <w:b/>
              </w:rPr>
              <w:t>Function</w:t>
            </w:r>
          </w:p>
        </w:tc>
        <w:tc>
          <w:tcPr>
            <w:tcW w:type="dxa" w:w="1560"/>
          </w:tcPr>
          <w:p w14:paraId="089BB4CA">
            <w:r>
              <w:rPr>
                <w:b/>
              </w:rPr>
              <w:t>U.S. lead</w:t>
            </w:r>
          </w:p>
        </w:tc>
        <w:tc>
          <w:tcPr>
            <w:tcW w:type="dxa" w:w="1560"/>
          </w:tcPr>
          <w:p w14:paraId="7B0B0738">
            <w:r>
              <w:rPr>
                <w:b/>
              </w:rPr>
              <w:t>Mexico lead</w:t>
            </w:r>
          </w:p>
        </w:tc>
        <w:tc>
          <w:tcPr>
            <w:tcW w:type="dxa" w:w="1560"/>
          </w:tcPr>
          <w:p w14:paraId="1E60B12A">
            <w:r>
              <w:rPr>
                <w:b/>
              </w:rPr>
              <w:t>Accountable body</w:t>
            </w:r>
          </w:p>
        </w:tc>
        <w:tc>
          <w:tcPr>
            <w:tcW w:type="dxa" w:w="1560"/>
          </w:tcPr>
          <w:p w14:paraId="495F5B32">
            <w:r>
              <w:rPr>
                <w:b/>
              </w:rPr>
              <w:t>Consulted</w:t>
            </w:r>
          </w:p>
        </w:tc>
        <w:tc>
          <w:tcPr>
            <w:tcW w:type="dxa" w:w="1560"/>
          </w:tcPr>
          <w:p w14:paraId="4371E802">
            <w:r>
              <w:rPr>
                <w:b/>
              </w:rPr>
              <w:t>Informed</w:t>
            </w:r>
          </w:p>
        </w:tc>
      </w:tr>
      <w:tr>
        <w:tc>
          <w:tcPr>
            <w:tcW w:type="dxa" w:w="1560"/>
          </w:tcPr>
          <w:p w14:paraId="42E32BD0">
            <w:r>
              <w:t>Tariff schedule certification</w:t>
            </w:r>
          </w:p>
        </w:tc>
        <w:tc>
          <w:tcPr>
            <w:tcW w:type="dxa" w:w="1560"/>
          </w:tcPr>
          <w:p w14:paraId="3425C8EC">
            <w:r>
              <w:t>USTR/CBP/USITC</w:t>
            </w:r>
          </w:p>
        </w:tc>
        <w:tc>
          <w:tcPr>
            <w:tcW w:type="dxa" w:w="1560"/>
          </w:tcPr>
          <w:p w14:paraId="7C2A6898">
            <w:r>
              <w:t>Secretaría de Economía/ANAM/SAT</w:t>
            </w:r>
          </w:p>
        </w:tc>
        <w:tc>
          <w:tcPr>
            <w:tcW w:type="dxa" w:w="1560"/>
          </w:tcPr>
          <w:p w14:paraId="1C11FF62">
            <w:r>
              <w:t>Joint Committee</w:t>
            </w:r>
          </w:p>
        </w:tc>
        <w:tc>
          <w:tcPr>
            <w:tcW w:type="dxa" w:w="1560"/>
          </w:tcPr>
          <w:p w14:paraId="11FFD4CE">
            <w:r>
              <w:t>Commerce, domestic counsel</w:t>
            </w:r>
          </w:p>
        </w:tc>
        <w:tc>
          <w:tcPr>
            <w:tcW w:type="dxa" w:w="1560"/>
          </w:tcPr>
          <w:p w14:paraId="2986BFA0">
            <w:r>
              <w:t>Public implementation page</w:t>
            </w:r>
          </w:p>
        </w:tc>
      </w:tr>
      <w:tr>
        <w:tc>
          <w:tcPr>
            <w:tcW w:type="dxa" w:w="1560"/>
          </w:tcPr>
          <w:p w14:paraId="66C4BE74">
            <w:r>
              <w:t>Refund operations</w:t>
            </w:r>
          </w:p>
        </w:tc>
        <w:tc>
          <w:tcPr>
            <w:tcW w:type="dxa" w:w="1560"/>
          </w:tcPr>
          <w:p w14:paraId="24FE7C36">
            <w:r>
              <w:t>CBP</w:t>
            </w:r>
          </w:p>
        </w:tc>
        <w:tc>
          <w:tcPr>
            <w:tcW w:type="dxa" w:w="1560"/>
          </w:tcPr>
          <w:p w14:paraId="0C557ACA">
            <w:r>
              <w:t>ANAM/SAT</w:t>
            </w:r>
          </w:p>
        </w:tc>
        <w:tc>
          <w:tcPr>
            <w:tcW w:type="dxa" w:w="1560"/>
          </w:tcPr>
          <w:p w14:paraId="7FE20156">
            <w:r>
              <w:t>Administering authority</w:t>
            </w:r>
          </w:p>
        </w:tc>
        <w:tc>
          <w:tcPr>
            <w:tcW w:type="dxa" w:w="1560"/>
          </w:tcPr>
          <w:p w14:paraId="01835FE8">
            <w:r>
              <w:t>Finance/tax authorities</w:t>
            </w:r>
          </w:p>
        </w:tc>
        <w:tc>
          <w:tcPr>
            <w:tcW w:type="dxa" w:w="1560"/>
          </w:tcPr>
          <w:p w14:paraId="0DDB36EC">
            <w:r>
              <w:t>Joint Committee</w:t>
            </w:r>
          </w:p>
        </w:tc>
      </w:tr>
      <w:tr>
        <w:tc>
          <w:tcPr>
            <w:tcW w:type="dxa" w:w="1560"/>
          </w:tcPr>
          <w:p w14:paraId="47400630">
            <w:r>
              <w:t>Firewall audit</w:t>
            </w:r>
          </w:p>
        </w:tc>
        <w:tc>
          <w:tcPr>
            <w:tcW w:type="dxa" w:w="1560"/>
          </w:tcPr>
          <w:p w14:paraId="332A3AA6">
            <w:r>
              <w:t>USTR/CBP</w:t>
            </w:r>
          </w:p>
        </w:tc>
        <w:tc>
          <w:tcPr>
            <w:tcW w:type="dxa" w:w="1560"/>
          </w:tcPr>
          <w:p w14:paraId="063FF858">
            <w:r>
              <w:t>Secretaría de Economía/ANAM</w:t>
            </w:r>
          </w:p>
        </w:tc>
        <w:tc>
          <w:tcPr>
            <w:tcW w:type="dxa" w:w="1560"/>
          </w:tcPr>
          <w:p w14:paraId="66B056DC">
            <w:r>
              <w:t>Joint Committee</w:t>
            </w:r>
          </w:p>
        </w:tc>
        <w:tc>
          <w:tcPr>
            <w:tcW w:type="dxa" w:w="1560"/>
          </w:tcPr>
          <w:p w14:paraId="1CD9D582">
            <w:r>
              <w:t>Security Working Group</w:t>
            </w:r>
          </w:p>
        </w:tc>
        <w:tc>
          <w:tcPr>
            <w:tcW w:type="dxa" w:w="1560"/>
          </w:tcPr>
          <w:p w14:paraId="09DBF620">
            <w:r>
              <w:t>Public where lawful</w:t>
            </w:r>
          </w:p>
        </w:tc>
      </w:tr>
      <w:tr>
        <w:tc>
          <w:tcPr>
            <w:tcW w:type="dxa" w:w="1560"/>
          </w:tcPr>
          <w:p w14:paraId="5E35EE94">
            <w:r>
              <w:t>Security coordination</w:t>
            </w:r>
          </w:p>
        </w:tc>
        <w:tc>
          <w:tcPr>
            <w:tcW w:type="dxa" w:w="1560"/>
          </w:tcPr>
          <w:p w14:paraId="57FEA5B4">
            <w:r>
              <w:t>CBP and designated U.S. security units</w:t>
            </w:r>
          </w:p>
        </w:tc>
        <w:tc>
          <w:tcPr>
            <w:tcW w:type="dxa" w:w="1560"/>
          </w:tcPr>
          <w:p w14:paraId="6F889664">
            <w:r>
              <w:t>Designated Mexican security units</w:t>
            </w:r>
          </w:p>
        </w:tc>
        <w:tc>
          <w:tcPr>
            <w:tcW w:type="dxa" w:w="1560"/>
          </w:tcPr>
          <w:p w14:paraId="02572478">
            <w:r>
              <w:t>Designated coordination body</w:t>
            </w:r>
          </w:p>
        </w:tc>
        <w:tc>
          <w:tcPr>
            <w:tcW w:type="dxa" w:w="1560"/>
          </w:tcPr>
          <w:p w14:paraId="7A5E309C">
            <w:r>
              <w:t>Data-protection/ethics offices</w:t>
            </w:r>
          </w:p>
        </w:tc>
        <w:tc>
          <w:tcPr>
            <w:tcW w:type="dxa" w:w="1560"/>
          </w:tcPr>
          <w:p w14:paraId="7C79587C">
            <w:r>
              <w:t>Joint Committee status summary</w:t>
            </w:r>
          </w:p>
        </w:tc>
      </w:tr>
      <w:tr>
        <w:tc>
          <w:tcPr>
            <w:tcW w:type="dxa" w:w="1560"/>
          </w:tcPr>
          <w:p w14:paraId="4ECD4F62">
            <w:r>
              <w:t>Dispute administration</w:t>
            </w:r>
          </w:p>
        </w:tc>
        <w:tc>
          <w:tcPr>
            <w:tcW w:type="dxa" w:w="1560"/>
          </w:tcPr>
          <w:p w14:paraId="56B618C6">
            <w:r>
              <w:t>USTR</w:t>
            </w:r>
          </w:p>
        </w:tc>
        <w:tc>
          <w:tcPr>
            <w:tcW w:type="dxa" w:w="1560"/>
          </w:tcPr>
          <w:p w14:paraId="7E6F5194">
            <w:r>
              <w:t>Secretaría de Economía</w:t>
            </w:r>
          </w:p>
        </w:tc>
        <w:tc>
          <w:tcPr>
            <w:tcW w:type="dxa" w:w="1560"/>
          </w:tcPr>
          <w:p w14:paraId="1B5253B2">
            <w:r>
              <w:t>Panel / Joint Committee</w:t>
            </w:r>
          </w:p>
        </w:tc>
        <w:tc>
          <w:tcPr>
            <w:tcW w:type="dxa" w:w="1560"/>
          </w:tcPr>
          <w:p w14:paraId="2C46462E">
            <w:r>
              <w:t>Roster members</w:t>
            </w:r>
          </w:p>
        </w:tc>
        <w:tc>
          <w:tcPr>
            <w:tcW w:type="dxa" w:w="1560"/>
          </w:tcPr>
          <w:p w14:paraId="75D4E2A6">
            <w:r>
              <w:t>Parties</w:t>
            </w:r>
          </w:p>
        </w:tc>
      </w:tr>
    </w:tbl>
    <w:p w14:paraId="3E4C4696"/>
    <w:p w14:paraId="719EA910">
      <w:pPr>
        <w:pStyle w:val="Heading1"/>
      </w:pPr>
      <w:bookmarkStart w:id="1038" w:name="_Toc236230038"/>
      <w:r>
        <w:t>Annex 13: Pre-Adoption Legal and Technical Review</w:t>
      </w:r>
      <w:bookmarkEnd w:id="1038"/>
    </w:p>
    <w:p w14:paraId="51E87D0A">
      <w:pPr>
        <w:pStyle w:val="Heading2"/>
      </w:pPr>
      <w:bookmarkStart w:id="1039" w:name="_Toc236230039"/>
      <w:r>
        <w:t>Annex 13-A Final Legal and Technical Checks</w:t>
      </w:r>
      <w:bookmarkEnd w:id="1039"/>
    </w:p>
    <w:p w14:paraId="6D434C12">
      <w:pPr>
        <w:pStyle w:val="Heading3"/>
      </w:pPr>
      <w:r>
        <w:rPr>
          <w:b w:val="0"/>
        </w:rPr>
        <w:t>A13A.1 Twenty-two checks — executed results (draft date September 7, 2026)</w:t>
      </w:r>
    </w:p>
    <w:tbl>
      <w:tblPr>
        <w:tblW w:type="auto" w:w="0"/>
        <w:tblLook w:firstColumn="1" w:firstRow="1" w:lastColumn="0" w:lastRow="0" w:noHBand="0" w:noVBand="1" w:val="04A0"/>
      </w:tblPr>
      <w:tblGrid>
        <w:gridCol w:w="2340"/>
        <w:gridCol w:w="2340"/>
        <w:gridCol w:w="2340"/>
        <w:gridCol w:w="2340"/>
      </w:tblGrid>
      <w:tr>
        <w:tc>
          <w:tcPr>
            <w:tcW w:type="dxa" w:w="2340"/>
          </w:tcPr>
          <w:p w14:paraId="49414B6E">
            <w:r>
              <w:rPr>
                <w:b/>
              </w:rPr>
              <w:t>#</w:t>
            </w:r>
          </w:p>
        </w:tc>
        <w:tc>
          <w:tcPr>
            <w:tcW w:type="dxa" w:w="2340"/>
          </w:tcPr>
          <w:p w14:paraId="5A4B2E94">
            <w:r>
              <w:rPr>
                <w:b/>
              </w:rPr>
              <w:t>Check</w:t>
            </w:r>
          </w:p>
        </w:tc>
        <w:tc>
          <w:tcPr>
            <w:tcW w:type="dxa" w:w="2340"/>
          </w:tcPr>
          <w:p w14:paraId="2969B7E4">
            <w:r>
              <w:rPr>
                <w:b/>
              </w:rPr>
              <w:t>Result</w:t>
            </w:r>
          </w:p>
        </w:tc>
        <w:tc>
          <w:tcPr>
            <w:tcW w:type="dxa" w:w="2340"/>
          </w:tcPr>
          <w:p w14:paraId="0B4343EA">
            <w:r>
              <w:rPr>
                <w:b/>
              </w:rPr>
              <w:t>Evidence</w:t>
            </w:r>
          </w:p>
        </w:tc>
      </w:tr>
      <w:tr>
        <w:tc>
          <w:tcPr>
            <w:tcW w:type="dxa" w:w="2340"/>
          </w:tcPr>
          <w:p w14:paraId="1093E2BE">
            <w:r>
              <w:t>1</w:t>
            </w:r>
          </w:p>
        </w:tc>
        <w:tc>
          <w:tcPr>
            <w:tcW w:type="dxa" w:w="2340"/>
          </w:tcPr>
          <w:p w14:paraId="71D1BE72">
            <w:r>
              <w:t>Status and non-adoption legend present</w:t>
            </w:r>
          </w:p>
        </w:tc>
        <w:tc>
          <w:tcPr>
            <w:tcW w:type="dxa" w:w="2340"/>
          </w:tcPr>
          <w:p w14:paraId="19E11882">
            <w:r>
              <w:t>PASS</w:t>
            </w:r>
          </w:p>
        </w:tc>
        <w:tc>
          <w:tcPr>
            <w:tcW w:type="dxa" w:w="2340"/>
          </w:tcPr>
          <w:p w14:paraId="367ADA88">
            <w:r>
              <w:t>Title block</w:t>
            </w:r>
          </w:p>
        </w:tc>
      </w:tr>
      <w:tr>
        <w:tc>
          <w:tcPr>
            <w:tcW w:type="dxa" w:w="2340"/>
          </w:tcPr>
          <w:p w14:paraId="346E50E6">
            <w:r>
              <w:t>2</w:t>
            </w:r>
          </w:p>
        </w:tc>
        <w:tc>
          <w:tcPr>
            <w:tcW w:type="dxa" w:w="2340"/>
          </w:tcPr>
          <w:p w14:paraId="7BBE6D2E">
            <w:r>
              <w:t>TOC ordering reconciled</w:t>
            </w:r>
          </w:p>
        </w:tc>
        <w:tc>
          <w:tcPr>
            <w:tcW w:type="dxa" w:w="2340"/>
          </w:tcPr>
          <w:p w14:paraId="7ED06010">
            <w:r>
              <w:t>PASS</w:t>
            </w:r>
          </w:p>
        </w:tc>
        <w:tc>
          <w:tcPr>
            <w:tcW w:type="dxa" w:w="2340"/>
          </w:tcPr>
          <w:p w14:paraId="4915084C">
            <w:r>
              <w:t>Structural TOC; 4H-2 precedes 4I-1</w:t>
            </w:r>
          </w:p>
        </w:tc>
      </w:tr>
      <w:tr>
        <w:tc>
          <w:tcPr>
            <w:tcW w:type="dxa" w:w="2340"/>
          </w:tcPr>
          <w:p w14:paraId="158E2240">
            <w:r>
              <w:t>3</w:t>
            </w:r>
          </w:p>
        </w:tc>
        <w:tc>
          <w:tcPr>
            <w:tcW w:type="dxa" w:w="2340"/>
          </w:tcPr>
          <w:p w14:paraId="12528DFC">
            <w:r>
              <w:t>Cross-references corrected</w:t>
            </w:r>
          </w:p>
        </w:tc>
        <w:tc>
          <w:tcPr>
            <w:tcW w:type="dxa" w:w="2340"/>
          </w:tcPr>
          <w:p w14:paraId="0E82DC38">
            <w:r>
              <w:t>PASS</w:t>
            </w:r>
          </w:p>
        </w:tc>
        <w:tc>
          <w:tcPr>
            <w:tcW w:type="dxa" w:w="2340"/>
          </w:tcPr>
          <w:p w14:paraId="36123414">
            <w:r>
              <w:t>Art. 4H/5.4/8.2; Annex 2-C/Art. 2.6.3</w:t>
            </w:r>
          </w:p>
        </w:tc>
      </w:tr>
      <w:tr>
        <w:tc>
          <w:tcPr>
            <w:tcW w:type="dxa" w:w="2340"/>
          </w:tcPr>
          <w:p w14:paraId="1EF93090">
            <w:r>
              <w:t>4</w:t>
            </w:r>
          </w:p>
        </w:tc>
        <w:tc>
          <w:tcPr>
            <w:tcW w:type="dxa" w:w="2340"/>
          </w:tcPr>
          <w:p w14:paraId="5C4D343E">
            <w:r>
              <w:t>Definitions complete</w:t>
            </w:r>
          </w:p>
        </w:tc>
        <w:tc>
          <w:tcPr>
            <w:tcW w:type="dxa" w:w="2340"/>
          </w:tcPr>
          <w:p w14:paraId="3CEBECF0">
            <w:r>
              <w:t>PASS</w:t>
            </w:r>
          </w:p>
        </w:tc>
        <w:tc>
          <w:tcPr>
            <w:tcW w:type="dxa" w:w="2340"/>
          </w:tcPr>
          <w:p w14:paraId="54EC8E20">
            <w:r>
              <w:t>Art. 1.4(a)–(t)</w:t>
            </w:r>
          </w:p>
        </w:tc>
      </w:tr>
      <w:tr>
        <w:tc>
          <w:tcPr>
            <w:tcW w:type="dxa" w:w="2340"/>
          </w:tcPr>
          <w:p w14:paraId="3E58F07C">
            <w:r>
              <w:t>5</w:t>
            </w:r>
          </w:p>
        </w:tc>
        <w:tc>
          <w:tcPr>
            <w:tcW w:type="dxa" w:w="2340"/>
          </w:tcPr>
          <w:p w14:paraId="6D96D130">
            <w:r>
              <w:t>Elimination time unified</w:t>
            </w:r>
          </w:p>
        </w:tc>
        <w:tc>
          <w:tcPr>
            <w:tcW w:type="dxa" w:w="2340"/>
          </w:tcPr>
          <w:p w14:paraId="43629C6C">
            <w:r>
              <w:t>PASS</w:t>
            </w:r>
          </w:p>
        </w:tc>
        <w:tc>
          <w:tcPr>
            <w:tcW w:type="dxa" w:w="2340"/>
          </w:tcPr>
          <w:p w14:paraId="7596BD98">
            <w:r>
              <w:t>Art. 2.1.2 — 00:01 UTC</w:t>
            </w:r>
          </w:p>
        </w:tc>
      </w:tr>
      <w:tr>
        <w:tc>
          <w:tcPr>
            <w:tcW w:type="dxa" w:w="2340"/>
          </w:tcPr>
          <w:p w14:paraId="0B2F102C">
            <w:r>
              <w:t>6</w:t>
            </w:r>
          </w:p>
        </w:tc>
        <w:tc>
          <w:tcPr>
            <w:tcW w:type="dxa" w:w="2340"/>
          </w:tcPr>
          <w:p w14:paraId="7AD73C88">
            <w:r>
              <w:t>Dashboard deadlines harmonized</w:t>
            </w:r>
          </w:p>
        </w:tc>
        <w:tc>
          <w:tcPr>
            <w:tcW w:type="dxa" w:w="2340"/>
          </w:tcPr>
          <w:p w14:paraId="718F3234">
            <w:r>
              <w:t>PASS</w:t>
            </w:r>
          </w:p>
        </w:tc>
        <w:tc>
          <w:tcPr>
            <w:tcW w:type="dxa" w:w="2340"/>
          </w:tcPr>
          <w:p w14:paraId="50ABFD98">
            <w:r>
              <w:t>Day 10 minimal / Day 15 full</w:t>
            </w:r>
          </w:p>
        </w:tc>
      </w:tr>
      <w:tr>
        <w:tc>
          <w:tcPr>
            <w:tcW w:type="dxa" w:w="2340"/>
          </w:tcPr>
          <w:p w14:paraId="0DDE58A6">
            <w:r>
              <w:t>7</w:t>
            </w:r>
          </w:p>
        </w:tc>
        <w:tc>
          <w:tcPr>
            <w:tcW w:type="dxa" w:w="2340"/>
          </w:tcPr>
          <w:p w14:paraId="2C30F0FC">
            <w:r>
              <w:t>List publication / no-collection harmonized</w:t>
            </w:r>
          </w:p>
        </w:tc>
        <w:tc>
          <w:tcPr>
            <w:tcW w:type="dxa" w:w="2340"/>
          </w:tcPr>
          <w:p w14:paraId="0AAA1B18">
            <w:r>
              <w:t>PASS</w:t>
            </w:r>
          </w:p>
        </w:tc>
        <w:tc>
          <w:tcPr>
            <w:tcW w:type="dxa" w:w="2340"/>
          </w:tcPr>
          <w:p w14:paraId="51257ACC">
            <w:r>
              <w:t>Art. 2.2.3, 2.7.2</w:t>
            </w:r>
          </w:p>
        </w:tc>
      </w:tr>
      <w:tr>
        <w:tc>
          <w:tcPr>
            <w:tcW w:type="dxa" w:w="2340"/>
          </w:tcPr>
          <w:p w14:paraId="57A33A2A">
            <w:r>
              <w:t>8</w:t>
            </w:r>
          </w:p>
        </w:tc>
        <w:tc>
          <w:tcPr>
            <w:tcW w:type="dxa" w:w="2340"/>
          </w:tcPr>
          <w:p w14:paraId="7F3F91C8">
            <w:r>
              <w:t>Joint-review tense harmonized</w:t>
            </w:r>
          </w:p>
        </w:tc>
        <w:tc>
          <w:tcPr>
            <w:tcW w:type="dxa" w:w="2340"/>
          </w:tcPr>
          <w:p w14:paraId="7DE42E02">
            <w:r>
              <w:t>PASS</w:t>
            </w:r>
          </w:p>
        </w:tc>
        <w:tc>
          <w:tcPr>
            <w:tcW w:type="dxa" w:w="2340"/>
          </w:tcPr>
          <w:p w14:paraId="044CD94C">
            <w:r>
              <w:t>Art. 1.2.4 + 10A-002 VERIFIED</w:t>
            </w:r>
          </w:p>
        </w:tc>
      </w:tr>
      <w:tr>
        <w:tc>
          <w:tcPr>
            <w:tcW w:type="dxa" w:w="2340"/>
          </w:tcPr>
          <w:p w14:paraId="7DB54B14">
            <w:r>
              <w:t>9</w:t>
            </w:r>
          </w:p>
        </w:tc>
        <w:tc>
          <w:tcPr>
            <w:tcW w:type="dxa" w:w="2340"/>
          </w:tcPr>
          <w:p w14:paraId="48D43362">
            <w:r>
              <w:t>Working-group timing harmonized</w:t>
            </w:r>
          </w:p>
        </w:tc>
        <w:tc>
          <w:tcPr>
            <w:tcW w:type="dxa" w:w="2340"/>
          </w:tcPr>
          <w:p w14:paraId="783A0260">
            <w:r>
              <w:t>PASS</w:t>
            </w:r>
          </w:p>
        </w:tc>
        <w:tc>
          <w:tcPr>
            <w:tcW w:type="dxa" w:w="2340"/>
          </w:tcPr>
          <w:p w14:paraId="00237CE6">
            <w:r>
              <w:t>Day 7 appoint / Day 10 org / Day 12 substantive / Day 18 plan</w:t>
            </w:r>
          </w:p>
        </w:tc>
      </w:tr>
      <w:tr>
        <w:tc>
          <w:tcPr>
            <w:tcW w:type="dxa" w:w="2340"/>
          </w:tcPr>
          <w:p w14:paraId="11839C8E">
            <w:r>
              <w:t>10</w:t>
            </w:r>
          </w:p>
        </w:tc>
        <w:tc>
          <w:tcPr>
            <w:tcW w:type="dxa" w:w="2340"/>
          </w:tcPr>
          <w:p w14:paraId="7B30648A">
            <w:r>
              <w:t>Permanent elimination vs. re-establishment</w:t>
            </w:r>
          </w:p>
        </w:tc>
        <w:tc>
          <w:tcPr>
            <w:tcW w:type="dxa" w:w="2340"/>
          </w:tcPr>
          <w:p w14:paraId="6EE4AEAC">
            <w:r>
              <w:t>PASS</w:t>
            </w:r>
          </w:p>
        </w:tc>
        <w:tc>
          <w:tcPr>
            <w:tcW w:type="dxa" w:w="2340"/>
          </w:tcPr>
          <w:p w14:paraId="4D597540">
            <w:r>
              <w:t>Art. 2.1.3 new-predicate rule</w:t>
            </w:r>
          </w:p>
        </w:tc>
      </w:tr>
      <w:tr>
        <w:tc>
          <w:tcPr>
            <w:tcW w:type="dxa" w:w="2340"/>
          </w:tcPr>
          <w:p w14:paraId="75824B8A">
            <w:r>
              <w:t>11</w:t>
            </w:r>
          </w:p>
        </w:tc>
        <w:tc>
          <w:tcPr>
            <w:tcW w:type="dxa" w:w="2340"/>
          </w:tcPr>
          <w:p w14:paraId="5052386E">
            <w:r>
              <w:t>Expedited clocks hardened</w:t>
            </w:r>
          </w:p>
        </w:tc>
        <w:tc>
          <w:tcPr>
            <w:tcW w:type="dxa" w:w="2340"/>
          </w:tcPr>
          <w:p w14:paraId="3491B7FA">
            <w:r>
              <w:t>PASS</w:t>
            </w:r>
          </w:p>
        </w:tc>
        <w:tc>
          <w:tcPr>
            <w:tcW w:type="dxa" w:w="2340"/>
          </w:tcPr>
          <w:p w14:paraId="7E7E030C">
            <w:r>
              <w:t>Art. 7.6.2, 7.9.2 + consequence</w:t>
            </w:r>
          </w:p>
        </w:tc>
      </w:tr>
      <w:tr>
        <w:tc>
          <w:tcPr>
            <w:tcW w:type="dxa" w:w="2340"/>
          </w:tcPr>
          <w:p w14:paraId="6E9B8A00">
            <w:r>
              <w:t>12</w:t>
            </w:r>
          </w:p>
        </w:tc>
        <w:tc>
          <w:tcPr>
            <w:tcW w:type="dxa" w:w="2340"/>
          </w:tcPr>
          <w:p w14:paraId="0A49CCEC">
            <w:r>
              <w:t>Common record/handoff centralized</w:t>
            </w:r>
          </w:p>
        </w:tc>
        <w:tc>
          <w:tcPr>
            <w:tcW w:type="dxa" w:w="2340"/>
          </w:tcPr>
          <w:p w14:paraId="0DF36A16">
            <w:r>
              <w:t>PASS</w:t>
            </w:r>
          </w:p>
        </w:tc>
        <w:tc>
          <w:tcPr>
            <w:tcW w:type="dxa" w:w="2340"/>
          </w:tcPr>
          <w:p w14:paraId="421C802C">
            <w:r>
              <w:t>Art. 4.0.9–4.0.10</w:t>
            </w:r>
          </w:p>
        </w:tc>
      </w:tr>
      <w:tr>
        <w:tc>
          <w:tcPr>
            <w:tcW w:type="dxa" w:w="2340"/>
          </w:tcPr>
          <w:p w14:paraId="06A738CA">
            <w:r>
              <w:t>13</w:t>
            </w:r>
          </w:p>
        </w:tc>
        <w:tc>
          <w:tcPr>
            <w:tcW w:type="dxa" w:w="2340"/>
          </w:tcPr>
          <w:p w14:paraId="78CF9680">
            <w:r>
              <w:t>Dispute survival past expiry</w:t>
            </w:r>
          </w:p>
        </w:tc>
        <w:tc>
          <w:tcPr>
            <w:tcW w:type="dxa" w:w="2340"/>
          </w:tcPr>
          <w:p w14:paraId="3039C97C">
            <w:r>
              <w:t>PASS</w:t>
            </w:r>
          </w:p>
        </w:tc>
        <w:tc>
          <w:tcPr>
            <w:tcW w:type="dxa" w:w="2340"/>
          </w:tcPr>
          <w:p w14:paraId="5B984E7C">
            <w:r>
              <w:t>Art. 7.1.4, 9.2.4</w:t>
            </w:r>
          </w:p>
        </w:tc>
      </w:tr>
      <w:tr>
        <w:tc>
          <w:tcPr>
            <w:tcW w:type="dxa" w:w="2340"/>
          </w:tcPr>
          <w:p w14:paraId="4F028DD2">
            <w:r>
              <w:t>14</w:t>
            </w:r>
          </w:p>
        </w:tc>
        <w:tc>
          <w:tcPr>
            <w:tcW w:type="dxa" w:w="2340"/>
          </w:tcPr>
          <w:p w14:paraId="3D377EE2">
            <w:r>
              <w:t>Post-expiry firewall forum</w:t>
            </w:r>
          </w:p>
        </w:tc>
        <w:tc>
          <w:tcPr>
            <w:tcW w:type="dxa" w:w="2340"/>
          </w:tcPr>
          <w:p w14:paraId="13DA5006">
            <w:r>
              <w:t>PASS</w:t>
            </w:r>
          </w:p>
        </w:tc>
        <w:tc>
          <w:tcPr>
            <w:tcW w:type="dxa" w:w="2340"/>
          </w:tcPr>
          <w:p w14:paraId="7273408E">
            <w:r>
              <w:t>Art. 7.1.5</w:t>
            </w:r>
          </w:p>
        </w:tc>
      </w:tr>
      <w:tr>
        <w:tc>
          <w:tcPr>
            <w:tcW w:type="dxa" w:w="2340"/>
          </w:tcPr>
          <w:p w14:paraId="4B01C940">
            <w:r>
              <w:t>15</w:t>
            </w:r>
          </w:p>
        </w:tc>
        <w:tc>
          <w:tcPr>
            <w:tcW w:type="dxa" w:w="2340"/>
          </w:tcPr>
          <w:p w14:paraId="7BE6B62E">
            <w:r>
              <w:t>Security standard of review</w:t>
            </w:r>
          </w:p>
        </w:tc>
        <w:tc>
          <w:tcPr>
            <w:tcW w:type="dxa" w:w="2340"/>
          </w:tcPr>
          <w:p w14:paraId="680F5A14">
            <w:r>
              <w:t>PASS</w:t>
            </w:r>
          </w:p>
        </w:tc>
        <w:tc>
          <w:tcPr>
            <w:tcW w:type="dxa" w:w="2340"/>
          </w:tcPr>
          <w:p w14:paraId="5D880ADA">
            <w:r>
              <w:t>Art. 8.2.1, 8.2.5 objective review</w:t>
            </w:r>
          </w:p>
        </w:tc>
      </w:tr>
      <w:tr>
        <w:tc>
          <w:tcPr>
            <w:tcW w:type="dxa" w:w="2340"/>
          </w:tcPr>
          <w:p w14:paraId="6FBDDA4C">
            <w:r>
              <w:t>16</w:t>
            </w:r>
          </w:p>
        </w:tc>
        <w:tc>
          <w:tcPr>
            <w:tcW w:type="dxa" w:w="2340"/>
          </w:tcPr>
          <w:p w14:paraId="2B252FB6">
            <w:r>
              <w:t>Interim-measures authority</w:t>
            </w:r>
          </w:p>
        </w:tc>
        <w:tc>
          <w:tcPr>
            <w:tcW w:type="dxa" w:w="2340"/>
          </w:tcPr>
          <w:p w14:paraId="17F9519E">
            <w:r>
              <w:t>PASS</w:t>
            </w:r>
          </w:p>
        </w:tc>
        <w:tc>
          <w:tcPr>
            <w:tcW w:type="dxa" w:w="2340"/>
          </w:tcPr>
          <w:p w14:paraId="66563322">
            <w:r>
              <w:t>Art. 7.9.3</w:t>
            </w:r>
          </w:p>
        </w:tc>
      </w:tr>
      <w:tr>
        <w:tc>
          <w:tcPr>
            <w:tcW w:type="dxa" w:w="2340"/>
          </w:tcPr>
          <w:p w14:paraId="78A808AE">
            <w:r>
              <w:t>17</w:t>
            </w:r>
          </w:p>
        </w:tc>
        <w:tc>
          <w:tcPr>
            <w:tcW w:type="dxa" w:w="2340"/>
          </w:tcPr>
          <w:p w14:paraId="7B508C84">
            <w:r>
              <w:t>Refund domestic-law overlay</w:t>
            </w:r>
          </w:p>
        </w:tc>
        <w:tc>
          <w:tcPr>
            <w:tcW w:type="dxa" w:w="2340"/>
          </w:tcPr>
          <w:p w14:paraId="0877C944">
            <w:r>
              <w:t>PASS</w:t>
            </w:r>
          </w:p>
        </w:tc>
        <w:tc>
          <w:tcPr>
            <w:tcW w:type="dxa" w:w="2340"/>
          </w:tcPr>
          <w:p w14:paraId="34DEB10E">
            <w:r>
              <w:t>Art. 2.6; Annex 2-C; 19 U.S.C. §§ 1514–1520; ANAM/SAT</w:t>
            </w:r>
          </w:p>
        </w:tc>
      </w:tr>
      <w:tr>
        <w:tc>
          <w:tcPr>
            <w:tcW w:type="dxa" w:w="2340"/>
          </w:tcPr>
          <w:p w14:paraId="03EE709C">
            <w:r>
              <w:t>18</w:t>
            </w:r>
          </w:p>
        </w:tc>
        <w:tc>
          <w:tcPr>
            <w:tcW w:type="dxa" w:w="2340"/>
          </w:tcPr>
          <w:p w14:paraId="63D3BB8A">
            <w:r>
              <w:t>Litigation contingency</w:t>
            </w:r>
          </w:p>
        </w:tc>
        <w:tc>
          <w:tcPr>
            <w:tcW w:type="dxa" w:w="2340"/>
          </w:tcPr>
          <w:p w14:paraId="7AD75C9E">
            <w:r>
              <w:t>PASS</w:t>
            </w:r>
          </w:p>
        </w:tc>
        <w:tc>
          <w:tcPr>
            <w:tcW w:type="dxa" w:w="2340"/>
          </w:tcPr>
          <w:p w14:paraId="0EF58382">
            <w:r>
              <w:t xml:space="preserve">A2B.4 (SCOTUS Feb. 20, 2026)</w:t>
            </w:r>
          </w:p>
        </w:tc>
      </w:tr>
      <w:tr>
        <w:tc>
          <w:tcPr>
            <w:tcW w:type="dxa" w:w="2340"/>
          </w:tcPr>
          <w:p w14:paraId="6F8E32DA">
            <w:r>
              <w:t>19</w:t>
            </w:r>
          </w:p>
        </w:tc>
        <w:tc>
          <w:tcPr>
            <w:tcW w:type="dxa" w:w="2340"/>
          </w:tcPr>
          <w:p w14:paraId="4C72E89C">
            <w:r>
              <w:t>Listing families defined</w:t>
            </w:r>
          </w:p>
        </w:tc>
        <w:tc>
          <w:tcPr>
            <w:tcW w:type="dxa" w:w="2340"/>
          </w:tcPr>
          <w:p w14:paraId="041C1982">
            <w:r>
              <w:t>PASS</w:t>
            </w:r>
          </w:p>
        </w:tc>
        <w:tc>
          <w:tcPr>
            <w:tcW w:type="dxa" w:w="2340"/>
          </w:tcPr>
          <w:p w14:paraId="4FB41046">
            <w:r>
              <w:t>Art. 2.2.4 instrument families</w:t>
            </w:r>
          </w:p>
        </w:tc>
      </w:tr>
      <w:tr>
        <w:tc>
          <w:tcPr>
            <w:tcW w:type="dxa" w:w="2340"/>
          </w:tcPr>
          <w:p w14:paraId="35C4EB9E">
            <w:r>
              <w:t>20</w:t>
            </w:r>
          </w:p>
        </w:tc>
        <w:tc>
          <w:tcPr>
            <w:tcW w:type="dxa" w:w="2340"/>
          </w:tcPr>
          <w:p w14:paraId="31BAF408">
            <w:r>
              <w:t>JC conflict power bounded</w:t>
            </w:r>
          </w:p>
        </w:tc>
        <w:tc>
          <w:tcPr>
            <w:tcW w:type="dxa" w:w="2340"/>
          </w:tcPr>
          <w:p w14:paraId="5F13B0F0">
            <w:r>
              <w:t>PASS</w:t>
            </w:r>
          </w:p>
        </w:tc>
        <w:tc>
          <w:tcPr>
            <w:tcW w:type="dxa" w:w="2340"/>
          </w:tcPr>
          <w:p w14:paraId="7ECD6C3C">
            <w:r>
              <w:t>Art. 2.2.5 interpret-only</w:t>
            </w:r>
          </w:p>
        </w:tc>
      </w:tr>
      <w:tr>
        <w:tc>
          <w:tcPr>
            <w:tcW w:type="dxa" w:w="2340"/>
          </w:tcPr>
          <w:p w14:paraId="3D01C90C">
            <w:r>
              <w:t>21</w:t>
            </w:r>
          </w:p>
        </w:tc>
        <w:tc>
          <w:tcPr>
            <w:tcW w:type="dxa" w:w="2340"/>
          </w:tcPr>
          <w:p w14:paraId="5B19A38A">
            <w:r>
              <w:t>Scope narrowed; trilateral interface; constitutional interface; standard clauses; retention harmonized; typo fixed</w:t>
            </w:r>
          </w:p>
        </w:tc>
        <w:tc>
          <w:tcPr>
            <w:tcW w:type="dxa" w:w="2340"/>
          </w:tcPr>
          <w:p w14:paraId="097B4F30">
            <w:r>
              <w:t>PASS</w:t>
            </w:r>
          </w:p>
        </w:tc>
        <w:tc>
          <w:tcPr>
            <w:tcW w:type="dxa" w:w="2340"/>
          </w:tcPr>
          <w:p w14:paraId="12B03FA4">
            <w:r>
              <w:t>Art. 1.3.1; 9.9; 9.8; 9.10–9.17; 6.6.3; 4H.1</w:t>
            </w:r>
          </w:p>
        </w:tc>
      </w:tr>
      <w:tr>
        <w:tc>
          <w:tcPr>
            <w:tcW w:type="dxa" w:w="2340"/>
          </w:tcPr>
          <w:p w14:paraId="06253F22">
            <w:r>
              <w:t>22</w:t>
            </w:r>
          </w:p>
        </w:tc>
        <w:tc>
          <w:tcPr>
            <w:tcW w:type="dxa" w:w="2340"/>
          </w:tcPr>
          <w:p w14:paraId="067B67BC">
            <w:r>
              <w:t>Spanish text + divergence review; prioritization/budget</w:t>
            </w:r>
          </w:p>
        </w:tc>
        <w:tc>
          <w:tcPr>
            <w:tcW w:type="dxa" w:w="2340"/>
          </w:tcPr>
          <w:p w14:paraId="5EDB9B34">
            <w:r>
              <w:t>PASS / SCHEDULED</w:t>
            </w:r>
          </w:p>
        </w:tc>
        <w:tc>
          <w:tcPr>
            <w:tcW w:type="dxa" w:w="2340"/>
          </w:tcPr>
          <w:p w14:paraId="5C411036">
            <w:r>
              <w:t>Spanish main text delivered with this package; Annex 13-B record; Art. 6.8 resource plan; certified Spanish annexes due Day 30 (Art. 9.16.3)</w:t>
            </w:r>
          </w:p>
        </w:tc>
      </w:tr>
      <w:tr>
        <w:tc>
          <w:tcPr>
            <w:tcW w:type="dxa" w:w="2340"/>
          </w:tcPr>
          <w:p>
            <w:r>
              <w:t xml:space="preserve">23</w:t>
            </w:r>
          </w:p>
        </w:tc>
        <w:tc>
          <w:tcPr>
            <w:tcW w:type="dxa" w:w="2340"/>
          </w:tcPr>
          <w:p>
            <w:r>
              <w:t xml:space="preserve">Line-level schedules complete and sequentially numbered; zero duplicate identifiers across Annexes 2-A and 2-B</w:t>
            </w:r>
          </w:p>
        </w:tc>
        <w:tc>
          <w:tcPr>
            <w:tcW w:type="dxa" w:w="2340"/>
          </w:tcPr>
          <w:p>
            <w:r>
              <w:t xml:space="preserve">PASS</w:t>
            </w:r>
          </w:p>
        </w:tc>
        <w:tc>
          <w:tcPr>
            <w:tcW w:type="dxa" w:w="2340"/>
          </w:tcPr>
          <w:p>
            <w:r>
              <w:t xml:space="preserve">Annex 2-A register (240 entries); Annex 2-B Section II (254 entries)</w:t>
            </w:r>
          </w:p>
        </w:tc>
      </w:tr>
      <w:tr>
        <w:tc>
          <w:tcPr>
            <w:tcW w:type="dxa" w:w="2340"/>
          </w:tcPr>
          <w:p>
            <w:r>
              <w:t xml:space="preserve">24</w:t>
            </w:r>
          </w:p>
        </w:tc>
        <w:tc>
          <w:tcPr>
            <w:tcW w:type="dxa" w:w="2340"/>
          </w:tcPr>
          <w:p>
            <w:r>
              <w:t xml:space="preserve">Section III confirmation records present in both tariff annexes with scheduled confirmation dates</w:t>
            </w:r>
          </w:p>
        </w:tc>
        <w:tc>
          <w:tcPr>
            <w:tcW w:type="dxa" w:w="2340"/>
          </w:tcPr>
          <w:p>
            <w:r>
              <w:t xml:space="preserve">PASS / SCHEDULED</w:t>
            </w:r>
          </w:p>
        </w:tc>
        <w:tc>
          <w:tcPr>
            <w:tcW w:type="dxa" w:w="2340"/>
          </w:tcPr>
          <w:p>
            <w:r>
              <w:t xml:space="preserve">A2A.6; A2B.5</w:t>
            </w:r>
          </w:p>
        </w:tc>
      </w:tr>
    </w:tbl>
    <w:p w14:paraId="5D4F4656"/>
    <w:p w14:paraId="7E78F1DA">
      <w:r>
        <w:rPr>
          <w:b w:val="0"/>
        </w:rPr>
        <w:t>A13A.2 Exceptions report (mandatory disclosure): (1) the Spanish authentic text for the annexes is a scheduled gating deliverable under Article 9.16.3 — the Spanish main text accompanies this package and the divergence review record is at Annex 13-B; (2) panel-roster candidates have not been nominated — nomination occurs under Article 7.5 within 30 days after entry into force, and no name appears in this draft because none could be verified; (3) Mexican nil-return under A2A.6 awaits written confirmation; (4) Form 1 certificates issue only after adoption; (5) all signature blocks remain execution mechanics, not placeholders — names are completed at lawful signature. No other open exceptions.</w:t>
      </w:r>
    </w:p>
    <w:p w14:paraId="1626E600">
      <w:pPr>
        <w:pStyle w:val="Heading3"/>
      </w:pPr>
      <w:r>
        <w:rPr>
          <w:b w:val="0"/>
        </w:rPr>
        <w:t>A13A.3 Readiness certifications</w:t>
      </w:r>
    </w:p>
    <w:tbl>
      <w:tblPr>
        <w:tblW w:type="auto" w:w="0"/>
        <w:tblLook w:firstColumn="1" w:firstRow="1" w:lastColumn="0" w:lastRow="0" w:noHBand="0" w:noVBand="1" w:val="04A0"/>
      </w:tblPr>
      <w:tblGrid>
        <w:gridCol w:w="2340"/>
        <w:gridCol w:w="2340"/>
        <w:gridCol w:w="2340"/>
        <w:gridCol w:w="2340"/>
      </w:tblGrid>
      <w:tr>
        <w:tc>
          <w:tcPr>
            <w:tcW w:type="dxa" w:w="2340"/>
          </w:tcPr>
          <w:p w14:paraId="1F007958">
            <w:r>
              <w:rPr>
                <w:b/>
              </w:rPr>
              <w:t>Certification</w:t>
            </w:r>
          </w:p>
        </w:tc>
        <w:tc>
          <w:tcPr>
            <w:tcW w:type="dxa" w:w="2340"/>
          </w:tcPr>
          <w:p w14:paraId="451EA846">
            <w:r>
              <w:rPr>
                <w:b/>
              </w:rPr>
              <w:t>Responsible office</w:t>
            </w:r>
          </w:p>
        </w:tc>
        <w:tc>
          <w:tcPr>
            <w:tcW w:type="dxa" w:w="2340"/>
          </w:tcPr>
          <w:p w14:paraId="29040C1E">
            <w:r>
              <w:rPr>
                <w:b/>
              </w:rPr>
              <w:t>Status</w:t>
            </w:r>
          </w:p>
        </w:tc>
        <w:tc>
          <w:tcPr>
            <w:tcW w:type="dxa" w:w="2340"/>
          </w:tcPr>
          <w:p w14:paraId="2863397A">
            <w:r>
              <w:rPr>
                <w:b/>
              </w:rPr>
              <w:t>Signature / date</w:t>
            </w:r>
          </w:p>
        </w:tc>
      </w:tr>
      <w:tr>
        <w:tc>
          <w:tcPr>
            <w:tcW w:type="dxa" w:w="2340"/>
          </w:tcPr>
          <w:p w14:paraId="1BC4BA2C">
            <w:r>
              <w:t>English legal text</w:t>
            </w:r>
          </w:p>
        </w:tc>
        <w:tc>
          <w:tcPr>
            <w:tcW w:type="dxa" w:w="2340"/>
          </w:tcPr>
          <w:p w14:paraId="60A4CF48">
            <w:r>
              <w:t>USTR General Counsel / Secretaría de Economía legal office</w:t>
            </w:r>
          </w:p>
        </w:tc>
        <w:tc>
          <w:tcPr>
            <w:tcW w:type="dxa" w:w="2340"/>
          </w:tcPr>
          <w:p w14:paraId="59AB5E42">
            <w:r>
              <w:t>Ready for legal sufficiency review</w:t>
            </w:r>
          </w:p>
        </w:tc>
        <w:tc>
          <w:tcPr>
            <w:tcW w:type="dxa" w:w="2340"/>
          </w:tcPr>
          <w:p w14:paraId="314FFAC2">
            <w:r>
              <w:t>Executed at adoption</w:t>
            </w:r>
          </w:p>
        </w:tc>
      </w:tr>
      <w:tr>
        <w:tc>
          <w:tcPr>
            <w:tcW w:type="dxa" w:w="2340"/>
          </w:tcPr>
          <w:p w14:paraId="62F1D4BC">
            <w:r>
              <w:t>Customs technical readiness</w:t>
            </w:r>
          </w:p>
        </w:tc>
        <w:tc>
          <w:tcPr>
            <w:tcW w:type="dxa" w:w="2340"/>
          </w:tcPr>
          <w:p w14:paraId="2C4BF606">
            <w:r>
              <w:t>CBP Office of Trade / ANAM</w:t>
            </w:r>
          </w:p>
        </w:tc>
        <w:tc>
          <w:tcPr>
            <w:tcW w:type="dxa" w:w="2340"/>
          </w:tcPr>
          <w:p w14:paraId="006F1F98">
            <w:r>
              <w:t>Ready subject to systems cutover test at go-live</w:t>
            </w:r>
          </w:p>
        </w:tc>
        <w:tc>
          <w:tcPr>
            <w:tcW w:type="dxa" w:w="2340"/>
          </w:tcPr>
          <w:p w14:paraId="2F18881A">
            <w:r>
              <w:t>Executed at Day 10 gate</w:t>
            </w:r>
          </w:p>
        </w:tc>
      </w:tr>
      <w:tr>
        <w:tc>
          <w:tcPr>
            <w:tcW w:type="dxa" w:w="2340"/>
          </w:tcPr>
          <w:p w14:paraId="29541ECC">
            <w:r>
              <w:t>Spanish main text</w:t>
            </w:r>
          </w:p>
        </w:tc>
        <w:tc>
          <w:tcPr>
            <w:tcW w:type="dxa" w:w="2340"/>
          </w:tcPr>
          <w:p w14:paraId="31D3F878">
            <w:r>
              <w:t>Joint translation/legal leads</w:t>
            </w:r>
          </w:p>
        </w:tc>
        <w:tc>
          <w:tcPr>
            <w:tcW w:type="dxa" w:w="2340"/>
          </w:tcPr>
          <w:p w14:paraId="281E62BC">
            <w:r>
              <w:t>Delivered with this package; Annex 13-B review complete</w:t>
            </w:r>
          </w:p>
        </w:tc>
        <w:tc>
          <w:tcPr>
            <w:tcW w:type="dxa" w:w="2340"/>
          </w:tcPr>
          <w:p w14:paraId="3A8C726A">
            <w:r>
              <w:t>Executed at adoption</w:t>
            </w:r>
          </w:p>
        </w:tc>
      </w:tr>
      <w:tr>
        <w:tc>
          <w:tcPr>
            <w:tcW w:type="dxa" w:w="2340"/>
          </w:tcPr>
          <w:p w14:paraId="7C6843FA">
            <w:r>
              <w:t>Spanish annexes</w:t>
            </w:r>
          </w:p>
        </w:tc>
        <w:tc>
          <w:tcPr>
            <w:tcW w:type="dxa" w:w="2340"/>
          </w:tcPr>
          <w:p w14:paraId="0C5498B8">
            <w:r>
              <w:t>Joint translation/legal leads</w:t>
            </w:r>
          </w:p>
        </w:tc>
        <w:tc>
          <w:tcPr>
            <w:tcW w:type="dxa" w:w="2340"/>
          </w:tcPr>
          <w:p w14:paraId="01F5DAB4">
            <w:r>
              <w:t>Scheduled — certified within 30 days after entry into force (Art. 9.16.3)</w:t>
            </w:r>
          </w:p>
        </w:tc>
        <w:tc>
          <w:tcPr>
            <w:tcW w:type="dxa" w:w="2340"/>
          </w:tcPr>
          <w:p w14:paraId="0FD95494">
            <w:r>
              <w:t>Executed at certification</w:t>
            </w:r>
          </w:p>
        </w:tc>
      </w:tr>
    </w:tbl>
    <w:p w14:paraId="58DBFDEC"/>
    <w:p w14:paraId="46AEB03A">
      <w:pPr>
        <w:pStyle w:val="Heading2"/>
      </w:pPr>
      <w:bookmarkStart w:id="1040" w:name="_Toc236230040"/>
      <w:r>
        <w:rPr>
          <w:b w:val="0"/>
        </w:rPr>
        <w:t>Annex 13-B Spanish-Text and VCLT Article 33 Divergence Review Record</w:t>
      </w:r>
      <w:bookmarkEnd w:id="1040"/>
    </w:p>
    <w:p w14:paraId="5BBFED54">
      <w:r>
        <w:rPr>
          <w:b w:val="0"/>
        </w:rPr>
        <w:t>B.1 Scope. The Spanish text of the Preamble and Parts One through Nine has been prepared as a full translation of the English main text and reviewed term-by-term. The annexes are operational schedules containing tables, codes, and citations; under Article 9.16.3 their Spanish versions are produced and certified within 30 days after entry into force, with the English annex text controlling interim administration only where a certified Spanish annex text is not yet filed.</w:t>
      </w:r>
    </w:p>
    <w:p w14:paraId="7D1D9470">
      <w:r>
        <w:rPr>
          <w:b w:val="0"/>
        </w:rPr>
        <w:t>B.2 Divergence method (VCLT Art. 33(4)). Each operative term was compared across texts; the meaning adopted is the one that best reconciles the texts having regard to object and purpose (permanent elimination, firewall integrity, domestic-law overlay). Key controlled equivalences: “Elimination Firewall” / “Cortafuegos de Eliminación”; “Covered Emergency Tariff Measure” / “Medida Arancelaria de Emergencia Cubierta”; “standstill” / “compromiso de no introducir nuevas medidas”; “business day” / “día hábil”; “entry into force” / “entrada en vigor”; “wind-down” / “terminación ordenada”; “accrued liabilities” / “obligaciones devengadas”.</w:t>
      </w:r>
    </w:p>
    <w:p w14:paraId="3AA1F524">
      <w:r>
        <w:rPr>
          <w:b w:val="0"/>
        </w:rPr>
        <w:t xml:space="preserve">B.3 Findings. No unresolved material divergence was identified in the main text. Spanish legal usage distinguishes “arancel” (tariff) from “cuota” (quota); the texts are aligned so that “tariff-like measure” is not read as including internal taxes. Divergences discovered after adoption follow Article 9.16.</w:t>
      </w:r>
    </w:p>
    <w:p>
      <w:r>
        <w:rPr>
          <w:b w:val="0"/>
        </w:rPr>
        <w:t xml:space="preserve">B.4 Divergence-resolution log. Each controlled equivalence pair below was compared across texts; no discrepancy was identified.</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 xml:space="preserve">Term pair</w:t>
            </w:r>
          </w:p>
        </w:tc>
        <w:tc>
          <w:tcPr>
            <w:tcW w:type="dxa" w:w="1872"/>
          </w:tcPr>
          <w:p>
            <w:r>
              <w:rPr>
                <w:b/>
              </w:rPr>
              <w:t xml:space="preserve">Text section</w:t>
            </w:r>
          </w:p>
        </w:tc>
        <w:tc>
          <w:tcPr>
            <w:tcW w:type="dxa" w:w="1872"/>
          </w:tcPr>
          <w:p>
            <w:r>
              <w:rPr>
                <w:b/>
              </w:rPr>
              <w:t xml:space="preserve">Discrepancy</w:t>
            </w:r>
          </w:p>
        </w:tc>
        <w:tc>
          <w:tcPr>
            <w:tcW w:type="dxa" w:w="1872"/>
          </w:tcPr>
          <w:p>
            <w:r>
              <w:rPr>
                <w:b/>
              </w:rPr>
              <w:t xml:space="preserve">Reconciled meaning</w:t>
            </w:r>
          </w:p>
        </w:tc>
        <w:tc>
          <w:tcPr>
            <w:tcW w:type="dxa" w:w="1872"/>
          </w:tcPr>
          <w:p>
            <w:r>
              <w:rPr>
                <w:b/>
              </w:rPr>
              <w:t xml:space="preserve">Reviewer</w:t>
            </w:r>
          </w:p>
        </w:tc>
      </w:tr>
      <w:tr>
        <w:tc>
          <w:tcPr>
            <w:tcW w:type="dxa" w:w="1872"/>
          </w:tcPr>
          <w:p>
            <w:r>
              <w:t xml:space="preserve">Elimination Firewall / Cortafuegos de Eliminación</w:t>
            </w:r>
          </w:p>
        </w:tc>
        <w:tc>
          <w:tcPr>
            <w:tcW w:type="dxa" w:w="1872"/>
          </w:tcPr>
          <w:p>
            <w:r>
              <w:t xml:space="preserve">Parts Two, Five, Nine</w:t>
            </w:r>
          </w:p>
        </w:tc>
        <w:tc>
          <w:tcPr>
            <w:tcW w:type="dxa" w:w="1872"/>
          </w:tcPr>
          <w:p>
            <w:r>
              <w:t xml:space="preserve">None identified</w:t>
            </w:r>
          </w:p>
        </w:tc>
        <w:tc>
          <w:tcPr>
            <w:tcW w:type="dxa" w:w="1872"/>
          </w:tcPr>
          <w:p>
            <w:r>
              <w:t xml:space="preserve">Elimination Firewall</w:t>
            </w:r>
          </w:p>
        </w:tc>
        <w:tc>
          <w:tcPr>
            <w:tcW w:type="dxa" w:w="1872"/>
          </w:tcPr>
          <w:p>
            <w:r>
              <w:t xml:space="preserve">Joint legal-linguistic leads</w:t>
            </w:r>
          </w:p>
        </w:tc>
      </w:tr>
      <w:tr>
        <w:tc>
          <w:tcPr>
            <w:tcW w:type="dxa" w:w="1872"/>
          </w:tcPr>
          <w:p>
            <w:r>
              <w:t xml:space="preserve">Covered Emergency Tariff Measure / Medida Arancelaria de Emergencia Cubierta</w:t>
            </w:r>
          </w:p>
        </w:tc>
        <w:tc>
          <w:tcPr>
            <w:tcW w:type="dxa" w:w="1872"/>
          </w:tcPr>
          <w:p>
            <w:r>
              <w:t xml:space="preserve">Part One definitions</w:t>
            </w:r>
          </w:p>
        </w:tc>
        <w:tc>
          <w:tcPr>
            <w:tcW w:type="dxa" w:w="1872"/>
          </w:tcPr>
          <w:p>
            <w:r>
              <w:t xml:space="preserve">None identified</w:t>
            </w:r>
          </w:p>
        </w:tc>
        <w:tc>
          <w:tcPr>
            <w:tcW w:type="dxa" w:w="1872"/>
          </w:tcPr>
          <w:p>
            <w:r>
              <w:t xml:space="preserve">Covered Emergency Tariff Measure</w:t>
            </w:r>
          </w:p>
        </w:tc>
        <w:tc>
          <w:tcPr>
            <w:tcW w:type="dxa" w:w="1872"/>
          </w:tcPr>
          <w:p>
            <w:r>
              <w:t xml:space="preserve">Joint legal-linguistic leads</w:t>
            </w:r>
          </w:p>
        </w:tc>
      </w:tr>
      <w:tr>
        <w:tc>
          <w:tcPr>
            <w:tcW w:type="dxa" w:w="1872"/>
          </w:tcPr>
          <w:p>
            <w:r>
              <w:t xml:space="preserve">standstill / compromiso de no introducir nuevas medidas</w:t>
            </w:r>
          </w:p>
        </w:tc>
        <w:tc>
          <w:tcPr>
            <w:tcW w:type="dxa" w:w="1872"/>
          </w:tcPr>
          <w:p>
            <w:r>
              <w:t xml:space="preserve">Article 2.3</w:t>
            </w:r>
          </w:p>
        </w:tc>
        <w:tc>
          <w:tcPr>
            <w:tcW w:type="dxa" w:w="1872"/>
          </w:tcPr>
          <w:p>
            <w:r>
              <w:t xml:space="preserve">None identified</w:t>
            </w:r>
          </w:p>
        </w:tc>
        <w:tc>
          <w:tcPr>
            <w:tcW w:type="dxa" w:w="1872"/>
          </w:tcPr>
          <w:p>
            <w:r>
              <w:t xml:space="preserve">standstill</w:t>
            </w:r>
          </w:p>
        </w:tc>
        <w:tc>
          <w:tcPr>
            <w:tcW w:type="dxa" w:w="1872"/>
          </w:tcPr>
          <w:p>
            <w:r>
              <w:t xml:space="preserve">Joint legal-linguistic leads</w:t>
            </w:r>
          </w:p>
        </w:tc>
      </w:tr>
      <w:tr>
        <w:tc>
          <w:tcPr>
            <w:tcW w:type="dxa" w:w="1872"/>
          </w:tcPr>
          <w:p>
            <w:r>
              <w:t xml:space="preserve">business day / día hábil</w:t>
            </w:r>
          </w:p>
        </w:tc>
        <w:tc>
          <w:tcPr>
            <w:tcW w:type="dxa" w:w="1872"/>
          </w:tcPr>
          <w:p>
            <w:r>
              <w:t xml:space="preserve">Article 1.4(p)</w:t>
            </w:r>
          </w:p>
        </w:tc>
        <w:tc>
          <w:tcPr>
            <w:tcW w:type="dxa" w:w="1872"/>
          </w:tcPr>
          <w:p>
            <w:r>
              <w:t xml:space="preserve">None identified</w:t>
            </w:r>
          </w:p>
        </w:tc>
        <w:tc>
          <w:tcPr>
            <w:tcW w:type="dxa" w:w="1872"/>
          </w:tcPr>
          <w:p>
            <w:r>
              <w:t xml:space="preserve">business day</w:t>
            </w:r>
          </w:p>
        </w:tc>
        <w:tc>
          <w:tcPr>
            <w:tcW w:type="dxa" w:w="1872"/>
          </w:tcPr>
          <w:p>
            <w:r>
              <w:t xml:space="preserve">Joint legal-linguistic leads</w:t>
            </w:r>
          </w:p>
        </w:tc>
      </w:tr>
      <w:tr>
        <w:tc>
          <w:tcPr>
            <w:tcW w:type="dxa" w:w="1872"/>
          </w:tcPr>
          <w:p>
            <w:r>
              <w:t xml:space="preserve">entry into force / entrada en vigor</w:t>
            </w:r>
          </w:p>
        </w:tc>
        <w:tc>
          <w:tcPr>
            <w:tcW w:type="dxa" w:w="1872"/>
          </w:tcPr>
          <w:p>
            <w:r>
              <w:t xml:space="preserve">Article 9.1</w:t>
            </w:r>
          </w:p>
        </w:tc>
        <w:tc>
          <w:tcPr>
            <w:tcW w:type="dxa" w:w="1872"/>
          </w:tcPr>
          <w:p>
            <w:r>
              <w:t xml:space="preserve">None identified</w:t>
            </w:r>
          </w:p>
        </w:tc>
        <w:tc>
          <w:tcPr>
            <w:tcW w:type="dxa" w:w="1872"/>
          </w:tcPr>
          <w:p>
            <w:r>
              <w:t xml:space="preserve">entry into force</w:t>
            </w:r>
          </w:p>
        </w:tc>
        <w:tc>
          <w:tcPr>
            <w:tcW w:type="dxa" w:w="1872"/>
          </w:tcPr>
          <w:p>
            <w:r>
              <w:t xml:space="preserve">Joint legal-linguistic leads</w:t>
            </w:r>
          </w:p>
        </w:tc>
      </w:tr>
      <w:tr>
        <w:tc>
          <w:tcPr>
            <w:tcW w:type="dxa" w:w="1872"/>
          </w:tcPr>
          <w:p>
            <w:r>
              <w:t xml:space="preserve">wind-down / terminación ordenada</w:t>
            </w:r>
          </w:p>
        </w:tc>
        <w:tc>
          <w:tcPr>
            <w:tcW w:type="dxa" w:w="1872"/>
          </w:tcPr>
          <w:p>
            <w:r>
              <w:t xml:space="preserve">Articles 6.6, 9.2</w:t>
            </w:r>
          </w:p>
        </w:tc>
        <w:tc>
          <w:tcPr>
            <w:tcW w:type="dxa" w:w="1872"/>
          </w:tcPr>
          <w:p>
            <w:r>
              <w:t xml:space="preserve">None identified</w:t>
            </w:r>
          </w:p>
        </w:tc>
        <w:tc>
          <w:tcPr>
            <w:tcW w:type="dxa" w:w="1872"/>
          </w:tcPr>
          <w:p>
            <w:r>
              <w:t xml:space="preserve">wind-down</w:t>
            </w:r>
          </w:p>
        </w:tc>
        <w:tc>
          <w:tcPr>
            <w:tcW w:type="dxa" w:w="1872"/>
          </w:tcPr>
          <w:p>
            <w:r>
              <w:t xml:space="preserve">Joint legal-linguistic leads</w:t>
            </w:r>
          </w:p>
        </w:tc>
      </w:tr>
      <w:tr>
        <w:tc>
          <w:tcPr>
            <w:tcW w:type="dxa" w:w="1872"/>
          </w:tcPr>
          <w:p>
            <w:r>
              <w:t xml:space="preserve">accrued liabilities / obligaciones devengadas</w:t>
            </w:r>
          </w:p>
        </w:tc>
        <w:tc>
          <w:tcPr>
            <w:tcW w:type="dxa" w:w="1872"/>
          </w:tcPr>
          <w:p>
            <w:r>
              <w:t xml:space="preserve">Article 2.6</w:t>
            </w:r>
          </w:p>
        </w:tc>
        <w:tc>
          <w:tcPr>
            <w:tcW w:type="dxa" w:w="1872"/>
          </w:tcPr>
          <w:p>
            <w:r>
              <w:t xml:space="preserve">None identified</w:t>
            </w:r>
          </w:p>
        </w:tc>
        <w:tc>
          <w:tcPr>
            <w:tcW w:type="dxa" w:w="1872"/>
          </w:tcPr>
          <w:p>
            <w:r>
              <w:t xml:space="preserve">accrued liabilities</w:t>
            </w:r>
          </w:p>
        </w:tc>
        <w:tc>
          <w:tcPr>
            <w:tcW w:type="dxa" w:w="1872"/>
          </w:tcPr>
          <w:p>
            <w:r>
              <w:t xml:space="preserve">Joint legal-linguistic leads</w:t>
            </w:r>
          </w:p>
        </w:tc>
      </w:tr>
    </w:tbl>
    <w:p w14:paraId="11BFD760">
      <w:pPr>
        <w:pStyle w:val="Heading1"/>
      </w:pPr>
      <w:bookmarkStart w:id="1041" w:name="_Toc236230041"/>
      <w:r>
        <w:t>Annex 14: Model Forms and Certificates</w:t>
      </w:r>
      <w:bookmarkEnd w:id="1041"/>
    </w:p>
    <w:p w14:paraId="13F3FF9C">
      <w:pPr>
        <w:pStyle w:val="Heading2"/>
      </w:pPr>
      <w:bookmarkStart w:id="1042" w:name="_Toc236230042"/>
      <w:r>
        <w:t>Annex 14-A Form 1 Elimination Certificate</w:t>
      </w:r>
      <w:bookmarkEnd w:id="1042"/>
    </w:p>
    <w:tbl>
      <w:tblPr>
        <w:tblW w:type="auto" w:w="0"/>
        <w:tblLayout w:type="autofit"/>
        <w:tblLook w:firstColumn="1" w:firstRow="1" w:lastColumn="0" w:lastRow="0" w:noHBand="0" w:noVBand="1" w:val="04A0"/>
      </w:tblPr>
      <w:tblGrid>
        <w:gridCol w:w="4680"/>
        <w:gridCol w:w="4680"/>
      </w:tblGrid>
      <w:tr>
        <w:tc>
          <w:tcPr>
            <w:tcW w:type="dxa" w:w="4680"/>
          </w:tcPr>
          <w:p w14:paraId="771F334E">
            <w:r>
              <w:rPr>
                <w:b/>
              </w:rPr>
              <w:t>Field</w:t>
            </w:r>
          </w:p>
        </w:tc>
        <w:tc>
          <w:tcPr>
            <w:tcW w:type="dxa" w:w="4680"/>
          </w:tcPr>
          <w:p w14:paraId="79B28B4C">
            <w:r>
              <w:rPr>
                <w:b/>
              </w:rPr>
              <w:t>Completed exemplar / instruction</w:t>
            </w:r>
          </w:p>
        </w:tc>
      </w:tr>
      <w:tr>
        <w:tc>
          <w:tcPr>
            <w:tcW w:type="dxa" w:w="4680"/>
          </w:tcPr>
          <w:p w14:paraId="70848498">
            <w:r>
              <w:t>Certificate ID</w:t>
            </w:r>
          </w:p>
        </w:tc>
        <w:tc>
          <w:tcPr>
            <w:tcW w:type="dxa" w:w="4680"/>
          </w:tcPr>
          <w:p w14:paraId="0273EE76">
            <w:r>
              <w:t>FORM1-US-2B-AUTO-001 (annotated exemplar only)</w:t>
            </w:r>
          </w:p>
        </w:tc>
      </w:tr>
      <w:tr>
        <w:tc>
          <w:tcPr>
            <w:tcW w:type="dxa" w:w="4680"/>
          </w:tcPr>
          <w:p w14:paraId="12B54214">
            <w:r>
              <w:t>Certified item</w:t>
            </w:r>
          </w:p>
        </w:tc>
        <w:tc>
          <w:tcPr>
            <w:tcW w:type="dxa" w:w="4680"/>
          </w:tcPr>
          <w:p w14:paraId="66A82B18">
            <w:r>
              <w:t xml:space="preserve">US-2B-196 (HTSUS 8703.22 — motor cars, spark ignition, 1,000–1,500 cc)</w:t>
            </w:r>
          </w:p>
        </w:tc>
      </w:tr>
      <w:tr>
        <w:tc>
          <w:tcPr>
            <w:tcW w:type="dxa" w:w="4680"/>
          </w:tcPr>
          <w:p w14:paraId="0A5B1F7E">
            <w:r>
              <w:t>Legal instrument</w:t>
            </w:r>
          </w:p>
        </w:tc>
        <w:tc>
          <w:tcPr>
            <w:tcW w:type="dxa" w:w="4680"/>
          </w:tcPr>
          <w:p w14:paraId="12DC23C8">
            <w:r>
              <w:t xml:space="preserve">Proclamation 10908 (March 26, 2025), 90 FR 14705; HTSUS Chapter 99, U.S. Note 33</w:t>
            </w:r>
          </w:p>
        </w:tc>
      </w:tr>
      <w:tr>
        <w:tc>
          <w:tcPr>
            <w:tcW w:type="dxa" w:w="4680"/>
          </w:tcPr>
          <w:p w14:paraId="2900D770">
            <w:r>
              <w:t>Elimination time</w:t>
            </w:r>
          </w:p>
        </w:tc>
        <w:tc>
          <w:tcPr>
            <w:tcW w:type="dxa" w:w="4680"/>
          </w:tcPr>
          <w:p w14:paraId="1A1C1C34">
            <w:r>
              <w:t>00:01 UTC on Day 1 after entry into force</w:t>
            </w:r>
          </w:p>
        </w:tc>
      </w:tr>
      <w:tr>
        <w:tc>
          <w:tcPr>
            <w:tcW w:type="dxa" w:w="4680"/>
          </w:tcPr>
          <w:p w14:paraId="103E9956">
            <w:r>
              <w:t>Product scope</w:t>
            </w:r>
          </w:p>
        </w:tc>
        <w:tc>
          <w:tcPr>
            <w:tcW w:type="dxa" w:w="4680"/>
          </w:tcPr>
          <w:p w14:paraId="1D1C7D3E">
            <w:r>
              <w:t xml:space="preserve">Passenger motor vehicles of heading 8703.22 as described in Annex 2-B, Section II</w:t>
            </w:r>
          </w:p>
        </w:tc>
      </w:tr>
      <w:tr>
        <w:tc>
          <w:tcPr>
            <w:tcW w:type="dxa" w:w="4680"/>
          </w:tcPr>
          <w:p w14:paraId="60AB362E">
            <w:r>
              <w:t>Transit rule</w:t>
            </w:r>
          </w:p>
        </w:tc>
        <w:tc>
          <w:tcPr>
            <w:tcW w:type="dxa" w:w="4680"/>
          </w:tcPr>
          <w:p w14:paraId="2595E10A">
            <w:r>
              <w:t>Entry filed after elimination time receives elimination treatment if otherwise eligible</w:t>
            </w:r>
          </w:p>
        </w:tc>
      </w:tr>
      <w:tr>
        <w:tc>
          <w:tcPr>
            <w:tcW w:type="dxa" w:w="4680"/>
          </w:tcPr>
          <w:p w14:paraId="0F45C9C6">
            <w:r>
              <w:t>Accrued liability</w:t>
            </w:r>
          </w:p>
        </w:tc>
        <w:tc>
          <w:tcPr>
            <w:tcW w:type="dxa" w:w="4680"/>
          </w:tcPr>
          <w:p w14:paraId="7E4705A2">
            <w:r>
              <w:t>Preserved for pre-elimination entries and fraud</w:t>
            </w:r>
          </w:p>
        </w:tc>
      </w:tr>
      <w:tr>
        <w:tc>
          <w:tcPr>
            <w:tcW w:type="dxa" w:w="4680"/>
          </w:tcPr>
          <w:p w14:paraId="7259AFC2">
            <w:r>
              <w:t>Refund channel</w:t>
            </w:r>
          </w:p>
        </w:tc>
        <w:tc>
          <w:tcPr>
            <w:tcW w:type="dxa" w:w="4680"/>
          </w:tcPr>
          <w:p w14:paraId="6682AF54">
            <w:r>
              <w:t xml:space="preserve">Annex 2-C United States channel (protest, reliquidation, or post-summary correction as applicable)</w:t>
            </w:r>
          </w:p>
        </w:tc>
      </w:tr>
      <w:tr>
        <w:tc>
          <w:tcPr>
            <w:tcW w:type="dxa" w:w="4680"/>
          </w:tcPr>
          <w:p w14:paraId="681562BC">
            <w:r>
              <w:t>Preserved measures</w:t>
            </w:r>
          </w:p>
        </w:tc>
        <w:tc>
          <w:tcPr>
            <w:tcW w:type="dxa" w:w="4680"/>
          </w:tcPr>
          <w:p w14:paraId="0CB639CC">
            <w:r>
              <w:t xml:space="preserve">Preserved and non-duplicative: fresh-tomatoes AD order (A-201-820); sugar suspension agreements (C-201-846/A-201-845); ordinary MFN duties; admissibility, SPS, and security controls</w:t>
            </w:r>
          </w:p>
        </w:tc>
      </w:tr>
      <w:tr>
        <w:tc>
          <w:tcPr>
            <w:tcW w:type="dxa" w:w="4680"/>
          </w:tcPr>
          <w:p w14:paraId="097AECD0">
            <w:r>
              <w:t>Certification</w:t>
            </w:r>
          </w:p>
        </w:tc>
        <w:tc>
          <w:tcPr>
            <w:tcW w:type="dxa" w:w="4680"/>
          </w:tcPr>
          <w:p w14:paraId="0EA81EEE">
            <w:r>
              <w:t>Name, title, authority, signature, date</w:t>
            </w:r>
          </w:p>
        </w:tc>
      </w:tr>
      <w:tr>
        <w:tc>
          <w:tcPr>
            <w:tcW w:type="dxa" w:w="4680"/>
          </w:tcPr>
          <w:p w14:paraId="79889F3C">
            <w:r>
              <w:t>Submission</w:t>
            </w:r>
          </w:p>
        </w:tc>
        <w:tc>
          <w:tcPr>
            <w:tcW w:type="dxa" w:w="4680"/>
          </w:tcPr>
          <w:p w14:paraId="34819710">
            <w:r>
              <w:t>Article 9.11 electronic channel and public implementation page</w:t>
            </w:r>
          </w:p>
        </w:tc>
      </w:tr>
    </w:tbl>
    <w:p>
      <w:r>
        <w:rPr>
          <w:b w:val="0"/>
        </w:rPr>
        <w:t xml:space="preserve">Annotated exemplar for training and systems-testing use; not a certification of any live measure.</w:t>
      </w:r>
    </w:p>
    <w:p w14:paraId="3EADDB8C"/>
    <w:p w14:paraId="17F13560">
      <w:pPr>
        <w:pStyle w:val="Heading2"/>
      </w:pPr>
      <w:bookmarkStart w:id="1043" w:name="_Toc236230043"/>
      <w:r>
        <w:t>Annex 14-B Form 2 No-Duplication and Firewall Memo</w:t>
      </w:r>
      <w:bookmarkEnd w:id="1043"/>
    </w:p>
    <w:tbl>
      <w:tblPr>
        <w:tblW w:type="auto" w:w="0"/>
        <w:tblLayout w:type="autofit"/>
        <w:tblLook w:firstColumn="1" w:firstRow="1" w:lastColumn="0" w:lastRow="0" w:noHBand="0" w:noVBand="1" w:val="04A0"/>
      </w:tblPr>
      <w:tblGrid>
        <w:gridCol w:w="4680"/>
        <w:gridCol w:w="4680"/>
      </w:tblGrid>
      <w:tr>
        <w:tc>
          <w:tcPr>
            <w:tcW w:type="dxa" w:w="4680"/>
          </w:tcPr>
          <w:p w14:paraId="07D67030">
            <w:r>
              <w:rPr>
                <w:b/>
              </w:rPr>
              <w:t>Field</w:t>
            </w:r>
          </w:p>
        </w:tc>
        <w:tc>
          <w:tcPr>
            <w:tcW w:type="dxa" w:w="4680"/>
          </w:tcPr>
          <w:p w14:paraId="3E49763A">
            <w:r>
              <w:rPr>
                <w:b/>
              </w:rPr>
              <w:t>Completed exemplar / instruction</w:t>
            </w:r>
          </w:p>
        </w:tc>
      </w:tr>
      <w:tr>
        <w:tc>
          <w:tcPr>
            <w:tcW w:type="dxa" w:w="4680"/>
          </w:tcPr>
          <w:p w14:paraId="31B16858">
            <w:r>
              <w:t>Measure reviewed</w:t>
            </w:r>
          </w:p>
        </w:tc>
        <w:tc>
          <w:tcPr>
            <w:tcW w:type="dxa" w:w="4680"/>
          </w:tcPr>
          <w:p w14:paraId="47BDC990">
            <w:r>
              <w:t xml:space="preserve">Illustrative: origin-neutral excise on motor fuel, applied equally to domestic and imported product (exemplar)</w:t>
            </w:r>
          </w:p>
        </w:tc>
      </w:tr>
      <w:tr>
        <w:tc>
          <w:tcPr>
            <w:tcW w:type="dxa" w:w="4680"/>
          </w:tcPr>
          <w:p w14:paraId="69DAAC76">
            <w:r>
              <w:t>Overlap comparison</w:t>
            </w:r>
          </w:p>
        </w:tc>
        <w:tc>
          <w:tcPr>
            <w:tcW w:type="dxa" w:w="4680"/>
          </w:tcPr>
          <w:p w14:paraId="61A6B23E">
            <w:r>
              <w:t>Product, predicate, formula, collection point, landed-cost effect</w:t>
            </w:r>
          </w:p>
        </w:tc>
      </w:tr>
      <w:tr>
        <w:tc>
          <w:tcPr>
            <w:tcW w:type="dxa" w:w="4680"/>
          </w:tcPr>
          <w:p w14:paraId="2293F318">
            <w:r>
              <w:t>Quantitative screen</w:t>
            </w:r>
          </w:p>
        </w:tc>
        <w:tc>
          <w:tcPr>
            <w:tcW w:type="dxa" w:w="4680"/>
          </w:tcPr>
          <w:p w14:paraId="28EA6564">
            <w:r>
              <w:t>Percentage and annualized amount under Annex 5-A</w:t>
            </w:r>
          </w:p>
        </w:tc>
      </w:tr>
      <w:tr>
        <w:tc>
          <w:tcPr>
            <w:tcW w:type="dxa" w:w="4680"/>
          </w:tcPr>
          <w:p w14:paraId="6FC5ABF4">
            <w:r>
              <w:t>Independent purpose</w:t>
            </w:r>
          </w:p>
        </w:tc>
        <w:tc>
          <w:tcPr>
            <w:tcW w:type="dxa" w:w="4680"/>
          </w:tcPr>
          <w:p w14:paraId="35C222BE">
            <w:r>
              <w:t>Reasoned record and evidence</w:t>
            </w:r>
          </w:p>
        </w:tc>
      </w:tr>
      <w:tr>
        <w:tc>
          <w:tcPr>
            <w:tcW w:type="dxa" w:w="4680"/>
          </w:tcPr>
          <w:p w14:paraId="7E501A7C">
            <w:r>
              <w:t>Less restrictive alternatives</w:t>
            </w:r>
          </w:p>
        </w:tc>
        <w:tc>
          <w:tcPr>
            <w:tcW w:type="dxa" w:w="4680"/>
          </w:tcPr>
          <w:p w14:paraId="34641E24">
            <w:r>
              <w:t>Alternatives assessed</w:t>
            </w:r>
          </w:p>
        </w:tc>
      </w:tr>
      <w:tr>
        <w:tc>
          <w:tcPr>
            <w:tcW w:type="dxa" w:w="4680"/>
          </w:tcPr>
          <w:p w14:paraId="4AA6F2F8">
            <w:r>
              <w:t>Conclusion</w:t>
            </w:r>
          </w:p>
        </w:tc>
        <w:tc>
          <w:tcPr>
            <w:tcW w:type="dxa" w:w="4680"/>
          </w:tcPr>
          <w:p w14:paraId="733F7748">
            <w:r>
              <w:t xml:space="preserve">No breach — origin-neutral, equal application, no overlap with an eliminated measure (Annex 5-A screen not crossed)</w:t>
            </w:r>
          </w:p>
        </w:tc>
      </w:tr>
      <w:tr>
        <w:tc>
          <w:tcPr>
            <w:tcW w:type="dxa" w:w="4680"/>
          </w:tcPr>
          <w:p w14:paraId="74EE4388">
            <w:r>
              <w:t>Reviewer</w:t>
            </w:r>
          </w:p>
        </w:tc>
        <w:tc>
          <w:tcPr>
            <w:tcW w:type="dxa" w:w="4680"/>
          </w:tcPr>
          <w:p w14:paraId="1A07B5B2">
            <w:r>
              <w:t>Name, title, signature, date</w:t>
            </w:r>
          </w:p>
        </w:tc>
      </w:tr>
    </w:tbl>
    <w:p>
      <w:r>
        <w:rPr>
          <w:b w:val="0"/>
        </w:rPr>
        <w:t xml:space="preserve">Annotated exemplar for training and systems-testing use; not a certification of any live measure.</w:t>
      </w:r>
    </w:p>
    <w:p w14:paraId="7349F3E6"/>
    <w:p w14:paraId="231C9544">
      <w:pPr>
        <w:pStyle w:val="Heading2"/>
      </w:pPr>
      <w:bookmarkStart w:id="1044" w:name="_Toc236230044"/>
      <w:r>
        <w:t>Annex 14-C Form 3 Consultation Request and Closing Record</w:t>
      </w:r>
      <w:bookmarkEnd w:id="1044"/>
    </w:p>
    <w:tbl>
      <w:tblPr>
        <w:tblW w:type="auto" w:w="0"/>
        <w:tblLayout w:type="autofit"/>
        <w:tblLook w:firstColumn="1" w:firstRow="1" w:lastColumn="0" w:lastRow="0" w:noHBand="0" w:noVBand="1" w:val="04A0"/>
      </w:tblPr>
      <w:tblGrid>
        <w:gridCol w:w="4680"/>
        <w:gridCol w:w="4680"/>
      </w:tblGrid>
      <w:tr>
        <w:tc>
          <w:tcPr>
            <w:tcW w:type="dxa" w:w="4680"/>
          </w:tcPr>
          <w:p w14:paraId="1876D758">
            <w:r>
              <w:rPr>
                <w:b/>
              </w:rPr>
              <w:t>Field</w:t>
            </w:r>
          </w:p>
        </w:tc>
        <w:tc>
          <w:tcPr>
            <w:tcW w:type="dxa" w:w="4680"/>
          </w:tcPr>
          <w:p w14:paraId="64751118">
            <w:r>
              <w:rPr>
                <w:b/>
              </w:rPr>
              <w:t>Instruction</w:t>
            </w:r>
          </w:p>
        </w:tc>
      </w:tr>
      <w:tr>
        <w:tc>
          <w:tcPr>
            <w:tcW w:type="dxa" w:w="4680"/>
          </w:tcPr>
          <w:p w14:paraId="2585D2D6">
            <w:r>
              <w:t>Requesting Party</w:t>
            </w:r>
          </w:p>
        </w:tc>
        <w:tc>
          <w:tcPr>
            <w:tcW w:type="dxa" w:w="4680"/>
          </w:tcPr>
          <w:p w14:paraId="5C6B3C90">
            <w:r>
              <w:t>United States or Mexico</w:t>
            </w:r>
          </w:p>
        </w:tc>
      </w:tr>
      <w:tr>
        <w:tc>
          <w:tcPr>
            <w:tcW w:type="dxa" w:w="4680"/>
          </w:tcPr>
          <w:p w14:paraId="211B6866">
            <w:r>
              <w:t>Matter</w:t>
            </w:r>
          </w:p>
        </w:tc>
        <w:tc>
          <w:tcPr>
            <w:tcW w:type="dxa" w:w="4680"/>
          </w:tcPr>
          <w:p w14:paraId="4844DEBA">
            <w:r>
              <w:t>Measure, provision, facts, requested cure</w:t>
            </w:r>
          </w:p>
        </w:tc>
      </w:tr>
      <w:tr>
        <w:tc>
          <w:tcPr>
            <w:tcW w:type="dxa" w:w="4680"/>
          </w:tcPr>
          <w:p w14:paraId="122FDCC2">
            <w:r>
              <w:t>Urgency</w:t>
            </w:r>
          </w:p>
        </w:tc>
        <w:tc>
          <w:tcPr>
            <w:tcW w:type="dxa" w:w="4680"/>
          </w:tcPr>
          <w:p w14:paraId="693571F8">
            <w:r>
              <w:t>Standard or urgent; legal basis</w:t>
            </w:r>
          </w:p>
        </w:tc>
      </w:tr>
      <w:tr>
        <w:tc>
          <w:tcPr>
            <w:tcW w:type="dxa" w:w="4680"/>
          </w:tcPr>
          <w:p w14:paraId="7CE66AF8">
            <w:r>
              <w:t>Proposed dates</w:t>
            </w:r>
          </w:p>
        </w:tc>
        <w:tc>
          <w:tcPr>
            <w:tcW w:type="dxa" w:w="4680"/>
          </w:tcPr>
          <w:p w14:paraId="6261D6DC">
            <w:r>
              <w:t>Three dates within required window</w:t>
            </w:r>
          </w:p>
        </w:tc>
      </w:tr>
      <w:tr>
        <w:tc>
          <w:tcPr>
            <w:tcW w:type="dxa" w:w="4680"/>
          </w:tcPr>
          <w:p w14:paraId="0C713294">
            <w:r>
              <w:t>Closing record</w:t>
            </w:r>
          </w:p>
        </w:tc>
        <w:tc>
          <w:tcPr>
            <w:tcW w:type="dxa" w:w="4680"/>
          </w:tcPr>
          <w:p w14:paraId="6A495776">
            <w:r>
              <w:t>Agreed text, unresolved issues, next step</w:t>
            </w:r>
          </w:p>
        </w:tc>
      </w:tr>
      <w:tr>
        <w:tc>
          <w:tcPr>
            <w:tcW w:type="dxa" w:w="4680"/>
          </w:tcPr>
          <w:p w14:paraId="2FAC8ACA">
            <w:r>
              <w:t>Signatures</w:t>
            </w:r>
          </w:p>
        </w:tc>
        <w:tc>
          <w:tcPr>
            <w:tcW w:type="dxa" w:w="4680"/>
          </w:tcPr>
          <w:p w14:paraId="60274036">
            <w:r>
              <w:t>Authorized representatives</w:t>
            </w:r>
          </w:p>
        </w:tc>
      </w:tr>
    </w:tbl>
    <w:p w14:paraId="4DC5C27C"/>
    <w:p w14:paraId="47FAE88A">
      <w:pPr>
        <w:pStyle w:val="Heading2"/>
      </w:pPr>
      <w:bookmarkStart w:id="1045" w:name="_Toc236230045"/>
      <w:r>
        <w:t>Annex 14-D Form 4 Security Coordination Charter</w:t>
      </w:r>
      <w:bookmarkEnd w:id="1045"/>
    </w:p>
    <w:tbl>
      <w:tblPr>
        <w:tblW w:type="auto" w:w="0"/>
        <w:tblLayout w:type="autofit"/>
        <w:tblLook w:firstColumn="1" w:firstRow="1" w:lastColumn="0" w:lastRow="0" w:noHBand="0" w:noVBand="1" w:val="04A0"/>
      </w:tblPr>
      <w:tblGrid>
        <w:gridCol w:w="4680"/>
        <w:gridCol w:w="4680"/>
      </w:tblGrid>
      <w:tr>
        <w:tc>
          <w:tcPr>
            <w:tcW w:type="dxa" w:w="4680"/>
          </w:tcPr>
          <w:p w14:paraId="553894D4">
            <w:r>
              <w:rPr>
                <w:b/>
              </w:rPr>
              <w:t>Field</w:t>
            </w:r>
          </w:p>
        </w:tc>
        <w:tc>
          <w:tcPr>
            <w:tcW w:type="dxa" w:w="4680"/>
          </w:tcPr>
          <w:p w14:paraId="63DCE0C2">
            <w:r>
              <w:rPr>
                <w:b/>
              </w:rPr>
              <w:t>Completed exemplar / instruction</w:t>
            </w:r>
          </w:p>
        </w:tc>
      </w:tr>
      <w:tr>
        <w:tc>
          <w:tcPr>
            <w:tcW w:type="dxa" w:w="4680"/>
          </w:tcPr>
          <w:p w14:paraId="4D79518C">
            <w:r>
              <w:t>Operation name</w:t>
            </w:r>
          </w:p>
        </w:tc>
        <w:tc>
          <w:tcPr>
            <w:tcW w:type="dxa" w:w="4680"/>
          </w:tcPr>
          <w:p w14:paraId="15A1EB3E">
            <w:r>
              <w:t>[Descriptive non-classified name]</w:t>
            </w:r>
          </w:p>
        </w:tc>
      </w:tr>
      <w:tr>
        <w:tc>
          <w:tcPr>
            <w:tcW w:type="dxa" w:w="4680"/>
          </w:tcPr>
          <w:p w14:paraId="62AA2F70">
            <w:r>
              <w:t>Legal authority</w:t>
            </w:r>
          </w:p>
        </w:tc>
        <w:tc>
          <w:tcPr>
            <w:tcW w:type="dxa" w:w="4680"/>
          </w:tcPr>
          <w:p w14:paraId="389613F2">
            <w:r>
              <w:t>Cite each Party’s authority</w:t>
            </w:r>
          </w:p>
        </w:tc>
      </w:tr>
      <w:tr>
        <w:tc>
          <w:tcPr>
            <w:tcW w:type="dxa" w:w="4680"/>
          </w:tcPr>
          <w:p w14:paraId="67D00EE8">
            <w:r>
              <w:t>Named leads</w:t>
            </w:r>
          </w:p>
        </w:tc>
        <w:tc>
          <w:tcPr>
            <w:tcW w:type="dxa" w:w="4680"/>
          </w:tcPr>
          <w:p w14:paraId="4F15047E">
            <w:r>
              <w:t>U.S. lead; Mexico lead; legal review point</w:t>
            </w:r>
          </w:p>
        </w:tc>
      </w:tr>
      <w:tr>
        <w:tc>
          <w:tcPr>
            <w:tcW w:type="dxa" w:w="4680"/>
          </w:tcPr>
          <w:p w14:paraId="74F50534">
            <w:r>
              <w:t>Data categories</w:t>
            </w:r>
          </w:p>
        </w:tc>
        <w:tc>
          <w:tcPr>
            <w:tcW w:type="dxa" w:w="4680"/>
          </w:tcPr>
          <w:p w14:paraId="5124E41C">
            <w:r>
              <w:t>Minimum necessary fields and source</w:t>
            </w:r>
          </w:p>
        </w:tc>
      </w:tr>
      <w:tr>
        <w:tc>
          <w:tcPr>
            <w:tcW w:type="dxa" w:w="4680"/>
          </w:tcPr>
          <w:p w14:paraId="18E9FAAC">
            <w:r>
              <w:t>Firewall statement</w:t>
            </w:r>
          </w:p>
        </w:tc>
        <w:tc>
          <w:tcPr>
            <w:tcW w:type="dxa" w:w="4680"/>
          </w:tcPr>
          <w:p w14:paraId="4222C5C8">
            <w:r>
              <w:t>No trade benefit is conditioned on security performance</w:t>
            </w:r>
          </w:p>
        </w:tc>
      </w:tr>
      <w:tr>
        <w:tc>
          <w:tcPr>
            <w:tcW w:type="dxa" w:w="4680"/>
          </w:tcPr>
          <w:p w14:paraId="0CDC0B2C">
            <w:r>
              <w:t>Metrics</w:t>
            </w:r>
          </w:p>
        </w:tc>
        <w:tc>
          <w:tcPr>
            <w:tcW w:type="dxa" w:w="4680"/>
          </w:tcPr>
          <w:p w14:paraId="084B1B12">
            <w:r>
              <w:t>Use Annex 4H-1 definitions only</w:t>
            </w:r>
          </w:p>
        </w:tc>
      </w:tr>
      <w:tr>
        <w:tc>
          <w:tcPr>
            <w:tcW w:type="dxa" w:w="4680"/>
          </w:tcPr>
          <w:p w14:paraId="0D7DD4BE">
            <w:r>
              <w:t>After-action</w:t>
            </w:r>
          </w:p>
        </w:tc>
        <w:tc>
          <w:tcPr>
            <w:tcW w:type="dxa" w:w="4680"/>
          </w:tcPr>
          <w:p w14:paraId="4362E74E">
            <w:r>
              <w:t>Date, participants, findings, corrective action</w:t>
            </w:r>
          </w:p>
        </w:tc>
      </w:tr>
      <w:tr>
        <w:tc>
          <w:tcPr>
            <w:tcW w:type="dxa" w:w="4680"/>
          </w:tcPr>
          <w:p w14:paraId="21A4F7F4">
            <w:r>
              <w:t>Signatures</w:t>
            </w:r>
          </w:p>
        </w:tc>
        <w:tc>
          <w:tcPr>
            <w:tcW w:type="dxa" w:w="4680"/>
          </w:tcPr>
          <w:p w14:paraId="4BFD8588">
            <w:r>
              <w:t>Both designated leads</w:t>
            </w:r>
          </w:p>
        </w:tc>
      </w:tr>
    </w:tbl>
    <w:p w14:paraId="2DD105A6"/>
    <w:p w14:paraId="57EDB1C2">
      <w:pPr>
        <w:pStyle w:val="Heading2"/>
      </w:pPr>
      <w:bookmarkStart w:id="1046" w:name="_Toc236230046"/>
      <w:r>
        <w:t>Annex 14-E Form 5 Wind-Down and Survival Certificate</w:t>
      </w:r>
      <w:bookmarkEnd w:id="1046"/>
    </w:p>
    <w:tbl>
      <w:tblPr>
        <w:tblW w:type="auto" w:w="0"/>
        <w:tblLayout w:type="autofit"/>
        <w:tblLook w:firstColumn="1" w:firstRow="1" w:lastColumn="0" w:lastRow="0" w:noHBand="0" w:noVBand="1" w:val="04A0"/>
      </w:tblPr>
      <w:tblGrid>
        <w:gridCol w:w="4680"/>
        <w:gridCol w:w="4680"/>
      </w:tblGrid>
      <w:tr>
        <w:tc>
          <w:tcPr>
            <w:tcW w:type="dxa" w:w="4680"/>
          </w:tcPr>
          <w:p w14:paraId="39543A18">
            <w:r>
              <w:rPr>
                <w:b/>
              </w:rPr>
              <w:t>Field</w:t>
            </w:r>
          </w:p>
        </w:tc>
        <w:tc>
          <w:tcPr>
            <w:tcW w:type="dxa" w:w="4680"/>
          </w:tcPr>
          <w:p w14:paraId="2208DCA6">
            <w:r>
              <w:rPr>
                <w:b/>
              </w:rPr>
              <w:t>Completed exemplar / instruction</w:t>
            </w:r>
          </w:p>
        </w:tc>
      </w:tr>
      <w:tr>
        <w:tc>
          <w:tcPr>
            <w:tcW w:type="dxa" w:w="4680"/>
          </w:tcPr>
          <w:p w14:paraId="221A6E9A">
            <w:r>
              <w:t>Trigger</w:t>
            </w:r>
          </w:p>
        </w:tc>
        <w:tc>
          <w:tcPr>
            <w:tcW w:type="dxa" w:w="4680"/>
          </w:tcPr>
          <w:p w14:paraId="5FC6CB18">
            <w:r>
              <w:t>Expiry, termination, replacement, or completion</w:t>
            </w:r>
          </w:p>
        </w:tc>
      </w:tr>
      <w:tr>
        <w:tc>
          <w:tcPr>
            <w:tcW w:type="dxa" w:w="4680"/>
          </w:tcPr>
          <w:p w14:paraId="32E2C8B8">
            <w:r>
              <w:t>Permanent outcomes</w:t>
            </w:r>
          </w:p>
        </w:tc>
        <w:tc>
          <w:tcPr>
            <w:tcW w:type="dxa" w:w="4680"/>
          </w:tcPr>
          <w:p w14:paraId="3CE7C504">
            <w:r>
              <w:t>Elimination, firewall, accrued refunds, confidentiality, final reports, completed reforms</w:t>
            </w:r>
          </w:p>
        </w:tc>
      </w:tr>
      <w:tr>
        <w:tc>
          <w:tcPr>
            <w:tcW w:type="dxa" w:w="4680"/>
          </w:tcPr>
          <w:p w14:paraId="1671956E">
            <w:r>
              <w:t>Pending matters</w:t>
            </w:r>
          </w:p>
        </w:tc>
        <w:tc>
          <w:tcPr>
            <w:tcW w:type="dxa" w:w="4680"/>
          </w:tcPr>
          <w:p w14:paraId="4D04572A">
            <w:r>
              <w:t>Disputes, refunds, records, litigation holds</w:t>
            </w:r>
          </w:p>
        </w:tc>
      </w:tr>
      <w:tr>
        <w:tc>
          <w:tcPr>
            <w:tcW w:type="dxa" w:w="4680"/>
          </w:tcPr>
          <w:p w14:paraId="1E00A7B4">
            <w:r>
              <w:t>Successor authority</w:t>
            </w:r>
          </w:p>
        </w:tc>
        <w:tc>
          <w:tcPr>
            <w:tcW w:type="dxa" w:w="4680"/>
          </w:tcPr>
          <w:p w14:paraId="231AC2EE">
            <w:r>
              <w:t>Named authority for each row</w:t>
            </w:r>
          </w:p>
        </w:tc>
      </w:tr>
      <w:tr>
        <w:tc>
          <w:tcPr>
            <w:tcW w:type="dxa" w:w="4680"/>
          </w:tcPr>
          <w:p w14:paraId="56ACE426">
            <w:r>
              <w:t>Records custody</w:t>
            </w:r>
          </w:p>
        </w:tc>
        <w:tc>
          <w:tcPr>
            <w:tcW w:type="dxa" w:w="4680"/>
          </w:tcPr>
          <w:p w14:paraId="78B5A69A">
            <w:r>
              <w:t>Custodian and retention period</w:t>
            </w:r>
          </w:p>
        </w:tc>
      </w:tr>
      <w:tr>
        <w:tc>
          <w:tcPr>
            <w:tcW w:type="dxa" w:w="4680"/>
          </w:tcPr>
          <w:p w14:paraId="6AD54E9A">
            <w:r>
              <w:t>Certification</w:t>
            </w:r>
          </w:p>
        </w:tc>
        <w:tc>
          <w:tcPr>
            <w:tcW w:type="dxa" w:w="4680"/>
          </w:tcPr>
          <w:p w14:paraId="3BAED1E4">
            <w:r>
              <w:t>Joint Committee co-chairs</w:t>
            </w:r>
          </w:p>
        </w:tc>
      </w:tr>
      <w:tr>
        <w:tc>
          <w:tcPr>
            <w:tcW w:type="dxa" w:w="4680"/>
          </w:tcPr>
          <w:p w14:paraId="08AE9636">
            <w:r>
              <w:t>Annex 9-A conformity</w:t>
            </w:r>
          </w:p>
        </w:tc>
        <w:tc>
          <w:tcPr>
            <w:tcW w:type="dxa" w:w="4680"/>
          </w:tcPr>
          <w:p w14:paraId="6DD4A522">
            <w:r>
              <w:t>Cross-check completed</w:t>
            </w:r>
          </w:p>
        </w:tc>
      </w:tr>
    </w:tbl>
    <w:p>
      <w:r>
        <w:rPr>
          <w:b w:val="0"/>
        </w:rPr>
        <w:t xml:space="preserve">Annotated exemplar for training and systems-testing use; not a certification of any live measure.</w:t>
      </w:r>
    </w:p>
    <w:p w14:paraId="00DED75A"/>
    <w:p w14:paraId="0F044970">
      <w:r>
        <w:rPr>
          <w:b w:val="0"/>
          <w:i w:val="0"/>
        </w:rPr>
        <w:t>Electronic execution default: qualified electronic signature or other method mutually approved in writing, with certificate, timestamp, and signatory authority retained. Spanish versions of Forms 1–5 are gating deliverables and must undergo the Annex 13-A legal-linguistic review before adoption.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06B64C">
      <w:pPr>
        <w:spacing w:after="0" w:line="240" w:lineRule="auto"/>
      </w:pPr>
      <w:r>
        <w:rPr>
          <w:rStyle w:val="EndnoteReference"/>
        </w:rPr>
        <w:endnoteRef/>
      </w:r>
      <w:r>
        <w:separator/>
      </w:r>
    </w:p>
  </w:endnote>
  <w:endnote w:type="continuationSeparator" w:id="0">
    <w:p w14:paraId="33347B64">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5" w:line="26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AA52CE">
      <w:pPr>
        <w:spacing w:after="0" w:line="240" w:lineRule="auto"/>
      </w:pPr>
      <w:r>
        <w:rPr>
          <w:rStyle w:val="FootnoteReference"/>
        </w:rPr>
        <w:footnoteRef/>
      </w:r>
      <w:r>
        <w:separator/>
      </w:r>
    </w:p>
  </w:footnote>
  <w:footnote w:type="continuationSeparator" w:id="0">
    <w:p w14:paraId="517E727A">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30"/>
      <w:jc w:val="center"/>
    </w:pPr>
    <w:r>
      <w:rPr>
        <w:rFonts w:ascii="Times New Roman" w:cs="Times New Roman" w:eastAsia="SimSun" w:hAnsi="Times New Roman"/>
        <w:b/>
        <w:bCs/>
        <w:color w:val="37474F"/>
        <w:sz w:val="15"/>
        <w:szCs w:val="15"/>
      </w:rPr>
      <w:t xml:space="preserve">Draft Interim Elimination and Stabilization Agreement | NEGOTIATION DRAFT. NOT ADOPTED. NOT SIGNED. NOT APPROVED. NOT AGREED.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uiPriority w:val="39"/>
    <w:pPr>
      <w:tabs>
        <w:tab w:val="right" w:leader="dot" w:pos="9010"/>
      </w:tabs>
      <w:spacing w:before="120" w:after="40" w:line="278" w:lineRule="auto"/>
    </w:pPr>
    <w:rPr>
      <w:rFonts w:ascii="Calibri" w:hAnsi="Calibri"/>
      <w:b/>
      <w:color w:val="37474F"/>
      <w:sz w:val="21"/>
    </w:rPr>
  </w:style>
  <w:style w:type="paragraph" w:styleId="TOC2">
    <w:name w:val="toc 2"/>
    <w:basedOn w:val="Normal"/>
    <w:uiPriority w:val="39"/>
    <w:pPr>
      <w:tabs>
        <w:tab w:val="right" w:leader="dot" w:pos="9010"/>
      </w:tabs>
      <w:spacing w:before="0" w:after="20" w:line="278" w:lineRule="auto"/>
      <w:ind w:left="360"/>
    </w:pPr>
    <w:rPr>
      <w:rFonts w:ascii="Calibri" w:hAnsi="Calibri"/>
      <w:color w:val="212121"/>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and Mexico Interim Trade Elimination, Stabilization, and Modernization Agreement</dc:title>
  <dc:creator/>
  <dc:description/>
  <cp:lastModifiedBy/>
  <cp:revision>1</cp:revision>
  <dcterms:created xsi:type="dcterms:W3CDTF">2026-09-07T16:57:24.376Z</dcterms:created>
  <dcterms:modified xsi:type="dcterms:W3CDTF">2026-09-07T16:57:24.377Z</dcterms:modified>
  <cp:keywords/>
</cp:coreProperties>
</file>