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etterTitle"/>
        <w:jc w:val="center"/>
      </w:pPr>
      <w:r>
        <w:t>OPTIONAL TRILATERAL SIDE LETTER</w:t>
      </w:r>
    </w:p>
    <w:p>
      <w:pPr>
        <w:pStyle w:val="LetterSubtitle"/>
        <w:jc w:val="center"/>
      </w:pPr>
      <w:r>
        <w:t>Commemorative Cooperation Regarding North Trump Island</w:t>
      </w:r>
    </w:p>
    <w:p>
      <w:r>
        <w:t>Dear [Minister / Secretary / Trade Representative]:</w:t>
      </w:r>
    </w:p>
    <w:p>
      <w:r>
        <w:t>I have the honour to confirm the following understanding reached among the Government of Canada, the Government of the United Mexican States, and the Government of the United States of America in connection with the North American Economic Security and Trade Modernization Agreement ("NAESTMA").</w:t>
      </w:r>
    </w:p>
    <w:p>
      <w:r>
        <w:t>Recognizing the longstanding friendship, economic integration, and peaceful cooperation among the peoples of Canada, Mexico, and the United States;</w:t>
      </w:r>
    </w:p>
    <w:p>
      <w:r>
        <w:t>Recognizing the value of public symbols that commemorate the peaceful resolution of economic differences and the renewal of continental cooperation;</w:t>
      </w:r>
    </w:p>
    <w:p>
      <w:r>
        <w:t>Noting the existence of North Trump Island in Newfoundland and Labrador, Canada, whose established geographic name predates the present negotiations;</w:t>
      </w:r>
    </w:p>
    <w:p>
      <w:r>
        <w:t>And wishing to commemorate the successful conclusion and implementation of NAESTMA in a manner that respects Canadian sovereignty, Newfoundland and Labrador, the natural landscape, and the equal standing of all three Parties;</w:t>
      </w:r>
    </w:p>
    <w:p>
      <w:r>
        <w:t>Canada, Mexico, and the United States have reached the following understanding:</w:t>
      </w:r>
    </w:p>
    <w:p>
      <w:pPr>
        <w:pStyle w:val="ClauseHeading"/>
      </w:pPr>
      <w:r>
        <w:t>1. Optional Character and Activation</w:t>
      </w:r>
    </w:p>
    <w:p>
      <w:r>
        <w:t>This Side Letter establishes an optional trilateral commemorative initiative associated with NAESTMA.</w:t>
      </w:r>
    </w:p>
    <w:p>
      <w:r>
        <w:t>It shall become operative only through an exchange of written notices among Canada, Mexico, and the United States confirming their intention to activate it and identifying the reciprocal economic consideration under Section 10.</w:t>
      </w:r>
    </w:p>
    <w:p>
      <w:r>
        <w:t>Nothing in this Side Letter alters the territorial sovereignty of any Party or creates a general entitlement to commemorative recognition.</w:t>
      </w:r>
    </w:p>
    <w:p>
      <w:pPr>
        <w:pStyle w:val="ClauseHeading"/>
      </w:pPr>
      <w:r>
        <w:t>2. North Trump Island Trilateral Cooperation Initiative</w:t>
      </w:r>
    </w:p>
    <w:p>
      <w:r>
        <w:t>Upon activation, Canada shall undertake a good-faith, time-bound feasibility and approval process for a permanent monument on North Trump Island, Newfoundland and Labrador, commemorating renewed economic cooperation among Canada, Mexico, and the United States under NAESTMA.</w:t>
      </w:r>
    </w:p>
    <w:p>
      <w:r>
        <w:t>The principal subject of the monument shall be trilateral North American cooperation and the peaceful resolution of economic differences, rather than any single individual.</w:t>
      </w:r>
    </w:p>
    <w:p>
      <w:r>
        <w:t>The historical name of North Trump Island shall remain unchanged.</w:t>
      </w:r>
    </w:p>
    <w:p>
      <w:pPr>
        <w:pStyle w:val="ClauseHeading"/>
      </w:pPr>
      <w:r>
        <w:t>3. Suggested Site</w:t>
      </w:r>
    </w:p>
    <w:p>
      <w:r>
        <w:t>For purposes of initial feasibility assessment, Canada identifies the vicinity of 49°35′15.04″ North, 54°46′17.73″ West as the suggested candidate site. Canada also identifies the vicinity of 49°35′11.13″ North, 54°46′53.26″ West as a secondary candidate location for assessment. The secondary location is not preferred over the primary candidate merely by reason of its inclusion and may be considered if it offers a safer, less disruptive, or otherwise more practicable monument footprint.</w:t>
      </w:r>
    </w:p>
    <w:p>
      <w:r>
        <w:t>The assessment shall begin with the presumption that the monument will be located at or reasonably near that vicinity, while permitting relocation elsewhere on North Trump Island where reasonably required by law, land status, environmental protection, Indigenous rights or interests, archaeology or heritage, engineering, navigation, safety, access, or avoidance of unnecessary disturbance.</w:t>
      </w:r>
    </w:p>
    <w:p>
      <w:r>
        <w:t>The assessment shall include field identification and archaeological and geotechnical review of visible depressions, rock features, former excavations, foundations, mine workings, waste-rock deposits, and other evidence of historical land use within the proposed construction and access area.</w:t>
      </w:r>
    </w:p>
    <w:p>
      <w:r>
        <w:t>Preference shall be given to an already disturbed or naturally open location requiring the least practicable new clearing and shoreline disturbance.</w:t>
      </w:r>
    </w:p>
    <w:p>
      <w:pPr>
        <w:pStyle w:val="ClauseHeading"/>
      </w:pPr>
      <w:r>
        <w:t>4. Indicative Monument Concept and Scale</w:t>
      </w:r>
    </w:p>
    <w:p>
      <w:r>
        <w:t>The proposed monument shall consist of a substantial commemorative architectural or sculptural work symbolizing the renewed partnership among Canada, Mexico, and the United States.</w:t>
      </w:r>
    </w:p>
    <w:p>
      <w:r>
        <w:t>Its principal artistic composition should visibly represent the three Parties as equal participants in North American cooperation, including through three complementary structural or artistic elements joined by a common feature.</w:t>
      </w:r>
    </w:p>
    <w:p>
      <w:r>
        <w:t>Subject to final design and site engineering, the monument should have an overall height of approximately 4 to 5 metres (13 to 16 feet), including its base or pedestal, and should harmonize with the surrounding landscape.</w:t>
      </w:r>
    </w:p>
    <w:p>
      <w:r>
        <w:t>A dedicated bronze plaque, relief, or modest commemorative bust may acknowledge President Donald J. Trump's role in the conclusion of NAESTMA. Any bust should remain subordinate to the principal trilateral composition and ordinarily should not exceed approximately 1.2 metres (4 feet) in height.</w:t>
      </w:r>
    </w:p>
    <w:p>
      <w:pPr>
        <w:pStyle w:val="ClauseHeading"/>
      </w:pPr>
      <w:r>
        <w:t>5. Materials and Durability</w:t>
      </w:r>
    </w:p>
    <w:p>
      <w:r>
        <w:t>The preferred concept shall use durable Canadian and North American materials suitable for a severe North Atlantic marine environment, including Canadian stone, with Newfoundland and Labrador stone preferred where technically, economically, culturally, and environmentally suitable; marine-grade bronze or comparably durable metal; and corrosion-resistant structural anchoring.</w:t>
      </w:r>
    </w:p>
    <w:p>
      <w:r>
        <w:t>The design shall account for salt exposure, freeze-thaw cycling, high winds, precipitation, coastal weather, drainage, erosion, and long-term maintenance.</w:t>
      </w:r>
    </w:p>
    <w:p>
      <w:r>
        <w:t>Where practicable, fabrication and artistic contributions may reflect all three Parties, while final procurement remains subject to applicable Canadian law and the implementation arrangements agreed by the Parties.</w:t>
      </w:r>
    </w:p>
    <w:p>
      <w:pPr>
        <w:pStyle w:val="ClauseHeading"/>
      </w:pPr>
      <w:r>
        <w:t>6. Design and Historical Context</w:t>
      </w:r>
    </w:p>
    <w:p>
      <w:r>
        <w:t>Final form, inscriptions, orientation, landscaping, likenesses, and other artistic elements shall be determined through the design process in consultation with the three Governments and appropriate Canadian authorities.</w:t>
      </w:r>
    </w:p>
    <w:p>
      <w:r>
        <w:t>An accompanying interpretive panel, if installed, should be concise, factual, and respectful. The Parties acknowledge that the geographic name Trump Island predates the current President of the United States, and no representation shall be made to the contrary.</w:t>
      </w:r>
    </w:p>
    <w:p>
      <w:r>
        <w:t>The final interpretive design may also recognize the fishing, settlement, mining, and community history of the Trump Islands where historically supportable.</w:t>
      </w:r>
    </w:p>
    <w:p>
      <w:r>
        <w:t>Historical interpretation shall remain subordinate to the monument's principal commemorative purpose and shall not be drafted or displayed as a political taunt or partisan statement.</w:t>
      </w:r>
    </w:p>
    <w:p>
      <w:pPr>
        <w:pStyle w:val="ClauseHeading"/>
      </w:pPr>
      <w:r>
        <w:t>7. Feasibility, Consultation, and Approval Process</w:t>
      </w:r>
    </w:p>
    <w:p>
      <w:r>
        <w:t>Canada shall use reasonable best efforts to complete the principal feasibility, consultation, title, environmental, heritage, archaeological, geotechnical, navigation, access, and permitting processes within 18 months after activation.</w:t>
      </w:r>
    </w:p>
    <w:p>
      <w:r>
        <w:t>The process shall coordinate, as appropriate, with the Government of Newfoundland and Labrador and other competent authorities and shall address land ownership and tenure; Indigenous rights, interests, and consultation obligations; terrestrial and marine environmental effects; archaeology and heritage; mineral and subsurface rights; existing recreational or lawful uses; coastal stability and foundation conditions; construction and maintenance access; public and navigational safety; and long-term maintenance.</w:t>
      </w:r>
    </w:p>
    <w:p>
      <w:r>
        <w:t>The 18-month period is a target for diligent completion and shall not require an authority to truncate a legally required process or predetermine its outcome. If the principal processes are not completed within that period despite diligent effort, Canada shall, within 30 days, provide the Parties with a detailed completion plan identifying the material outstanding steps, the competent authorities responsible for them, the reasons for delay, and a revised timetable. Canada shall thereafter provide written status updates at least every 90 days until completion. The revised timetable should ordinarily provide for completion within no more than 12 additional months, except to the extent a longer period is reasonably required by a legally required process, judicial or administrative proceeding, material environmental or rights-related issue, force majeure, or another circumstance beyond reasonable governmental control. If the process remains incomplete at the end of that revised period, the Parties shall convene senior-level consultations within 30 days and Canada shall concurrently accelerate assessment of any lawful alternative location available under Section 9. Nothing in this paragraph creates automatic approval, waives a legal requirement, or causes the paired economic consideration to become irrevocable solely because a Canadian approval process requires additional time.</w:t>
      </w:r>
    </w:p>
    <w:p>
      <w:pPr>
        <w:pStyle w:val="ClauseHeading"/>
      </w:pPr>
      <w:r>
        <w:t>8. Environmental, Legal, and Rights Firewall</w:t>
      </w:r>
    </w:p>
    <w:p>
      <w:r>
        <w:t>Nothing in this Side Letter shall require Canada, Newfoundland and Labrador, or any competent authority to waive, circumvent, weaken, predetermine, or improperly influence an applicable environmental, Indigenous, archaeological, heritage, land-title, public-safety, procurement, or other legal requirement.</w:t>
      </w:r>
    </w:p>
    <w:p>
      <w:r>
        <w:t>A constraint shall not be treated as grounds to abandon the initiative where it can reasonably be addressed through mitigation, redesign, relocation within the Trump Islands, construction method, reduced footprint, or another lawful accommodation.</w:t>
      </w:r>
    </w:p>
    <w:p>
      <w:r>
        <w:t>The project shall not proceed at a location where an objectively insurmountable legal barrier exists or where competent authorities determine that material environmental or rights-related harm cannot reasonably be prevented or mitigated.</w:t>
      </w:r>
    </w:p>
    <w:p>
      <w:pPr>
        <w:pStyle w:val="ClauseHeading"/>
      </w:pPr>
      <w:r>
        <w:t>9. Commitment Following Feasibility</w:t>
      </w:r>
    </w:p>
    <w:p>
      <w:r>
        <w:t>If the feasibility process identifies a legally permissible, environmentally acceptable, technically practicable, and reasonably accessible design and site, Canada shall proceed with development and construction, subject to Section 10.</w:t>
      </w:r>
    </w:p>
    <w:p>
      <w:r>
        <w:t>Canada should seek to commence physical construction within approximately six months after final required approvals and activation of the corresponding United States performance, subject to construction season, fabrication, transportation, and circumstances beyond reasonable governmental control.</w:t>
      </w:r>
    </w:p>
    <w:p>
      <w:r>
        <w:t>If the suggested site is unsuitable, Canada shall first diligently assess another location on North Trump Island. If competent authorities determine after diligent assessment that no legally permissible, environmentally acceptable, technically practicable, and reasonably accessible location on North Trump Island is available, Canada shall proceed to assess South Trump Island without requiring a further political decision to commence that assessment. Assessment of South Trump Island remains fully subject to Sections 7 and 8 and shall not predetermine approval or construction. Only if competent authorities determine that neither North nor South Trump Island can lawfully and responsibly accommodate a reasonably practicable commemorative installation shall the Parties consult within 90 days regarding a modified installation or another mutually acceptable commemorative alternative of comparable symbolic character.</w:t>
      </w:r>
    </w:p>
    <w:p>
      <w:r>
        <w:t>No alternative shall require Canada to rename Canadian territory.</w:t>
      </w:r>
    </w:p>
    <w:p>
      <w:pPr>
        <w:pStyle w:val="ClauseHeading"/>
      </w:pPr>
      <w:r>
        <w:t>10. Paired Economic Consideration and Trilateral Benefit</w:t>
      </w:r>
    </w:p>
    <w:p>
      <w:r>
        <w:t>The Parties shall identify in the activation notices the specific United States automotive tariff commitment or other economic consideration paired with this initiative, together with the concurrent benefit assigned to Mexico. Where the paired settlement provides tariff relief, neutralization, withdrawal, suspension, market-access treatment, or another material economic benefit to qualifying Canadian automotive exports, the activation notices shall also provide Mexico with a simultaneous benefit of comparable character or negotiated value, adapted where appropriate to Mexico's distinct trade interests and outstanding measures. The Parties need not use identical legal instruments, tariff lines, sectors, or monetary values where they expressly agree that the Mexican consideration is reasonably comparable and forms part of the same activated trilateral bargain.</w:t>
      </w:r>
    </w:p>
    <w:p>
      <w:r>
        <w:t>At minimum, where this Side Letter is used as consideration for settlement of the automotive tariff dispute, the United States commitment applicable to Canada should provide legally durable neutralization, withdrawal, or suspension for the agreed period of specified extraordinary duties or tariff measures applied to qualifying Canadian automotive exports, consistent with applicable United States law and the main NAESTMA settlement. The corresponding Mexican consideration shall be identified with equal precision and shall take effect concurrently unless the Parties expressly agree in writing to another synchronized activation arrangement.</w:t>
      </w:r>
    </w:p>
    <w:p>
      <w:r>
        <w:t>Nothing in this Side Letter shall be construed to prohibit ordinary, good-faith administration of trade-remedy laws of general application. The United States shall not use a nominally distinct investigation, emergency authority, reclassification, or substantially equivalent measure principally to recreate a tariff burden that the paired settlement expressly removed.</w:t>
      </w:r>
    </w:p>
    <w:p>
      <w:r>
        <w:t>The activation notices shall identify the covered measures, duration, verification method, and any lawful exceptions with sufficient precision to avoid a blank or indeterminate reciprocal obligation.</w:t>
      </w:r>
    </w:p>
    <w:p>
      <w:pPr>
        <w:pStyle w:val="ClauseHeading"/>
      </w:pPr>
      <w:r>
        <w:t>11. No Uncompensated Front-Loading and Step-Back</w:t>
      </w:r>
    </w:p>
    <w:p>
      <w:r>
        <w:t>Canada shall not be required to commence or complete principal physical construction before the paired economic consideration identified for Canada has taken effect and the activation notices confirm the concurrent Mexican benefit required by Section 10.</w:t>
      </w:r>
    </w:p>
    <w:p>
      <w:r>
        <w:t>Preliminary surveying, consultation, design, and feasibility work may proceed in advance without constituting uncompensated performance of the principal Canadian commitment.</w:t>
      </w:r>
    </w:p>
    <w:p>
      <w:r>
        <w:t>If the paired treatment assigned to Canada or Mexico is materially impaired, withheld, or reimposed contrary to the agreed settlement, the affected Party may invoke the verification and cure procedures specified in the activation notices. Canada may proportionately pause construction or implementation where the impairment materially defeats the paired bargain supporting Canada's principal commitment. Any pause or step-back shall be proportionate to the verified impairment and performance shall resume automatically when the corresponding treatment is restored.</w:t>
      </w:r>
    </w:p>
    <w:p>
      <w:pPr>
        <w:pStyle w:val="ClauseHeading"/>
      </w:pPr>
      <w:r>
        <w:t>12. Implementation Period</w:t>
      </w:r>
    </w:p>
    <w:p>
      <w:r>
        <w:t>Following final approvals and activation of Canada's construction obligation, Canada should seek substantial completion within approximately 24 to 36 months, taking account of North Atlantic construction seasons, transportation, fabrication, environmental restrictions, and circumstances beyond reasonable control.</w:t>
      </w:r>
    </w:p>
    <w:p>
      <w:r>
        <w:t>The Parties may agree in writing to another implementation period.</w:t>
      </w:r>
    </w:p>
    <w:p>
      <w:pPr>
        <w:pStyle w:val="ClauseHeading"/>
      </w:pPr>
      <w:r>
        <w:t>13. Trilateral Commemorative Time Capsule</w:t>
      </w:r>
    </w:p>
    <w:p>
      <w:r>
        <w:t>Subject to final design approval, the monument may incorporate a modest sealed commemorative time capsule or archival chamber as a subordinate element.</w:t>
      </w:r>
    </w:p>
    <w:p>
      <w:r>
        <w:t>The capsule may contain public copies of NAESTMA-related instruments, one message to future generations from each Party, historically accurate material concerning the Trump Islands and Newfoundland and Labrador, and other non-commercial objects jointly considered appropriate.</w:t>
      </w:r>
    </w:p>
    <w:p>
      <w:r>
        <w:t>The Parties may agree upon a future opening date, including a period of approximately 50 years. The capsule shall remain symbolic and shall not mechanically condition, replace, or enforce any legal obligation.</w:t>
      </w:r>
    </w:p>
    <w:p>
      <w:pPr>
        <w:pStyle w:val="ClauseHeading"/>
      </w:pPr>
      <w:r>
        <w:t>14. Dedication and North American Economic Renewal Ceremony</w:t>
      </w:r>
    </w:p>
    <w:p>
      <w:r>
        <w:t>Following substantial completion of the monument and verified performance of the paired commitments, Canada shall organize, in cooperation with Mexico, the United States, and Newfoundland and Labrador, an official dedication or North American Economic Renewal Ceremony.</w:t>
      </w:r>
    </w:p>
    <w:p>
      <w:r>
        <w:t>Canada shall invite the President of the United States, the President of Mexico, and the Prime Minister of Canada, or their respective designees, together with appropriate representatives of Newfoundland and Labrador and such local, Indigenous, historical, cultural, and community participants as are appropriate following consultation.</w:t>
      </w:r>
    </w:p>
    <w:p>
      <w:r>
        <w:t>Personal attendance by any particular office-holder shall not be a condition of performance.</w:t>
      </w:r>
    </w:p>
    <w:p>
      <w:r>
        <w:t>The ceremony may include dedication of the monument, acknowledgement of the completed economic settlement, and ceremonial sealing or presentation of the time capsule.</w:t>
      </w:r>
    </w:p>
    <w:p>
      <w:pPr>
        <w:pStyle w:val="ClauseHeading"/>
      </w:pPr>
      <w:r>
        <w:t>15. Provincial, Local, and Indigenous Participation</w:t>
      </w:r>
    </w:p>
    <w:p>
      <w:r>
        <w:t>The Parties recognize the particular connection of Newfoundland and Labrador and surrounding communities to the Trump Islands.</w:t>
      </w:r>
    </w:p>
    <w:p>
      <w:r>
        <w:t>Canada shall seek meaningful participation by relevant provincial, local, Indigenous, historical, cultural, and community interests as appropriate to the project and applicable Canadian law.</w:t>
      </w:r>
    </w:p>
    <w:p>
      <w:r>
        <w:t>Nothing in this Side Letter transfers provincial, Indigenous, municipal, or other constitutionally applicable authority to another government.</w:t>
      </w:r>
    </w:p>
    <w:p>
      <w:pPr>
        <w:pStyle w:val="ClauseHeading"/>
      </w:pPr>
      <w:r>
        <w:t>16. Sovereignty, Ownership, and Private-Benefit Firewall</w:t>
      </w:r>
    </w:p>
    <w:p>
      <w:r>
        <w:t>North Trump Island and any alternative Canadian site shall remain Canadian territory subject to Canadian law.</w:t>
      </w:r>
    </w:p>
    <w:p>
      <w:r>
        <w:t>The monument shall confer no ownership, leasehold, territorial interest, jurisdiction, sovereign right, mineral right, resource right, naming right, or other proprietary interest upon another Government, President Trump, his family, any private organization, or any other person by reason of the monument's construction, dedication, maintenance, or existence.</w:t>
      </w:r>
    </w:p>
    <w:p>
      <w:r>
        <w:t>Nothing in this Side Letter requires a sole-source commercial contract, purchase from an entity affiliated with any public official or family member, waiver of conflict-of-interest rules, or private transfer of value. The initiative is a public diplomatic commemoration, not a commercial endorsement.</w:t>
      </w:r>
    </w:p>
    <w:p>
      <w:pPr>
        <w:pStyle w:val="ClauseHeading"/>
      </w:pPr>
      <w:r>
        <w:t>17. Maintenance</w:t>
      </w:r>
    </w:p>
    <w:p>
      <w:r>
        <w:t>Canada shall establish reasonable arrangements for inspection, conservation, repair, and long-term maintenance proportionate to the character and remote location of the installation.</w:t>
      </w:r>
    </w:p>
    <w:p>
      <w:r>
        <w:t>Maintenance shall not require continuous staffing or permanent habitation of the Trump Islands.</w:t>
      </w:r>
    </w:p>
    <w:p>
      <w:pPr>
        <w:pStyle w:val="ClauseHeading"/>
      </w:pPr>
      <w:r>
        <w:t>18. No General Precedent</w:t>
      </w:r>
    </w:p>
    <w:p>
      <w:r>
        <w:t>This Side Letter constitutes an exceptional commemorative arrangement arising from the particular geography of the Trump Islands and the conclusion of NAESTMA.</w:t>
      </w:r>
    </w:p>
    <w:p>
      <w:r>
        <w:t>It shall create no entitlement for any current or former public official to receive a monument, geographic naming, public property, or comparable recognition.</w:t>
      </w:r>
    </w:p>
    <w:p>
      <w:pPr>
        <w:pStyle w:val="ClauseHeading"/>
      </w:pPr>
      <w:r>
        <w:t>19. Relationship to NAESTMA</w:t>
      </w:r>
    </w:p>
    <w:p>
      <w:r>
        <w:t>Except where the Parties expressly agree otherwise in writing, this Side Letter shall not modify the substantive rights and obligations of NAESTMA beyond the specific paired commitments identified in the activation notices.</w:t>
      </w:r>
    </w:p>
    <w:p>
      <w:r>
        <w:t>A dispute concerning this Side Letter shall not authorize suspension of humanitarian protections, individual rights, essential goods, or unrelated NAESTMA benefits.</w:t>
      </w:r>
    </w:p>
    <w:p>
      <w:pPr>
        <w:pStyle w:val="ClauseHeading"/>
      </w:pPr>
      <w:r>
        <w:t>20. Governing Understanding</w:t>
      </w:r>
    </w:p>
    <w:p>
      <w:r>
        <w:t>The Parties recognize that the purpose of this initiative is straightforward: Canada hosts a tangible and permanent commemoration of renewed North American cooperation at a uniquely named Canadian location; all three Parties are represented as equal participants in the principal artistic composition; any recognition of President Trump remains subordinate to that trilateral purpose; the project proceeds only where lawful, environmentally acceptable, technically practicable, and respectful of affected rights and interests; the activation notices provide Canada and Mexico with the economic consideration assigned to each as part of the same trilateral bargain; and no Party receives the principal benefit assigned to it while materially withholding corresponding performance.</w:t>
      </w:r>
    </w:p>
    <w:p/>
    <w:p>
      <w:r>
        <w:t>If the foregoing accurately reflects the understanding reached among our Governments, I have the honour to propose that this letter and the corresponding letters in reply confirming that the Governments of Canada, the United Mexican States, and the United States of America share this understanding shall constitute an agreement among the Parties, entering into force on the date of the last such confirmation.</w:t>
      </w:r>
    </w:p>
    <w:p/>
    <w:p>
      <w:r>
        <w:t>Respectfully,</w:t>
      </w:r>
    </w:p>
    <w:tbl>
      <w:tblPr>
        <w:tblW w:type="auto" w:w="0"/>
        <w:jc w:val="center"/>
        <w:tblLayout w:type="fixed"/>
        <w:tblLook w:firstColumn="1" w:firstRow="1" w:lastColumn="0" w:lastRow="0" w:noHBand="0" w:noVBand="1" w:val="04A0"/>
      </w:tblPr>
      <w:tblGrid>
        <w:gridCol w:w="3216"/>
        <w:gridCol w:w="3216"/>
        <w:gridCol w:w="3216"/>
      </w:tblGrid>
      <w:tr>
        <w:tc>
          <w:tcPr>
            <w:tcW w:type="dxa" w:w="3216"/>
            <w:vAlign w:val="top"/>
            <w:tcBorders>
              <w:top w:val="nil"/>
              <w:left w:val="nil"/>
              <w:bottom w:val="nil"/>
              <w:right w:val="nil"/>
              <w:insideH w:val="nil"/>
              <w:insideV w:val="nil"/>
            </w:tcBorders>
          </w:tcPr>
          <w:p>
            <w:r/>
            <w:r>
              <w:rPr>
                <w:b/>
                <w:sz w:val="17"/>
              </w:rPr>
              <w:t>FOR THE GOVERNMENT OF CANADA</w:t>
            </w:r>
          </w:p>
          <w:p/>
          <w:p/>
          <w:p/>
          <w:p>
            <w:r>
              <w:t>________________________</w:t>
            </w:r>
          </w:p>
          <w:p>
            <w:r>
              <w:rPr>
                <w:b/>
              </w:rPr>
              <w:t>[Name]</w:t>
            </w:r>
          </w:p>
          <w:p>
            <w:r>
              <w:t>[Title]</w:t>
            </w:r>
          </w:p>
          <w:p>
            <w:r>
              <w:t>Date: __________________</w:t>
            </w:r>
          </w:p>
        </w:tc>
        <w:tc>
          <w:tcPr>
            <w:tcW w:type="dxa" w:w="3216"/>
            <w:vAlign w:val="top"/>
            <w:tcBorders>
              <w:top w:val="nil"/>
              <w:left w:val="nil"/>
              <w:bottom w:val="nil"/>
              <w:right w:val="nil"/>
              <w:insideH w:val="nil"/>
              <w:insideV w:val="nil"/>
            </w:tcBorders>
          </w:tcPr>
          <w:p>
            <w:r/>
            <w:r>
              <w:rPr>
                <w:b/>
                <w:sz w:val="17"/>
              </w:rPr>
              <w:t>FOR THE GOVERNMENT OF THE UNITED MEXICAN STATES</w:t>
            </w:r>
          </w:p>
          <w:p/>
          <w:p/>
          <w:p/>
          <w:p>
            <w:r>
              <w:t>________________________</w:t>
            </w:r>
          </w:p>
          <w:p>
            <w:r>
              <w:rPr>
                <w:b/>
              </w:rPr>
              <w:t>[Name]</w:t>
            </w:r>
          </w:p>
          <w:p>
            <w:r>
              <w:t>[Title]</w:t>
            </w:r>
          </w:p>
          <w:p>
            <w:r>
              <w:t>Date: __________________</w:t>
            </w:r>
          </w:p>
        </w:tc>
        <w:tc>
          <w:tcPr>
            <w:tcW w:type="dxa" w:w="3216"/>
            <w:vAlign w:val="top"/>
            <w:tcBorders>
              <w:top w:val="nil"/>
              <w:left w:val="nil"/>
              <w:bottom w:val="nil"/>
              <w:right w:val="nil"/>
              <w:insideH w:val="nil"/>
              <w:insideV w:val="nil"/>
            </w:tcBorders>
          </w:tcPr>
          <w:p>
            <w:r/>
            <w:r>
              <w:rPr>
                <w:b/>
                <w:sz w:val="17"/>
              </w:rPr>
              <w:t>FOR THE GOVERNMENT OF THE UNITED STATES OF AMERICA</w:t>
            </w:r>
          </w:p>
          <w:p/>
          <w:p/>
          <w:p/>
          <w:p>
            <w:r>
              <w:t>________________________</w:t>
            </w:r>
          </w:p>
          <w:p>
            <w:r>
              <w:rPr>
                <w:b/>
              </w:rPr>
              <w:t>[Name]</w:t>
            </w:r>
          </w:p>
          <w:p>
            <w:r>
              <w:t>[Title]</w:t>
            </w:r>
          </w:p>
          <w:p>
            <w:r>
              <w:t>Date: __________________</w:t>
            </w:r>
          </w:p>
        </w:tc>
      </w:tr>
    </w:tbl>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tterTitle">
    <w:name w:val="Letter Title"/>
    <w:rPr>
      <w:rFonts w:ascii="Aptos" w:hAnsi="Aptos"/>
      <w:b/>
      <w:sz w:val="30"/>
    </w:rPr>
  </w:style>
  <w:style w:type="paragraph" w:customStyle="1" w:styleId="LetterSubtitle">
    <w:name w:val="Letter Subtitle"/>
    <w:rPr>
      <w:rFonts w:ascii="Aptos" w:hAnsi="Aptos"/>
      <w:b/>
      <w:sz w:val="22"/>
    </w:rPr>
  </w:style>
  <w:style w:type="paragraph" w:customStyle="1" w:styleId="ClauseHeading">
    <w:name w:val="Clause Heading"/>
    <w:pPr>
      <w:keepNext/>
      <w:spacing w:before="140" w:after="40"/>
    </w:pPr>
    <w:rPr>
      <w:rFonts w:ascii="Aptos" w:hAnsi="Aptos"/>
      <w: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Optional Trilateral Side Letter - Commemorative Cooperation Regarding North Trump Island</dc:title>
  <dc:subject>NAESTMA optional trilateral commemorative cooperation side letter, version 2.3</dc:subject>
  <dc:creator>Draft for consideration</dc:creator>
  <cp:keywords/>
  <dc:description>Version 2.3.1 cosmetic correction: restored the complete opening clause of Section 20. Section 7 timeline architecture unchanged.</dc:description>
  <cp:lastModifiedBy/>
  <cp:revision>1</cp:revision>
  <dcterms:created xsi:type="dcterms:W3CDTF">2013-12-23T23:15:00Z</dcterms:created>
  <dcterms:modified xsi:type="dcterms:W3CDTF">2013-12-23T23:15:00Z</dcterms:modified>
  <cp:category/>
</cp:coreProperties>
</file>