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0"/>
        <w:jc w:val="center"/>
      </w:pPr>
    </w:p>
    <w:p>
      <w:pPr>
        <w:spacing w:after="220"/>
        <w:jc w:val="center"/>
      </w:pPr>
      <w:r>
        <w:rPr>
          <w:rFonts w:ascii="Aptos" w:hAnsi="Aptos"/>
          <w:caps/>
          <w:color w:val="78909C"/>
          <w:spacing w:val="30"/>
          <w:sz w:val="18"/>
        </w:rPr>
        <w:t>Strategic Policy Series  ·  Economic Statecraft</w:t>
      </w:r>
    </w:p>
    <w:p>
      <w:pPr>
        <w:spacing w:after="160"/>
        <w:jc w:val="center"/>
      </w:pPr>
      <w:r>
        <w:rPr>
          <w:rFonts w:ascii="Aptos Display" w:hAnsi="Aptos Display"/>
          <w:b/>
          <w:color w:val="365F91"/>
          <w:spacing w:val="10"/>
          <w:sz w:val="38"/>
        </w:rPr>
        <w:t>The Economic Statecraft Situational</w:t>
      </w:r>
    </w:p>
    <w:p>
      <w:pPr>
        <w:spacing w:after="300"/>
        <w:jc w:val="center"/>
      </w:pPr>
      <w:r>
        <w:rPr>
          <w:rFonts w:ascii="Aptos Display" w:hAnsi="Aptos Display"/>
          <w:b/>
          <w:color w:val="365F91"/>
          <w:spacing w:val="10"/>
          <w:sz w:val="38"/>
        </w:rPr>
        <w:t>Awareness and Early-Warning Framework</w:t>
      </w:r>
    </w:p>
    <w:p>
      <w:pPr>
        <w:spacing w:after="80"/>
        <w:jc w:val="center"/>
      </w:pPr>
      <w:r>
        <w:rPr>
          <w:rFonts w:ascii="Aptos" w:hAnsi="Aptos"/>
          <w:b/>
          <w:color w:val="4F81BD"/>
          <w:sz w:val="22"/>
        </w:rPr>
        <w:t>Lawful Integrated Assessment for Canadian Economic Statecraft</w:t>
      </w:r>
    </w:p>
    <w:p>
      <w:pPr>
        <w:spacing w:after="300"/>
        <w:jc w:val="center"/>
      </w:pPr>
      <w:r>
        <w:rPr>
          <w:rFonts w:ascii="Aptos" w:hAnsi="Aptos"/>
          <w:i/>
          <w:color w:val="546E7A"/>
          <w:sz w:val="20"/>
        </w:rPr>
        <w:t>Version 1.0  ·  August 28, 2026</w:t>
      </w:r>
    </w:p>
    <w:p>
      <w:pPr>
        <w:pBdr>
          <w:bottom w:val="single" w:sz="6" w:space="1" w:color="4F81BD"/>
        </w:pBdr>
        <w:spacing w:after="300"/>
        <w:ind w:left="2000" w:right="2000"/>
      </w:pPr>
    </w:p>
    <w:p>
      <w:pPr>
        <w:spacing w:after="120"/>
        <w:jc w:val="center"/>
      </w:pPr>
      <w:r>
        <w:rPr>
          <w:rFonts w:ascii="Aptos" w:hAnsi="Aptos"/>
          <w:b/>
          <w:color w:val="365F91"/>
          <w:sz w:val="22"/>
        </w:rPr>
        <w:t>SENSE · VERIFY · ASSESS · WARN · ADVISE · REVIEW</w:t>
      </w:r>
    </w:p>
    <w:p>
      <w:pPr>
        <w:spacing w:after="600"/>
        <w:jc w:val="center"/>
      </w:pPr>
      <w:r>
        <w:rPr>
          <w:rFonts w:ascii="Aptos" w:hAnsi="Aptos"/>
          <w:i/>
          <w:color w:val="78909C"/>
          <w:sz w:val="18"/>
        </w:rPr>
        <w:t>A decision-support framework, not a domestic surveillance system.</w:t>
      </w:r>
    </w:p>
    <w:p>
      <w:pPr>
        <w:spacing w:after="60"/>
        <w:jc w:val="center"/>
      </w:pPr>
      <w:r>
        <w:rPr>
          <w:rFonts w:ascii="Aptos" w:hAnsi="Aptos"/>
          <w:b/>
          <w:color w:val="546E7A"/>
          <w:sz w:val="19"/>
        </w:rPr>
        <w:t>Core recurring output: De-escalation Probability Assessment (DPA)</w:t>
      </w:r>
    </w:p>
    <w:p>
      <w:pPr>
        <w:jc w:val="center"/>
      </w:pPr>
      <w:r>
        <w:rPr>
          <w:rFonts w:ascii="Aptos" w:hAnsi="Aptos"/>
          <w:color w:val="78909C"/>
          <w:sz w:val="18"/>
        </w:rPr>
        <w:t>plus Escalation Warning Indicators and Decision Triggers</w:t>
      </w:r>
    </w:p>
    <w:p>
      <w:pPr>
        <w:sectPr>
          <w:pgSz w:w="12240" w:h="15840"/>
          <w:pgMar w:top="1440" w:right="1440" w:bottom="1440" w:left="1440" w:header="720" w:footer="720" w:gutter="0"/>
          <w:pgBorders w:offsetFrom="page">
            <w:top w:val="double" w:sz="6" w:space="24" w:color="365F91"/>
            <w:left w:val="double" w:sz="6" w:space="24" w:color="365F91"/>
            <w:bottom w:val="double" w:sz="6" w:space="24" w:color="365F91"/>
            <w:right w:val="double" w:sz="6" w:space="24" w:color="365F91"/>
          </w:pgBorders>
          <w:cols w:space="720"/>
        </w:sectPr>
      </w:pPr>
    </w:p>
    <w:p>
      <w:pPr>
        <w:keepNext/>
        <w:spacing w:after="300"/>
      </w:pPr>
      <w:r>
        <w:rPr>
          <w:rFonts w:ascii="Aptos Display" w:hAnsi="Aptos Display"/>
          <w:b/>
          <w:caps/>
          <w:color w:val="365F91"/>
          <w:sz w:val="30"/>
        </w:rPr>
        <w:t>Table of Contents</w:t>
      </w:r>
    </w:p>
    <w:p>
      <w:pPr>
        <w:pStyle w:val="TOC1"/>
      </w:pPr>
      <w:r>
        <w:fldChar w:fldCharType="begin" w:dirty="true"/>
      </w:r>
      <w:r>
        <w:instrText xml:space="preserve"> TOC \o "1-2" \h \z \u </w:instrText>
      </w:r>
      <w:r>
        <w:fldChar w:fldCharType="separate"/>
      </w:r>
      <w:hyperlink w:anchor="_Toc9400501" w:history="1">
        <w:r>
          <w:rPr>
            <w:rStyle w:val="Hyperlink"/>
          </w:rPr>
          <w:t>Executive Purpose</w:t>
        </w:r>
        <w:r>
          <w:tab/>
        </w:r>
        <w:r>
          <w:fldChar w:fldCharType="begin"/>
        </w:r>
        <w:r>
          <w:instrText xml:space="preserve"> PAGEREF _Toc9400501 \h </w:instrText>
        </w:r>
        <w:r>
          <w:fldChar w:fldCharType="separate"/>
        </w:r>
        <w:r>
          <w:t>4</w:t>
        </w:r>
        <w:r>
          <w:fldChar w:fldCharType="end"/>
        </w:r>
      </w:hyperlink>
    </w:p>
    <w:p>
      <w:pPr>
        <w:pStyle w:val="TOC2"/>
      </w:pPr>
      <w:hyperlink w:anchor="_Toc9400502" w:history="1">
        <w:r>
          <w:rPr>
            <w:rStyle w:val="Hyperlink"/>
          </w:rPr>
          <w:t>The Core Problem</w:t>
        </w:r>
        <w:r>
          <w:tab/>
        </w:r>
        <w:r>
          <w:fldChar w:fldCharType="begin"/>
        </w:r>
        <w:r>
          <w:instrText xml:space="preserve"> PAGEREF _Toc9400502 \h </w:instrText>
        </w:r>
        <w:r>
          <w:fldChar w:fldCharType="separate"/>
        </w:r>
        <w:r>
          <w:t>4</w:t>
        </w:r>
        <w:r>
          <w:fldChar w:fldCharType="end"/>
        </w:r>
      </w:hyperlink>
    </w:p>
    <w:p>
      <w:pPr>
        <w:pStyle w:val="TOC2"/>
      </w:pPr>
      <w:hyperlink w:anchor="_Toc9400503" w:history="1">
        <w:r>
          <w:rPr>
            <w:rStyle w:val="Hyperlink"/>
          </w:rPr>
          <w:t>The Killer Output</w:t>
        </w:r>
        <w:r>
          <w:tab/>
        </w:r>
        <w:r>
          <w:fldChar w:fldCharType="begin"/>
        </w:r>
        <w:r>
          <w:instrText xml:space="preserve"> PAGEREF _Toc9400503 \h </w:instrText>
        </w:r>
        <w:r>
          <w:fldChar w:fldCharType="separate"/>
        </w:r>
        <w:r>
          <w:t>4</w:t>
        </w:r>
        <w:r>
          <w:fldChar w:fldCharType="end"/>
        </w:r>
      </w:hyperlink>
    </w:p>
    <w:p>
      <w:pPr>
        <w:pStyle w:val="TOC2"/>
      </w:pPr>
      <w:hyperlink w:anchor="_Toc9400504" w:history="1">
        <w:r>
          <w:rPr>
            <w:rStyle w:val="Hyperlink"/>
          </w:rPr>
          <w:t>Operating Principle</w:t>
        </w:r>
        <w:r>
          <w:tab/>
        </w:r>
        <w:r>
          <w:fldChar w:fldCharType="begin"/>
        </w:r>
        <w:r>
          <w:instrText xml:space="preserve"> PAGEREF _Toc9400504 \h </w:instrText>
        </w:r>
        <w:r>
          <w:fldChar w:fldCharType="separate"/>
        </w:r>
        <w:r>
          <w:t>4</w:t>
        </w:r>
        <w:r>
          <w:fldChar w:fldCharType="end"/>
        </w:r>
      </w:hyperlink>
    </w:p>
    <w:p>
      <w:pPr>
        <w:pStyle w:val="TOC1"/>
      </w:pPr>
      <w:hyperlink w:anchor="_Toc9400505" w:history="1">
        <w:r>
          <w:rPr>
            <w:rStyle w:val="Hyperlink"/>
          </w:rPr>
          <w:t>1. Foundational Guardrails</w:t>
        </w:r>
        <w:r>
          <w:tab/>
        </w:r>
        <w:r>
          <w:fldChar w:fldCharType="begin"/>
        </w:r>
        <w:r>
          <w:instrText xml:space="preserve"> PAGEREF _Toc9400505 \h </w:instrText>
        </w:r>
        <w:r>
          <w:fldChar w:fldCharType="separate"/>
        </w:r>
        <w:r>
          <w:t>5</w:t>
        </w:r>
        <w:r>
          <w:fldChar w:fldCharType="end"/>
        </w:r>
      </w:hyperlink>
    </w:p>
    <w:p>
      <w:pPr>
        <w:pStyle w:val="TOC2"/>
      </w:pPr>
      <w:hyperlink w:anchor="_Toc9400506" w:history="1">
        <w:r>
          <w:rPr>
            <w:rStyle w:val="Hyperlink"/>
          </w:rPr>
          <w:t>Legal Baseline</w:t>
        </w:r>
        <w:r>
          <w:tab/>
        </w:r>
        <w:r>
          <w:fldChar w:fldCharType="begin"/>
        </w:r>
        <w:r>
          <w:instrText xml:space="preserve"> PAGEREF _Toc9400506 \h </w:instrText>
        </w:r>
        <w:r>
          <w:fldChar w:fldCharType="separate"/>
        </w:r>
        <w:r>
          <w:t>5</w:t>
        </w:r>
        <w:r>
          <w:fldChar w:fldCharType="end"/>
        </w:r>
      </w:hyperlink>
    </w:p>
    <w:p>
      <w:pPr>
        <w:pStyle w:val="TOC1"/>
      </w:pPr>
      <w:hyperlink w:anchor="_Toc9400507" w:history="1">
        <w:r>
          <w:rPr>
            <w:rStyle w:val="Hyperlink"/>
          </w:rPr>
          <w:t>2. Governance and Accountability</w:t>
        </w:r>
        <w:r>
          <w:tab/>
        </w:r>
        <w:r>
          <w:fldChar w:fldCharType="begin"/>
        </w:r>
        <w:r>
          <w:instrText xml:space="preserve"> PAGEREF _Toc9400507 \h </w:instrText>
        </w:r>
        <w:r>
          <w:fldChar w:fldCharType="separate"/>
        </w:r>
        <w:r>
          <w:t>6</w:t>
        </w:r>
        <w:r>
          <w:fldChar w:fldCharType="end"/>
        </w:r>
      </w:hyperlink>
    </w:p>
    <w:p>
      <w:pPr>
        <w:pStyle w:val="TOC2"/>
      </w:pPr>
      <w:hyperlink w:anchor="_Toc9400508" w:history="1">
        <w:r>
          <w:rPr>
            <w:rStyle w:val="Hyperlink"/>
          </w:rPr>
          <w:t>Governance Rule</w:t>
        </w:r>
        <w:r>
          <w:tab/>
        </w:r>
        <w:r>
          <w:fldChar w:fldCharType="begin"/>
        </w:r>
        <w:r>
          <w:instrText xml:space="preserve"> PAGEREF _Toc9400508 \h </w:instrText>
        </w:r>
        <w:r>
          <w:fldChar w:fldCharType="separate"/>
        </w:r>
        <w:r>
          <w:t>6</w:t>
        </w:r>
        <w:r>
          <w:fldChar w:fldCharType="end"/>
        </w:r>
      </w:hyperlink>
    </w:p>
    <w:p>
      <w:pPr>
        <w:pStyle w:val="TOC1"/>
      </w:pPr>
      <w:hyperlink w:anchor="_Toc9400509" w:history="1">
        <w:r>
          <w:rPr>
            <w:rStyle w:val="Hyperlink"/>
          </w:rPr>
          <w:t>3. Information Architecture: The Eight Streams</w:t>
        </w:r>
        <w:r>
          <w:tab/>
        </w:r>
        <w:r>
          <w:fldChar w:fldCharType="begin"/>
        </w:r>
        <w:r>
          <w:instrText xml:space="preserve"> PAGEREF _Toc9400509 \h </w:instrText>
        </w:r>
        <w:r>
          <w:fldChar w:fldCharType="separate"/>
        </w:r>
        <w:r>
          <w:t>7</w:t>
        </w:r>
        <w:r>
          <w:fldChar w:fldCharType="end"/>
        </w:r>
      </w:hyperlink>
    </w:p>
    <w:p>
      <w:pPr>
        <w:pStyle w:val="TOC2"/>
      </w:pPr>
      <w:hyperlink w:anchor="_Toc9400510" w:history="1">
        <w:r>
          <w:rPr>
            <w:rStyle w:val="Hyperlink"/>
          </w:rPr>
          <w:t>Source-Tiering Rule</w:t>
        </w:r>
        <w:r>
          <w:tab/>
        </w:r>
        <w:r>
          <w:fldChar w:fldCharType="begin"/>
        </w:r>
        <w:r>
          <w:instrText xml:space="preserve"> PAGEREF _Toc9400510 \h </w:instrText>
        </w:r>
        <w:r>
          <w:fldChar w:fldCharType="separate"/>
        </w:r>
        <w:r>
          <w:t>7</w:t>
        </w:r>
        <w:r>
          <w:fldChar w:fldCharType="end"/>
        </w:r>
      </w:hyperlink>
    </w:p>
    <w:p>
      <w:pPr>
        <w:pStyle w:val="TOC1"/>
      </w:pPr>
      <w:hyperlink w:anchor="_Toc9400511" w:history="1">
        <w:r>
          <w:rPr>
            <w:rStyle w:val="Hyperlink"/>
          </w:rPr>
          <w:t>4. Diplomatic Reporting</w:t>
        </w:r>
        <w:r>
          <w:tab/>
        </w:r>
        <w:r>
          <w:fldChar w:fldCharType="begin"/>
        </w:r>
        <w:r>
          <w:instrText xml:space="preserve"> PAGEREF _Toc9400511 \h </w:instrText>
        </w:r>
        <w:r>
          <w:fldChar w:fldCharType="separate"/>
        </w:r>
        <w:r>
          <w:t>8</w:t>
        </w:r>
        <w:r>
          <w:fldChar w:fldCharType="end"/>
        </w:r>
      </w:hyperlink>
    </w:p>
    <w:p>
      <w:pPr>
        <w:pStyle w:val="TOC2"/>
      </w:pPr>
      <w:hyperlink w:anchor="_Toc9400512" w:history="1">
        <w:r>
          <w:rPr>
            <w:rStyle w:val="Hyperlink"/>
          </w:rPr>
          <w:t>What belongs</w:t>
        </w:r>
        <w:r>
          <w:tab/>
        </w:r>
        <w:r>
          <w:fldChar w:fldCharType="begin"/>
        </w:r>
        <w:r>
          <w:instrText xml:space="preserve"> PAGEREF _Toc9400512 \h </w:instrText>
        </w:r>
        <w:r>
          <w:fldChar w:fldCharType="separate"/>
        </w:r>
        <w:r>
          <w:t>8</w:t>
        </w:r>
        <w:r>
          <w:fldChar w:fldCharType="end"/>
        </w:r>
      </w:hyperlink>
    </w:p>
    <w:p>
      <w:pPr>
        <w:pStyle w:val="TOC2"/>
      </w:pPr>
      <w:hyperlink w:anchor="_Toc9400513" w:history="1">
        <w:r>
          <w:rPr>
            <w:rStyle w:val="Hyperlink"/>
          </w:rPr>
          <w:t>What it can reveal</w:t>
        </w:r>
        <w:r>
          <w:tab/>
        </w:r>
        <w:r>
          <w:fldChar w:fldCharType="begin"/>
        </w:r>
        <w:r>
          <w:instrText xml:space="preserve"> PAGEREF _Toc9400513 \h </w:instrText>
        </w:r>
        <w:r>
          <w:fldChar w:fldCharType="separate"/>
        </w:r>
        <w:r>
          <w:t>8</w:t>
        </w:r>
        <w:r>
          <w:fldChar w:fldCharType="end"/>
        </w:r>
      </w:hyperlink>
    </w:p>
    <w:p>
      <w:pPr>
        <w:pStyle w:val="TOC2"/>
      </w:pPr>
      <w:hyperlink w:anchor="_Toc9400514" w:history="1">
        <w:r>
          <w:rPr>
            <w:rStyle w:val="Hyperlink"/>
          </w:rPr>
          <w:t>What it cannot prove</w:t>
        </w:r>
        <w:r>
          <w:tab/>
        </w:r>
        <w:r>
          <w:fldChar w:fldCharType="begin"/>
        </w:r>
        <w:r>
          <w:instrText xml:space="preserve"> PAGEREF _Toc9400514 \h </w:instrText>
        </w:r>
        <w:r>
          <w:fldChar w:fldCharType="separate"/>
        </w:r>
        <w:r>
          <w:t>8</w:t>
        </w:r>
        <w:r>
          <w:fldChar w:fldCharType="end"/>
        </w:r>
      </w:hyperlink>
    </w:p>
    <w:p>
      <w:pPr>
        <w:pStyle w:val="TOC2"/>
      </w:pPr>
      <w:hyperlink w:anchor="_Toc9400515" w:history="1">
        <w:r>
          <w:rPr>
            <w:rStyle w:val="Hyperlink"/>
          </w:rPr>
          <w:t>Discipline</w:t>
        </w:r>
        <w:r>
          <w:tab/>
        </w:r>
        <w:r>
          <w:fldChar w:fldCharType="begin"/>
        </w:r>
        <w:r>
          <w:instrText xml:space="preserve"> PAGEREF _Toc9400515 \h </w:instrText>
        </w:r>
        <w:r>
          <w:fldChar w:fldCharType="separate"/>
        </w:r>
        <w:r>
          <w:t>8</w:t>
        </w:r>
        <w:r>
          <w:fldChar w:fldCharType="end"/>
        </w:r>
      </w:hyperlink>
    </w:p>
    <w:p>
      <w:pPr>
        <w:pStyle w:val="TOC2"/>
      </w:pPr>
      <w:hyperlink w:anchor="_Toc9400516" w:history="1">
        <w:r>
          <w:rPr>
            <w:rStyle w:val="Hyperlink"/>
          </w:rPr>
          <w:t>Required Metadata</w:t>
        </w:r>
        <w:r>
          <w:tab/>
        </w:r>
        <w:r>
          <w:fldChar w:fldCharType="begin"/>
        </w:r>
        <w:r>
          <w:instrText xml:space="preserve"> PAGEREF _Toc9400516 \h </w:instrText>
        </w:r>
        <w:r>
          <w:fldChar w:fldCharType="separate"/>
        </w:r>
        <w:r>
          <w:t>8</w:t>
        </w:r>
        <w:r>
          <w:fldChar w:fldCharType="end"/>
        </w:r>
      </w:hyperlink>
    </w:p>
    <w:p>
      <w:pPr>
        <w:pStyle w:val="TOC1"/>
      </w:pPr>
      <w:hyperlink w:anchor="_Toc9400517" w:history="1">
        <w:r>
          <w:rPr>
            <w:rStyle w:val="Hyperlink"/>
          </w:rPr>
          <w:t>5. Public Economic Intelligence</w:t>
        </w:r>
        <w:r>
          <w:tab/>
        </w:r>
        <w:r>
          <w:fldChar w:fldCharType="begin"/>
        </w:r>
        <w:r>
          <w:instrText xml:space="preserve"> PAGEREF _Toc9400517 \h </w:instrText>
        </w:r>
        <w:r>
          <w:fldChar w:fldCharType="separate"/>
        </w:r>
        <w:r>
          <w:t>9</w:t>
        </w:r>
        <w:r>
          <w:fldChar w:fldCharType="end"/>
        </w:r>
      </w:hyperlink>
    </w:p>
    <w:p>
      <w:pPr>
        <w:pStyle w:val="TOC2"/>
      </w:pPr>
      <w:hyperlink w:anchor="_Toc9400518" w:history="1">
        <w:r>
          <w:rPr>
            <w:rStyle w:val="Hyperlink"/>
          </w:rPr>
          <w:t>Core sources</w:t>
        </w:r>
        <w:r>
          <w:tab/>
        </w:r>
        <w:r>
          <w:fldChar w:fldCharType="begin"/>
        </w:r>
        <w:r>
          <w:instrText xml:space="preserve"> PAGEREF _Toc9400518 \h </w:instrText>
        </w:r>
        <w:r>
          <w:fldChar w:fldCharType="separate"/>
        </w:r>
        <w:r>
          <w:t>9</w:t>
        </w:r>
        <w:r>
          <w:fldChar w:fldCharType="end"/>
        </w:r>
      </w:hyperlink>
    </w:p>
    <w:p>
      <w:pPr>
        <w:pStyle w:val="TOC2"/>
      </w:pPr>
      <w:hyperlink w:anchor="_Toc9400519" w:history="1">
        <w:r>
          <w:rPr>
            <w:rStyle w:val="Hyperlink"/>
          </w:rPr>
          <w:t>Current capability</w:t>
        </w:r>
        <w:r>
          <w:tab/>
        </w:r>
        <w:r>
          <w:fldChar w:fldCharType="begin"/>
        </w:r>
        <w:r>
          <w:instrText xml:space="preserve"> PAGEREF _Toc9400519 \h </w:instrText>
        </w:r>
        <w:r>
          <w:fldChar w:fldCharType="separate"/>
        </w:r>
        <w:r>
          <w:t>9</w:t>
        </w:r>
        <w:r>
          <w:fldChar w:fldCharType="end"/>
        </w:r>
      </w:hyperlink>
    </w:p>
    <w:p>
      <w:pPr>
        <w:pStyle w:val="TOC2"/>
      </w:pPr>
      <w:hyperlink w:anchor="_Toc9400520" w:history="1">
        <w:r>
          <w:rPr>
            <w:rStyle w:val="Hyperlink"/>
          </w:rPr>
          <w:t>Use</w:t>
        </w:r>
        <w:r>
          <w:tab/>
        </w:r>
        <w:r>
          <w:fldChar w:fldCharType="begin"/>
        </w:r>
        <w:r>
          <w:instrText xml:space="preserve"> PAGEREF _Toc9400520 \h </w:instrText>
        </w:r>
        <w:r>
          <w:fldChar w:fldCharType="separate"/>
        </w:r>
        <w:r>
          <w:t>9</w:t>
        </w:r>
        <w:r>
          <w:fldChar w:fldCharType="end"/>
        </w:r>
      </w:hyperlink>
    </w:p>
    <w:p>
      <w:pPr>
        <w:pStyle w:val="TOC2"/>
      </w:pPr>
      <w:hyperlink w:anchor="_Toc9400521" w:history="1">
        <w:r>
          <w:rPr>
            <w:rStyle w:val="Hyperlink"/>
          </w:rPr>
          <w:t>Discipline</w:t>
        </w:r>
        <w:r>
          <w:tab/>
        </w:r>
        <w:r>
          <w:fldChar w:fldCharType="begin"/>
        </w:r>
        <w:r>
          <w:instrText xml:space="preserve"> PAGEREF _Toc9400521 \h </w:instrText>
        </w:r>
        <w:r>
          <w:fldChar w:fldCharType="separate"/>
        </w:r>
        <w:r>
          <w:t>9</w:t>
        </w:r>
        <w:r>
          <w:fldChar w:fldCharType="end"/>
        </w:r>
      </w:hyperlink>
    </w:p>
    <w:p>
      <w:pPr>
        <w:pStyle w:val="TOC2"/>
      </w:pPr>
      <w:hyperlink w:anchor="_Toc9400522" w:history="1">
        <w:r>
          <w:rPr>
            <w:rStyle w:val="Hyperlink"/>
          </w:rPr>
          <w:t>Required Metadata</w:t>
        </w:r>
        <w:r>
          <w:tab/>
        </w:r>
        <w:r>
          <w:fldChar w:fldCharType="begin"/>
        </w:r>
        <w:r>
          <w:instrText xml:space="preserve"> PAGEREF _Toc9400522 \h </w:instrText>
        </w:r>
        <w:r>
          <w:fldChar w:fldCharType="separate"/>
        </w:r>
        <w:r>
          <w:t>9</w:t>
        </w:r>
        <w:r>
          <w:fldChar w:fldCharType="end"/>
        </w:r>
      </w:hyperlink>
    </w:p>
    <w:p>
      <w:pPr>
        <w:pStyle w:val="TOC1"/>
      </w:pPr>
      <w:hyperlink w:anchor="_Toc9400523" w:history="1">
        <w:r>
          <w:rPr>
            <w:rStyle w:val="Hyperlink"/>
          </w:rPr>
          <w:t>6. Business and Labour Consultations</w:t>
        </w:r>
        <w:r>
          <w:tab/>
        </w:r>
        <w:r>
          <w:fldChar w:fldCharType="begin"/>
        </w:r>
        <w:r>
          <w:instrText xml:space="preserve"> PAGEREF _Toc9400523 \h </w:instrText>
        </w:r>
        <w:r>
          <w:fldChar w:fldCharType="separate"/>
        </w:r>
        <w:r>
          <w:t>10</w:t>
        </w:r>
        <w:r>
          <w:fldChar w:fldCharType="end"/>
        </w:r>
      </w:hyperlink>
    </w:p>
    <w:p>
      <w:pPr>
        <w:pStyle w:val="TOC2"/>
      </w:pPr>
      <w:hyperlink w:anchor="_Toc9400524" w:history="1">
        <w:r>
          <w:rPr>
            <w:rStyle w:val="Hyperlink"/>
          </w:rPr>
          <w:t>Participants</w:t>
        </w:r>
        <w:r>
          <w:tab/>
        </w:r>
        <w:r>
          <w:fldChar w:fldCharType="begin"/>
        </w:r>
        <w:r>
          <w:instrText xml:space="preserve"> PAGEREF _Toc9400524 \h </w:instrText>
        </w:r>
        <w:r>
          <w:fldChar w:fldCharType="separate"/>
        </w:r>
        <w:r>
          <w:t>10</w:t>
        </w:r>
        <w:r>
          <w:fldChar w:fldCharType="end"/>
        </w:r>
      </w:hyperlink>
    </w:p>
    <w:p>
      <w:pPr>
        <w:pStyle w:val="TOC2"/>
      </w:pPr>
      <w:hyperlink w:anchor="_Toc9400525" w:history="1">
        <w:r>
          <w:rPr>
            <w:rStyle w:val="Hyperlink"/>
          </w:rPr>
          <w:t>Questions</w:t>
        </w:r>
        <w:r>
          <w:tab/>
        </w:r>
        <w:r>
          <w:fldChar w:fldCharType="begin"/>
        </w:r>
        <w:r>
          <w:instrText xml:space="preserve"> PAGEREF _Toc9400525 \h </w:instrText>
        </w:r>
        <w:r>
          <w:fldChar w:fldCharType="separate"/>
        </w:r>
        <w:r>
          <w:t>10</w:t>
        </w:r>
        <w:r>
          <w:fldChar w:fldCharType="end"/>
        </w:r>
      </w:hyperlink>
    </w:p>
    <w:p>
      <w:pPr>
        <w:pStyle w:val="TOC2"/>
      </w:pPr>
      <w:hyperlink w:anchor="_Toc9400526" w:history="1">
        <w:r>
          <w:rPr>
            <w:rStyle w:val="Hyperlink"/>
          </w:rPr>
          <w:t>Safeguards</w:t>
        </w:r>
        <w:r>
          <w:tab/>
        </w:r>
        <w:r>
          <w:fldChar w:fldCharType="begin"/>
        </w:r>
        <w:r>
          <w:instrText xml:space="preserve"> PAGEREF _Toc9400526 \h </w:instrText>
        </w:r>
        <w:r>
          <w:fldChar w:fldCharType="separate"/>
        </w:r>
        <w:r>
          <w:t>10</w:t>
        </w:r>
        <w:r>
          <w:fldChar w:fldCharType="end"/>
        </w:r>
      </w:hyperlink>
    </w:p>
    <w:p>
      <w:pPr>
        <w:pStyle w:val="TOC2"/>
      </w:pPr>
      <w:hyperlink w:anchor="_Toc9400527" w:history="1">
        <w:r>
          <w:rPr>
            <w:rStyle w:val="Hyperlink"/>
          </w:rPr>
          <w:t>Bias control</w:t>
        </w:r>
        <w:r>
          <w:tab/>
        </w:r>
        <w:r>
          <w:fldChar w:fldCharType="begin"/>
        </w:r>
        <w:r>
          <w:instrText xml:space="preserve"> PAGEREF _Toc9400527 \h </w:instrText>
        </w:r>
        <w:r>
          <w:fldChar w:fldCharType="separate"/>
        </w:r>
        <w:r>
          <w:t>10</w:t>
        </w:r>
        <w:r>
          <w:fldChar w:fldCharType="end"/>
        </w:r>
      </w:hyperlink>
    </w:p>
    <w:p>
      <w:pPr>
        <w:pStyle w:val="TOC2"/>
      </w:pPr>
      <w:hyperlink w:anchor="_Toc9400528" w:history="1">
        <w:r>
          <w:rPr>
            <w:rStyle w:val="Hyperlink"/>
          </w:rPr>
          <w:t>Required Metadata</w:t>
        </w:r>
        <w:r>
          <w:tab/>
        </w:r>
        <w:r>
          <w:fldChar w:fldCharType="begin"/>
        </w:r>
        <w:r>
          <w:instrText xml:space="preserve"> PAGEREF _Toc9400528 \h </w:instrText>
        </w:r>
        <w:r>
          <w:fldChar w:fldCharType="separate"/>
        </w:r>
        <w:r>
          <w:t>10</w:t>
        </w:r>
        <w:r>
          <w:fldChar w:fldCharType="end"/>
        </w:r>
      </w:hyperlink>
    </w:p>
    <w:p>
      <w:pPr>
        <w:pStyle w:val="TOC1"/>
      </w:pPr>
      <w:hyperlink w:anchor="_Toc9400529" w:history="1">
        <w:r>
          <w:rPr>
            <w:rStyle w:val="Hyperlink"/>
          </w:rPr>
          <w:t>7. Congressional and State Engagement</w:t>
        </w:r>
        <w:r>
          <w:tab/>
        </w:r>
        <w:r>
          <w:fldChar w:fldCharType="begin"/>
        </w:r>
        <w:r>
          <w:instrText xml:space="preserve"> PAGEREF _Toc9400529 \h </w:instrText>
        </w:r>
        <w:r>
          <w:fldChar w:fldCharType="separate"/>
        </w:r>
        <w:r>
          <w:t>11</w:t>
        </w:r>
        <w:r>
          <w:fldChar w:fldCharType="end"/>
        </w:r>
      </w:hyperlink>
    </w:p>
    <w:p>
      <w:pPr>
        <w:pStyle w:val="TOC2"/>
      </w:pPr>
      <w:hyperlink w:anchor="_Toc9400530" w:history="1">
        <w:r>
          <w:rPr>
            <w:rStyle w:val="Hyperlink"/>
          </w:rPr>
          <w:t>Purpose</w:t>
        </w:r>
        <w:r>
          <w:tab/>
        </w:r>
        <w:r>
          <w:fldChar w:fldCharType="begin"/>
        </w:r>
        <w:r>
          <w:instrText xml:space="preserve"> PAGEREF _Toc9400530 \h </w:instrText>
        </w:r>
        <w:r>
          <w:fldChar w:fldCharType="separate"/>
        </w:r>
        <w:r>
          <w:t>11</w:t>
        </w:r>
        <w:r>
          <w:fldChar w:fldCharType="end"/>
        </w:r>
      </w:hyperlink>
    </w:p>
    <w:p>
      <w:pPr>
        <w:pStyle w:val="TOC2"/>
      </w:pPr>
      <w:hyperlink w:anchor="_Toc9400531" w:history="1">
        <w:r>
          <w:rPr>
            <w:rStyle w:val="Hyperlink"/>
          </w:rPr>
          <w:t>Permitted activity</w:t>
        </w:r>
        <w:r>
          <w:tab/>
        </w:r>
        <w:r>
          <w:fldChar w:fldCharType="begin"/>
        </w:r>
        <w:r>
          <w:instrText xml:space="preserve"> PAGEREF _Toc9400531 \h </w:instrText>
        </w:r>
        <w:r>
          <w:fldChar w:fldCharType="separate"/>
        </w:r>
        <w:r>
          <w:t>11</w:t>
        </w:r>
        <w:r>
          <w:fldChar w:fldCharType="end"/>
        </w:r>
      </w:hyperlink>
    </w:p>
    <w:p>
      <w:pPr>
        <w:pStyle w:val="TOC2"/>
      </w:pPr>
      <w:hyperlink w:anchor="_Toc9400532" w:history="1">
        <w:r>
          <w:rPr>
            <w:rStyle w:val="Hyperlink"/>
          </w:rPr>
          <w:t>Firewall</w:t>
        </w:r>
        <w:r>
          <w:tab/>
        </w:r>
        <w:r>
          <w:fldChar w:fldCharType="begin"/>
        </w:r>
        <w:r>
          <w:instrText xml:space="preserve"> PAGEREF _Toc9400532 \h </w:instrText>
        </w:r>
        <w:r>
          <w:fldChar w:fldCharType="separate"/>
        </w:r>
        <w:r>
          <w:t>11</w:t>
        </w:r>
        <w:r>
          <w:fldChar w:fldCharType="end"/>
        </w:r>
      </w:hyperlink>
    </w:p>
    <w:p>
      <w:pPr>
        <w:pStyle w:val="TOC2"/>
      </w:pPr>
      <w:hyperlink w:anchor="_Toc9400533" w:history="1">
        <w:r>
          <w:rPr>
            <w:rStyle w:val="Hyperlink"/>
          </w:rPr>
          <w:t>Analytic caution</w:t>
        </w:r>
        <w:r>
          <w:tab/>
        </w:r>
        <w:r>
          <w:fldChar w:fldCharType="begin"/>
        </w:r>
        <w:r>
          <w:instrText xml:space="preserve"> PAGEREF _Toc9400533 \h </w:instrText>
        </w:r>
        <w:r>
          <w:fldChar w:fldCharType="separate"/>
        </w:r>
        <w:r>
          <w:t>11</w:t>
        </w:r>
        <w:r>
          <w:fldChar w:fldCharType="end"/>
        </w:r>
      </w:hyperlink>
    </w:p>
    <w:p>
      <w:pPr>
        <w:pStyle w:val="TOC2"/>
      </w:pPr>
      <w:hyperlink w:anchor="_Toc9400534" w:history="1">
        <w:r>
          <w:rPr>
            <w:rStyle w:val="Hyperlink"/>
          </w:rPr>
          <w:t>Required Metadata</w:t>
        </w:r>
        <w:r>
          <w:tab/>
        </w:r>
        <w:r>
          <w:fldChar w:fldCharType="begin"/>
        </w:r>
        <w:r>
          <w:instrText xml:space="preserve"> PAGEREF _Toc9400534 \h </w:instrText>
        </w:r>
        <w:r>
          <w:fldChar w:fldCharType="separate"/>
        </w:r>
        <w:r>
          <w:t>11</w:t>
        </w:r>
        <w:r>
          <w:fldChar w:fldCharType="end"/>
        </w:r>
      </w:hyperlink>
    </w:p>
    <w:p>
      <w:pPr>
        <w:pStyle w:val="TOC1"/>
      </w:pPr>
      <w:hyperlink w:anchor="_Toc9400535" w:history="1">
        <w:r>
          <w:rPr>
            <w:rStyle w:val="Hyperlink"/>
          </w:rPr>
          <w:t>8. Market Indicators</w:t>
        </w:r>
        <w:r>
          <w:tab/>
        </w:r>
        <w:r>
          <w:fldChar w:fldCharType="begin"/>
        </w:r>
        <w:r>
          <w:instrText xml:space="preserve"> PAGEREF _Toc9400535 \h </w:instrText>
        </w:r>
        <w:r>
          <w:fldChar w:fldCharType="separate"/>
        </w:r>
        <w:r>
          <w:t>12</w:t>
        </w:r>
        <w:r>
          <w:fldChar w:fldCharType="end"/>
        </w:r>
      </w:hyperlink>
    </w:p>
    <w:p>
      <w:pPr>
        <w:pStyle w:val="TOC2"/>
      </w:pPr>
      <w:hyperlink w:anchor="_Toc9400536" w:history="1">
        <w:r>
          <w:rPr>
            <w:rStyle w:val="Hyperlink"/>
          </w:rPr>
          <w:t>Fast indicators</w:t>
        </w:r>
        <w:r>
          <w:tab/>
        </w:r>
        <w:r>
          <w:fldChar w:fldCharType="begin"/>
        </w:r>
        <w:r>
          <w:instrText xml:space="preserve"> PAGEREF _Toc9400536 \h </w:instrText>
        </w:r>
        <w:r>
          <w:fldChar w:fldCharType="separate"/>
        </w:r>
        <w:r>
          <w:t>12</w:t>
        </w:r>
        <w:r>
          <w:fldChar w:fldCharType="end"/>
        </w:r>
      </w:hyperlink>
    </w:p>
    <w:p>
      <w:pPr>
        <w:pStyle w:val="TOC2"/>
      </w:pPr>
      <w:hyperlink w:anchor="_Toc9400537" w:history="1">
        <w:r>
          <w:rPr>
            <w:rStyle w:val="Hyperlink"/>
          </w:rPr>
          <w:t>Value</w:t>
        </w:r>
        <w:r>
          <w:tab/>
        </w:r>
        <w:r>
          <w:fldChar w:fldCharType="begin"/>
        </w:r>
        <w:r>
          <w:instrText xml:space="preserve"> PAGEREF _Toc9400537 \h </w:instrText>
        </w:r>
        <w:r>
          <w:fldChar w:fldCharType="separate"/>
        </w:r>
        <w:r>
          <w:t>12</w:t>
        </w:r>
        <w:r>
          <w:fldChar w:fldCharType="end"/>
        </w:r>
      </w:hyperlink>
    </w:p>
    <w:p>
      <w:pPr>
        <w:pStyle w:val="TOC2"/>
      </w:pPr>
      <w:hyperlink w:anchor="_Toc9400538" w:history="1">
        <w:r>
          <w:rPr>
            <w:rStyle w:val="Hyperlink"/>
          </w:rPr>
          <w:t>Limit</w:t>
        </w:r>
        <w:r>
          <w:tab/>
        </w:r>
        <w:r>
          <w:fldChar w:fldCharType="begin"/>
        </w:r>
        <w:r>
          <w:instrText xml:space="preserve"> PAGEREF _Toc9400538 \h </w:instrText>
        </w:r>
        <w:r>
          <w:fldChar w:fldCharType="separate"/>
        </w:r>
        <w:r>
          <w:t>12</w:t>
        </w:r>
        <w:r>
          <w:fldChar w:fldCharType="end"/>
        </w:r>
      </w:hyperlink>
    </w:p>
    <w:p>
      <w:pPr>
        <w:pStyle w:val="TOC2"/>
      </w:pPr>
      <w:hyperlink w:anchor="_Toc9400539" w:history="1">
        <w:r>
          <w:rPr>
            <w:rStyle w:val="Hyperlink"/>
          </w:rPr>
          <w:t>Rule</w:t>
        </w:r>
        <w:r>
          <w:tab/>
        </w:r>
        <w:r>
          <w:fldChar w:fldCharType="begin"/>
        </w:r>
        <w:r>
          <w:instrText xml:space="preserve"> PAGEREF _Toc9400539 \h </w:instrText>
        </w:r>
        <w:r>
          <w:fldChar w:fldCharType="separate"/>
        </w:r>
        <w:r>
          <w:t>12</w:t>
        </w:r>
        <w:r>
          <w:fldChar w:fldCharType="end"/>
        </w:r>
      </w:hyperlink>
    </w:p>
    <w:p>
      <w:pPr>
        <w:pStyle w:val="TOC2"/>
      </w:pPr>
      <w:hyperlink w:anchor="_Toc9400540" w:history="1">
        <w:r>
          <w:rPr>
            <w:rStyle w:val="Hyperlink"/>
          </w:rPr>
          <w:t>Required Metadata</w:t>
        </w:r>
        <w:r>
          <w:tab/>
        </w:r>
        <w:r>
          <w:fldChar w:fldCharType="begin"/>
        </w:r>
        <w:r>
          <w:instrText xml:space="preserve"> PAGEREF _Toc9400540 \h </w:instrText>
        </w:r>
        <w:r>
          <w:fldChar w:fldCharType="separate"/>
        </w:r>
        <w:r>
          <w:t>12</w:t>
        </w:r>
        <w:r>
          <w:fldChar w:fldCharType="end"/>
        </w:r>
      </w:hyperlink>
    </w:p>
    <w:p>
      <w:pPr>
        <w:pStyle w:val="TOC1"/>
      </w:pPr>
      <w:hyperlink w:anchor="_Toc9400541" w:history="1">
        <w:r>
          <w:rPr>
            <w:rStyle w:val="Hyperlink"/>
          </w:rPr>
          <w:t>9. Legal and Regulatory Developments</w:t>
        </w:r>
        <w:r>
          <w:tab/>
        </w:r>
        <w:r>
          <w:fldChar w:fldCharType="begin"/>
        </w:r>
        <w:r>
          <w:instrText xml:space="preserve"> PAGEREF _Toc9400541 \h </w:instrText>
        </w:r>
        <w:r>
          <w:fldChar w:fldCharType="separate"/>
        </w:r>
        <w:r>
          <w:t>13</w:t>
        </w:r>
        <w:r>
          <w:fldChar w:fldCharType="end"/>
        </w:r>
      </w:hyperlink>
    </w:p>
    <w:p>
      <w:pPr>
        <w:pStyle w:val="TOC2"/>
      </w:pPr>
      <w:hyperlink w:anchor="_Toc9400542" w:history="1">
        <w:r>
          <w:rPr>
            <w:rStyle w:val="Hyperlink"/>
          </w:rPr>
          <w:t>Inputs</w:t>
        </w:r>
        <w:r>
          <w:tab/>
        </w:r>
        <w:r>
          <w:fldChar w:fldCharType="begin"/>
        </w:r>
        <w:r>
          <w:instrText xml:space="preserve"> PAGEREF _Toc9400542 \h </w:instrText>
        </w:r>
        <w:r>
          <w:fldChar w:fldCharType="separate"/>
        </w:r>
        <w:r>
          <w:t>13</w:t>
        </w:r>
        <w:r>
          <w:fldChar w:fldCharType="end"/>
        </w:r>
      </w:hyperlink>
    </w:p>
    <w:p>
      <w:pPr>
        <w:pStyle w:val="TOC2"/>
      </w:pPr>
      <w:hyperlink w:anchor="_Toc9400543" w:history="1">
        <w:r>
          <w:rPr>
            <w:rStyle w:val="Hyperlink"/>
          </w:rPr>
          <w:t>Role</w:t>
        </w:r>
        <w:r>
          <w:tab/>
        </w:r>
        <w:r>
          <w:fldChar w:fldCharType="begin"/>
        </w:r>
        <w:r>
          <w:instrText xml:space="preserve"> PAGEREF _Toc9400543 \h </w:instrText>
        </w:r>
        <w:r>
          <w:fldChar w:fldCharType="separate"/>
        </w:r>
        <w:r>
          <w:t>13</w:t>
        </w:r>
        <w:r>
          <w:fldChar w:fldCharType="end"/>
        </w:r>
      </w:hyperlink>
    </w:p>
    <w:p>
      <w:pPr>
        <w:pStyle w:val="TOC2"/>
      </w:pPr>
      <w:hyperlink w:anchor="_Toc9400544" w:history="1">
        <w:r>
          <w:rPr>
            <w:rStyle w:val="Hyperlink"/>
          </w:rPr>
          <w:t>Justice function</w:t>
        </w:r>
        <w:r>
          <w:tab/>
        </w:r>
        <w:r>
          <w:fldChar w:fldCharType="begin"/>
        </w:r>
        <w:r>
          <w:instrText xml:space="preserve"> PAGEREF _Toc9400544 \h </w:instrText>
        </w:r>
        <w:r>
          <w:fldChar w:fldCharType="separate"/>
        </w:r>
        <w:r>
          <w:t>13</w:t>
        </w:r>
        <w:r>
          <w:fldChar w:fldCharType="end"/>
        </w:r>
      </w:hyperlink>
    </w:p>
    <w:p>
      <w:pPr>
        <w:pStyle w:val="TOC2"/>
      </w:pPr>
      <w:hyperlink w:anchor="_Toc9400545" w:history="1">
        <w:r>
          <w:rPr>
            <w:rStyle w:val="Hyperlink"/>
          </w:rPr>
          <w:t>Warning value</w:t>
        </w:r>
        <w:r>
          <w:tab/>
        </w:r>
        <w:r>
          <w:fldChar w:fldCharType="begin"/>
        </w:r>
        <w:r>
          <w:instrText xml:space="preserve"> PAGEREF _Toc9400545 \h </w:instrText>
        </w:r>
        <w:r>
          <w:fldChar w:fldCharType="separate"/>
        </w:r>
        <w:r>
          <w:t>13</w:t>
        </w:r>
        <w:r>
          <w:fldChar w:fldCharType="end"/>
        </w:r>
      </w:hyperlink>
    </w:p>
    <w:p>
      <w:pPr>
        <w:pStyle w:val="TOC2"/>
      </w:pPr>
      <w:hyperlink w:anchor="_Toc9400546" w:history="1">
        <w:r>
          <w:rPr>
            <w:rStyle w:val="Hyperlink"/>
          </w:rPr>
          <w:t>Required Metadata</w:t>
        </w:r>
        <w:r>
          <w:tab/>
        </w:r>
        <w:r>
          <w:fldChar w:fldCharType="begin"/>
        </w:r>
        <w:r>
          <w:instrText xml:space="preserve"> PAGEREF _Toc9400546 \h </w:instrText>
        </w:r>
        <w:r>
          <w:fldChar w:fldCharType="separate"/>
        </w:r>
        <w:r>
          <w:t>13</w:t>
        </w:r>
        <w:r>
          <w:fldChar w:fldCharType="end"/>
        </w:r>
      </w:hyperlink>
    </w:p>
    <w:p>
      <w:pPr>
        <w:pStyle w:val="TOC1"/>
      </w:pPr>
      <w:hyperlink w:anchor="_Toc9400547" w:history="1">
        <w:r>
          <w:rPr>
            <w:rStyle w:val="Hyperlink"/>
          </w:rPr>
          <w:t>10. Media and Public-Opinion Analysis</w:t>
        </w:r>
        <w:r>
          <w:tab/>
        </w:r>
        <w:r>
          <w:fldChar w:fldCharType="begin"/>
        </w:r>
        <w:r>
          <w:instrText xml:space="preserve"> PAGEREF _Toc9400547 \h </w:instrText>
        </w:r>
        <w:r>
          <w:fldChar w:fldCharType="separate"/>
        </w:r>
        <w:r>
          <w:t>14</w:t>
        </w:r>
        <w:r>
          <w:fldChar w:fldCharType="end"/>
        </w:r>
      </w:hyperlink>
    </w:p>
    <w:p>
      <w:pPr>
        <w:pStyle w:val="TOC2"/>
      </w:pPr>
      <w:hyperlink w:anchor="_Toc9400548" w:history="1">
        <w:r>
          <w:rPr>
            <w:rStyle w:val="Hyperlink"/>
          </w:rPr>
          <w:t>Media</w:t>
        </w:r>
        <w:r>
          <w:tab/>
        </w:r>
        <w:r>
          <w:fldChar w:fldCharType="begin"/>
        </w:r>
        <w:r>
          <w:instrText xml:space="preserve"> PAGEREF _Toc9400548 \h </w:instrText>
        </w:r>
        <w:r>
          <w:fldChar w:fldCharType="separate"/>
        </w:r>
        <w:r>
          <w:t>14</w:t>
        </w:r>
        <w:r>
          <w:fldChar w:fldCharType="end"/>
        </w:r>
      </w:hyperlink>
    </w:p>
    <w:p>
      <w:pPr>
        <w:pStyle w:val="TOC2"/>
      </w:pPr>
      <w:hyperlink w:anchor="_Toc9400549" w:history="1">
        <w:r>
          <w:rPr>
            <w:rStyle w:val="Hyperlink"/>
          </w:rPr>
          <w:t>Public opinion</w:t>
        </w:r>
        <w:r>
          <w:tab/>
        </w:r>
        <w:r>
          <w:fldChar w:fldCharType="begin"/>
        </w:r>
        <w:r>
          <w:instrText xml:space="preserve"> PAGEREF _Toc9400549 \h </w:instrText>
        </w:r>
        <w:r>
          <w:fldChar w:fldCharType="separate"/>
        </w:r>
        <w:r>
          <w:t>14</w:t>
        </w:r>
        <w:r>
          <w:fldChar w:fldCharType="end"/>
        </w:r>
      </w:hyperlink>
    </w:p>
    <w:p>
      <w:pPr>
        <w:pStyle w:val="TOC2"/>
      </w:pPr>
      <w:hyperlink w:anchor="_Toc9400550" w:history="1">
        <w:r>
          <w:rPr>
            <w:rStyle w:val="Hyperlink"/>
          </w:rPr>
          <w:t>Purpose</w:t>
        </w:r>
        <w:r>
          <w:tab/>
        </w:r>
        <w:r>
          <w:fldChar w:fldCharType="begin"/>
        </w:r>
        <w:r>
          <w:instrText xml:space="preserve"> PAGEREF _Toc9400550 \h </w:instrText>
        </w:r>
        <w:r>
          <w:fldChar w:fldCharType="separate"/>
        </w:r>
        <w:r>
          <w:t>14</w:t>
        </w:r>
        <w:r>
          <w:fldChar w:fldCharType="end"/>
        </w:r>
      </w:hyperlink>
    </w:p>
    <w:p>
      <w:pPr>
        <w:pStyle w:val="TOC2"/>
      </w:pPr>
      <w:hyperlink w:anchor="_Toc9400551" w:history="1">
        <w:r>
          <w:rPr>
            <w:rStyle w:val="Hyperlink"/>
          </w:rPr>
          <w:t>Firewall</w:t>
        </w:r>
        <w:r>
          <w:tab/>
        </w:r>
        <w:r>
          <w:fldChar w:fldCharType="begin"/>
        </w:r>
        <w:r>
          <w:instrText xml:space="preserve"> PAGEREF _Toc9400551 \h </w:instrText>
        </w:r>
        <w:r>
          <w:fldChar w:fldCharType="separate"/>
        </w:r>
        <w:r>
          <w:t>14</w:t>
        </w:r>
        <w:r>
          <w:fldChar w:fldCharType="end"/>
        </w:r>
      </w:hyperlink>
    </w:p>
    <w:p>
      <w:pPr>
        <w:pStyle w:val="TOC2"/>
      </w:pPr>
      <w:hyperlink w:anchor="_Toc9400552" w:history="1">
        <w:r>
          <w:rPr>
            <w:rStyle w:val="Hyperlink"/>
          </w:rPr>
          <w:t>Required Metadata</w:t>
        </w:r>
        <w:r>
          <w:tab/>
        </w:r>
        <w:r>
          <w:fldChar w:fldCharType="begin"/>
        </w:r>
        <w:r>
          <w:instrText xml:space="preserve"> PAGEREF _Toc9400552 \h </w:instrText>
        </w:r>
        <w:r>
          <w:fldChar w:fldCharType="separate"/>
        </w:r>
        <w:r>
          <w:t>14</w:t>
        </w:r>
        <w:r>
          <w:fldChar w:fldCharType="end"/>
        </w:r>
      </w:hyperlink>
    </w:p>
    <w:p>
      <w:pPr>
        <w:pStyle w:val="TOC1"/>
      </w:pPr>
      <w:hyperlink w:anchor="_Toc9400553" w:history="1">
        <w:r>
          <w:rPr>
            <w:rStyle w:val="Hyperlink"/>
          </w:rPr>
          <w:t>11. Authorized Intelligence Interface</w:t>
        </w:r>
        <w:r>
          <w:tab/>
        </w:r>
        <w:r>
          <w:fldChar w:fldCharType="begin"/>
        </w:r>
        <w:r>
          <w:instrText xml:space="preserve"> PAGEREF _Toc9400553 \h </w:instrText>
        </w:r>
        <w:r>
          <w:fldChar w:fldCharType="separate"/>
        </w:r>
        <w:r>
          <w:t>15</w:t>
        </w:r>
        <w:r>
          <w:fldChar w:fldCharType="end"/>
        </w:r>
      </w:hyperlink>
    </w:p>
    <w:p>
      <w:pPr>
        <w:pStyle w:val="TOC2"/>
      </w:pPr>
      <w:hyperlink w:anchor="_Toc9400554" w:history="1">
        <w:r>
          <w:rPr>
            <w:rStyle w:val="Hyperlink"/>
          </w:rPr>
          <w:t>Principle</w:t>
        </w:r>
        <w:r>
          <w:tab/>
        </w:r>
        <w:r>
          <w:fldChar w:fldCharType="begin"/>
        </w:r>
        <w:r>
          <w:instrText xml:space="preserve"> PAGEREF _Toc9400554 \h </w:instrText>
        </w:r>
        <w:r>
          <w:fldChar w:fldCharType="separate"/>
        </w:r>
        <w:r>
          <w:t>15</w:t>
        </w:r>
        <w:r>
          <w:fldChar w:fldCharType="end"/>
        </w:r>
      </w:hyperlink>
    </w:p>
    <w:p>
      <w:pPr>
        <w:pStyle w:val="TOC2"/>
      </w:pPr>
      <w:hyperlink w:anchor="_Toc9400555" w:history="1">
        <w:r>
          <w:rPr>
            <w:rStyle w:val="Hyperlink"/>
          </w:rPr>
          <w:t>Potential relevance</w:t>
        </w:r>
        <w:r>
          <w:tab/>
        </w:r>
        <w:r>
          <w:fldChar w:fldCharType="begin"/>
        </w:r>
        <w:r>
          <w:instrText xml:space="preserve"> PAGEREF _Toc9400555 \h </w:instrText>
        </w:r>
        <w:r>
          <w:fldChar w:fldCharType="separate"/>
        </w:r>
        <w:r>
          <w:t>15</w:t>
        </w:r>
        <w:r>
          <w:fldChar w:fldCharType="end"/>
        </w:r>
      </w:hyperlink>
    </w:p>
    <w:p>
      <w:pPr>
        <w:pStyle w:val="TOC2"/>
      </w:pPr>
      <w:hyperlink w:anchor="_Toc9400556" w:history="1">
        <w:r>
          <w:rPr>
            <w:rStyle w:val="Hyperlink"/>
          </w:rPr>
          <w:t>Compartmentation</w:t>
        </w:r>
        <w:r>
          <w:tab/>
        </w:r>
        <w:r>
          <w:fldChar w:fldCharType="begin"/>
        </w:r>
        <w:r>
          <w:instrText xml:space="preserve"> PAGEREF _Toc9400556 \h </w:instrText>
        </w:r>
        <w:r>
          <w:fldChar w:fldCharType="separate"/>
        </w:r>
        <w:r>
          <w:t>15</w:t>
        </w:r>
        <w:r>
          <w:fldChar w:fldCharType="end"/>
        </w:r>
      </w:hyperlink>
    </w:p>
    <w:p>
      <w:pPr>
        <w:pStyle w:val="TOC2"/>
      </w:pPr>
      <w:hyperlink w:anchor="_Toc9400557" w:history="1">
        <w:r>
          <w:rPr>
            <w:rStyle w:val="Hyperlink"/>
          </w:rPr>
          <w:t>Red line</w:t>
        </w:r>
        <w:r>
          <w:tab/>
        </w:r>
        <w:r>
          <w:fldChar w:fldCharType="begin"/>
        </w:r>
        <w:r>
          <w:instrText xml:space="preserve"> PAGEREF _Toc9400557 \h </w:instrText>
        </w:r>
        <w:r>
          <w:fldChar w:fldCharType="separate"/>
        </w:r>
        <w:r>
          <w:t>15</w:t>
        </w:r>
        <w:r>
          <w:fldChar w:fldCharType="end"/>
        </w:r>
      </w:hyperlink>
    </w:p>
    <w:p>
      <w:pPr>
        <w:pStyle w:val="TOC2"/>
      </w:pPr>
      <w:hyperlink w:anchor="_Toc9400558" w:history="1">
        <w:r>
          <w:rPr>
            <w:rStyle w:val="Hyperlink"/>
          </w:rPr>
          <w:t>Required Metadata</w:t>
        </w:r>
        <w:r>
          <w:tab/>
        </w:r>
        <w:r>
          <w:fldChar w:fldCharType="begin"/>
        </w:r>
        <w:r>
          <w:instrText xml:space="preserve"> PAGEREF _Toc9400558 \h </w:instrText>
        </w:r>
        <w:r>
          <w:fldChar w:fldCharType="separate"/>
        </w:r>
        <w:r>
          <w:t>15</w:t>
        </w:r>
        <w:r>
          <w:fldChar w:fldCharType="end"/>
        </w:r>
      </w:hyperlink>
    </w:p>
    <w:p>
      <w:pPr>
        <w:pStyle w:val="TOC1"/>
      </w:pPr>
      <w:hyperlink w:anchor="_Toc9400559" w:history="1">
        <w:r>
          <w:rPr>
            <w:rStyle w:val="Hyperlink"/>
          </w:rPr>
          <w:t>12. The Common Operating Picture</w:t>
        </w:r>
        <w:r>
          <w:tab/>
        </w:r>
        <w:r>
          <w:fldChar w:fldCharType="begin"/>
        </w:r>
        <w:r>
          <w:instrText xml:space="preserve"> PAGEREF _Toc9400559 \h </w:instrText>
        </w:r>
        <w:r>
          <w:fldChar w:fldCharType="separate"/>
        </w:r>
        <w:r>
          <w:t>16</w:t>
        </w:r>
        <w:r>
          <w:fldChar w:fldCharType="end"/>
        </w:r>
      </w:hyperlink>
    </w:p>
    <w:p>
      <w:pPr>
        <w:pStyle w:val="TOC2"/>
      </w:pPr>
      <w:hyperlink w:anchor="_Toc9400560" w:history="1">
        <w:r>
          <w:rPr>
            <w:rStyle w:val="Hyperlink"/>
          </w:rPr>
          <w:t>Single-Version-of-Truth Rule</w:t>
        </w:r>
        <w:r>
          <w:tab/>
        </w:r>
        <w:r>
          <w:fldChar w:fldCharType="begin"/>
        </w:r>
        <w:r>
          <w:instrText xml:space="preserve"> PAGEREF _Toc9400560 \h </w:instrText>
        </w:r>
        <w:r>
          <w:fldChar w:fldCharType="separate"/>
        </w:r>
        <w:r>
          <w:t>16</w:t>
        </w:r>
        <w:r>
          <w:fldChar w:fldCharType="end"/>
        </w:r>
      </w:hyperlink>
    </w:p>
    <w:p>
      <w:pPr>
        <w:pStyle w:val="TOC1"/>
      </w:pPr>
      <w:hyperlink w:anchor="_Toc9400561" w:history="1">
        <w:r>
          <w:rPr>
            <w:rStyle w:val="Hyperlink"/>
          </w:rPr>
          <w:t>13. Analytic Method: Hypotheses Before Headlines</w:t>
        </w:r>
        <w:r>
          <w:tab/>
        </w:r>
        <w:r>
          <w:fldChar w:fldCharType="begin"/>
        </w:r>
        <w:r>
          <w:instrText xml:space="preserve"> PAGEREF _Toc9400561 \h </w:instrText>
        </w:r>
        <w:r>
          <w:fldChar w:fldCharType="separate"/>
        </w:r>
        <w:r>
          <w:t>17</w:t>
        </w:r>
        <w:r>
          <w:fldChar w:fldCharType="end"/>
        </w:r>
      </w:hyperlink>
    </w:p>
    <w:p>
      <w:pPr>
        <w:pStyle w:val="TOC2"/>
      </w:pPr>
      <w:hyperlink w:anchor="_Toc9400562" w:history="1">
        <w:r>
          <w:rPr>
            <w:rStyle w:val="Hyperlink"/>
          </w:rPr>
          <w:t>Analytic Questions</w:t>
        </w:r>
        <w:r>
          <w:tab/>
        </w:r>
        <w:r>
          <w:fldChar w:fldCharType="begin"/>
        </w:r>
        <w:r>
          <w:instrText xml:space="preserve"> PAGEREF _Toc9400562 \h </w:instrText>
        </w:r>
        <w:r>
          <w:fldChar w:fldCharType="separate"/>
        </w:r>
        <w:r>
          <w:t>17</w:t>
        </w:r>
        <w:r>
          <w:fldChar w:fldCharType="end"/>
        </w:r>
      </w:hyperlink>
    </w:p>
    <w:p>
      <w:pPr>
        <w:pStyle w:val="TOC1"/>
      </w:pPr>
      <w:hyperlink w:anchor="_Toc9400563" w:history="1">
        <w:r>
          <w:rPr>
            <w:rStyle w:val="Hyperlink"/>
          </w:rPr>
          <w:t>14. Reliability, Confidence and Evidence Weighting</w:t>
        </w:r>
        <w:r>
          <w:tab/>
        </w:r>
        <w:r>
          <w:fldChar w:fldCharType="begin"/>
        </w:r>
        <w:r>
          <w:instrText xml:space="preserve"> PAGEREF _Toc9400563 \h </w:instrText>
        </w:r>
        <w:r>
          <w:fldChar w:fldCharType="separate"/>
        </w:r>
        <w:r>
          <w:t>18</w:t>
        </w:r>
        <w:r>
          <w:fldChar w:fldCharType="end"/>
        </w:r>
      </w:hyperlink>
    </w:p>
    <w:p>
      <w:pPr>
        <w:pStyle w:val="TOC2"/>
      </w:pPr>
      <w:hyperlink w:anchor="_Toc9400564" w:history="1">
        <w:r>
          <w:rPr>
            <w:rStyle w:val="Hyperlink"/>
          </w:rPr>
          <w:t>Confidence Language</w:t>
        </w:r>
        <w:r>
          <w:tab/>
        </w:r>
        <w:r>
          <w:fldChar w:fldCharType="begin"/>
        </w:r>
        <w:r>
          <w:instrText xml:space="preserve"> PAGEREF _Toc9400564 \h </w:instrText>
        </w:r>
        <w:r>
          <w:fldChar w:fldCharType="separate"/>
        </w:r>
        <w:r>
          <w:t>18</w:t>
        </w:r>
        <w:r>
          <w:fldChar w:fldCharType="end"/>
        </w:r>
      </w:hyperlink>
    </w:p>
    <w:p>
      <w:pPr>
        <w:pStyle w:val="TOC1"/>
      </w:pPr>
      <w:hyperlink w:anchor="_Toc9400565" w:history="1">
        <w:r>
          <w:rPr>
            <w:rStyle w:val="Hyperlink"/>
          </w:rPr>
          <w:t>15. De-escalation Probability Assessment (DPA): Overview</w:t>
        </w:r>
        <w:r>
          <w:tab/>
        </w:r>
        <w:r>
          <w:fldChar w:fldCharType="begin"/>
        </w:r>
        <w:r>
          <w:instrText xml:space="preserve"> PAGEREF _Toc9400565 \h </w:instrText>
        </w:r>
        <w:r>
          <w:fldChar w:fldCharType="separate"/>
        </w:r>
        <w:r>
          <w:t>19</w:t>
        </w:r>
        <w:r>
          <w:fldChar w:fldCharType="end"/>
        </w:r>
      </w:hyperlink>
    </w:p>
    <w:p>
      <w:pPr>
        <w:pStyle w:val="TOC2"/>
      </w:pPr>
      <w:hyperlink w:anchor="_Toc9400566" w:history="1">
        <w:r>
          <w:rPr>
            <w:rStyle w:val="Hyperlink"/>
          </w:rPr>
          <w:t>Required DPA Output</w:t>
        </w:r>
        <w:r>
          <w:tab/>
        </w:r>
        <w:r>
          <w:fldChar w:fldCharType="begin"/>
        </w:r>
        <w:r>
          <w:instrText xml:space="preserve"> PAGEREF _Toc9400566 \h </w:instrText>
        </w:r>
        <w:r>
          <w:fldChar w:fldCharType="separate"/>
        </w:r>
        <w:r>
          <w:t>19</w:t>
        </w:r>
        <w:r>
          <w:fldChar w:fldCharType="end"/>
        </w:r>
      </w:hyperlink>
    </w:p>
    <w:p>
      <w:pPr>
        <w:pStyle w:val="TOC1"/>
      </w:pPr>
      <w:hyperlink w:anchor="_Toc9400567" w:history="1">
        <w:r>
          <w:rPr>
            <w:rStyle w:val="Hyperlink"/>
          </w:rPr>
          <w:t>16. DPA Scoring Model</w:t>
        </w:r>
        <w:r>
          <w:tab/>
        </w:r>
        <w:r>
          <w:fldChar w:fldCharType="begin"/>
        </w:r>
        <w:r>
          <w:instrText xml:space="preserve"> PAGEREF _Toc9400567 \h </w:instrText>
        </w:r>
        <w:r>
          <w:fldChar w:fldCharType="separate"/>
        </w:r>
        <w:r>
          <w:t>20</w:t>
        </w:r>
        <w:r>
          <w:fldChar w:fldCharType="end"/>
        </w:r>
      </w:hyperlink>
    </w:p>
    <w:p>
      <w:pPr>
        <w:pStyle w:val="TOC1"/>
      </w:pPr>
      <w:hyperlink w:anchor="_Toc9400568" w:history="1">
        <w:r>
          <w:rPr>
            <w:rStyle w:val="Hyperlink"/>
          </w:rPr>
          <w:t>17. DPA Probability Bands and Decision Posture</w:t>
        </w:r>
        <w:r>
          <w:tab/>
        </w:r>
        <w:r>
          <w:fldChar w:fldCharType="begin"/>
        </w:r>
        <w:r>
          <w:instrText xml:space="preserve"> PAGEREF _Toc9400568 \h </w:instrText>
        </w:r>
        <w:r>
          <w:fldChar w:fldCharType="separate"/>
        </w:r>
        <w:r>
          <w:t>21</w:t>
        </w:r>
        <w:r>
          <w:fldChar w:fldCharType="end"/>
        </w:r>
      </w:hyperlink>
    </w:p>
    <w:p>
      <w:pPr>
        <w:pStyle w:val="TOC2"/>
      </w:pPr>
      <w:hyperlink w:anchor="_Toc9400569" w:history="1">
        <w:r>
          <w:rPr>
            <w:rStyle w:val="Hyperlink"/>
          </w:rPr>
          <w:t>Anti-Gaming Rule</w:t>
        </w:r>
        <w:r>
          <w:tab/>
        </w:r>
        <w:r>
          <w:fldChar w:fldCharType="begin"/>
        </w:r>
        <w:r>
          <w:instrText xml:space="preserve"> PAGEREF _Toc9400569 \h </w:instrText>
        </w:r>
        <w:r>
          <w:fldChar w:fldCharType="separate"/>
        </w:r>
        <w:r>
          <w:t>21</w:t>
        </w:r>
        <w:r>
          <w:fldChar w:fldCharType="end"/>
        </w:r>
      </w:hyperlink>
    </w:p>
    <w:p>
      <w:pPr>
        <w:pStyle w:val="TOC2"/>
      </w:pPr>
      <w:hyperlink w:anchor="_Toc9400570" w:history="1">
        <w:r>
          <w:rPr>
            <w:rStyle w:val="Hyperlink"/>
          </w:rPr>
          <w:t>Dissent Box</w:t>
        </w:r>
        <w:r>
          <w:tab/>
        </w:r>
        <w:r>
          <w:fldChar w:fldCharType="begin"/>
        </w:r>
        <w:r>
          <w:instrText xml:space="preserve"> PAGEREF _Toc9400570 \h </w:instrText>
        </w:r>
        <w:r>
          <w:fldChar w:fldCharType="separate"/>
        </w:r>
        <w:r>
          <w:t>21</w:t>
        </w:r>
        <w:r>
          <w:fldChar w:fldCharType="end"/>
        </w:r>
      </w:hyperlink>
    </w:p>
    <w:p>
      <w:pPr>
        <w:pStyle w:val="TOC1"/>
      </w:pPr>
      <w:hyperlink w:anchor="_Toc9400571" w:history="1">
        <w:r>
          <w:rPr>
            <w:rStyle w:val="Hyperlink"/>
          </w:rPr>
          <w:t>18. DPA Template</w:t>
        </w:r>
        <w:r>
          <w:tab/>
        </w:r>
        <w:r>
          <w:fldChar w:fldCharType="begin"/>
        </w:r>
        <w:r>
          <w:instrText xml:space="preserve"> PAGEREF _Toc9400571 \h </w:instrText>
        </w:r>
        <w:r>
          <w:fldChar w:fldCharType="separate"/>
        </w:r>
        <w:r>
          <w:t>22</w:t>
        </w:r>
        <w:r>
          <w:fldChar w:fldCharType="end"/>
        </w:r>
      </w:hyperlink>
    </w:p>
    <w:p>
      <w:pPr>
        <w:pStyle w:val="TOC2"/>
      </w:pPr>
      <w:hyperlink w:anchor="_Toc9400572" w:history="1">
        <w:r>
          <w:rPr>
            <w:rStyle w:val="Hyperlink"/>
          </w:rPr>
          <w:t>One-Sentence Ministerial Bottom Line</w:t>
        </w:r>
        <w:r>
          <w:tab/>
        </w:r>
        <w:r>
          <w:fldChar w:fldCharType="begin"/>
        </w:r>
        <w:r>
          <w:instrText xml:space="preserve"> PAGEREF _Toc9400572 \h </w:instrText>
        </w:r>
        <w:r>
          <w:fldChar w:fldCharType="separate"/>
        </w:r>
        <w:r>
          <w:t>22</w:t>
        </w:r>
        <w:r>
          <w:fldChar w:fldCharType="end"/>
        </w:r>
      </w:hyperlink>
    </w:p>
    <w:p>
      <w:pPr>
        <w:pStyle w:val="TOC1"/>
      </w:pPr>
      <w:hyperlink w:anchor="_Toc9400573" w:history="1">
        <w:r>
          <w:rPr>
            <w:rStyle w:val="Hyperlink"/>
          </w:rPr>
          <w:t>19. Escalation Warning Indicators: Architecture</w:t>
        </w:r>
        <w:r>
          <w:tab/>
        </w:r>
        <w:r>
          <w:fldChar w:fldCharType="begin"/>
        </w:r>
        <w:r>
          <w:instrText xml:space="preserve"> PAGEREF _Toc9400573 \h </w:instrText>
        </w:r>
        <w:r>
          <w:fldChar w:fldCharType="separate"/>
        </w:r>
        <w:r>
          <w:t>23</w:t>
        </w:r>
        <w:r>
          <w:fldChar w:fldCharType="end"/>
        </w:r>
      </w:hyperlink>
    </w:p>
    <w:p>
      <w:pPr>
        <w:pStyle w:val="TOC2"/>
      </w:pPr>
      <w:hyperlink w:anchor="_Toc9400574" w:history="1">
        <w:r>
          <w:rPr>
            <w:rStyle w:val="Hyperlink"/>
          </w:rPr>
          <w:t>Warning Philosophy</w:t>
        </w:r>
        <w:r>
          <w:tab/>
        </w:r>
        <w:r>
          <w:fldChar w:fldCharType="begin"/>
        </w:r>
        <w:r>
          <w:instrText xml:space="preserve"> PAGEREF _Toc9400574 \h </w:instrText>
        </w:r>
        <w:r>
          <w:fldChar w:fldCharType="separate"/>
        </w:r>
        <w:r>
          <w:t>23</w:t>
        </w:r>
        <w:r>
          <w:fldChar w:fldCharType="end"/>
        </w:r>
      </w:hyperlink>
    </w:p>
    <w:p>
      <w:pPr>
        <w:pStyle w:val="TOC1"/>
      </w:pPr>
      <w:hyperlink w:anchor="_Toc9400575" w:history="1">
        <w:r>
          <w:rPr>
            <w:rStyle w:val="Hyperlink"/>
          </w:rPr>
          <w:t>20. Executive and Negotiating Warning Indicators</w:t>
        </w:r>
        <w:r>
          <w:tab/>
        </w:r>
        <w:r>
          <w:fldChar w:fldCharType="begin"/>
        </w:r>
        <w:r>
          <w:instrText xml:space="preserve"> PAGEREF _Toc9400575 \h </w:instrText>
        </w:r>
        <w:r>
          <w:fldChar w:fldCharType="separate"/>
        </w:r>
        <w:r>
          <w:t>24</w:t>
        </w:r>
        <w:r>
          <w:fldChar w:fldCharType="end"/>
        </w:r>
      </w:hyperlink>
    </w:p>
    <w:p>
      <w:pPr>
        <w:pStyle w:val="TOC2"/>
      </w:pPr>
      <w:hyperlink w:anchor="_Toc9400576" w:history="1">
        <w:r>
          <w:rPr>
            <w:rStyle w:val="Hyperlink"/>
          </w:rPr>
          <w:t>Corroboration Rule</w:t>
        </w:r>
        <w:r>
          <w:tab/>
        </w:r>
        <w:r>
          <w:fldChar w:fldCharType="begin"/>
        </w:r>
        <w:r>
          <w:instrText xml:space="preserve"> PAGEREF _Toc9400576 \h </w:instrText>
        </w:r>
        <w:r>
          <w:fldChar w:fldCharType="separate"/>
        </w:r>
        <w:r>
          <w:t>24</w:t>
        </w:r>
        <w:r>
          <w:fldChar w:fldCharType="end"/>
        </w:r>
      </w:hyperlink>
    </w:p>
    <w:p>
      <w:pPr>
        <w:pStyle w:val="TOC2"/>
      </w:pPr>
      <w:hyperlink w:anchor="_Toc9400577" w:history="1">
        <w:r>
          <w:rPr>
            <w:rStyle w:val="Hyperlink"/>
          </w:rPr>
          <w:t>Required Analyst Note</w:t>
        </w:r>
        <w:r>
          <w:tab/>
        </w:r>
        <w:r>
          <w:fldChar w:fldCharType="begin"/>
        </w:r>
        <w:r>
          <w:instrText xml:space="preserve"> PAGEREF _Toc9400577 \h </w:instrText>
        </w:r>
        <w:r>
          <w:fldChar w:fldCharType="separate"/>
        </w:r>
        <w:r>
          <w:t>24</w:t>
        </w:r>
        <w:r>
          <w:fldChar w:fldCharType="end"/>
        </w:r>
      </w:hyperlink>
    </w:p>
    <w:p>
      <w:pPr>
        <w:pStyle w:val="TOC1"/>
      </w:pPr>
      <w:hyperlink w:anchor="_Toc9400578" w:history="1">
        <w:r>
          <w:rPr>
            <w:rStyle w:val="Hyperlink"/>
          </w:rPr>
          <w:t>21. Congressional and State Warning Indicators</w:t>
        </w:r>
        <w:r>
          <w:tab/>
        </w:r>
        <w:r>
          <w:fldChar w:fldCharType="begin"/>
        </w:r>
        <w:r>
          <w:instrText xml:space="preserve"> PAGEREF _Toc9400578 \h </w:instrText>
        </w:r>
        <w:r>
          <w:fldChar w:fldCharType="separate"/>
        </w:r>
        <w:r>
          <w:t>25</w:t>
        </w:r>
        <w:r>
          <w:fldChar w:fldCharType="end"/>
        </w:r>
      </w:hyperlink>
    </w:p>
    <w:p>
      <w:pPr>
        <w:pStyle w:val="TOC2"/>
      </w:pPr>
      <w:hyperlink w:anchor="_Toc9400579" w:history="1">
        <w:r>
          <w:rPr>
            <w:rStyle w:val="Hyperlink"/>
          </w:rPr>
          <w:t>Corroboration Rule</w:t>
        </w:r>
        <w:r>
          <w:tab/>
        </w:r>
        <w:r>
          <w:fldChar w:fldCharType="begin"/>
        </w:r>
        <w:r>
          <w:instrText xml:space="preserve"> PAGEREF _Toc9400579 \h </w:instrText>
        </w:r>
        <w:r>
          <w:fldChar w:fldCharType="separate"/>
        </w:r>
        <w:r>
          <w:t>25</w:t>
        </w:r>
        <w:r>
          <w:fldChar w:fldCharType="end"/>
        </w:r>
      </w:hyperlink>
    </w:p>
    <w:p>
      <w:pPr>
        <w:pStyle w:val="TOC2"/>
      </w:pPr>
      <w:hyperlink w:anchor="_Toc9400580" w:history="1">
        <w:r>
          <w:rPr>
            <w:rStyle w:val="Hyperlink"/>
          </w:rPr>
          <w:t>Required Analyst Note</w:t>
        </w:r>
        <w:r>
          <w:tab/>
        </w:r>
        <w:r>
          <w:fldChar w:fldCharType="begin"/>
        </w:r>
        <w:r>
          <w:instrText xml:space="preserve"> PAGEREF _Toc9400580 \h </w:instrText>
        </w:r>
        <w:r>
          <w:fldChar w:fldCharType="separate"/>
        </w:r>
        <w:r>
          <w:t>25</w:t>
        </w:r>
        <w:r>
          <w:fldChar w:fldCharType="end"/>
        </w:r>
      </w:hyperlink>
    </w:p>
    <w:p>
      <w:pPr>
        <w:pStyle w:val="TOC1"/>
      </w:pPr>
      <w:hyperlink w:anchor="_Toc9400581" w:history="1">
        <w:r>
          <w:rPr>
            <w:rStyle w:val="Hyperlink"/>
          </w:rPr>
          <w:t>22. Business, Labour and Industrial Warning Indicators</w:t>
        </w:r>
        <w:r>
          <w:tab/>
        </w:r>
        <w:r>
          <w:fldChar w:fldCharType="begin"/>
        </w:r>
        <w:r>
          <w:instrText xml:space="preserve"> PAGEREF _Toc9400581 \h </w:instrText>
        </w:r>
        <w:r>
          <w:fldChar w:fldCharType="separate"/>
        </w:r>
        <w:r>
          <w:t>26</w:t>
        </w:r>
        <w:r>
          <w:fldChar w:fldCharType="end"/>
        </w:r>
      </w:hyperlink>
    </w:p>
    <w:p>
      <w:pPr>
        <w:pStyle w:val="TOC2"/>
      </w:pPr>
      <w:hyperlink w:anchor="_Toc9400582" w:history="1">
        <w:r>
          <w:rPr>
            <w:rStyle w:val="Hyperlink"/>
          </w:rPr>
          <w:t>Corroboration Rule</w:t>
        </w:r>
        <w:r>
          <w:tab/>
        </w:r>
        <w:r>
          <w:fldChar w:fldCharType="begin"/>
        </w:r>
        <w:r>
          <w:instrText xml:space="preserve"> PAGEREF _Toc9400582 \h </w:instrText>
        </w:r>
        <w:r>
          <w:fldChar w:fldCharType="separate"/>
        </w:r>
        <w:r>
          <w:t>26</w:t>
        </w:r>
        <w:r>
          <w:fldChar w:fldCharType="end"/>
        </w:r>
      </w:hyperlink>
    </w:p>
    <w:p>
      <w:pPr>
        <w:pStyle w:val="TOC2"/>
      </w:pPr>
      <w:hyperlink w:anchor="_Toc9400583" w:history="1">
        <w:r>
          <w:rPr>
            <w:rStyle w:val="Hyperlink"/>
          </w:rPr>
          <w:t>Required Analyst Note</w:t>
        </w:r>
        <w:r>
          <w:tab/>
        </w:r>
        <w:r>
          <w:fldChar w:fldCharType="begin"/>
        </w:r>
        <w:r>
          <w:instrText xml:space="preserve"> PAGEREF _Toc9400583 \h </w:instrText>
        </w:r>
        <w:r>
          <w:fldChar w:fldCharType="separate"/>
        </w:r>
        <w:r>
          <w:t>26</w:t>
        </w:r>
        <w:r>
          <w:fldChar w:fldCharType="end"/>
        </w:r>
      </w:hyperlink>
    </w:p>
    <w:p>
      <w:pPr>
        <w:pStyle w:val="TOC1"/>
      </w:pPr>
      <w:hyperlink w:anchor="_Toc9400584" w:history="1">
        <w:r>
          <w:rPr>
            <w:rStyle w:val="Hyperlink"/>
          </w:rPr>
          <w:t>23. Market and Macro Warning Indicators</w:t>
        </w:r>
        <w:r>
          <w:tab/>
        </w:r>
        <w:r>
          <w:fldChar w:fldCharType="begin"/>
        </w:r>
        <w:r>
          <w:instrText xml:space="preserve"> PAGEREF _Toc9400584 \h </w:instrText>
        </w:r>
        <w:r>
          <w:fldChar w:fldCharType="separate"/>
        </w:r>
        <w:r>
          <w:t>27</w:t>
        </w:r>
        <w:r>
          <w:fldChar w:fldCharType="end"/>
        </w:r>
      </w:hyperlink>
    </w:p>
    <w:p>
      <w:pPr>
        <w:pStyle w:val="TOC2"/>
      </w:pPr>
      <w:hyperlink w:anchor="_Toc9400585" w:history="1">
        <w:r>
          <w:rPr>
            <w:rStyle w:val="Hyperlink"/>
          </w:rPr>
          <w:t>Corroboration Rule</w:t>
        </w:r>
        <w:r>
          <w:tab/>
        </w:r>
        <w:r>
          <w:fldChar w:fldCharType="begin"/>
        </w:r>
        <w:r>
          <w:instrText xml:space="preserve"> PAGEREF _Toc9400585 \h </w:instrText>
        </w:r>
        <w:r>
          <w:fldChar w:fldCharType="separate"/>
        </w:r>
        <w:r>
          <w:t>27</w:t>
        </w:r>
        <w:r>
          <w:fldChar w:fldCharType="end"/>
        </w:r>
      </w:hyperlink>
    </w:p>
    <w:p>
      <w:pPr>
        <w:pStyle w:val="TOC2"/>
      </w:pPr>
      <w:hyperlink w:anchor="_Toc9400586" w:history="1">
        <w:r>
          <w:rPr>
            <w:rStyle w:val="Hyperlink"/>
          </w:rPr>
          <w:t>Required Analyst Note</w:t>
        </w:r>
        <w:r>
          <w:tab/>
        </w:r>
        <w:r>
          <w:fldChar w:fldCharType="begin"/>
        </w:r>
        <w:r>
          <w:instrText xml:space="preserve"> PAGEREF _Toc9400586 \h </w:instrText>
        </w:r>
        <w:r>
          <w:fldChar w:fldCharType="separate"/>
        </w:r>
        <w:r>
          <w:t>27</w:t>
        </w:r>
        <w:r>
          <w:fldChar w:fldCharType="end"/>
        </w:r>
      </w:hyperlink>
    </w:p>
    <w:p>
      <w:pPr>
        <w:pStyle w:val="TOC1"/>
      </w:pPr>
      <w:hyperlink w:anchor="_Toc9400587" w:history="1">
        <w:r>
          <w:rPr>
            <w:rStyle w:val="Hyperlink"/>
          </w:rPr>
          <w:t>24. Legal and Administrative Warning Indicators</w:t>
        </w:r>
        <w:r>
          <w:tab/>
        </w:r>
        <w:r>
          <w:fldChar w:fldCharType="begin"/>
        </w:r>
        <w:r>
          <w:instrText xml:space="preserve"> PAGEREF _Toc9400587 \h </w:instrText>
        </w:r>
        <w:r>
          <w:fldChar w:fldCharType="separate"/>
        </w:r>
        <w:r>
          <w:t>28</w:t>
        </w:r>
        <w:r>
          <w:fldChar w:fldCharType="end"/>
        </w:r>
      </w:hyperlink>
    </w:p>
    <w:p>
      <w:pPr>
        <w:pStyle w:val="TOC2"/>
      </w:pPr>
      <w:hyperlink w:anchor="_Toc9400588" w:history="1">
        <w:r>
          <w:rPr>
            <w:rStyle w:val="Hyperlink"/>
          </w:rPr>
          <w:t>Corroboration Rule</w:t>
        </w:r>
        <w:r>
          <w:tab/>
        </w:r>
        <w:r>
          <w:fldChar w:fldCharType="begin"/>
        </w:r>
        <w:r>
          <w:instrText xml:space="preserve"> PAGEREF _Toc9400588 \h </w:instrText>
        </w:r>
        <w:r>
          <w:fldChar w:fldCharType="separate"/>
        </w:r>
        <w:r>
          <w:t>28</w:t>
        </w:r>
        <w:r>
          <w:fldChar w:fldCharType="end"/>
        </w:r>
      </w:hyperlink>
    </w:p>
    <w:p>
      <w:pPr>
        <w:pStyle w:val="TOC2"/>
      </w:pPr>
      <w:hyperlink w:anchor="_Toc9400589" w:history="1">
        <w:r>
          <w:rPr>
            <w:rStyle w:val="Hyperlink"/>
          </w:rPr>
          <w:t>Required Analyst Note</w:t>
        </w:r>
        <w:r>
          <w:tab/>
        </w:r>
        <w:r>
          <w:fldChar w:fldCharType="begin"/>
        </w:r>
        <w:r>
          <w:instrText xml:space="preserve"> PAGEREF _Toc9400589 \h </w:instrText>
        </w:r>
        <w:r>
          <w:fldChar w:fldCharType="separate"/>
        </w:r>
        <w:r>
          <w:t>28</w:t>
        </w:r>
        <w:r>
          <w:fldChar w:fldCharType="end"/>
        </w:r>
      </w:hyperlink>
    </w:p>
    <w:p>
      <w:pPr>
        <w:pStyle w:val="TOC1"/>
      </w:pPr>
      <w:hyperlink w:anchor="_Toc9400590" w:history="1">
        <w:r>
          <w:rPr>
            <w:rStyle w:val="Hyperlink"/>
          </w:rPr>
          <w:t>25. Narrative and Public-Opinion Warning Indicators</w:t>
        </w:r>
        <w:r>
          <w:tab/>
        </w:r>
        <w:r>
          <w:fldChar w:fldCharType="begin"/>
        </w:r>
        <w:r>
          <w:instrText xml:space="preserve"> PAGEREF _Toc9400590 \h </w:instrText>
        </w:r>
        <w:r>
          <w:fldChar w:fldCharType="separate"/>
        </w:r>
        <w:r>
          <w:t>29</w:t>
        </w:r>
        <w:r>
          <w:fldChar w:fldCharType="end"/>
        </w:r>
      </w:hyperlink>
    </w:p>
    <w:p>
      <w:pPr>
        <w:pStyle w:val="TOC2"/>
      </w:pPr>
      <w:hyperlink w:anchor="_Toc9400591" w:history="1">
        <w:r>
          <w:rPr>
            <w:rStyle w:val="Hyperlink"/>
          </w:rPr>
          <w:t>Corroboration Rule</w:t>
        </w:r>
        <w:r>
          <w:tab/>
        </w:r>
        <w:r>
          <w:fldChar w:fldCharType="begin"/>
        </w:r>
        <w:r>
          <w:instrText xml:space="preserve"> PAGEREF _Toc9400591 \h </w:instrText>
        </w:r>
        <w:r>
          <w:fldChar w:fldCharType="separate"/>
        </w:r>
        <w:r>
          <w:t>29</w:t>
        </w:r>
        <w:r>
          <w:fldChar w:fldCharType="end"/>
        </w:r>
      </w:hyperlink>
    </w:p>
    <w:p>
      <w:pPr>
        <w:pStyle w:val="TOC2"/>
      </w:pPr>
      <w:hyperlink w:anchor="_Toc9400592" w:history="1">
        <w:r>
          <w:rPr>
            <w:rStyle w:val="Hyperlink"/>
          </w:rPr>
          <w:t>Required Analyst Note</w:t>
        </w:r>
        <w:r>
          <w:tab/>
        </w:r>
        <w:r>
          <w:fldChar w:fldCharType="begin"/>
        </w:r>
        <w:r>
          <w:instrText xml:space="preserve"> PAGEREF _Toc9400592 \h </w:instrText>
        </w:r>
        <w:r>
          <w:fldChar w:fldCharType="separate"/>
        </w:r>
        <w:r>
          <w:t>29</w:t>
        </w:r>
        <w:r>
          <w:fldChar w:fldCharType="end"/>
        </w:r>
      </w:hyperlink>
    </w:p>
    <w:p>
      <w:pPr>
        <w:pStyle w:val="TOC1"/>
      </w:pPr>
      <w:hyperlink w:anchor="_Toc9400593" w:history="1">
        <w:r>
          <w:rPr>
            <w:rStyle w:val="Hyperlink"/>
          </w:rPr>
          <w:t>26. Canadian Cohesion and Endurance Warning Indicators</w:t>
        </w:r>
        <w:r>
          <w:tab/>
        </w:r>
        <w:r>
          <w:fldChar w:fldCharType="begin"/>
        </w:r>
        <w:r>
          <w:instrText xml:space="preserve"> PAGEREF _Toc9400593 \h </w:instrText>
        </w:r>
        <w:r>
          <w:fldChar w:fldCharType="separate"/>
        </w:r>
        <w:r>
          <w:t>30</w:t>
        </w:r>
        <w:r>
          <w:fldChar w:fldCharType="end"/>
        </w:r>
      </w:hyperlink>
    </w:p>
    <w:p>
      <w:pPr>
        <w:pStyle w:val="TOC2"/>
      </w:pPr>
      <w:hyperlink w:anchor="_Toc9400594" w:history="1">
        <w:r>
          <w:rPr>
            <w:rStyle w:val="Hyperlink"/>
          </w:rPr>
          <w:t>Corroboration Rule</w:t>
        </w:r>
        <w:r>
          <w:tab/>
        </w:r>
        <w:r>
          <w:fldChar w:fldCharType="begin"/>
        </w:r>
        <w:r>
          <w:instrText xml:space="preserve"> PAGEREF _Toc9400594 \h </w:instrText>
        </w:r>
        <w:r>
          <w:fldChar w:fldCharType="separate"/>
        </w:r>
        <w:r>
          <w:t>30</w:t>
        </w:r>
        <w:r>
          <w:fldChar w:fldCharType="end"/>
        </w:r>
      </w:hyperlink>
    </w:p>
    <w:p>
      <w:pPr>
        <w:pStyle w:val="TOC2"/>
      </w:pPr>
      <w:hyperlink w:anchor="_Toc9400595" w:history="1">
        <w:r>
          <w:rPr>
            <w:rStyle w:val="Hyperlink"/>
          </w:rPr>
          <w:t>Required Analyst Note</w:t>
        </w:r>
        <w:r>
          <w:tab/>
        </w:r>
        <w:r>
          <w:fldChar w:fldCharType="begin"/>
        </w:r>
        <w:r>
          <w:instrText xml:space="preserve"> PAGEREF _Toc9400595 \h </w:instrText>
        </w:r>
        <w:r>
          <w:fldChar w:fldCharType="separate"/>
        </w:r>
        <w:r>
          <w:t>30</w:t>
        </w:r>
        <w:r>
          <w:fldChar w:fldCharType="end"/>
        </w:r>
      </w:hyperlink>
    </w:p>
    <w:p>
      <w:pPr>
        <w:pStyle w:val="TOC1"/>
      </w:pPr>
      <w:hyperlink w:anchor="_Toc9400596" w:history="1">
        <w:r>
          <w:rPr>
            <w:rStyle w:val="Hyperlink"/>
          </w:rPr>
          <w:t>27. Security and Foreign-Interference Indicators</w:t>
        </w:r>
        <w:r>
          <w:tab/>
        </w:r>
        <w:r>
          <w:fldChar w:fldCharType="begin"/>
        </w:r>
        <w:r>
          <w:instrText xml:space="preserve"> PAGEREF _Toc9400596 \h </w:instrText>
        </w:r>
        <w:r>
          <w:fldChar w:fldCharType="separate"/>
        </w:r>
        <w:r>
          <w:t>31</w:t>
        </w:r>
        <w:r>
          <w:fldChar w:fldCharType="end"/>
        </w:r>
      </w:hyperlink>
    </w:p>
    <w:p>
      <w:pPr>
        <w:pStyle w:val="TOC2"/>
      </w:pPr>
      <w:hyperlink w:anchor="_Toc9400597" w:history="1">
        <w:r>
          <w:rPr>
            <w:rStyle w:val="Hyperlink"/>
          </w:rPr>
          <w:t>Corroboration Rule</w:t>
        </w:r>
        <w:r>
          <w:tab/>
        </w:r>
        <w:r>
          <w:fldChar w:fldCharType="begin"/>
        </w:r>
        <w:r>
          <w:instrText xml:space="preserve"> PAGEREF _Toc9400597 \h </w:instrText>
        </w:r>
        <w:r>
          <w:fldChar w:fldCharType="separate"/>
        </w:r>
        <w:r>
          <w:t>31</w:t>
        </w:r>
        <w:r>
          <w:fldChar w:fldCharType="end"/>
        </w:r>
      </w:hyperlink>
    </w:p>
    <w:p>
      <w:pPr>
        <w:pStyle w:val="TOC2"/>
      </w:pPr>
      <w:hyperlink w:anchor="_Toc9400598" w:history="1">
        <w:r>
          <w:rPr>
            <w:rStyle w:val="Hyperlink"/>
          </w:rPr>
          <w:t>Required Analyst Note</w:t>
        </w:r>
        <w:r>
          <w:tab/>
        </w:r>
        <w:r>
          <w:fldChar w:fldCharType="begin"/>
        </w:r>
        <w:r>
          <w:instrText xml:space="preserve"> PAGEREF _Toc9400598 \h </w:instrText>
        </w:r>
        <w:r>
          <w:fldChar w:fldCharType="separate"/>
        </w:r>
        <w:r>
          <w:t>31</w:t>
        </w:r>
        <w:r>
          <w:fldChar w:fldCharType="end"/>
        </w:r>
      </w:hyperlink>
    </w:p>
    <w:p>
      <w:pPr>
        <w:pStyle w:val="TOC1"/>
      </w:pPr>
      <w:hyperlink w:anchor="_Toc9400599" w:history="1">
        <w:r>
          <w:rPr>
            <w:rStyle w:val="Hyperlink"/>
          </w:rPr>
          <w:t>28. De-escalation Indicators</w:t>
        </w:r>
        <w:r>
          <w:tab/>
        </w:r>
        <w:r>
          <w:fldChar w:fldCharType="begin"/>
        </w:r>
        <w:r>
          <w:instrText xml:space="preserve"> PAGEREF _Toc9400599 \h </w:instrText>
        </w:r>
        <w:r>
          <w:fldChar w:fldCharType="separate"/>
        </w:r>
        <w:r>
          <w:t>32</w:t>
        </w:r>
        <w:r>
          <w:fldChar w:fldCharType="end"/>
        </w:r>
      </w:hyperlink>
    </w:p>
    <w:p>
      <w:pPr>
        <w:pStyle w:val="TOC2"/>
      </w:pPr>
      <w:hyperlink w:anchor="_Toc9400600" w:history="1">
        <w:r>
          <w:rPr>
            <w:rStyle w:val="Hyperlink"/>
          </w:rPr>
          <w:t>False Dawn Test</w:t>
        </w:r>
        <w:r>
          <w:tab/>
        </w:r>
        <w:r>
          <w:fldChar w:fldCharType="begin"/>
        </w:r>
        <w:r>
          <w:instrText xml:space="preserve"> PAGEREF _Toc9400600 \h </w:instrText>
        </w:r>
        <w:r>
          <w:fldChar w:fldCharType="separate"/>
        </w:r>
        <w:r>
          <w:t>32</w:t>
        </w:r>
        <w:r>
          <w:fldChar w:fldCharType="end"/>
        </w:r>
      </w:hyperlink>
    </w:p>
    <w:p>
      <w:pPr>
        <w:pStyle w:val="TOC1"/>
      </w:pPr>
      <w:hyperlink w:anchor="_Toc9400601" w:history="1">
        <w:r>
          <w:rPr>
            <w:rStyle w:val="Hyperlink"/>
          </w:rPr>
          <w:t>29. Canadian Harm Early-Warning Dashboard</w:t>
        </w:r>
        <w:r>
          <w:tab/>
        </w:r>
        <w:r>
          <w:fldChar w:fldCharType="begin"/>
        </w:r>
        <w:r>
          <w:instrText xml:space="preserve"> PAGEREF _Toc9400601 \h </w:instrText>
        </w:r>
        <w:r>
          <w:fldChar w:fldCharType="separate"/>
        </w:r>
        <w:r>
          <w:t>33</w:t>
        </w:r>
        <w:r>
          <w:fldChar w:fldCharType="end"/>
        </w:r>
      </w:hyperlink>
    </w:p>
    <w:p>
      <w:pPr>
        <w:pStyle w:val="TOC1"/>
      </w:pPr>
      <w:hyperlink w:anchor="_Toc9400602" w:history="1">
        <w:r>
          <w:rPr>
            <w:rStyle w:val="Hyperlink"/>
          </w:rPr>
          <w:t>30. Business Consultation Protocol</w:t>
        </w:r>
        <w:r>
          <w:tab/>
        </w:r>
        <w:r>
          <w:fldChar w:fldCharType="begin"/>
        </w:r>
        <w:r>
          <w:instrText xml:space="preserve"> PAGEREF _Toc9400602 \h </w:instrText>
        </w:r>
        <w:r>
          <w:fldChar w:fldCharType="separate"/>
        </w:r>
        <w:r>
          <w:t>34</w:t>
        </w:r>
        <w:r>
          <w:fldChar w:fldCharType="end"/>
        </w:r>
      </w:hyperlink>
    </w:p>
    <w:p>
      <w:pPr>
        <w:pStyle w:val="TOC2"/>
      </w:pPr>
      <w:hyperlink w:anchor="_Toc9400603" w:history="1">
        <w:r>
          <w:rPr>
            <w:rStyle w:val="Hyperlink"/>
          </w:rPr>
          <w:t>Standard Questions</w:t>
        </w:r>
        <w:r>
          <w:tab/>
        </w:r>
        <w:r>
          <w:fldChar w:fldCharType="begin"/>
        </w:r>
        <w:r>
          <w:instrText xml:space="preserve"> PAGEREF _Toc9400603 \h </w:instrText>
        </w:r>
        <w:r>
          <w:fldChar w:fldCharType="separate"/>
        </w:r>
        <w:r>
          <w:t>34</w:t>
        </w:r>
        <w:r>
          <w:fldChar w:fldCharType="end"/>
        </w:r>
      </w:hyperlink>
    </w:p>
    <w:p>
      <w:pPr>
        <w:pStyle w:val="TOC1"/>
      </w:pPr>
      <w:hyperlink w:anchor="_Toc9400604" w:history="1">
        <w:r>
          <w:rPr>
            <w:rStyle w:val="Hyperlink"/>
          </w:rPr>
          <w:t>31. Congressional and State Engagement Reporting Template</w:t>
        </w:r>
        <w:r>
          <w:tab/>
        </w:r>
        <w:r>
          <w:fldChar w:fldCharType="begin"/>
        </w:r>
        <w:r>
          <w:instrText xml:space="preserve"> PAGEREF _Toc9400604 \h </w:instrText>
        </w:r>
        <w:r>
          <w:fldChar w:fldCharType="separate"/>
        </w:r>
        <w:r>
          <w:t>35</w:t>
        </w:r>
        <w:r>
          <w:fldChar w:fldCharType="end"/>
        </w:r>
      </w:hyperlink>
    </w:p>
    <w:p>
      <w:pPr>
        <w:pStyle w:val="TOC1"/>
      </w:pPr>
      <w:hyperlink w:anchor="_Toc9400605" w:history="1">
        <w:r>
          <w:rPr>
            <w:rStyle w:val="Hyperlink"/>
          </w:rPr>
          <w:t>32. Media and Narrative Analysis Protocol</w:t>
        </w:r>
        <w:r>
          <w:tab/>
        </w:r>
        <w:r>
          <w:fldChar w:fldCharType="begin"/>
        </w:r>
        <w:r>
          <w:instrText xml:space="preserve"> PAGEREF _Toc9400605 \h </w:instrText>
        </w:r>
        <w:r>
          <w:fldChar w:fldCharType="separate"/>
        </w:r>
        <w:r>
          <w:t>36</w:t>
        </w:r>
        <w:r>
          <w:fldChar w:fldCharType="end"/>
        </w:r>
      </w:hyperlink>
    </w:p>
    <w:p>
      <w:pPr>
        <w:pStyle w:val="TOC1"/>
      </w:pPr>
      <w:hyperlink w:anchor="_Toc9400606" w:history="1">
        <w:r>
          <w:rPr>
            <w:rStyle w:val="Hyperlink"/>
          </w:rPr>
          <w:t>33. Public-Opinion Research Safeguards</w:t>
        </w:r>
        <w:r>
          <w:tab/>
        </w:r>
        <w:r>
          <w:fldChar w:fldCharType="begin"/>
        </w:r>
        <w:r>
          <w:instrText xml:space="preserve"> PAGEREF _Toc9400606 \h </w:instrText>
        </w:r>
        <w:r>
          <w:fldChar w:fldCharType="separate"/>
        </w:r>
        <w:r>
          <w:t>37</w:t>
        </w:r>
        <w:r>
          <w:fldChar w:fldCharType="end"/>
        </w:r>
      </w:hyperlink>
    </w:p>
    <w:p>
      <w:pPr>
        <w:pStyle w:val="TOC2"/>
      </w:pPr>
      <w:hyperlink w:anchor="_Toc9400607" w:history="1">
        <w:r>
          <w:rPr>
            <w:rStyle w:val="Hyperlink"/>
          </w:rPr>
          <w:t>Decision Use</w:t>
        </w:r>
        <w:r>
          <w:tab/>
        </w:r>
        <w:r>
          <w:fldChar w:fldCharType="begin"/>
        </w:r>
        <w:r>
          <w:instrText xml:space="preserve"> PAGEREF _Toc9400607 \h </w:instrText>
        </w:r>
        <w:r>
          <w:fldChar w:fldCharType="separate"/>
        </w:r>
        <w:r>
          <w:t>37</w:t>
        </w:r>
        <w:r>
          <w:fldChar w:fldCharType="end"/>
        </w:r>
      </w:hyperlink>
    </w:p>
    <w:p>
      <w:pPr>
        <w:pStyle w:val="TOC1"/>
      </w:pPr>
      <w:hyperlink w:anchor="_Toc9400608" w:history="1">
        <w:r>
          <w:rPr>
            <w:rStyle w:val="Hyperlink"/>
          </w:rPr>
          <w:t>34. Information Security and Compartmentation</w:t>
        </w:r>
        <w:r>
          <w:tab/>
        </w:r>
        <w:r>
          <w:fldChar w:fldCharType="begin"/>
        </w:r>
        <w:r>
          <w:instrText xml:space="preserve"> PAGEREF _Toc9400608 \h </w:instrText>
        </w:r>
        <w:r>
          <w:fldChar w:fldCharType="separate"/>
        </w:r>
        <w:r>
          <w:t>38</w:t>
        </w:r>
        <w:r>
          <w:fldChar w:fldCharType="end"/>
        </w:r>
      </w:hyperlink>
    </w:p>
    <w:p>
      <w:pPr>
        <w:pStyle w:val="TOC2"/>
      </w:pPr>
      <w:hyperlink w:anchor="_Toc9400609" w:history="1">
        <w:r>
          <w:rPr>
            <w:rStyle w:val="Hyperlink"/>
          </w:rPr>
          <w:t>Tear-Line Practice</w:t>
        </w:r>
        <w:r>
          <w:tab/>
        </w:r>
        <w:r>
          <w:fldChar w:fldCharType="begin"/>
        </w:r>
        <w:r>
          <w:instrText xml:space="preserve"> PAGEREF _Toc9400609 \h </w:instrText>
        </w:r>
        <w:r>
          <w:fldChar w:fldCharType="separate"/>
        </w:r>
        <w:r>
          <w:t>38</w:t>
        </w:r>
        <w:r>
          <w:fldChar w:fldCharType="end"/>
        </w:r>
      </w:hyperlink>
    </w:p>
    <w:p>
      <w:pPr>
        <w:pStyle w:val="TOC1"/>
      </w:pPr>
      <w:hyperlink w:anchor="_Toc9400610" w:history="1">
        <w:r>
          <w:rPr>
            <w:rStyle w:val="Hyperlink"/>
          </w:rPr>
          <w:t>35. Privacy, Civil Liberties and Democratic Firewall</w:t>
        </w:r>
        <w:r>
          <w:tab/>
        </w:r>
        <w:r>
          <w:fldChar w:fldCharType="begin"/>
        </w:r>
        <w:r>
          <w:instrText xml:space="preserve"> PAGEREF _Toc9400610 \h </w:instrText>
        </w:r>
        <w:r>
          <w:fldChar w:fldCharType="separate"/>
        </w:r>
        <w:r>
          <w:t>39</w:t>
        </w:r>
        <w:r>
          <w:fldChar w:fldCharType="end"/>
        </w:r>
      </w:hyperlink>
    </w:p>
    <w:p>
      <w:pPr>
        <w:pStyle w:val="TOC1"/>
      </w:pPr>
      <w:hyperlink w:anchor="_Toc9400611" w:history="1">
        <w:r>
          <w:rPr>
            <w:rStyle w:val="Hyperlink"/>
          </w:rPr>
          <w:t>36. Legal Risk Integration</w:t>
        </w:r>
        <w:r>
          <w:tab/>
        </w:r>
        <w:r>
          <w:fldChar w:fldCharType="begin"/>
        </w:r>
        <w:r>
          <w:instrText xml:space="preserve"> PAGEREF _Toc9400611 \h </w:instrText>
        </w:r>
        <w:r>
          <w:fldChar w:fldCharType="separate"/>
        </w:r>
        <w:r>
          <w:t>40</w:t>
        </w:r>
        <w:r>
          <w:fldChar w:fldCharType="end"/>
        </w:r>
      </w:hyperlink>
    </w:p>
    <w:p>
      <w:pPr>
        <w:pStyle w:val="TOC1"/>
      </w:pPr>
      <w:hyperlink w:anchor="_Toc9400612" w:history="1">
        <w:r>
          <w:rPr>
            <w:rStyle w:val="Hyperlink"/>
          </w:rPr>
          <w:t>37. Bias and Failure-Mode Register</w:t>
        </w:r>
        <w:r>
          <w:tab/>
        </w:r>
        <w:r>
          <w:fldChar w:fldCharType="begin"/>
        </w:r>
        <w:r>
          <w:instrText xml:space="preserve"> PAGEREF _Toc9400612 \h </w:instrText>
        </w:r>
        <w:r>
          <w:fldChar w:fldCharType="separate"/>
        </w:r>
        <w:r>
          <w:t>41</w:t>
        </w:r>
        <w:r>
          <w:fldChar w:fldCharType="end"/>
        </w:r>
      </w:hyperlink>
    </w:p>
    <w:p>
      <w:pPr>
        <w:pStyle w:val="TOC1"/>
      </w:pPr>
      <w:hyperlink w:anchor="_Toc9400613" w:history="1">
        <w:r>
          <w:rPr>
            <w:rStyle w:val="Hyperlink"/>
          </w:rPr>
          <w:t>38. Red-Team and Challenge Function</w:t>
        </w:r>
        <w:r>
          <w:tab/>
        </w:r>
        <w:r>
          <w:fldChar w:fldCharType="begin"/>
        </w:r>
        <w:r>
          <w:instrText xml:space="preserve"> PAGEREF _Toc9400613 \h </w:instrText>
        </w:r>
        <w:r>
          <w:fldChar w:fldCharType="separate"/>
        </w:r>
        <w:r>
          <w:t>42</w:t>
        </w:r>
        <w:r>
          <w:fldChar w:fldCharType="end"/>
        </w:r>
      </w:hyperlink>
    </w:p>
    <w:p>
      <w:pPr>
        <w:pStyle w:val="TOC2"/>
      </w:pPr>
      <w:hyperlink w:anchor="_Toc9400614" w:history="1">
        <w:r>
          <w:rPr>
            <w:rStyle w:val="Hyperlink"/>
          </w:rPr>
          <w:t>Challenge Timing</w:t>
        </w:r>
        <w:r>
          <w:tab/>
        </w:r>
        <w:r>
          <w:fldChar w:fldCharType="begin"/>
        </w:r>
        <w:r>
          <w:instrText xml:space="preserve"> PAGEREF _Toc9400614 \h </w:instrText>
        </w:r>
        <w:r>
          <w:fldChar w:fldCharType="separate"/>
        </w:r>
        <w:r>
          <w:t>42</w:t>
        </w:r>
        <w:r>
          <w:fldChar w:fldCharType="end"/>
        </w:r>
      </w:hyperlink>
    </w:p>
    <w:p>
      <w:pPr>
        <w:pStyle w:val="TOC1"/>
      </w:pPr>
      <w:hyperlink w:anchor="_Toc9400615" w:history="1">
        <w:r>
          <w:rPr>
            <w:rStyle w:val="Hyperlink"/>
          </w:rPr>
          <w:t>39. Meeting Rhythm and Product Cadence</w:t>
        </w:r>
        <w:r>
          <w:tab/>
        </w:r>
        <w:r>
          <w:fldChar w:fldCharType="begin"/>
        </w:r>
        <w:r>
          <w:instrText xml:space="preserve"> PAGEREF _Toc9400615 \h </w:instrText>
        </w:r>
        <w:r>
          <w:fldChar w:fldCharType="separate"/>
        </w:r>
        <w:r>
          <w:t>43</w:t>
        </w:r>
        <w:r>
          <w:fldChar w:fldCharType="end"/>
        </w:r>
      </w:hyperlink>
    </w:p>
    <w:p>
      <w:pPr>
        <w:pStyle w:val="TOC2"/>
      </w:pPr>
      <w:hyperlink w:anchor="_Toc9400616" w:history="1">
        <w:r>
          <w:rPr>
            <w:rStyle w:val="Hyperlink"/>
          </w:rPr>
          <w:t>Battle Rhythm Without Battle Theatre</w:t>
        </w:r>
        <w:r>
          <w:tab/>
        </w:r>
        <w:r>
          <w:fldChar w:fldCharType="begin"/>
        </w:r>
        <w:r>
          <w:instrText xml:space="preserve"> PAGEREF _Toc9400616 \h </w:instrText>
        </w:r>
        <w:r>
          <w:fldChar w:fldCharType="separate"/>
        </w:r>
        <w:r>
          <w:t>43</w:t>
        </w:r>
        <w:r>
          <w:fldChar w:fldCharType="end"/>
        </w:r>
      </w:hyperlink>
    </w:p>
    <w:p>
      <w:pPr>
        <w:pStyle w:val="TOC1"/>
      </w:pPr>
      <w:hyperlink w:anchor="_Toc9400617" w:history="1">
        <w:r>
          <w:rPr>
            <w:rStyle w:val="Hyperlink"/>
          </w:rPr>
          <w:t>40. Daily Situational Note Template</w:t>
        </w:r>
        <w:r>
          <w:tab/>
        </w:r>
        <w:r>
          <w:fldChar w:fldCharType="begin"/>
        </w:r>
        <w:r>
          <w:instrText xml:space="preserve"> PAGEREF _Toc9400617 \h </w:instrText>
        </w:r>
        <w:r>
          <w:fldChar w:fldCharType="separate"/>
        </w:r>
        <w:r>
          <w:t>44</w:t>
        </w:r>
        <w:r>
          <w:fldChar w:fldCharType="end"/>
        </w:r>
      </w:hyperlink>
    </w:p>
    <w:p>
      <w:pPr>
        <w:pStyle w:val="TOC1"/>
      </w:pPr>
      <w:hyperlink w:anchor="_Toc9400618" w:history="1">
        <w:r>
          <w:rPr>
            <w:rStyle w:val="Hyperlink"/>
          </w:rPr>
          <w:t>41. Weekly DPA Production Cycle</w:t>
        </w:r>
        <w:r>
          <w:tab/>
        </w:r>
        <w:r>
          <w:fldChar w:fldCharType="begin"/>
        </w:r>
        <w:r>
          <w:instrText xml:space="preserve"> PAGEREF _Toc9400618 \h </w:instrText>
        </w:r>
        <w:r>
          <w:fldChar w:fldCharType="separate"/>
        </w:r>
        <w:r>
          <w:t>45</w:t>
        </w:r>
        <w:r>
          <w:fldChar w:fldCharType="end"/>
        </w:r>
      </w:hyperlink>
    </w:p>
    <w:p>
      <w:pPr>
        <w:pStyle w:val="TOC2"/>
      </w:pPr>
      <w:hyperlink w:anchor="_Toc9400619" w:history="1">
        <w:r>
          <w:rPr>
            <w:rStyle w:val="Hyperlink"/>
          </w:rPr>
          <w:t>Revision Discipline</w:t>
        </w:r>
        <w:r>
          <w:tab/>
        </w:r>
        <w:r>
          <w:fldChar w:fldCharType="begin"/>
        </w:r>
        <w:r>
          <w:instrText xml:space="preserve"> PAGEREF _Toc9400619 \h </w:instrText>
        </w:r>
        <w:r>
          <w:fldChar w:fldCharType="separate"/>
        </w:r>
        <w:r>
          <w:t>45</w:t>
        </w:r>
        <w:r>
          <w:fldChar w:fldCharType="end"/>
        </w:r>
      </w:hyperlink>
    </w:p>
    <w:p>
      <w:pPr>
        <w:pStyle w:val="TOC1"/>
      </w:pPr>
      <w:hyperlink w:anchor="_Toc9400620" w:history="1">
        <w:r>
          <w:rPr>
            <w:rStyle w:val="Hyperlink"/>
          </w:rPr>
          <w:t>42. Crisis Surge Protocol</w:t>
        </w:r>
        <w:r>
          <w:tab/>
        </w:r>
        <w:r>
          <w:fldChar w:fldCharType="begin"/>
        </w:r>
        <w:r>
          <w:instrText xml:space="preserve"> PAGEREF _Toc9400620 \h </w:instrText>
        </w:r>
        <w:r>
          <w:fldChar w:fldCharType="separate"/>
        </w:r>
        <w:r>
          <w:t>46</w:t>
        </w:r>
        <w:r>
          <w:fldChar w:fldCharType="end"/>
        </w:r>
      </w:hyperlink>
    </w:p>
    <w:p>
      <w:pPr>
        <w:pStyle w:val="TOC1"/>
      </w:pPr>
      <w:hyperlink w:anchor="_Toc9400621" w:history="1">
        <w:r>
          <w:rPr>
            <w:rStyle w:val="Hyperlink"/>
          </w:rPr>
          <w:t>43. False-Alarm and Missed-Warning Review</w:t>
        </w:r>
        <w:r>
          <w:tab/>
        </w:r>
        <w:r>
          <w:fldChar w:fldCharType="begin"/>
        </w:r>
        <w:r>
          <w:instrText xml:space="preserve"> PAGEREF _Toc9400621 \h </w:instrText>
        </w:r>
        <w:r>
          <w:fldChar w:fldCharType="separate"/>
        </w:r>
        <w:r>
          <w:t>47</w:t>
        </w:r>
        <w:r>
          <w:fldChar w:fldCharType="end"/>
        </w:r>
      </w:hyperlink>
    </w:p>
    <w:p>
      <w:pPr>
        <w:pStyle w:val="TOC1"/>
      </w:pPr>
      <w:hyperlink w:anchor="_Toc9400622" w:history="1">
        <w:r>
          <w:rPr>
            <w:rStyle w:val="Hyperlink"/>
          </w:rPr>
          <w:t>44. Integration with the Strategic Timing Calendar</w:t>
        </w:r>
        <w:r>
          <w:tab/>
        </w:r>
        <w:r>
          <w:fldChar w:fldCharType="begin"/>
        </w:r>
        <w:r>
          <w:instrText xml:space="preserve"> PAGEREF _Toc9400622 \h </w:instrText>
        </w:r>
        <w:r>
          <w:fldChar w:fldCharType="separate"/>
        </w:r>
        <w:r>
          <w:t>48</w:t>
        </w:r>
        <w:r>
          <w:fldChar w:fldCharType="end"/>
        </w:r>
      </w:hyperlink>
    </w:p>
    <w:p>
      <w:pPr>
        <w:pStyle w:val="TOC1"/>
      </w:pPr>
      <w:hyperlink w:anchor="_Toc9400623" w:history="1">
        <w:r>
          <w:rPr>
            <w:rStyle w:val="Hyperlink"/>
          </w:rPr>
          <w:t>45. Integration with the Federal-Provincial Solidarity Protocol</w:t>
        </w:r>
        <w:r>
          <w:tab/>
        </w:r>
        <w:r>
          <w:fldChar w:fldCharType="begin"/>
        </w:r>
        <w:r>
          <w:instrText xml:space="preserve"> PAGEREF _Toc9400623 \h </w:instrText>
        </w:r>
        <w:r>
          <w:fldChar w:fldCharType="separate"/>
        </w:r>
        <w:r>
          <w:t>49</w:t>
        </w:r>
        <w:r>
          <w:fldChar w:fldCharType="end"/>
        </w:r>
      </w:hyperlink>
    </w:p>
    <w:p>
      <w:pPr>
        <w:pStyle w:val="TOC1"/>
      </w:pPr>
      <w:hyperlink w:anchor="_Toc9400624" w:history="1">
        <w:r>
          <w:rPr>
            <w:rStyle w:val="Hyperlink"/>
          </w:rPr>
          <w:t>46. Integration with CR-TAR and Countermeasure Instruments</w:t>
        </w:r>
        <w:r>
          <w:tab/>
        </w:r>
        <w:r>
          <w:fldChar w:fldCharType="begin"/>
        </w:r>
        <w:r>
          <w:instrText xml:space="preserve"> PAGEREF _Toc9400624 \h </w:instrText>
        </w:r>
        <w:r>
          <w:fldChar w:fldCharType="separate"/>
        </w:r>
        <w:r>
          <w:t>50</w:t>
        </w:r>
        <w:r>
          <w:fldChar w:fldCharType="end"/>
        </w:r>
      </w:hyperlink>
    </w:p>
    <w:p>
      <w:pPr>
        <w:pStyle w:val="TOC1"/>
      </w:pPr>
      <w:hyperlink w:anchor="_Toc9400625" w:history="1">
        <w:r>
          <w:rPr>
            <w:rStyle w:val="Hyperlink"/>
          </w:rPr>
          <w:t>47. Integration with Diversification and Public Diplomacy</w:t>
        </w:r>
        <w:r>
          <w:tab/>
        </w:r>
        <w:r>
          <w:fldChar w:fldCharType="begin"/>
        </w:r>
        <w:r>
          <w:instrText xml:space="preserve"> PAGEREF _Toc9400625 \h </w:instrText>
        </w:r>
        <w:r>
          <w:fldChar w:fldCharType="separate"/>
        </w:r>
        <w:r>
          <w:t>51</w:t>
        </w:r>
        <w:r>
          <w:fldChar w:fldCharType="end"/>
        </w:r>
      </w:hyperlink>
    </w:p>
    <w:p>
      <w:pPr>
        <w:pStyle w:val="TOC1"/>
      </w:pPr>
      <w:hyperlink w:anchor="_Toc9400626" w:history="1">
        <w:r>
          <w:rPr>
            <w:rStyle w:val="Hyperlink"/>
          </w:rPr>
          <w:t>48. Implementation Roadmap: First 30 Days</w:t>
        </w:r>
        <w:r>
          <w:tab/>
        </w:r>
        <w:r>
          <w:fldChar w:fldCharType="begin"/>
        </w:r>
        <w:r>
          <w:instrText xml:space="preserve"> PAGEREF _Toc9400626 \h </w:instrText>
        </w:r>
        <w:r>
          <w:fldChar w:fldCharType="separate"/>
        </w:r>
        <w:r>
          <w:t>52</w:t>
        </w:r>
        <w:r>
          <w:fldChar w:fldCharType="end"/>
        </w:r>
      </w:hyperlink>
    </w:p>
    <w:p>
      <w:pPr>
        <w:pStyle w:val="TOC1"/>
      </w:pPr>
      <w:hyperlink w:anchor="_Toc9400627" w:history="1">
        <w:r>
          <w:rPr>
            <w:rStyle w:val="Hyperlink"/>
          </w:rPr>
          <w:t>49. Implementation Roadmap: Days 31–100</w:t>
        </w:r>
        <w:r>
          <w:tab/>
        </w:r>
        <w:r>
          <w:fldChar w:fldCharType="begin"/>
        </w:r>
        <w:r>
          <w:instrText xml:space="preserve"> PAGEREF _Toc9400627 \h </w:instrText>
        </w:r>
        <w:r>
          <w:fldChar w:fldCharType="separate"/>
        </w:r>
        <w:r>
          <w:t>53</w:t>
        </w:r>
        <w:r>
          <w:fldChar w:fldCharType="end"/>
        </w:r>
      </w:hyperlink>
    </w:p>
    <w:p>
      <w:pPr>
        <w:pStyle w:val="TOC1"/>
      </w:pPr>
      <w:hyperlink w:anchor="_Toc9400628" w:history="1">
        <w:r>
          <w:rPr>
            <w:rStyle w:val="Hyperlink"/>
          </w:rPr>
          <w:t>50. Implementation Roadmap: Mature State</w:t>
        </w:r>
        <w:r>
          <w:tab/>
        </w:r>
        <w:r>
          <w:fldChar w:fldCharType="begin"/>
        </w:r>
        <w:r>
          <w:instrText xml:space="preserve"> PAGEREF _Toc9400628 \h </w:instrText>
        </w:r>
        <w:r>
          <w:fldChar w:fldCharType="separate"/>
        </w:r>
        <w:r>
          <w:t>54</w:t>
        </w:r>
        <w:r>
          <w:fldChar w:fldCharType="end"/>
        </w:r>
      </w:hyperlink>
    </w:p>
    <w:p>
      <w:pPr>
        <w:pStyle w:val="TOC1"/>
      </w:pPr>
      <w:hyperlink w:anchor="_Toc9400629" w:history="1">
        <w:r>
          <w:rPr>
            <w:rStyle w:val="Hyperlink"/>
          </w:rPr>
          <w:t>51. Ministerial / Cabinet Decision Card</w:t>
        </w:r>
        <w:r>
          <w:tab/>
        </w:r>
        <w:r>
          <w:fldChar w:fldCharType="begin"/>
        </w:r>
        <w:r>
          <w:instrText xml:space="preserve"> PAGEREF _Toc9400629 \h </w:instrText>
        </w:r>
        <w:r>
          <w:fldChar w:fldCharType="separate"/>
        </w:r>
        <w:r>
          <w:t>54</w:t>
        </w:r>
        <w:r>
          <w:fldChar w:fldCharType="end"/>
        </w:r>
      </w:hyperlink>
    </w:p>
    <w:p>
      <w:pPr>
        <w:pStyle w:val="TOC1"/>
      </w:pPr>
      <w:hyperlink w:anchor="_Toc9400630" w:history="1">
        <w:r>
          <w:rPr>
            <w:rStyle w:val="Hyperlink"/>
          </w:rPr>
          <w:t>52. Sample DPA: Illustrative, Not a Current Assessment</w:t>
        </w:r>
        <w:r>
          <w:tab/>
        </w:r>
        <w:r>
          <w:fldChar w:fldCharType="begin"/>
        </w:r>
        <w:r>
          <w:instrText xml:space="preserve"> PAGEREF _Toc9400630 \h </w:instrText>
        </w:r>
        <w:r>
          <w:fldChar w:fldCharType="separate"/>
        </w:r>
        <w:r>
          <w:t>54</w:t>
        </w:r>
        <w:r>
          <w:fldChar w:fldCharType="end"/>
        </w:r>
      </w:hyperlink>
    </w:p>
    <w:p>
      <w:pPr>
        <w:pStyle w:val="TOC1"/>
      </w:pPr>
      <w:hyperlink w:anchor="_Toc9400631" w:history="1">
        <w:r>
          <w:rPr>
            <w:rStyle w:val="Hyperlink"/>
          </w:rPr>
          <w:t>53. Source Register and Institutional Anchors</w:t>
        </w:r>
        <w:r>
          <w:tab/>
        </w:r>
        <w:r>
          <w:fldChar w:fldCharType="begin"/>
        </w:r>
        <w:r>
          <w:instrText xml:space="preserve"> PAGEREF _Toc9400631 \h </w:instrText>
        </w:r>
        <w:r>
          <w:fldChar w:fldCharType="separate"/>
        </w:r>
        <w:r>
          <w:t>54</w:t>
        </w:r>
        <w:r>
          <w:fldChar w:fldCharType="end"/>
        </w:r>
      </w:hyperlink>
    </w:p>
    <w:p>
      <w:pPr>
        <w:pStyle w:val="TOC2"/>
      </w:pPr>
      <w:hyperlink w:anchor="_Toc9400632" w:history="1">
        <w:r>
          <w:rPr>
            <w:rStyle w:val="Hyperlink"/>
          </w:rPr>
          <w:t>Validation Note</w:t>
        </w:r>
        <w:r>
          <w:tab/>
        </w:r>
        <w:r>
          <w:fldChar w:fldCharType="begin"/>
        </w:r>
        <w:r>
          <w:instrText xml:space="preserve"> PAGEREF _Toc9400632 \h </w:instrText>
        </w:r>
        <w:r>
          <w:fldChar w:fldCharType="separate"/>
        </w:r>
        <w:r>
          <w:t>55</w:t>
        </w:r>
        <w:r>
          <w:fldChar w:fldCharType="end"/>
        </w:r>
      </w:hyperlink>
    </w:p>
    <w:p>
      <w:pPr>
        <w:pStyle w:val="TOC1"/>
      </w:pPr>
      <w:hyperlink w:anchor="_Toc9400633" w:history="1">
        <w:r>
          <w:rPr>
            <w:rStyle w:val="Hyperlink"/>
          </w:rPr>
          <w:t>54. Final Doctrine</w:t>
        </w:r>
        <w:r>
          <w:tab/>
        </w:r>
        <w:r>
          <w:fldChar w:fldCharType="begin"/>
        </w:r>
        <w:r>
          <w:instrText xml:space="preserve"> PAGEREF _Toc9400633 \h </w:instrText>
        </w:r>
        <w:r>
          <w:fldChar w:fldCharType="separate"/>
        </w:r>
        <w:r>
          <w:t>55</w:t>
        </w:r>
        <w:r>
          <w:fldChar w:fldCharType="end"/>
        </w:r>
      </w:hyperlink>
    </w:p>
    <w:p>
      <w:pPr>
        <w:pStyle w:val="TOC2"/>
      </w:pPr>
      <w:hyperlink w:anchor="_Toc9400634" w:history="1">
        <w:r>
          <w:rPr>
            <w:rStyle w:val="Hyperlink"/>
          </w:rPr>
          <w:t>Five Rules to Remember</w:t>
        </w:r>
        <w:r>
          <w:tab/>
        </w:r>
        <w:r>
          <w:fldChar w:fldCharType="begin"/>
        </w:r>
        <w:r>
          <w:instrText xml:space="preserve"> PAGEREF _Toc9400634 \h </w:instrText>
        </w:r>
        <w:r>
          <w:fldChar w:fldCharType="separate"/>
        </w:r>
        <w:r>
          <w:t>55</w:t>
        </w:r>
        <w:r>
          <w:fldChar w:fldCharType="end"/>
        </w:r>
      </w:hyperlink>
    </w:p>
    <w:p>
      <w:r>
        <w:fldChar w:fldCharType="end"/>
      </w:r>
    </w:p>
    <w:p>
      <w:pPr>
        <w:sectPr>
          <w:headerReference w:type="default" r:id="rId9"/>
          <w:footerReference w:type="default" r:id="rId10"/>
          <w:pgSz w:w="12240" w:h="15840"/>
          <w:pgMar w:top="821" w:right="979" w:bottom="821" w:left="979" w:header="720" w:footer="720" w:gutter="0"/>
          <w:pgNumType w:start="1"/>
          <w:cols w:space="720"/>
          <w:docGrid w:linePitch="360"/>
        </w:sectPr>
      </w:pPr>
    </w:p>
    <w:p>
      <w:pPr>
        <w:pStyle w:val="Heading1"/>
        <w:keepNext/>
        <w:spacing w:before="120" w:after="50"/>
      </w:pPr>
      <w:bookmarkStart w:id="501" w:name="_Toc9400501"/>
      <w:r>
        <w:t>Executive Purpose</w:t>
      </w:r>
      <w:bookmarkEnd w:id="501"/>
    </w:p>
    <w:p>
      <w:r>
        <w:rPr>
          <w:b w:val="0"/>
          <w:i w:val="0"/>
        </w:rPr>
        <w:t>This framework establishes a lawful, disciplined system for bringing together diplomatic reporting, public economic intelligence, structured business consultations, congressional and state-level engagement, market indicators, legal developments, media and public-opinion analysis, and intelligence that has been collected and disseminated under proper Canadian authorities.</w:t>
      </w:r>
    </w:p>
    <w:p>
      <w:r>
        <w:rPr>
          <w:b w:val="0"/>
          <w:i w:val="0"/>
        </w:rPr>
        <w:t>Its purpose is not to create a new intelligence service. It is to improve the government's ability to recognize changes early, distinguish signal from noise, identify openings for settlement, detect escalation risk, understand Canadian exposure, and give decision-makers a common operating picture.</w:t>
      </w:r>
    </w:p>
    <w:p>
      <w:pPr>
        <w:pStyle w:val="Heading2"/>
        <w:keepNext/>
        <w:spacing w:before="120" w:after="50"/>
      </w:pPr>
      <w:bookmarkStart w:id="502" w:name="_Toc9400502"/>
      <w:r>
        <w:t>The Core Problem</w:t>
      </w:r>
      <w:bookmarkEnd w:id="502"/>
    </w:p>
    <w:p>
      <w:r>
        <w:rPr>
          <w:b w:val="0"/>
          <w:i w:val="0"/>
        </w:rPr>
        <w:t>Economic conflict produces too much information and too little shared understanding. A tariff announcement can arrive beside a court ruling, a congressional letter, a plant shutdown, a commodity-price move, a governor's statement, a diplomatic message, a business warning, and an opinion poll. Individually, each may be ambiguous. Together, they can reveal movement.</w:t>
      </w:r>
    </w:p>
    <w:p>
      <w:pPr>
        <w:pStyle w:val="Heading2"/>
        <w:keepNext/>
        <w:spacing w:before="120" w:after="50"/>
      </w:pPr>
      <w:bookmarkStart w:id="503" w:name="_Toc9400503"/>
      <w:r>
        <w:t>The Killer Output</w:t>
      </w:r>
      <w:bookmarkEnd w:id="503"/>
    </w:p>
    <w:p>
      <w:r>
        <w:rPr>
          <w:b w:val="0"/>
          <w:i w:val="0"/>
        </w:rPr>
        <w:t>The recurring De-escalation Probability Assessment converts that fragmented evidence into a transparent, auditable judgement: Is a negotiated reduction in economic conflict becoming more likely, less likely, or unchanged? What is driving the movement? How confident are we? What evidence would falsify the assessment? What should Canada prepare to do if the signal strengthens?</w:t>
      </w:r>
    </w:p>
    <w:p>
      <w:pPr>
        <w:pStyle w:val="Heading2"/>
        <w:keepNext/>
        <w:spacing w:before="120" w:after="50"/>
      </w:pPr>
      <w:bookmarkStart w:id="504" w:name="_Toc9400504"/>
      <w:r>
        <w:t>Operating Principle</w:t>
      </w:r>
      <w:bookmarkEnd w:id="504"/>
    </w:p>
    <w:p>
      <w:r>
        <w:rPr>
          <w:b w:val="0"/>
          <w:i w:val="0"/>
        </w:rPr>
        <w:t>No single source owns the truth. Diplomatic reporting may reveal intent but miss market stress. Markets may reveal stress but not political willingness. Public statements may be performative. Business contacts may have incentives to exaggerate. Intelligence may be authoritative on one narrow question but irrelevant to another. The framework therefore rewards corroboration, source diversity, explicit uncertainty, and dissent.</w:t>
      </w:r>
    </w:p>
    <w:p>
      <w:r>
        <w:br w:type="page"/>
      </w:r>
    </w:p>
    <w:p>
      <w:pPr>
        <w:pStyle w:val="Heading1"/>
        <w:keepNext/>
        <w:spacing w:before="120" w:after="50"/>
      </w:pPr>
      <w:bookmarkStart w:id="505" w:name="_Toc9400505"/>
      <w:r>
        <w:t>1. Foundational Guardrails</w:t>
      </w:r>
      <w:bookmarkEnd w:id="505"/>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Guardrail</w:t>
            </w:r>
          </w:p>
        </w:tc>
        <w:tc>
          <w:tcPr>
            <w:tcW w:type="dxa" w:w="5141"/>
            <w:shd w:fill="D9E5F2"/>
          </w:tcPr>
          <w:p>
            <w:r>
              <w:rPr>
                <w:b/>
                <w:sz w:val="14"/>
              </w:rPr>
              <w:t>Rule</w:t>
            </w:r>
          </w:p>
        </w:tc>
      </w:tr>
      <w:tr>
        <w:tc>
          <w:tcPr>
            <w:tcW w:type="dxa" w:w="5141"/>
            <w:vAlign w:val="top"/>
          </w:tcPr>
          <w:p>
            <w:pPr>
              <w:spacing w:after="0"/>
            </w:pPr>
            <w:r>
              <w:rPr>
                <w:sz w:val="14"/>
              </w:rPr>
              <w:t>Lawful authority</w:t>
            </w:r>
          </w:p>
        </w:tc>
        <w:tc>
          <w:tcPr>
            <w:tcW w:type="dxa" w:w="5141"/>
            <w:vAlign w:val="top"/>
          </w:tcPr>
          <w:p>
            <w:pPr>
              <w:spacing w:after="0"/>
            </w:pPr>
            <w:r>
              <w:rPr>
                <w:sz w:val="14"/>
              </w:rPr>
              <w:t>Every collection or access activity must have an existing lawful mandate, policy basis and authorized purpose.</w:t>
            </w:r>
          </w:p>
        </w:tc>
      </w:tr>
      <w:tr>
        <w:tc>
          <w:tcPr>
            <w:tcW w:type="dxa" w:w="5141"/>
            <w:vAlign w:val="top"/>
          </w:tcPr>
          <w:p>
            <w:pPr>
              <w:spacing w:after="0"/>
            </w:pPr>
            <w:r>
              <w:rPr>
                <w:sz w:val="14"/>
              </w:rPr>
              <w:t>No new spy mandate</w:t>
            </w:r>
          </w:p>
        </w:tc>
        <w:tc>
          <w:tcPr>
            <w:tcW w:type="dxa" w:w="5141"/>
            <w:vAlign w:val="top"/>
          </w:tcPr>
          <w:p>
            <w:pPr>
              <w:spacing w:after="0"/>
            </w:pPr>
            <w:r>
              <w:rPr>
                <w:sz w:val="14"/>
              </w:rPr>
              <w:t>This framework coordinates assessment. It does not expand CSIS, CSE, RCMP, diplomatic, regulatory or departmental collection authorities.</w:t>
            </w:r>
          </w:p>
        </w:tc>
      </w:tr>
      <w:tr>
        <w:tc>
          <w:tcPr>
            <w:tcW w:type="dxa" w:w="5141"/>
            <w:vAlign w:val="top"/>
          </w:tcPr>
          <w:p>
            <w:pPr>
              <w:spacing w:after="0"/>
            </w:pPr>
            <w:r>
              <w:rPr>
                <w:sz w:val="14"/>
              </w:rPr>
              <w:t>No domestic political surveillance</w:t>
            </w:r>
          </w:p>
        </w:tc>
        <w:tc>
          <w:tcPr>
            <w:tcW w:type="dxa" w:w="5141"/>
            <w:vAlign w:val="top"/>
          </w:tcPr>
          <w:p>
            <w:pPr>
              <w:spacing w:after="0"/>
            </w:pPr>
            <w:r>
              <w:rPr>
                <w:sz w:val="14"/>
              </w:rPr>
              <w:t>Political parties, candidates, activists, journalists, unions, businesses or citizens are not intelligence targets merely because they debate trade policy.</w:t>
            </w:r>
          </w:p>
        </w:tc>
      </w:tr>
      <w:tr>
        <w:tc>
          <w:tcPr>
            <w:tcW w:type="dxa" w:w="5141"/>
            <w:vAlign w:val="top"/>
          </w:tcPr>
          <w:p>
            <w:pPr>
              <w:spacing w:after="0"/>
            </w:pPr>
            <w:r>
              <w:rPr>
                <w:sz w:val="14"/>
              </w:rPr>
              <w:t>No covert manipulation</w:t>
            </w:r>
          </w:p>
        </w:tc>
        <w:tc>
          <w:tcPr>
            <w:tcW w:type="dxa" w:w="5141"/>
            <w:vAlign w:val="top"/>
          </w:tcPr>
          <w:p>
            <w:pPr>
              <w:spacing w:after="0"/>
            </w:pPr>
            <w:r>
              <w:rPr>
                <w:sz w:val="14"/>
              </w:rPr>
              <w:t>The framework does not authorize influence operations, fake personas, covert media activity, electoral interference or undisclosed political persuasion.</w:t>
            </w:r>
          </w:p>
        </w:tc>
      </w:tr>
      <w:tr>
        <w:tc>
          <w:tcPr>
            <w:tcW w:type="dxa" w:w="5141"/>
            <w:vAlign w:val="top"/>
          </w:tcPr>
          <w:p>
            <w:pPr>
              <w:spacing w:after="0"/>
            </w:pPr>
            <w:r>
              <w:rPr>
                <w:sz w:val="14"/>
              </w:rPr>
              <w:t>Data minimization</w:t>
            </w:r>
          </w:p>
        </w:tc>
        <w:tc>
          <w:tcPr>
            <w:tcW w:type="dxa" w:w="5141"/>
            <w:vAlign w:val="top"/>
          </w:tcPr>
          <w:p>
            <w:pPr>
              <w:spacing w:after="0"/>
            </w:pPr>
            <w:r>
              <w:rPr>
                <w:sz w:val="14"/>
              </w:rPr>
              <w:t>Collect the minimum information necessary for the decision problem; prefer aggregate and public data when adequate.</w:t>
            </w:r>
          </w:p>
        </w:tc>
      </w:tr>
      <w:tr>
        <w:tc>
          <w:tcPr>
            <w:tcW w:type="dxa" w:w="5141"/>
            <w:vAlign w:val="top"/>
          </w:tcPr>
          <w:p>
            <w:pPr>
              <w:spacing w:after="0"/>
            </w:pPr>
            <w:r>
              <w:rPr>
                <w:sz w:val="14"/>
              </w:rPr>
              <w:t>Need-to-know</w:t>
            </w:r>
          </w:p>
        </w:tc>
        <w:tc>
          <w:tcPr>
            <w:tcW w:type="dxa" w:w="5141"/>
            <w:vAlign w:val="top"/>
          </w:tcPr>
          <w:p>
            <w:pPr>
              <w:spacing w:after="0"/>
            </w:pPr>
            <w:r>
              <w:rPr>
                <w:sz w:val="14"/>
              </w:rPr>
              <w:t>Classified, privileged, commercially confidential and personal information remain compartmented.</w:t>
            </w:r>
          </w:p>
        </w:tc>
      </w:tr>
      <w:tr>
        <w:tc>
          <w:tcPr>
            <w:tcW w:type="dxa" w:w="5141"/>
            <w:vAlign w:val="top"/>
          </w:tcPr>
          <w:p>
            <w:pPr>
              <w:spacing w:after="0"/>
            </w:pPr>
            <w:r>
              <w:rPr>
                <w:sz w:val="14"/>
              </w:rPr>
              <w:t>Source protection</w:t>
            </w:r>
          </w:p>
        </w:tc>
        <w:tc>
          <w:tcPr>
            <w:tcW w:type="dxa" w:w="5141"/>
            <w:vAlign w:val="top"/>
          </w:tcPr>
          <w:p>
            <w:pPr>
              <w:spacing w:after="0"/>
            </w:pPr>
            <w:r>
              <w:rPr>
                <w:sz w:val="14"/>
              </w:rPr>
              <w:t>Diplomatic, business, whistleblower and intelligence-source sensitivities are preserved.</w:t>
            </w:r>
          </w:p>
        </w:tc>
      </w:tr>
      <w:tr>
        <w:tc>
          <w:tcPr>
            <w:tcW w:type="dxa" w:w="5141"/>
            <w:vAlign w:val="top"/>
          </w:tcPr>
          <w:p>
            <w:pPr>
              <w:spacing w:after="0"/>
            </w:pPr>
            <w:r>
              <w:rPr>
                <w:sz w:val="14"/>
              </w:rPr>
              <w:t>Analytic independence</w:t>
            </w:r>
          </w:p>
        </w:tc>
        <w:tc>
          <w:tcPr>
            <w:tcW w:type="dxa" w:w="5141"/>
            <w:vAlign w:val="top"/>
          </w:tcPr>
          <w:p>
            <w:pPr>
              <w:spacing w:after="0"/>
            </w:pPr>
            <w:r>
              <w:rPr>
                <w:sz w:val="14"/>
              </w:rPr>
              <w:t>Analysts must be able to record dissent, uncertainty and alternative explanations.</w:t>
            </w:r>
          </w:p>
        </w:tc>
      </w:tr>
      <w:tr>
        <w:tc>
          <w:tcPr>
            <w:tcW w:type="dxa" w:w="5141"/>
            <w:vAlign w:val="top"/>
          </w:tcPr>
          <w:p>
            <w:pPr>
              <w:spacing w:after="0"/>
            </w:pPr>
            <w:r>
              <w:rPr>
                <w:sz w:val="14"/>
              </w:rPr>
              <w:t>Civilian-harm firewall</w:t>
            </w:r>
          </w:p>
        </w:tc>
        <w:tc>
          <w:tcPr>
            <w:tcW w:type="dxa" w:w="5141"/>
            <w:vAlign w:val="top"/>
          </w:tcPr>
          <w:p>
            <w:pPr>
              <w:spacing w:after="0"/>
            </w:pPr>
            <w:r>
              <w:rPr>
                <w:sz w:val="14"/>
              </w:rPr>
              <w:t>Warning indicators may detect scarcity or hardship; they are used to mitigate harm, not exploit it.</w:t>
            </w:r>
          </w:p>
        </w:tc>
      </w:tr>
      <w:tr>
        <w:tc>
          <w:tcPr>
            <w:tcW w:type="dxa" w:w="5141"/>
            <w:vAlign w:val="top"/>
          </w:tcPr>
          <w:p>
            <w:pPr>
              <w:spacing w:after="0"/>
            </w:pPr>
            <w:r>
              <w:rPr>
                <w:sz w:val="14"/>
              </w:rPr>
              <w:t>Auditability</w:t>
            </w:r>
          </w:p>
        </w:tc>
        <w:tc>
          <w:tcPr>
            <w:tcW w:type="dxa" w:w="5141"/>
            <w:vAlign w:val="top"/>
          </w:tcPr>
          <w:p>
            <w:pPr>
              <w:spacing w:after="0"/>
            </w:pPr>
            <w:r>
              <w:rPr>
                <w:sz w:val="14"/>
              </w:rPr>
              <w:t>Major judgements record evidence, confidence, assumptions, dissent and revision history.</w:t>
            </w:r>
          </w:p>
        </w:tc>
      </w:tr>
    </w:tbl>
    <w:p>
      <w:pPr>
        <w:pStyle w:val="Heading2"/>
        <w:keepNext/>
        <w:spacing w:before="120" w:after="50"/>
      </w:pPr>
      <w:bookmarkStart w:id="506" w:name="_Toc9400506"/>
      <w:r>
        <w:t>Legal Baseline</w:t>
      </w:r>
      <w:bookmarkEnd w:id="506"/>
    </w:p>
    <w:p>
      <w:r>
        <w:rPr>
          <w:b w:val="0"/>
          <w:i w:val="0"/>
        </w:rPr>
        <w:t>CSIS investigates activities suspected of constituting threats to the security of Canada and reports to government under statutory authorities. This framework does not convert ordinary commercial competition, criticism, lobbying, journalism, or democratic advocacy into a security threat. Intelligence enters the system only where an authorized body has lawfully produced and disseminated it for an appropriate government purpose.</w:t>
      </w:r>
    </w:p>
    <w:p>
      <w:r>
        <w:rPr>
          <w:b w:val="0"/>
          <w:i w:val="0"/>
        </w:rPr>
        <w:t>Government public-opinion research remains subject to federal communications rules, research standards, privacy protections and political-neutrality requirements. Legal risk is managed with Justice Canada and departmental legal services, not by analysts improvising legal conclusions.</w:t>
      </w:r>
    </w:p>
    <w:p>
      <w:r>
        <w:br w:type="page"/>
      </w:r>
    </w:p>
    <w:p>
      <w:pPr>
        <w:pStyle w:val="Heading1"/>
        <w:keepNext/>
        <w:spacing w:before="120" w:after="50"/>
      </w:pPr>
      <w:bookmarkStart w:id="507" w:name="_Toc9400507"/>
      <w:r>
        <w:t>2. Governance and Accountability</w:t>
      </w:r>
      <w:bookmarkEnd w:id="507"/>
    </w:p>
    <w:p>
      <w:r>
        <w:rPr>
          <w:b w:val="0"/>
          <w:i w:val="0"/>
        </w:rPr>
        <w:t>The proposed coordinating body is the Economic Statecraft Situational Awareness Cell (ESSAC). It is an interdepartmental assessment cell, not an operational intelligence agency.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Layer</w:t>
            </w:r>
          </w:p>
        </w:tc>
        <w:tc>
          <w:tcPr>
            <w:tcW w:type="dxa" w:w="5141"/>
            <w:shd w:fill="D9E5F2"/>
          </w:tcPr>
          <w:p>
            <w:r>
              <w:rPr>
                <w:b/>
                <w:sz w:val="14"/>
              </w:rPr>
              <w:t>Function</w:t>
            </w:r>
          </w:p>
        </w:tc>
      </w:tr>
      <w:tr>
        <w:tc>
          <w:tcPr>
            <w:tcW w:type="dxa" w:w="5141"/>
            <w:vAlign w:val="top"/>
          </w:tcPr>
          <w:p>
            <w:pPr>
              <w:spacing w:after="0"/>
            </w:pPr>
            <w:r>
              <w:rPr>
                <w:sz w:val="14"/>
              </w:rPr>
              <w:t>Cabinet / PMO / designated ministers</w:t>
            </w:r>
          </w:p>
        </w:tc>
        <w:tc>
          <w:tcPr>
            <w:tcW w:type="dxa" w:w="5141"/>
            <w:vAlign w:val="top"/>
          </w:tcPr>
          <w:p>
            <w:pPr>
              <w:spacing w:after="0"/>
            </w:pPr>
            <w:r>
              <w:rPr>
                <w:sz w:val="14"/>
              </w:rPr>
              <w:t>Set policy objectives and receive strategic assessments; do not direct analytic conclusions.</w:t>
            </w:r>
          </w:p>
        </w:tc>
      </w:tr>
      <w:tr>
        <w:tc>
          <w:tcPr>
            <w:tcW w:type="dxa" w:w="5141"/>
            <w:vAlign w:val="top"/>
          </w:tcPr>
          <w:p>
            <w:pPr>
              <w:spacing w:after="0"/>
            </w:pPr>
            <w:r>
              <w:rPr>
                <w:sz w:val="14"/>
              </w:rPr>
              <w:t>Privy Council Office coordinating secretariat</w:t>
            </w:r>
          </w:p>
        </w:tc>
        <w:tc>
          <w:tcPr>
            <w:tcW w:type="dxa" w:w="5141"/>
            <w:vAlign w:val="top"/>
          </w:tcPr>
          <w:p>
            <w:pPr>
              <w:spacing w:after="0"/>
            </w:pPr>
            <w:r>
              <w:rPr>
                <w:sz w:val="14"/>
              </w:rPr>
              <w:t>Owns the integrated process, meeting rhythm, tasking discipline and escalation to senior decision-makers.</w:t>
            </w:r>
          </w:p>
        </w:tc>
      </w:tr>
      <w:tr>
        <w:tc>
          <w:tcPr>
            <w:tcW w:type="dxa" w:w="5141"/>
            <w:vAlign w:val="top"/>
          </w:tcPr>
          <w:p>
            <w:pPr>
              <w:spacing w:after="0"/>
            </w:pPr>
            <w:r>
              <w:rPr>
                <w:sz w:val="14"/>
              </w:rPr>
              <w:t>Global Affairs Canada</w:t>
            </w:r>
          </w:p>
        </w:tc>
        <w:tc>
          <w:tcPr>
            <w:tcW w:type="dxa" w:w="5141"/>
            <w:vAlign w:val="top"/>
          </w:tcPr>
          <w:p>
            <w:pPr>
              <w:spacing w:after="0"/>
            </w:pPr>
            <w:r>
              <w:rPr>
                <w:sz w:val="14"/>
              </w:rPr>
              <w:t>Diplomatic reporting, U.S. federal/state engagement, trade-policy signals, partner-country reporting.</w:t>
            </w:r>
          </w:p>
        </w:tc>
      </w:tr>
      <w:tr>
        <w:tc>
          <w:tcPr>
            <w:tcW w:type="dxa" w:w="5141"/>
            <w:vAlign w:val="top"/>
          </w:tcPr>
          <w:p>
            <w:pPr>
              <w:spacing w:after="0"/>
            </w:pPr>
            <w:r>
              <w:rPr>
                <w:sz w:val="14"/>
              </w:rPr>
              <w:t>Finance Canada</w:t>
            </w:r>
          </w:p>
        </w:tc>
        <w:tc>
          <w:tcPr>
            <w:tcW w:type="dxa" w:w="5141"/>
            <w:vAlign w:val="top"/>
          </w:tcPr>
          <w:p>
            <w:pPr>
              <w:spacing w:after="0"/>
            </w:pPr>
            <w:r>
              <w:rPr>
                <w:sz w:val="14"/>
              </w:rPr>
              <w:t>Tariff, fiscal, financial-market, support-program and macroeconomic implications.</w:t>
            </w:r>
          </w:p>
        </w:tc>
      </w:tr>
      <w:tr>
        <w:tc>
          <w:tcPr>
            <w:tcW w:type="dxa" w:w="5141"/>
            <w:vAlign w:val="top"/>
          </w:tcPr>
          <w:p>
            <w:pPr>
              <w:spacing w:after="0"/>
            </w:pPr>
            <w:r>
              <w:rPr>
                <w:sz w:val="14"/>
              </w:rPr>
              <w:t>ISED / NRCan / Agriculture / Transport / ESDC</w:t>
            </w:r>
          </w:p>
        </w:tc>
        <w:tc>
          <w:tcPr>
            <w:tcW w:type="dxa" w:w="5141"/>
            <w:vAlign w:val="top"/>
          </w:tcPr>
          <w:p>
            <w:pPr>
              <w:spacing w:after="0"/>
            </w:pPr>
            <w:r>
              <w:rPr>
                <w:sz w:val="14"/>
              </w:rPr>
              <w:t>Sector, capacity, supply-chain, labour and industrial signals.</w:t>
            </w:r>
          </w:p>
        </w:tc>
      </w:tr>
      <w:tr>
        <w:tc>
          <w:tcPr>
            <w:tcW w:type="dxa" w:w="5141"/>
            <w:vAlign w:val="top"/>
          </w:tcPr>
          <w:p>
            <w:pPr>
              <w:spacing w:after="0"/>
            </w:pPr>
            <w:r>
              <w:rPr>
                <w:sz w:val="14"/>
              </w:rPr>
              <w:t>Statistics Canada / Bank of Canada public products</w:t>
            </w:r>
          </w:p>
        </w:tc>
        <w:tc>
          <w:tcPr>
            <w:tcW w:type="dxa" w:w="5141"/>
            <w:vAlign w:val="top"/>
          </w:tcPr>
          <w:p>
            <w:pPr>
              <w:spacing w:after="0"/>
            </w:pPr>
            <w:r>
              <w:rPr>
                <w:sz w:val="14"/>
              </w:rPr>
              <w:t>Authoritative public economic data and business/economic surveys.</w:t>
            </w:r>
          </w:p>
        </w:tc>
      </w:tr>
      <w:tr>
        <w:tc>
          <w:tcPr>
            <w:tcW w:type="dxa" w:w="5141"/>
            <w:vAlign w:val="top"/>
          </w:tcPr>
          <w:p>
            <w:pPr>
              <w:spacing w:after="0"/>
            </w:pPr>
            <w:r>
              <w:rPr>
                <w:sz w:val="14"/>
              </w:rPr>
              <w:t>Justice Canada / legal services</w:t>
            </w:r>
          </w:p>
        </w:tc>
        <w:tc>
          <w:tcPr>
            <w:tcW w:type="dxa" w:w="5141"/>
            <w:vAlign w:val="top"/>
          </w:tcPr>
          <w:p>
            <w:pPr>
              <w:spacing w:after="0"/>
            </w:pPr>
            <w:r>
              <w:rPr>
                <w:sz w:val="14"/>
              </w:rPr>
              <w:t>Legal developments, litigation, authority, trade-law and constitutional risk.</w:t>
            </w:r>
          </w:p>
        </w:tc>
      </w:tr>
      <w:tr>
        <w:tc>
          <w:tcPr>
            <w:tcW w:type="dxa" w:w="5141"/>
            <w:vAlign w:val="top"/>
          </w:tcPr>
          <w:p>
            <w:pPr>
              <w:spacing w:after="0"/>
            </w:pPr>
            <w:r>
              <w:rPr>
                <w:sz w:val="14"/>
              </w:rPr>
              <w:t>Public Safety / authorized security agencies</w:t>
            </w:r>
          </w:p>
        </w:tc>
        <w:tc>
          <w:tcPr>
            <w:tcW w:type="dxa" w:w="5141"/>
            <w:vAlign w:val="top"/>
          </w:tcPr>
          <w:p>
            <w:pPr>
              <w:spacing w:after="0"/>
            </w:pPr>
            <w:r>
              <w:rPr>
                <w:sz w:val="14"/>
              </w:rPr>
              <w:t>Security/intelligence reporting within mandate and dissemination rules.</w:t>
            </w:r>
          </w:p>
        </w:tc>
      </w:tr>
      <w:tr>
        <w:tc>
          <w:tcPr>
            <w:tcW w:type="dxa" w:w="5141"/>
            <w:vAlign w:val="top"/>
          </w:tcPr>
          <w:p>
            <w:pPr>
              <w:spacing w:after="0"/>
            </w:pPr>
            <w:r>
              <w:rPr>
                <w:sz w:val="14"/>
              </w:rPr>
              <w:t>Provinces and territories</w:t>
            </w:r>
          </w:p>
        </w:tc>
        <w:tc>
          <w:tcPr>
            <w:tcW w:type="dxa" w:w="5141"/>
            <w:vAlign w:val="top"/>
          </w:tcPr>
          <w:p>
            <w:pPr>
              <w:spacing w:after="0"/>
            </w:pPr>
            <w:r>
              <w:rPr>
                <w:sz w:val="14"/>
              </w:rPr>
              <w:t>Regional economic conditions, sector intelligence, U.S. state relationships and implementation effects.</w:t>
            </w:r>
          </w:p>
        </w:tc>
      </w:tr>
      <w:tr>
        <w:tc>
          <w:tcPr>
            <w:tcW w:type="dxa" w:w="5141"/>
            <w:vAlign w:val="top"/>
          </w:tcPr>
          <w:p>
            <w:pPr>
              <w:spacing w:after="0"/>
            </w:pPr>
            <w:r>
              <w:rPr>
                <w:sz w:val="14"/>
              </w:rPr>
              <w:t>ESSAC analytic team</w:t>
            </w:r>
          </w:p>
        </w:tc>
        <w:tc>
          <w:tcPr>
            <w:tcW w:type="dxa" w:w="5141"/>
            <w:vAlign w:val="top"/>
          </w:tcPr>
          <w:p>
            <w:pPr>
              <w:spacing w:after="0"/>
            </w:pPr>
            <w:r>
              <w:rPr>
                <w:sz w:val="14"/>
              </w:rPr>
              <w:t>Integrates evidence, tests hypotheses, produces DPA and warnings; does not collect beyond participating authorities.</w:t>
            </w:r>
          </w:p>
        </w:tc>
      </w:tr>
    </w:tbl>
    <w:p>
      <w:pPr>
        <w:pStyle w:val="Heading2"/>
        <w:keepNext/>
        <w:spacing w:before="120" w:after="50"/>
      </w:pPr>
      <w:bookmarkStart w:id="508" w:name="_Toc9400508"/>
      <w:r>
        <w:t>Governance Rule</w:t>
      </w:r>
      <w:bookmarkEnd w:id="508"/>
    </w:p>
    <w:p>
      <w:r>
        <w:rPr>
          <w:b w:val="0"/>
          <w:i w:val="0"/>
        </w:rPr>
        <w:t>The assessment function should be separated from advocacy. Officials negotiating with a counterpart may contribute reporting, but the team scoring de-escalation probability must be free to conclude that negotiations are deteriorating even when negotiators remain publicly optimistic.</w:t>
      </w:r>
    </w:p>
    <w:p>
      <w:r>
        <w:br w:type="page"/>
      </w:r>
    </w:p>
    <w:p>
      <w:pPr>
        <w:pStyle w:val="Heading1"/>
        <w:keepNext/>
        <w:spacing w:before="120" w:after="50"/>
      </w:pPr>
      <w:bookmarkStart w:id="509" w:name="_Toc9400509"/>
      <w:r>
        <w:t>3. Information Architecture: The Eight Streams</w:t>
      </w:r>
      <w:bookmarkEnd w:id="509"/>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Stream</w:t>
            </w:r>
          </w:p>
        </w:tc>
        <w:tc>
          <w:tcPr>
            <w:tcW w:type="dxa" w:w="3427"/>
            <w:shd w:fill="D9E5F2"/>
          </w:tcPr>
          <w:p>
            <w:r>
              <w:rPr>
                <w:b/>
                <w:sz w:val="14"/>
              </w:rPr>
              <w:t>Examples</w:t>
            </w:r>
          </w:p>
        </w:tc>
        <w:tc>
          <w:tcPr>
            <w:tcW w:type="dxa" w:w="3427"/>
            <w:shd w:fill="D9E5F2"/>
          </w:tcPr>
          <w:p>
            <w:r>
              <w:rPr>
                <w:b/>
                <w:sz w:val="14"/>
              </w:rPr>
              <w:t>Primary value</w:t>
            </w:r>
          </w:p>
        </w:tc>
      </w:tr>
      <w:tr>
        <w:tc>
          <w:tcPr>
            <w:tcW w:type="dxa" w:w="3427"/>
            <w:vAlign w:val="top"/>
          </w:tcPr>
          <w:p>
            <w:pPr>
              <w:spacing w:after="0"/>
            </w:pPr>
            <w:r>
              <w:rPr>
                <w:sz w:val="14"/>
              </w:rPr>
              <w:t>1 Diplomatic reporting</w:t>
            </w:r>
          </w:p>
        </w:tc>
        <w:tc>
          <w:tcPr>
            <w:tcW w:type="dxa" w:w="3427"/>
            <w:vAlign w:val="top"/>
          </w:tcPr>
          <w:p>
            <w:pPr>
              <w:spacing w:after="0"/>
            </w:pPr>
            <w:r>
              <w:rPr>
                <w:sz w:val="14"/>
              </w:rPr>
              <w:t>Embassy/consulate reporting; formal and informal government contacts</w:t>
            </w:r>
          </w:p>
        </w:tc>
        <w:tc>
          <w:tcPr>
            <w:tcW w:type="dxa" w:w="3427"/>
            <w:vAlign w:val="top"/>
          </w:tcPr>
          <w:p>
            <w:pPr>
              <w:spacing w:after="0"/>
            </w:pPr>
            <w:r>
              <w:rPr>
                <w:sz w:val="14"/>
              </w:rPr>
              <w:t>Intent, constraints, decision-maker signals</w:t>
            </w:r>
          </w:p>
        </w:tc>
      </w:tr>
      <w:tr>
        <w:tc>
          <w:tcPr>
            <w:tcW w:type="dxa" w:w="3427"/>
            <w:vAlign w:val="top"/>
          </w:tcPr>
          <w:p>
            <w:pPr>
              <w:spacing w:after="0"/>
            </w:pPr>
            <w:r>
              <w:rPr>
                <w:sz w:val="14"/>
              </w:rPr>
              <w:t>2 Public economic intelligence</w:t>
            </w:r>
          </w:p>
        </w:tc>
        <w:tc>
          <w:tcPr>
            <w:tcW w:type="dxa" w:w="3427"/>
            <w:vAlign w:val="top"/>
          </w:tcPr>
          <w:p>
            <w:pPr>
              <w:spacing w:after="0"/>
            </w:pPr>
            <w:r>
              <w:rPr>
                <w:sz w:val="14"/>
              </w:rPr>
              <w:t>Trade, employment, inflation, production, freight, inventories, investment</w:t>
            </w:r>
          </w:p>
        </w:tc>
        <w:tc>
          <w:tcPr>
            <w:tcW w:type="dxa" w:w="3427"/>
            <w:vAlign w:val="top"/>
          </w:tcPr>
          <w:p>
            <w:pPr>
              <w:spacing w:after="0"/>
            </w:pPr>
            <w:r>
              <w:rPr>
                <w:sz w:val="14"/>
              </w:rPr>
              <w:t>Observed economic effects</w:t>
            </w:r>
          </w:p>
        </w:tc>
      </w:tr>
      <w:tr>
        <w:tc>
          <w:tcPr>
            <w:tcW w:type="dxa" w:w="3427"/>
            <w:vAlign w:val="top"/>
          </w:tcPr>
          <w:p>
            <w:pPr>
              <w:spacing w:after="0"/>
            </w:pPr>
            <w:r>
              <w:rPr>
                <w:sz w:val="14"/>
              </w:rPr>
              <w:t>3 Business consultations</w:t>
            </w:r>
          </w:p>
        </w:tc>
        <w:tc>
          <w:tcPr>
            <w:tcW w:type="dxa" w:w="3427"/>
            <w:vAlign w:val="top"/>
          </w:tcPr>
          <w:p>
            <w:pPr>
              <w:spacing w:after="0"/>
            </w:pPr>
            <w:r>
              <w:rPr>
                <w:sz w:val="14"/>
              </w:rPr>
              <w:t>Exporters, importers, SMEs, labour, industry associations, logistics providers</w:t>
            </w:r>
          </w:p>
        </w:tc>
        <w:tc>
          <w:tcPr>
            <w:tcW w:type="dxa" w:w="3427"/>
            <w:vAlign w:val="top"/>
          </w:tcPr>
          <w:p>
            <w:pPr>
              <w:spacing w:after="0"/>
            </w:pPr>
            <w:r>
              <w:rPr>
                <w:sz w:val="14"/>
              </w:rPr>
              <w:t>Operational reality and forward plans</w:t>
            </w:r>
          </w:p>
        </w:tc>
      </w:tr>
      <w:tr>
        <w:tc>
          <w:tcPr>
            <w:tcW w:type="dxa" w:w="3427"/>
            <w:vAlign w:val="top"/>
          </w:tcPr>
          <w:p>
            <w:pPr>
              <w:spacing w:after="0"/>
            </w:pPr>
            <w:r>
              <w:rPr>
                <w:sz w:val="14"/>
              </w:rPr>
              <w:t>4 Congressional/state engagement</w:t>
            </w:r>
          </w:p>
        </w:tc>
        <w:tc>
          <w:tcPr>
            <w:tcW w:type="dxa" w:w="3427"/>
            <w:vAlign w:val="top"/>
          </w:tcPr>
          <w:p>
            <w:pPr>
              <w:spacing w:after="0"/>
            </w:pPr>
            <w:r>
              <w:rPr>
                <w:sz w:val="14"/>
              </w:rPr>
              <w:t>Committees, staff, governors, state agencies, legislators</w:t>
            </w:r>
          </w:p>
        </w:tc>
        <w:tc>
          <w:tcPr>
            <w:tcW w:type="dxa" w:w="3427"/>
            <w:vAlign w:val="top"/>
          </w:tcPr>
          <w:p>
            <w:pPr>
              <w:spacing w:after="0"/>
            </w:pPr>
            <w:r>
              <w:rPr>
                <w:sz w:val="14"/>
              </w:rPr>
              <w:t>Institutional movement and regional pressure</w:t>
            </w:r>
          </w:p>
        </w:tc>
      </w:tr>
      <w:tr>
        <w:tc>
          <w:tcPr>
            <w:tcW w:type="dxa" w:w="3427"/>
            <w:vAlign w:val="top"/>
          </w:tcPr>
          <w:p>
            <w:pPr>
              <w:spacing w:after="0"/>
            </w:pPr>
            <w:r>
              <w:rPr>
                <w:sz w:val="14"/>
              </w:rPr>
              <w:t>5 Market indicators</w:t>
            </w:r>
          </w:p>
        </w:tc>
        <w:tc>
          <w:tcPr>
            <w:tcW w:type="dxa" w:w="3427"/>
            <w:vAlign w:val="top"/>
          </w:tcPr>
          <w:p>
            <w:pPr>
              <w:spacing w:after="0"/>
            </w:pPr>
            <w:r>
              <w:rPr>
                <w:sz w:val="14"/>
              </w:rPr>
              <w:t>FX, equities, bonds, commodities, freight, credit, futures</w:t>
            </w:r>
          </w:p>
        </w:tc>
        <w:tc>
          <w:tcPr>
            <w:tcW w:type="dxa" w:w="3427"/>
            <w:vAlign w:val="top"/>
          </w:tcPr>
          <w:p>
            <w:pPr>
              <w:spacing w:after="0"/>
            </w:pPr>
            <w:r>
              <w:rPr>
                <w:sz w:val="14"/>
              </w:rPr>
              <w:t>Fast-moving stress and expectations</w:t>
            </w:r>
          </w:p>
        </w:tc>
      </w:tr>
      <w:tr>
        <w:tc>
          <w:tcPr>
            <w:tcW w:type="dxa" w:w="3427"/>
            <w:vAlign w:val="top"/>
          </w:tcPr>
          <w:p>
            <w:pPr>
              <w:spacing w:after="0"/>
            </w:pPr>
            <w:r>
              <w:rPr>
                <w:sz w:val="14"/>
              </w:rPr>
              <w:t>6 Legal/regulatory developments</w:t>
            </w:r>
          </w:p>
        </w:tc>
        <w:tc>
          <w:tcPr>
            <w:tcW w:type="dxa" w:w="3427"/>
            <w:vAlign w:val="top"/>
          </w:tcPr>
          <w:p>
            <w:pPr>
              <w:spacing w:after="0"/>
            </w:pPr>
            <w:r>
              <w:rPr>
                <w:sz w:val="14"/>
              </w:rPr>
              <w:t>Court cases, executive authorities, customs guidance, statutes, disputes</w:t>
            </w:r>
          </w:p>
        </w:tc>
        <w:tc>
          <w:tcPr>
            <w:tcW w:type="dxa" w:w="3427"/>
            <w:vAlign w:val="top"/>
          </w:tcPr>
          <w:p>
            <w:pPr>
              <w:spacing w:after="0"/>
            </w:pPr>
            <w:r>
              <w:rPr>
                <w:sz w:val="14"/>
              </w:rPr>
              <w:t>Feasible policy space and constraints</w:t>
            </w:r>
          </w:p>
        </w:tc>
      </w:tr>
      <w:tr>
        <w:tc>
          <w:tcPr>
            <w:tcW w:type="dxa" w:w="3427"/>
            <w:vAlign w:val="top"/>
          </w:tcPr>
          <w:p>
            <w:pPr>
              <w:spacing w:after="0"/>
            </w:pPr>
            <w:r>
              <w:rPr>
                <w:sz w:val="14"/>
              </w:rPr>
              <w:t>7 Media/public-opinion analysis</w:t>
            </w:r>
          </w:p>
        </w:tc>
        <w:tc>
          <w:tcPr>
            <w:tcW w:type="dxa" w:w="3427"/>
            <w:vAlign w:val="top"/>
          </w:tcPr>
          <w:p>
            <w:pPr>
              <w:spacing w:after="0"/>
            </w:pPr>
            <w:r>
              <w:rPr>
                <w:sz w:val="14"/>
              </w:rPr>
              <w:t>Transparent media monitoring; compliant POR; public surveys</w:t>
            </w:r>
          </w:p>
        </w:tc>
        <w:tc>
          <w:tcPr>
            <w:tcW w:type="dxa" w:w="3427"/>
            <w:vAlign w:val="top"/>
          </w:tcPr>
          <w:p>
            <w:pPr>
              <w:spacing w:after="0"/>
            </w:pPr>
            <w:r>
              <w:rPr>
                <w:sz w:val="14"/>
              </w:rPr>
              <w:t>Narrative, salience, legitimacy, public tolerance</w:t>
            </w:r>
          </w:p>
        </w:tc>
      </w:tr>
      <w:tr>
        <w:tc>
          <w:tcPr>
            <w:tcW w:type="dxa" w:w="3427"/>
            <w:vAlign w:val="top"/>
          </w:tcPr>
          <w:p>
            <w:pPr>
              <w:spacing w:after="0"/>
            </w:pPr>
            <w:r>
              <w:rPr>
                <w:sz w:val="14"/>
              </w:rPr>
              <w:t>8 Authorized intelligence</w:t>
            </w:r>
          </w:p>
        </w:tc>
        <w:tc>
          <w:tcPr>
            <w:tcW w:type="dxa" w:w="3427"/>
            <w:vAlign w:val="top"/>
          </w:tcPr>
          <w:p>
            <w:pPr>
              <w:spacing w:after="0"/>
            </w:pPr>
            <w:r>
              <w:rPr>
                <w:sz w:val="14"/>
              </w:rPr>
              <w:t>Lawfully collected/disseminated security intelligence</w:t>
            </w:r>
          </w:p>
        </w:tc>
        <w:tc>
          <w:tcPr>
            <w:tcW w:type="dxa" w:w="3427"/>
            <w:vAlign w:val="top"/>
          </w:tcPr>
          <w:p>
            <w:pPr>
              <w:spacing w:after="0"/>
            </w:pPr>
            <w:r>
              <w:rPr>
                <w:sz w:val="14"/>
              </w:rPr>
              <w:t>Foreign interference, covert state activity, threat context where relevant</w:t>
            </w:r>
          </w:p>
        </w:tc>
      </w:tr>
    </w:tbl>
    <w:p>
      <w:r>
        <w:rPr>
          <w:b w:val="0"/>
          <w:i w:val="0"/>
        </w:rPr>
        <w:t>Streams are deliberately heterogeneous. A market move is not treated as equivalent to a diplomatic message; a news story is not equivalent to a statute; an anonymous business concern is not equivalent to verified customs data. Integration happens after provenance and reliability are recorded.</w:t>
      </w:r>
    </w:p>
    <w:p>
      <w:pPr>
        <w:pStyle w:val="Heading2"/>
        <w:keepNext/>
        <w:spacing w:before="120" w:after="50"/>
      </w:pPr>
      <w:bookmarkStart w:id="510" w:name="_Toc9400510"/>
      <w:r>
        <w:t>Source-Tiering Rule</w:t>
      </w:r>
      <w:bookmarkEnd w:id="510"/>
    </w:p>
    <w:p>
      <w:r>
        <w:rPr>
          <w:b w:val="0"/>
          <w:i w:val="0"/>
        </w:rPr>
        <w:t>Every material item receives a source type, date, owner, reliability note, sensitivity marking, relevance to a named hypothesis, and corroboration status. The system should make it difficult to paste a dramatic headline into a briefing deck without showing what kind of evidence it actually is.</w:t>
      </w:r>
    </w:p>
    <w:p>
      <w:r>
        <w:br w:type="page"/>
      </w:r>
    </w:p>
    <w:p>
      <w:pPr>
        <w:pStyle w:val="Heading1"/>
        <w:keepNext/>
        <w:spacing w:before="120" w:after="50"/>
      </w:pPr>
      <w:bookmarkStart w:id="511" w:name="_Toc9400511"/>
      <w:r>
        <w:t>4. Diplomatic Reporting</w:t>
      </w:r>
      <w:bookmarkEnd w:id="511"/>
    </w:p>
    <w:p>
      <w:pPr>
        <w:pStyle w:val="Heading2"/>
        <w:keepNext/>
        <w:spacing w:before="120" w:after="50"/>
      </w:pPr>
      <w:bookmarkStart w:id="512" w:name="_Toc9400512"/>
      <w:r>
        <w:t>What belongs</w:t>
      </w:r>
      <w:bookmarkEnd w:id="512"/>
    </w:p>
    <w:p>
      <w:r>
        <w:rPr>
          <w:b w:val="0"/>
          <w:i w:val="0"/>
        </w:rPr>
        <w:t>Formal diplomatic exchanges; ambassador/minister contacts; embassy and consulate reporting; readouts; demarches; counterpart requests; state-level contacts; partner-government assessments.</w:t>
      </w:r>
    </w:p>
    <w:p>
      <w:pPr>
        <w:pStyle w:val="Heading2"/>
        <w:keepNext/>
        <w:spacing w:before="120" w:after="50"/>
      </w:pPr>
      <w:bookmarkStart w:id="513" w:name="_Toc9400513"/>
      <w:r>
        <w:t>What it can reveal</w:t>
      </w:r>
      <w:bookmarkEnd w:id="513"/>
    </w:p>
    <w:p>
      <w:r>
        <w:rPr>
          <w:b w:val="0"/>
          <w:i w:val="0"/>
        </w:rPr>
        <w:t>Decision-maker intent, internal constraints, sequencing preferences, face-saving requirements, seriousness of offers, and whether public rhetoric differs from private negotiating posture.</w:t>
      </w:r>
    </w:p>
    <w:p>
      <w:pPr>
        <w:pStyle w:val="Heading2"/>
        <w:keepNext/>
        <w:spacing w:before="120" w:after="50"/>
      </w:pPr>
      <w:bookmarkStart w:id="514" w:name="_Toc9400514"/>
      <w:r>
        <w:t>What it cannot prove</w:t>
      </w:r>
      <w:bookmarkEnd w:id="514"/>
    </w:p>
    <w:p>
      <w:r>
        <w:rPr>
          <w:b w:val="0"/>
          <w:i w:val="0"/>
        </w:rPr>
        <w:t>A private assurance is not implementation. One official may not represent the whole administration. Access can create selection bias.</w:t>
      </w:r>
    </w:p>
    <w:p>
      <w:pPr>
        <w:pStyle w:val="Heading2"/>
        <w:keepNext/>
        <w:spacing w:before="120" w:after="50"/>
      </w:pPr>
      <w:bookmarkStart w:id="515" w:name="_Toc9400515"/>
      <w:r>
        <w:t>Discipline</w:t>
      </w:r>
      <w:bookmarkEnd w:id="515"/>
    </w:p>
    <w:p>
      <w:r>
        <w:rPr>
          <w:b w:val="0"/>
          <w:i w:val="0"/>
        </w:rPr>
        <w:t>Record who spoke, in what capacity, whether the statement was first-hand, whether it was authorized, and what observable action should follow if the signal is genuine.</w:t>
      </w:r>
    </w:p>
    <w:p>
      <w:pPr>
        <w:pStyle w:val="Heading2"/>
        <w:keepNext/>
        <w:spacing w:before="120" w:after="50"/>
      </w:pPr>
      <w:bookmarkStart w:id="516" w:name="_Toc9400516"/>
      <w:r>
        <w:t>Required Metadata</w:t>
      </w:r>
      <w:bookmarkEnd w:id="516"/>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bookmarkStart w:id="517" w:name="_Toc9400517"/>
      <w:r>
        <w:t>5. Public Economic Intelligence</w:t>
      </w:r>
      <w:bookmarkEnd w:id="517"/>
    </w:p>
    <w:p>
      <w:pPr>
        <w:pStyle w:val="Heading2"/>
        <w:keepNext/>
        <w:spacing w:before="120" w:after="50"/>
      </w:pPr>
      <w:bookmarkStart w:id="518" w:name="_Toc9400518"/>
      <w:r>
        <w:t>Core sources</w:t>
      </w:r>
      <w:bookmarkEnd w:id="518"/>
    </w:p>
    <w:p>
      <w:r>
        <w:rPr>
          <w:b w:val="0"/>
          <w:i w:val="0"/>
        </w:rPr>
        <w:t>Statistics Canada trade tables, labour and price data; Bank of Canada surveys and monetary reports; U.S. public statistics; customs notices; corporate filings; port/freight data; commodity and energy agencies.</w:t>
      </w:r>
    </w:p>
    <w:p>
      <w:pPr>
        <w:pStyle w:val="Heading2"/>
        <w:keepNext/>
        <w:spacing w:before="120" w:after="50"/>
      </w:pPr>
      <w:bookmarkStart w:id="519" w:name="_Toc9400519"/>
      <w:r>
        <w:t>Current capability</w:t>
      </w:r>
      <w:bookmarkEnd w:id="519"/>
    </w:p>
    <w:p>
      <w:r>
        <w:rPr>
          <w:b w:val="0"/>
          <w:i w:val="0"/>
        </w:rPr>
        <w:t>Statistics Canada publishes monthly merchandise trade by partner, commodity, industry, origin/destination and mode. These permit rapid measurement of diversion, substitution and sector exposure.</w:t>
      </w:r>
    </w:p>
    <w:p>
      <w:pPr>
        <w:pStyle w:val="Heading2"/>
        <w:keepNext/>
        <w:spacing w:before="120" w:after="50"/>
      </w:pPr>
      <w:bookmarkStart w:id="520" w:name="_Toc9400520"/>
      <w:r>
        <w:t>Use</w:t>
      </w:r>
      <w:bookmarkEnd w:id="520"/>
    </w:p>
    <w:p>
      <w:r>
        <w:rPr>
          <w:b w:val="0"/>
          <w:i w:val="0"/>
        </w:rPr>
        <w:t>Separate rhetoric from realized effects. Track whether tariffs are changing quantities, prices, inventories, investment, employment and market shares.</w:t>
      </w:r>
    </w:p>
    <w:p>
      <w:pPr>
        <w:pStyle w:val="Heading2"/>
        <w:keepNext/>
        <w:spacing w:before="120" w:after="50"/>
      </w:pPr>
      <w:bookmarkStart w:id="521" w:name="_Toc9400521"/>
      <w:r>
        <w:t>Discipline</w:t>
      </w:r>
      <w:bookmarkEnd w:id="521"/>
    </w:p>
    <w:p>
      <w:r>
        <w:rPr>
          <w:b w:val="0"/>
          <w:i w:val="0"/>
        </w:rPr>
        <w:t>Use revisions and real-time tables where available. Distinguish nominal value changes from price and volume changes. Avoid claiming causation from one monthly observation.</w:t>
      </w:r>
    </w:p>
    <w:p>
      <w:pPr>
        <w:pStyle w:val="Heading2"/>
        <w:keepNext/>
        <w:spacing w:before="120" w:after="50"/>
      </w:pPr>
      <w:bookmarkStart w:id="522" w:name="_Toc9400522"/>
      <w:r>
        <w:t>Required Metadata</w:t>
      </w:r>
      <w:bookmarkEnd w:id="522"/>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bookmarkStart w:id="523" w:name="_Toc9400523"/>
      <w:r>
        <w:t>6. Business and Labour Consultations</w:t>
      </w:r>
      <w:bookmarkEnd w:id="523"/>
    </w:p>
    <w:p>
      <w:pPr>
        <w:pStyle w:val="Heading2"/>
        <w:keepNext/>
        <w:spacing w:before="120" w:after="50"/>
      </w:pPr>
      <w:bookmarkStart w:id="524" w:name="_Toc9400524"/>
      <w:r>
        <w:t>Participants</w:t>
      </w:r>
      <w:bookmarkEnd w:id="524"/>
    </w:p>
    <w:p>
      <w:r>
        <w:rPr>
          <w:b w:val="0"/>
          <w:i w:val="0"/>
        </w:rPr>
        <w:t>Large exporters/importers, SMEs, sector associations, unions, ports, railways, trucking, energy operators, banks, insurers, retailers, Indigenous economic organizations and regional development actors.</w:t>
      </w:r>
    </w:p>
    <w:p>
      <w:pPr>
        <w:pStyle w:val="Heading2"/>
        <w:keepNext/>
        <w:spacing w:before="120" w:after="50"/>
      </w:pPr>
      <w:bookmarkStart w:id="525" w:name="_Toc9400525"/>
      <w:r>
        <w:t>Questions</w:t>
      </w:r>
      <w:bookmarkEnd w:id="525"/>
    </w:p>
    <w:p>
      <w:r>
        <w:rPr>
          <w:b w:val="0"/>
          <w:i w:val="0"/>
        </w:rPr>
        <w:t>Orders cancelled? Contracts repriced? Customs delays? Inventory changes? Supplier substitution? Layoffs? Investment postponed? U.S. customers asking for workarounds? Settlement signals from counterpart firms?</w:t>
      </w:r>
    </w:p>
    <w:p>
      <w:pPr>
        <w:pStyle w:val="Heading2"/>
        <w:keepNext/>
        <w:spacing w:before="120" w:after="50"/>
      </w:pPr>
      <w:bookmarkStart w:id="526" w:name="_Toc9400526"/>
      <w:r>
        <w:t>Safeguards</w:t>
      </w:r>
      <w:bookmarkEnd w:id="526"/>
    </w:p>
    <w:p>
      <w:r>
        <w:rPr>
          <w:b w:val="0"/>
          <w:i w:val="0"/>
        </w:rPr>
        <w:t>Voluntary participation; clear purpose; commercial confidentiality; competition-law awareness; no demand for privileged or unlawfully obtained information.</w:t>
      </w:r>
    </w:p>
    <w:p>
      <w:pPr>
        <w:pStyle w:val="Heading2"/>
        <w:keepNext/>
        <w:spacing w:before="120" w:after="50"/>
      </w:pPr>
      <w:bookmarkStart w:id="527" w:name="_Toc9400527"/>
      <w:r>
        <w:t>Bias control</w:t>
      </w:r>
      <w:bookmarkEnd w:id="527"/>
    </w:p>
    <w:p>
      <w:r>
        <w:rPr>
          <w:b w:val="0"/>
          <w:i w:val="0"/>
        </w:rPr>
        <w:t>Large firms have louder voices. Use structured sampling and regional/SME channels. Compare claims against observable data.</w:t>
      </w:r>
    </w:p>
    <w:p>
      <w:pPr>
        <w:pStyle w:val="Heading2"/>
        <w:keepNext/>
        <w:spacing w:before="120" w:after="50"/>
      </w:pPr>
      <w:bookmarkStart w:id="528" w:name="_Toc9400528"/>
      <w:r>
        <w:t>Required Metadata</w:t>
      </w:r>
      <w:bookmarkEnd w:id="528"/>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bookmarkStart w:id="529" w:name="_Toc9400529"/>
      <w:r>
        <w:t>7. Congressional and State Engagement</w:t>
      </w:r>
      <w:bookmarkEnd w:id="529"/>
    </w:p>
    <w:p>
      <w:pPr>
        <w:pStyle w:val="Heading2"/>
        <w:keepNext/>
        <w:spacing w:before="120" w:after="50"/>
      </w:pPr>
      <w:bookmarkStart w:id="530" w:name="_Toc9400530"/>
      <w:r>
        <w:t>Purpose</w:t>
      </w:r>
      <w:bookmarkEnd w:id="530"/>
    </w:p>
    <w:p>
      <w:r>
        <w:rPr>
          <w:b w:val="0"/>
          <w:i w:val="0"/>
        </w:rPr>
        <w:t>Understand legislative capacity, committee interest, state-level economic effects, bipartisan coalitions, and whether institutional actors are moving toward escalation, restraint or negotiated resolution.</w:t>
      </w:r>
    </w:p>
    <w:p>
      <w:pPr>
        <w:pStyle w:val="Heading2"/>
        <w:keepNext/>
        <w:spacing w:before="120" w:after="50"/>
      </w:pPr>
      <w:bookmarkStart w:id="531" w:name="_Toc9400531"/>
      <w:r>
        <w:t>Permitted activity</w:t>
      </w:r>
      <w:bookmarkEnd w:id="531"/>
    </w:p>
    <w:p>
      <w:r>
        <w:rPr>
          <w:b w:val="0"/>
          <w:i w:val="0"/>
        </w:rPr>
        <w:t>Normal transparent diplomacy: briefings, meetings, factual economic material, committee/staff engagement, governor/state-agency contacts, consular outreach.</w:t>
      </w:r>
    </w:p>
    <w:p>
      <w:pPr>
        <w:pStyle w:val="Heading2"/>
        <w:keepNext/>
        <w:spacing w:before="120" w:after="50"/>
      </w:pPr>
      <w:bookmarkStart w:id="532" w:name="_Toc9400532"/>
      <w:r>
        <w:t>Firewall</w:t>
      </w:r>
      <w:bookmarkEnd w:id="532"/>
    </w:p>
    <w:p>
      <w:r>
        <w:rPr>
          <w:b w:val="0"/>
          <w:i w:val="0"/>
        </w:rPr>
        <w:t>No candidate advocacy, voter targeting, campaign coordination, covert lobbying fronts, psychographic targeting or direction of U.S. electoral activity.</w:t>
      </w:r>
    </w:p>
    <w:p>
      <w:pPr>
        <w:pStyle w:val="Heading2"/>
        <w:keepNext/>
        <w:spacing w:before="120" w:after="50"/>
      </w:pPr>
      <w:bookmarkStart w:id="533" w:name="_Toc9400533"/>
      <w:r>
        <w:t>Analytic caution</w:t>
      </w:r>
      <w:bookmarkEnd w:id="533"/>
    </w:p>
    <w:p>
      <w:r>
        <w:rPr>
          <w:b w:val="0"/>
          <w:i w:val="0"/>
        </w:rPr>
        <w:t>A member's public criticism of tariffs is evidence of position, not proof of legislative power or administration movement. Track committees, votes, letters, bills, hearings and cross-party breadth.</w:t>
      </w:r>
    </w:p>
    <w:p>
      <w:pPr>
        <w:pStyle w:val="Heading2"/>
        <w:keepNext/>
        <w:spacing w:before="120" w:after="50"/>
      </w:pPr>
      <w:bookmarkStart w:id="534" w:name="_Toc9400534"/>
      <w:r>
        <w:t>Required Metadata</w:t>
      </w:r>
      <w:bookmarkEnd w:id="534"/>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bookmarkStart w:id="535" w:name="_Toc9400535"/>
      <w:r>
        <w:t>8. Market Indicators</w:t>
      </w:r>
      <w:bookmarkEnd w:id="535"/>
    </w:p>
    <w:p>
      <w:pPr>
        <w:pStyle w:val="Heading2"/>
        <w:keepNext/>
        <w:spacing w:before="120" w:after="50"/>
      </w:pPr>
      <w:bookmarkStart w:id="536" w:name="_Toc9400536"/>
      <w:r>
        <w:t>Fast indicators</w:t>
      </w:r>
      <w:bookmarkEnd w:id="536"/>
    </w:p>
    <w:p>
      <w:r>
        <w:rPr>
          <w:b w:val="0"/>
          <w:i w:val="0"/>
        </w:rPr>
        <w:t>CAD/USD, sector equities, credit spreads, commodity futures, freight rates, energy spreads, bond yields, volatility, customs brokerage activity, insurance pricing.</w:t>
      </w:r>
    </w:p>
    <w:p>
      <w:pPr>
        <w:pStyle w:val="Heading2"/>
        <w:keepNext/>
        <w:spacing w:before="120" w:after="50"/>
      </w:pPr>
      <w:bookmarkStart w:id="537" w:name="_Toc9400537"/>
      <w:r>
        <w:t>Value</w:t>
      </w:r>
      <w:bookmarkEnd w:id="537"/>
    </w:p>
    <w:p>
      <w:r>
        <w:rPr>
          <w:b w:val="0"/>
          <w:i w:val="0"/>
        </w:rPr>
        <w:t>Markets can react within minutes and expose expectations before monthly statistics arrive.</w:t>
      </w:r>
    </w:p>
    <w:p>
      <w:pPr>
        <w:pStyle w:val="Heading2"/>
        <w:keepNext/>
        <w:spacing w:before="120" w:after="50"/>
      </w:pPr>
      <w:bookmarkStart w:id="538" w:name="_Toc9400538"/>
      <w:r>
        <w:t>Limit</w:t>
      </w:r>
      <w:bookmarkEnd w:id="538"/>
    </w:p>
    <w:p>
      <w:r>
        <w:rPr>
          <w:b w:val="0"/>
          <w:i w:val="0"/>
        </w:rPr>
        <w:t>Markets price many things at once. A move may reflect monetary policy, war, weather, earnings or global risk rather than Canada-U.S. trade.</w:t>
      </w:r>
    </w:p>
    <w:p>
      <w:pPr>
        <w:pStyle w:val="Heading2"/>
        <w:keepNext/>
        <w:spacing w:before="120" w:after="50"/>
      </w:pPr>
      <w:bookmarkStart w:id="539" w:name="_Toc9400539"/>
      <w:r>
        <w:t>Rule</w:t>
      </w:r>
      <w:bookmarkEnd w:id="539"/>
    </w:p>
    <w:p>
      <w:r>
        <w:rPr>
          <w:b w:val="0"/>
          <w:i w:val="0"/>
        </w:rPr>
        <w:t>No escalation or settlement recommendation should be based on a single market move. Use event studies, peer comparisons and corroborating evidence.</w:t>
      </w:r>
    </w:p>
    <w:p>
      <w:pPr>
        <w:pStyle w:val="Heading2"/>
        <w:keepNext/>
        <w:spacing w:before="120" w:after="50"/>
      </w:pPr>
      <w:bookmarkStart w:id="540" w:name="_Toc9400540"/>
      <w:r>
        <w:t>Required Metadata</w:t>
      </w:r>
      <w:bookmarkEnd w:id="540"/>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bookmarkStart w:id="541" w:name="_Toc9400541"/>
      <w:r>
        <w:t>9. Legal and Regulatory Developments</w:t>
      </w:r>
      <w:bookmarkEnd w:id="541"/>
    </w:p>
    <w:p>
      <w:pPr>
        <w:pStyle w:val="Heading2"/>
        <w:keepNext/>
        <w:spacing w:before="120" w:after="50"/>
      </w:pPr>
      <w:bookmarkStart w:id="542" w:name="_Toc9400542"/>
      <w:r>
        <w:t>Inputs</w:t>
      </w:r>
      <w:bookmarkEnd w:id="542"/>
    </w:p>
    <w:p>
      <w:r>
        <w:rPr>
          <w:b w:val="0"/>
          <w:i w:val="0"/>
        </w:rPr>
        <w:t>Court judgments, filed cases, executive orders, customs notices, tariff schedules, regulations, congressional statutes, CUSMA/WTO proceedings, Canadian orders and remission instruments.</w:t>
      </w:r>
    </w:p>
    <w:p>
      <w:pPr>
        <w:pStyle w:val="Heading2"/>
        <w:keepNext/>
        <w:spacing w:before="120" w:after="50"/>
      </w:pPr>
      <w:bookmarkStart w:id="543" w:name="_Toc9400543"/>
      <w:r>
        <w:t>Role</w:t>
      </w:r>
      <w:bookmarkEnd w:id="543"/>
    </w:p>
    <w:p>
      <w:r>
        <w:rPr>
          <w:b w:val="0"/>
          <w:i w:val="0"/>
        </w:rPr>
        <w:t>Determine what has actually changed in law, what is merely proposed, and which off-ramps or remedies are legally available.</w:t>
      </w:r>
    </w:p>
    <w:p>
      <w:pPr>
        <w:pStyle w:val="Heading2"/>
        <w:keepNext/>
        <w:spacing w:before="120" w:after="50"/>
      </w:pPr>
      <w:bookmarkStart w:id="544" w:name="_Toc9400544"/>
      <w:r>
        <w:t>Justice function</w:t>
      </w:r>
      <w:bookmarkEnd w:id="544"/>
    </w:p>
    <w:p>
      <w:r>
        <w:rPr>
          <w:b w:val="0"/>
          <w:i w:val="0"/>
        </w:rPr>
        <w:t>Justice Canada and departmental counsel assess and communicate legal risk; the analytic cell tracks implications but does not substitute its judgement for counsel.</w:t>
      </w:r>
    </w:p>
    <w:p>
      <w:pPr>
        <w:pStyle w:val="Heading2"/>
        <w:keepNext/>
        <w:spacing w:before="120" w:after="50"/>
      </w:pPr>
      <w:bookmarkStart w:id="545" w:name="_Toc9400545"/>
      <w:r>
        <w:t>Warning value</w:t>
      </w:r>
      <w:bookmarkEnd w:id="545"/>
    </w:p>
    <w:p>
      <w:r>
        <w:rPr>
          <w:b w:val="0"/>
          <w:i w:val="0"/>
        </w:rPr>
        <w:t>A new authority, adverse ruling, injunction, statutory deadline or implementation notice can sharply change escalation probability even before economic effects appear.</w:t>
      </w:r>
    </w:p>
    <w:p>
      <w:pPr>
        <w:pStyle w:val="Heading2"/>
        <w:keepNext/>
        <w:spacing w:before="120" w:after="50"/>
      </w:pPr>
      <w:bookmarkStart w:id="546" w:name="_Toc9400546"/>
      <w:r>
        <w:t>Required Metadata</w:t>
      </w:r>
      <w:bookmarkEnd w:id="546"/>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bookmarkStart w:id="547" w:name="_Toc9400547"/>
      <w:r>
        <w:t>10. Media and Public-Opinion Analysis</w:t>
      </w:r>
      <w:bookmarkEnd w:id="547"/>
    </w:p>
    <w:p>
      <w:pPr>
        <w:pStyle w:val="Heading2"/>
        <w:keepNext/>
        <w:spacing w:before="120" w:after="50"/>
      </w:pPr>
      <w:bookmarkStart w:id="548" w:name="_Toc9400548"/>
      <w:r>
        <w:t>Media</w:t>
      </w:r>
      <w:bookmarkEnd w:id="548"/>
    </w:p>
    <w:p>
      <w:r>
        <w:rPr>
          <w:b w:val="0"/>
          <w:i w:val="0"/>
        </w:rPr>
        <w:t>Track official statements, major outlets, regional press, trade press and public transcripts. Distinguish reporting, commentary, anonymous sourcing and social-media amplification.</w:t>
      </w:r>
    </w:p>
    <w:p>
      <w:pPr>
        <w:pStyle w:val="Heading2"/>
        <w:keepNext/>
        <w:spacing w:before="120" w:after="50"/>
      </w:pPr>
      <w:bookmarkStart w:id="549" w:name="_Toc9400549"/>
      <w:r>
        <w:t>Public opinion</w:t>
      </w:r>
      <w:bookmarkEnd w:id="549"/>
    </w:p>
    <w:p>
      <w:r>
        <w:rPr>
          <w:b w:val="0"/>
          <w:i w:val="0"/>
        </w:rPr>
        <w:t>Use reputable public polling and Government of Canada POR only under applicable rules. Record methodology, field dates, sample, question wording and uncertainty.</w:t>
      </w:r>
    </w:p>
    <w:p>
      <w:pPr>
        <w:pStyle w:val="Heading2"/>
        <w:keepNext/>
        <w:spacing w:before="120" w:after="50"/>
      </w:pPr>
      <w:bookmarkStart w:id="550" w:name="_Toc9400550"/>
      <w:r>
        <w:t>Purpose</w:t>
      </w:r>
      <w:bookmarkEnd w:id="550"/>
    </w:p>
    <w:p>
      <w:r>
        <w:rPr>
          <w:b w:val="0"/>
          <w:i w:val="0"/>
        </w:rPr>
        <w:t>Measure salience, perceived fairness, tolerance for costs, trust, and whether constituencies are becoming more open to settlement or more supportive of escalation.</w:t>
      </w:r>
    </w:p>
    <w:p>
      <w:pPr>
        <w:pStyle w:val="Heading2"/>
        <w:keepNext/>
        <w:spacing w:before="120" w:after="50"/>
      </w:pPr>
      <w:bookmarkStart w:id="551" w:name="_Toc9400551"/>
      <w:r>
        <w:t>Firewall</w:t>
      </w:r>
      <w:bookmarkEnd w:id="551"/>
    </w:p>
    <w:p>
      <w:r>
        <w:rPr>
          <w:b w:val="0"/>
          <w:i w:val="0"/>
        </w:rPr>
        <w:t>No surveillance of individuals for political beliefs; no dossiers on ordinary citizens; no microtargeting. Aggregate democratic sentiment is a policy context, not an intelligence target.</w:t>
      </w:r>
    </w:p>
    <w:p>
      <w:pPr>
        <w:pStyle w:val="Heading2"/>
        <w:keepNext/>
        <w:spacing w:before="120" w:after="50"/>
      </w:pPr>
      <w:bookmarkStart w:id="552" w:name="_Toc9400552"/>
      <w:r>
        <w:t>Required Metadata</w:t>
      </w:r>
      <w:bookmarkEnd w:id="552"/>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bookmarkStart w:id="553" w:name="_Toc9400553"/>
      <w:r>
        <w:t>11. Authorized Intelligence Interface</w:t>
      </w:r>
      <w:bookmarkEnd w:id="553"/>
    </w:p>
    <w:p>
      <w:pPr>
        <w:pStyle w:val="Heading2"/>
        <w:keepNext/>
        <w:spacing w:before="120" w:after="50"/>
      </w:pPr>
      <w:bookmarkStart w:id="554" w:name="_Toc9400554"/>
      <w:r>
        <w:t>Principle</w:t>
      </w:r>
      <w:bookmarkEnd w:id="554"/>
    </w:p>
    <w:p>
      <w:r>
        <w:rPr>
          <w:b w:val="0"/>
          <w:i w:val="0"/>
        </w:rPr>
        <w:t>Security intelligence is an input only when relevant and lawfully disseminated. ESSAC neither tasks clandestine collection outside authority nor creates parallel collection capabilities.</w:t>
      </w:r>
    </w:p>
    <w:p>
      <w:pPr>
        <w:pStyle w:val="Heading2"/>
        <w:keepNext/>
        <w:spacing w:before="120" w:after="50"/>
      </w:pPr>
      <w:bookmarkStart w:id="555" w:name="_Toc9400555"/>
      <w:r>
        <w:t>Potential relevance</w:t>
      </w:r>
      <w:bookmarkEnd w:id="555"/>
    </w:p>
    <w:p>
      <w:r>
        <w:rPr>
          <w:b w:val="0"/>
          <w:i w:val="0"/>
        </w:rPr>
        <w:t>Foreign interference, espionage, covert influence, cyber activity affecting critical infrastructure, or other national-security threats that alter the economic-statecraft environment.</w:t>
      </w:r>
    </w:p>
    <w:p>
      <w:pPr>
        <w:pStyle w:val="Heading2"/>
        <w:keepNext/>
        <w:spacing w:before="120" w:after="50"/>
      </w:pPr>
      <w:bookmarkStart w:id="556" w:name="_Toc9400556"/>
      <w:r>
        <w:t>Compartmentation</w:t>
      </w:r>
      <w:bookmarkEnd w:id="556"/>
    </w:p>
    <w:p>
      <w:r>
        <w:rPr>
          <w:b w:val="0"/>
          <w:i w:val="0"/>
        </w:rPr>
        <w:t>Where possible, provide tear-line or sanitized implications to the broader team while preserving sources, methods and caveats.</w:t>
      </w:r>
    </w:p>
    <w:p>
      <w:pPr>
        <w:pStyle w:val="Heading2"/>
        <w:keepNext/>
        <w:spacing w:before="120" w:after="50"/>
      </w:pPr>
      <w:bookmarkStart w:id="557" w:name="_Toc9400557"/>
      <w:r>
        <w:t>Red line</w:t>
      </w:r>
      <w:bookmarkEnd w:id="557"/>
    </w:p>
    <w:p>
      <w:r>
        <w:rPr>
          <w:b w:val="0"/>
          <w:i w:val="0"/>
        </w:rPr>
        <w:t>Commercial advantage alone does not justify security-intelligence collection. Ordinary U.S. political, business and civil-society activity remains outside a security-threat frame absent lawful grounds.</w:t>
      </w:r>
    </w:p>
    <w:p>
      <w:pPr>
        <w:pStyle w:val="Heading2"/>
        <w:keepNext/>
        <w:spacing w:before="120" w:after="50"/>
      </w:pPr>
      <w:bookmarkStart w:id="558" w:name="_Toc9400558"/>
      <w:r>
        <w:t>Required Metadata</w:t>
      </w:r>
      <w:bookmarkEnd w:id="558"/>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bookmarkStart w:id="559" w:name="_Toc9400559"/>
      <w:r>
        <w:t>12. The Common Operating Picture</w:t>
      </w:r>
      <w:bookmarkEnd w:id="559"/>
    </w:p>
    <w:p>
      <w:r>
        <w:rPr>
          <w:b w:val="0"/>
          <w:i w:val="0"/>
        </w:rPr>
        <w:t>ESSAC should maintain one common operating picture with separate views for strategic, sectoral, regional and legal questions. The goal is not to drown ministers in dashboards. It is to ensure that the same underlying evidence supports every briefing.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Panel</w:t>
            </w:r>
          </w:p>
        </w:tc>
        <w:tc>
          <w:tcPr>
            <w:tcW w:type="dxa" w:w="5141"/>
            <w:shd w:fill="D9E5F2"/>
          </w:tcPr>
          <w:p>
            <w:r>
              <w:rPr>
                <w:b/>
                <w:sz w:val="14"/>
              </w:rPr>
              <w:t>Core contents</w:t>
            </w:r>
          </w:p>
        </w:tc>
      </w:tr>
      <w:tr>
        <w:tc>
          <w:tcPr>
            <w:tcW w:type="dxa" w:w="5141"/>
            <w:vAlign w:val="top"/>
          </w:tcPr>
          <w:p>
            <w:pPr>
              <w:spacing w:after="0"/>
            </w:pPr>
            <w:r>
              <w:rPr>
                <w:sz w:val="14"/>
              </w:rPr>
              <w:t>Negotiation status</w:t>
            </w:r>
          </w:p>
        </w:tc>
        <w:tc>
          <w:tcPr>
            <w:tcW w:type="dxa" w:w="5141"/>
            <w:vAlign w:val="top"/>
          </w:tcPr>
          <w:p>
            <w:pPr>
              <w:spacing w:after="0"/>
            </w:pPr>
            <w:r>
              <w:rPr>
                <w:sz w:val="14"/>
              </w:rPr>
              <w:t>Last verified positions, unresolved issues, offers, off-ramps, deadlines</w:t>
            </w:r>
          </w:p>
        </w:tc>
      </w:tr>
      <w:tr>
        <w:tc>
          <w:tcPr>
            <w:tcW w:type="dxa" w:w="5141"/>
            <w:vAlign w:val="top"/>
          </w:tcPr>
          <w:p>
            <w:pPr>
              <w:spacing w:after="0"/>
            </w:pPr>
            <w:r>
              <w:rPr>
                <w:sz w:val="14"/>
              </w:rPr>
              <w:t>Policy measures</w:t>
            </w:r>
          </w:p>
        </w:tc>
        <w:tc>
          <w:tcPr>
            <w:tcW w:type="dxa" w:w="5141"/>
            <w:vAlign w:val="top"/>
          </w:tcPr>
          <w:p>
            <w:pPr>
              <w:spacing w:after="0"/>
            </w:pPr>
            <w:r>
              <w:rPr>
                <w:sz w:val="14"/>
              </w:rPr>
              <w:t>U.S. and Canadian tariffs/countermeasures, exemptions, implementation dates</w:t>
            </w:r>
          </w:p>
        </w:tc>
      </w:tr>
      <w:tr>
        <w:tc>
          <w:tcPr>
            <w:tcW w:type="dxa" w:w="5141"/>
            <w:vAlign w:val="top"/>
          </w:tcPr>
          <w:p>
            <w:pPr>
              <w:spacing w:after="0"/>
            </w:pPr>
            <w:r>
              <w:rPr>
                <w:sz w:val="14"/>
              </w:rPr>
              <w:t>Economic effects</w:t>
            </w:r>
          </w:p>
        </w:tc>
        <w:tc>
          <w:tcPr>
            <w:tcW w:type="dxa" w:w="5141"/>
            <w:vAlign w:val="top"/>
          </w:tcPr>
          <w:p>
            <w:pPr>
              <w:spacing w:after="0"/>
            </w:pPr>
            <w:r>
              <w:rPr>
                <w:sz w:val="14"/>
              </w:rPr>
              <w:t>Trade volumes, prices, employment, investment, inventories, firm stress</w:t>
            </w:r>
          </w:p>
        </w:tc>
      </w:tr>
      <w:tr>
        <w:tc>
          <w:tcPr>
            <w:tcW w:type="dxa" w:w="5141"/>
            <w:vAlign w:val="top"/>
          </w:tcPr>
          <w:p>
            <w:pPr>
              <w:spacing w:after="0"/>
            </w:pPr>
            <w:r>
              <w:rPr>
                <w:sz w:val="14"/>
              </w:rPr>
              <w:t>Institutional movement</w:t>
            </w:r>
          </w:p>
        </w:tc>
        <w:tc>
          <w:tcPr>
            <w:tcW w:type="dxa" w:w="5141"/>
            <w:vAlign w:val="top"/>
          </w:tcPr>
          <w:p>
            <w:pPr>
              <w:spacing w:after="0"/>
            </w:pPr>
            <w:r>
              <w:rPr>
                <w:sz w:val="14"/>
              </w:rPr>
              <w:t>Congress, courts, states, provinces, CUSMA/WTO mechanisms</w:t>
            </w:r>
          </w:p>
        </w:tc>
      </w:tr>
      <w:tr>
        <w:tc>
          <w:tcPr>
            <w:tcW w:type="dxa" w:w="5141"/>
            <w:vAlign w:val="top"/>
          </w:tcPr>
          <w:p>
            <w:pPr>
              <w:spacing w:after="0"/>
            </w:pPr>
            <w:r>
              <w:rPr>
                <w:sz w:val="14"/>
              </w:rPr>
              <w:t>Public environment</w:t>
            </w:r>
          </w:p>
        </w:tc>
        <w:tc>
          <w:tcPr>
            <w:tcW w:type="dxa" w:w="5141"/>
            <w:vAlign w:val="top"/>
          </w:tcPr>
          <w:p>
            <w:pPr>
              <w:spacing w:after="0"/>
            </w:pPr>
            <w:r>
              <w:rPr>
                <w:sz w:val="14"/>
              </w:rPr>
              <w:t>Salience, business pressure, labour concerns, public-opinion direction</w:t>
            </w:r>
          </w:p>
        </w:tc>
      </w:tr>
      <w:tr>
        <w:tc>
          <w:tcPr>
            <w:tcW w:type="dxa" w:w="5141"/>
            <w:vAlign w:val="top"/>
          </w:tcPr>
          <w:p>
            <w:pPr>
              <w:spacing w:after="0"/>
            </w:pPr>
            <w:r>
              <w:rPr>
                <w:sz w:val="14"/>
              </w:rPr>
              <w:t>Security context</w:t>
            </w:r>
          </w:p>
        </w:tc>
        <w:tc>
          <w:tcPr>
            <w:tcW w:type="dxa" w:w="5141"/>
            <w:vAlign w:val="top"/>
          </w:tcPr>
          <w:p>
            <w:pPr>
              <w:spacing w:after="0"/>
            </w:pPr>
            <w:r>
              <w:rPr>
                <w:sz w:val="14"/>
              </w:rPr>
              <w:t>Only relevant authorized threat reporting</w:t>
            </w:r>
          </w:p>
        </w:tc>
      </w:tr>
      <w:tr>
        <w:tc>
          <w:tcPr>
            <w:tcW w:type="dxa" w:w="5141"/>
            <w:vAlign w:val="top"/>
          </w:tcPr>
          <w:p>
            <w:pPr>
              <w:spacing w:after="0"/>
            </w:pPr>
            <w:r>
              <w:rPr>
                <w:sz w:val="14"/>
              </w:rPr>
              <w:t>Canadian endurance</w:t>
            </w:r>
          </w:p>
        </w:tc>
        <w:tc>
          <w:tcPr>
            <w:tcW w:type="dxa" w:w="5141"/>
            <w:vAlign w:val="top"/>
          </w:tcPr>
          <w:p>
            <w:pPr>
              <w:spacing w:after="0"/>
            </w:pPr>
            <w:r>
              <w:rPr>
                <w:sz w:val="14"/>
              </w:rPr>
              <w:t>Household, regional, fiscal, sector and supply-chain burden</w:t>
            </w:r>
          </w:p>
        </w:tc>
      </w:tr>
      <w:tr>
        <w:tc>
          <w:tcPr>
            <w:tcW w:type="dxa" w:w="5141"/>
            <w:vAlign w:val="top"/>
          </w:tcPr>
          <w:p>
            <w:pPr>
              <w:spacing w:after="0"/>
            </w:pPr>
            <w:r>
              <w:rPr>
                <w:sz w:val="14"/>
              </w:rPr>
              <w:t>Next decision windows</w:t>
            </w:r>
          </w:p>
        </w:tc>
        <w:tc>
          <w:tcPr>
            <w:tcW w:type="dxa" w:w="5141"/>
            <w:vAlign w:val="top"/>
          </w:tcPr>
          <w:p>
            <w:pPr>
              <w:spacing w:after="0"/>
            </w:pPr>
            <w:r>
              <w:rPr>
                <w:sz w:val="14"/>
              </w:rPr>
              <w:t>Dates when offers, announcements, reviews or restraint are indicated</w:t>
            </w:r>
          </w:p>
        </w:tc>
      </w:tr>
    </w:tbl>
    <w:p>
      <w:pPr>
        <w:pStyle w:val="Heading2"/>
        <w:keepNext/>
        <w:spacing w:before="120" w:after="50"/>
      </w:pPr>
      <w:bookmarkStart w:id="560" w:name="_Toc9400560"/>
      <w:r>
        <w:t>Single-Version-of-Truth Rule</w:t>
      </w:r>
      <w:bookmarkEnd w:id="560"/>
    </w:p>
    <w:p>
      <w:r>
        <w:rPr>
          <w:b w:val="0"/>
          <w:i w:val="0"/>
        </w:rPr>
        <w:t>If two departments carry different numbers for the same tariff exposure, the discrepancy must be visible and reconciled or explicitly explained. Hidden disagreement is worse than acknowledged uncertainty.</w:t>
      </w:r>
    </w:p>
    <w:p>
      <w:r>
        <w:br w:type="page"/>
      </w:r>
    </w:p>
    <w:p>
      <w:pPr>
        <w:pStyle w:val="Heading1"/>
        <w:keepNext/>
        <w:spacing w:before="120" w:after="50"/>
      </w:pPr>
      <w:bookmarkStart w:id="561" w:name="_Toc9400561"/>
      <w:r>
        <w:t>13. Analytic Method: Hypotheses Before Headlines</w:t>
      </w:r>
      <w:bookmarkEnd w:id="561"/>
    </w:p>
    <w:p>
      <w:r>
        <w:rPr>
          <w:b w:val="0"/>
          <w:i w:val="0"/>
        </w:rPr>
        <w:t>The framework uses competing hypotheses to reduce confirmation bias.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Hypothesis</w:t>
            </w:r>
          </w:p>
        </w:tc>
        <w:tc>
          <w:tcPr>
            <w:tcW w:type="dxa" w:w="5141"/>
            <w:shd w:fill="D9E5F2"/>
          </w:tcPr>
          <w:p>
            <w:r>
              <w:rPr>
                <w:b/>
                <w:sz w:val="14"/>
              </w:rPr>
              <w:t>Observable implications</w:t>
            </w:r>
          </w:p>
        </w:tc>
      </w:tr>
      <w:tr>
        <w:tc>
          <w:tcPr>
            <w:tcW w:type="dxa" w:w="5141"/>
            <w:vAlign w:val="top"/>
          </w:tcPr>
          <w:p>
            <w:pPr>
              <w:spacing w:after="0"/>
            </w:pPr>
            <w:r>
              <w:rPr>
                <w:sz w:val="14"/>
              </w:rPr>
              <w:t>H1 De-escalation is becoming more likely</w:t>
            </w:r>
          </w:p>
        </w:tc>
        <w:tc>
          <w:tcPr>
            <w:tcW w:type="dxa" w:w="5141"/>
            <w:vAlign w:val="top"/>
          </w:tcPr>
          <w:p>
            <w:pPr>
              <w:spacing w:after="0"/>
            </w:pPr>
            <w:r>
              <w:rPr>
                <w:sz w:val="14"/>
              </w:rPr>
              <w:t>Private/public positions narrow; exemptions/cures expand; legislative/business support for settlement broadens; implementation pauses appear.</w:t>
            </w:r>
          </w:p>
        </w:tc>
      </w:tr>
      <w:tr>
        <w:tc>
          <w:tcPr>
            <w:tcW w:type="dxa" w:w="5141"/>
            <w:vAlign w:val="top"/>
          </w:tcPr>
          <w:p>
            <w:pPr>
              <w:spacing w:after="0"/>
            </w:pPr>
            <w:r>
              <w:rPr>
                <w:sz w:val="14"/>
              </w:rPr>
              <w:t>H2 Stalemate is durable</w:t>
            </w:r>
          </w:p>
        </w:tc>
        <w:tc>
          <w:tcPr>
            <w:tcW w:type="dxa" w:w="5141"/>
            <w:vAlign w:val="top"/>
          </w:tcPr>
          <w:p>
            <w:pPr>
              <w:spacing w:after="0"/>
            </w:pPr>
            <w:r>
              <w:rPr>
                <w:sz w:val="14"/>
              </w:rPr>
              <w:t>Rhetoric continues but policy measures stabilize; no meaningful narrowing; firms adapt; neither side invests political capital in settlement.</w:t>
            </w:r>
          </w:p>
        </w:tc>
      </w:tr>
      <w:tr>
        <w:tc>
          <w:tcPr>
            <w:tcW w:type="dxa" w:w="5141"/>
            <w:vAlign w:val="top"/>
          </w:tcPr>
          <w:p>
            <w:pPr>
              <w:spacing w:after="0"/>
            </w:pPr>
            <w:r>
              <w:rPr>
                <w:sz w:val="14"/>
              </w:rPr>
              <w:t>H3 Escalation is becoming more likely</w:t>
            </w:r>
          </w:p>
        </w:tc>
        <w:tc>
          <w:tcPr>
            <w:tcW w:type="dxa" w:w="5141"/>
            <w:vAlign w:val="top"/>
          </w:tcPr>
          <w:p>
            <w:pPr>
              <w:spacing w:after="0"/>
            </w:pPr>
            <w:r>
              <w:rPr>
                <w:sz w:val="14"/>
              </w:rPr>
              <w:t>New authorities prepared; deadlines harden; exemptions shrink; retaliation broadens; talks cease; coercive rhetoric aligns with implementation.</w:t>
            </w:r>
          </w:p>
        </w:tc>
      </w:tr>
      <w:tr>
        <w:tc>
          <w:tcPr>
            <w:tcW w:type="dxa" w:w="5141"/>
            <w:vAlign w:val="top"/>
          </w:tcPr>
          <w:p>
            <w:pPr>
              <w:spacing w:after="0"/>
            </w:pPr>
            <w:r>
              <w:rPr>
                <w:sz w:val="14"/>
              </w:rPr>
              <w:t>H4 Tactical noise</w:t>
            </w:r>
          </w:p>
        </w:tc>
        <w:tc>
          <w:tcPr>
            <w:tcW w:type="dxa" w:w="5141"/>
            <w:vAlign w:val="top"/>
          </w:tcPr>
          <w:p>
            <w:pPr>
              <w:spacing w:after="0"/>
            </w:pPr>
            <w:r>
              <w:rPr>
                <w:sz w:val="14"/>
              </w:rPr>
              <w:t>Dramatic statements occur without institutional, legal, market or negotiating follow-through.</w:t>
            </w:r>
          </w:p>
        </w:tc>
      </w:tr>
    </w:tbl>
    <w:p>
      <w:pPr>
        <w:pStyle w:val="Heading2"/>
        <w:keepNext/>
        <w:spacing w:before="120" w:after="50"/>
      </w:pPr>
      <w:bookmarkStart w:id="562" w:name="_Toc9400562"/>
      <w:r>
        <w:t>Analytic Questions</w:t>
      </w:r>
      <w:bookmarkEnd w:id="562"/>
    </w:p>
    <w:p>
      <w:pPr>
        <w:pStyle w:val="ListBullet"/>
        <w:spacing w:after="40"/>
      </w:pPr>
      <w:r>
        <w:t>What evidence would we expect to see if this hypothesis were true?</w:t>
      </w:r>
    </w:p>
    <w:p>
      <w:pPr>
        <w:pStyle w:val="ListBullet"/>
        <w:spacing w:after="40"/>
      </w:pPr>
      <w:r>
        <w:t>What evidence would strongly contradict it?</w:t>
      </w:r>
    </w:p>
    <w:p>
      <w:pPr>
        <w:pStyle w:val="ListBullet"/>
        <w:spacing w:after="40"/>
      </w:pPr>
      <w:r>
        <w:t>Are we overweighting recent or vivid information?</w:t>
      </w:r>
    </w:p>
    <w:p>
      <w:pPr>
        <w:pStyle w:val="ListBullet"/>
        <w:spacing w:after="40"/>
      </w:pPr>
      <w:r>
        <w:t>Are multiple reports actually derived from the same original source?</w:t>
      </w:r>
    </w:p>
    <w:p>
      <w:pPr>
        <w:pStyle w:val="ListBullet"/>
        <w:spacing w:after="40"/>
      </w:pPr>
      <w:r>
        <w:t>Does the source have an incentive to shape Canadian behaviour?</w:t>
      </w:r>
    </w:p>
    <w:p>
      <w:pPr>
        <w:pStyle w:val="ListBullet"/>
        <w:spacing w:after="40"/>
      </w:pPr>
      <w:r>
        <w:t>What would a neutral observer infer from the same evidence?</w:t>
      </w:r>
    </w:p>
    <w:p>
      <w:pPr>
        <w:pStyle w:val="ListBullet"/>
        <w:spacing w:after="40"/>
      </w:pPr>
      <w:r>
        <w:t>What is the strongest alternative explanation?</w:t>
      </w:r>
    </w:p>
    <w:p>
      <w:r>
        <w:br w:type="page"/>
      </w:r>
    </w:p>
    <w:p>
      <w:pPr>
        <w:pStyle w:val="Heading1"/>
        <w:keepNext/>
        <w:spacing w:before="120" w:after="50"/>
      </w:pPr>
      <w:bookmarkStart w:id="563" w:name="_Toc9400563"/>
      <w:r>
        <w:t>14. Reliability, Confidence and Evidence Weighting</w:t>
      </w:r>
      <w:bookmarkEnd w:id="563"/>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5F2"/>
          </w:tcPr>
          <w:p>
            <w:r>
              <w:rPr>
                <w:b/>
                <w:sz w:val="14"/>
              </w:rPr>
              <w:t>Dimension</w:t>
            </w:r>
          </w:p>
        </w:tc>
        <w:tc>
          <w:tcPr>
            <w:tcW w:type="dxa" w:w="2570"/>
            <w:shd w:fill="D9E5F2"/>
          </w:tcPr>
          <w:p>
            <w:r>
              <w:rPr>
                <w:b/>
                <w:sz w:val="14"/>
              </w:rPr>
              <w:t>High</w:t>
            </w:r>
          </w:p>
        </w:tc>
        <w:tc>
          <w:tcPr>
            <w:tcW w:type="dxa" w:w="2570"/>
            <w:shd w:fill="D9E5F2"/>
          </w:tcPr>
          <w:p>
            <w:r>
              <w:rPr>
                <w:b/>
                <w:sz w:val="14"/>
              </w:rPr>
              <w:t>Medium</w:t>
            </w:r>
          </w:p>
        </w:tc>
        <w:tc>
          <w:tcPr>
            <w:tcW w:type="dxa" w:w="2570"/>
            <w:shd w:fill="D9E5F2"/>
          </w:tcPr>
          <w:p>
            <w:r>
              <w:rPr>
                <w:b/>
                <w:sz w:val="14"/>
              </w:rPr>
              <w:t>Low</w:t>
            </w:r>
          </w:p>
        </w:tc>
      </w:tr>
      <w:tr>
        <w:tc>
          <w:tcPr>
            <w:tcW w:type="dxa" w:w="2570"/>
            <w:vAlign w:val="top"/>
          </w:tcPr>
          <w:p>
            <w:pPr>
              <w:spacing w:after="0"/>
            </w:pPr>
            <w:r>
              <w:rPr>
                <w:sz w:val="14"/>
              </w:rPr>
              <w:t>Source reliability</w:t>
            </w:r>
          </w:p>
        </w:tc>
        <w:tc>
          <w:tcPr>
            <w:tcW w:type="dxa" w:w="2570"/>
            <w:vAlign w:val="top"/>
          </w:tcPr>
          <w:p>
            <w:pPr>
              <w:spacing w:after="0"/>
            </w:pPr>
            <w:r>
              <w:rPr>
                <w:sz w:val="14"/>
              </w:rPr>
              <w:t>Established record / authoritative data</w:t>
            </w:r>
          </w:p>
        </w:tc>
        <w:tc>
          <w:tcPr>
            <w:tcW w:type="dxa" w:w="2570"/>
            <w:vAlign w:val="top"/>
          </w:tcPr>
          <w:p>
            <w:pPr>
              <w:spacing w:after="0"/>
            </w:pPr>
            <w:r>
              <w:rPr>
                <w:sz w:val="14"/>
              </w:rPr>
              <w:t>Generally reliable, limited track record</w:t>
            </w:r>
          </w:p>
        </w:tc>
        <w:tc>
          <w:tcPr>
            <w:tcW w:type="dxa" w:w="2570"/>
            <w:vAlign w:val="top"/>
          </w:tcPr>
          <w:p>
            <w:pPr>
              <w:spacing w:after="0"/>
            </w:pPr>
            <w:r>
              <w:rPr>
                <w:sz w:val="14"/>
              </w:rPr>
              <w:t>Unknown, conflicted or poor record</w:t>
            </w:r>
          </w:p>
        </w:tc>
      </w:tr>
      <w:tr>
        <w:tc>
          <w:tcPr>
            <w:tcW w:type="dxa" w:w="2570"/>
            <w:vAlign w:val="top"/>
          </w:tcPr>
          <w:p>
            <w:pPr>
              <w:spacing w:after="0"/>
            </w:pPr>
            <w:r>
              <w:rPr>
                <w:sz w:val="14"/>
              </w:rPr>
              <w:t>Information quality</w:t>
            </w:r>
          </w:p>
        </w:tc>
        <w:tc>
          <w:tcPr>
            <w:tcW w:type="dxa" w:w="2570"/>
            <w:vAlign w:val="top"/>
          </w:tcPr>
          <w:p>
            <w:pPr>
              <w:spacing w:after="0"/>
            </w:pPr>
            <w:r>
              <w:rPr>
                <w:sz w:val="14"/>
              </w:rPr>
              <w:t>Direct, documented, reproducible</w:t>
            </w:r>
          </w:p>
        </w:tc>
        <w:tc>
          <w:tcPr>
            <w:tcW w:type="dxa" w:w="2570"/>
            <w:vAlign w:val="top"/>
          </w:tcPr>
          <w:p>
            <w:pPr>
              <w:spacing w:after="0"/>
            </w:pPr>
            <w:r>
              <w:rPr>
                <w:sz w:val="14"/>
              </w:rPr>
              <w:t>Partly direct or incomplete</w:t>
            </w:r>
          </w:p>
        </w:tc>
        <w:tc>
          <w:tcPr>
            <w:tcW w:type="dxa" w:w="2570"/>
            <w:vAlign w:val="top"/>
          </w:tcPr>
          <w:p>
            <w:pPr>
              <w:spacing w:after="0"/>
            </w:pPr>
            <w:r>
              <w:rPr>
                <w:sz w:val="14"/>
              </w:rPr>
              <w:t>Hearsay, ambiguous, unverifiable</w:t>
            </w:r>
          </w:p>
        </w:tc>
      </w:tr>
      <w:tr>
        <w:tc>
          <w:tcPr>
            <w:tcW w:type="dxa" w:w="2570"/>
            <w:vAlign w:val="top"/>
          </w:tcPr>
          <w:p>
            <w:pPr>
              <w:spacing w:after="0"/>
            </w:pPr>
            <w:r>
              <w:rPr>
                <w:sz w:val="14"/>
              </w:rPr>
              <w:t>Corroboration</w:t>
            </w:r>
          </w:p>
        </w:tc>
        <w:tc>
          <w:tcPr>
            <w:tcW w:type="dxa" w:w="2570"/>
            <w:vAlign w:val="top"/>
          </w:tcPr>
          <w:p>
            <w:pPr>
              <w:spacing w:after="0"/>
            </w:pPr>
            <w:r>
              <w:rPr>
                <w:sz w:val="14"/>
              </w:rPr>
              <w:t>Multiple independent streams</w:t>
            </w:r>
          </w:p>
        </w:tc>
        <w:tc>
          <w:tcPr>
            <w:tcW w:type="dxa" w:w="2570"/>
            <w:vAlign w:val="top"/>
          </w:tcPr>
          <w:p>
            <w:pPr>
              <w:spacing w:after="0"/>
            </w:pPr>
            <w:r>
              <w:rPr>
                <w:sz w:val="14"/>
              </w:rPr>
              <w:t>Some independent support</w:t>
            </w:r>
          </w:p>
        </w:tc>
        <w:tc>
          <w:tcPr>
            <w:tcW w:type="dxa" w:w="2570"/>
            <w:vAlign w:val="top"/>
          </w:tcPr>
          <w:p>
            <w:pPr>
              <w:spacing w:after="0"/>
            </w:pPr>
            <w:r>
              <w:rPr>
                <w:sz w:val="14"/>
              </w:rPr>
              <w:t>Single-source or circular reporting</w:t>
            </w:r>
          </w:p>
        </w:tc>
      </w:tr>
      <w:tr>
        <w:tc>
          <w:tcPr>
            <w:tcW w:type="dxa" w:w="2570"/>
            <w:vAlign w:val="top"/>
          </w:tcPr>
          <w:p>
            <w:pPr>
              <w:spacing w:after="0"/>
            </w:pPr>
            <w:r>
              <w:rPr>
                <w:sz w:val="14"/>
              </w:rPr>
              <w:t>Freshness</w:t>
            </w:r>
          </w:p>
        </w:tc>
        <w:tc>
          <w:tcPr>
            <w:tcW w:type="dxa" w:w="2570"/>
            <w:vAlign w:val="top"/>
          </w:tcPr>
          <w:p>
            <w:pPr>
              <w:spacing w:after="0"/>
            </w:pPr>
            <w:r>
              <w:rPr>
                <w:sz w:val="14"/>
              </w:rPr>
              <w:t>Current to decision</w:t>
            </w:r>
          </w:p>
        </w:tc>
        <w:tc>
          <w:tcPr>
            <w:tcW w:type="dxa" w:w="2570"/>
            <w:vAlign w:val="top"/>
          </w:tcPr>
          <w:p>
            <w:pPr>
              <w:spacing w:after="0"/>
            </w:pPr>
            <w:r>
              <w:rPr>
                <w:sz w:val="14"/>
              </w:rPr>
              <w:t>Some lag</w:t>
            </w:r>
          </w:p>
        </w:tc>
        <w:tc>
          <w:tcPr>
            <w:tcW w:type="dxa" w:w="2570"/>
            <w:vAlign w:val="top"/>
          </w:tcPr>
          <w:p>
            <w:pPr>
              <w:spacing w:after="0"/>
            </w:pPr>
            <w:r>
              <w:rPr>
                <w:sz w:val="14"/>
              </w:rPr>
              <w:t>Potentially stale</w:t>
            </w:r>
          </w:p>
        </w:tc>
      </w:tr>
      <w:tr>
        <w:tc>
          <w:tcPr>
            <w:tcW w:type="dxa" w:w="2570"/>
            <w:vAlign w:val="top"/>
          </w:tcPr>
          <w:p>
            <w:pPr>
              <w:spacing w:after="0"/>
            </w:pPr>
            <w:r>
              <w:rPr>
                <w:sz w:val="14"/>
              </w:rPr>
              <w:t>Relevance</w:t>
            </w:r>
          </w:p>
        </w:tc>
        <w:tc>
          <w:tcPr>
            <w:tcW w:type="dxa" w:w="2570"/>
            <w:vAlign w:val="top"/>
          </w:tcPr>
          <w:p>
            <w:pPr>
              <w:spacing w:after="0"/>
            </w:pPr>
            <w:r>
              <w:rPr>
                <w:sz w:val="14"/>
              </w:rPr>
              <w:t>Directly bears on hypothesis</w:t>
            </w:r>
          </w:p>
        </w:tc>
        <w:tc>
          <w:tcPr>
            <w:tcW w:type="dxa" w:w="2570"/>
            <w:vAlign w:val="top"/>
          </w:tcPr>
          <w:p>
            <w:pPr>
              <w:spacing w:after="0"/>
            </w:pPr>
            <w:r>
              <w:rPr>
                <w:sz w:val="14"/>
              </w:rPr>
              <w:t>Indirect</w:t>
            </w:r>
          </w:p>
        </w:tc>
        <w:tc>
          <w:tcPr>
            <w:tcW w:type="dxa" w:w="2570"/>
            <w:vAlign w:val="top"/>
          </w:tcPr>
          <w:p>
            <w:pPr>
              <w:spacing w:after="0"/>
            </w:pPr>
            <w:r>
              <w:rPr>
                <w:sz w:val="14"/>
              </w:rPr>
              <w:t>Tangential</w:t>
            </w:r>
          </w:p>
        </w:tc>
      </w:tr>
    </w:tbl>
    <w:p>
      <w:r>
        <w:rPr>
          <w:b w:val="0"/>
          <w:i w:val="0"/>
        </w:rPr>
        <w:t>Confidence is not probability. A 60% de-escalation estimate can be high-confidence if evidence is strong, while an 80% estimate can be low-confidence if it rests on one fragile assumption.</w:t>
      </w:r>
    </w:p>
    <w:p>
      <w:pPr>
        <w:pStyle w:val="Heading2"/>
        <w:keepNext/>
        <w:spacing w:before="120" w:after="50"/>
      </w:pPr>
      <w:bookmarkStart w:id="564" w:name="_Toc9400564"/>
      <w:r>
        <w:t>Confidence Language</w:t>
      </w:r>
      <w:bookmarkEnd w:id="564"/>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Label</w:t>
            </w:r>
          </w:p>
        </w:tc>
        <w:tc>
          <w:tcPr>
            <w:tcW w:type="dxa" w:w="5141"/>
            <w:shd w:fill="D9E5F2"/>
          </w:tcPr>
          <w:p>
            <w:r>
              <w:rPr>
                <w:b/>
                <w:sz w:val="15"/>
              </w:rPr>
              <w:t>Meaning</w:t>
            </w:r>
          </w:p>
        </w:tc>
      </w:tr>
      <w:tr>
        <w:tc>
          <w:tcPr>
            <w:tcW w:type="dxa" w:w="5141"/>
            <w:vAlign w:val="top"/>
          </w:tcPr>
          <w:p>
            <w:pPr>
              <w:spacing w:after="0"/>
            </w:pPr>
            <w:r>
              <w:rPr>
                <w:sz w:val="15"/>
              </w:rPr>
              <w:t>High confidence</w:t>
            </w:r>
          </w:p>
        </w:tc>
        <w:tc>
          <w:tcPr>
            <w:tcW w:type="dxa" w:w="5141"/>
            <w:vAlign w:val="top"/>
          </w:tcPr>
          <w:p>
            <w:pPr>
              <w:spacing w:after="0"/>
            </w:pPr>
            <w:r>
              <w:rPr>
                <w:sz w:val="15"/>
              </w:rPr>
              <w:t>Multiple independent high-quality streams; major alternatives tested; limited unresolved contradiction.</w:t>
            </w:r>
          </w:p>
        </w:tc>
      </w:tr>
      <w:tr>
        <w:tc>
          <w:tcPr>
            <w:tcW w:type="dxa" w:w="5141"/>
            <w:vAlign w:val="top"/>
          </w:tcPr>
          <w:p>
            <w:pPr>
              <w:spacing w:after="0"/>
            </w:pPr>
            <w:r>
              <w:rPr>
                <w:sz w:val="15"/>
              </w:rPr>
              <w:t>Moderate confidence</w:t>
            </w:r>
          </w:p>
        </w:tc>
        <w:tc>
          <w:tcPr>
            <w:tcW w:type="dxa" w:w="5141"/>
            <w:vAlign w:val="top"/>
          </w:tcPr>
          <w:p>
            <w:pPr>
              <w:spacing w:after="0"/>
            </w:pPr>
            <w:r>
              <w:rPr>
                <w:sz w:val="15"/>
              </w:rPr>
              <w:t>Good evidence but important gaps, timing uncertainty or plausible alternatives remain.</w:t>
            </w:r>
          </w:p>
        </w:tc>
      </w:tr>
      <w:tr>
        <w:tc>
          <w:tcPr>
            <w:tcW w:type="dxa" w:w="5141"/>
            <w:vAlign w:val="top"/>
          </w:tcPr>
          <w:p>
            <w:pPr>
              <w:spacing w:after="0"/>
            </w:pPr>
            <w:r>
              <w:rPr>
                <w:sz w:val="15"/>
              </w:rPr>
              <w:t>Low confidence</w:t>
            </w:r>
          </w:p>
        </w:tc>
        <w:tc>
          <w:tcPr>
            <w:tcW w:type="dxa" w:w="5141"/>
            <w:vAlign w:val="top"/>
          </w:tcPr>
          <w:p>
            <w:pPr>
              <w:spacing w:after="0"/>
            </w:pPr>
            <w:r>
              <w:rPr>
                <w:sz w:val="15"/>
              </w:rPr>
              <w:t>Sparse, conflicting, stale or heavily inferential evidence. Decision-makers should treat estimate as provisional.</w:t>
            </w:r>
          </w:p>
        </w:tc>
      </w:tr>
    </w:tbl>
    <w:p>
      <w:r>
        <w:br w:type="page"/>
      </w:r>
    </w:p>
    <w:p>
      <w:pPr>
        <w:pStyle w:val="Heading1"/>
        <w:keepNext/>
        <w:spacing w:before="120" w:after="50"/>
      </w:pPr>
      <w:bookmarkStart w:id="565" w:name="_Toc9400565"/>
      <w:r>
        <w:t>15. De-escalation Probability Assessment (DPA): Overview</w:t>
      </w:r>
      <w:bookmarkEnd w:id="565"/>
    </w:p>
    <w:p>
      <w:r>
        <w:rPr>
          <w:b w:val="0"/>
          <w:i w:val="0"/>
        </w:rPr>
        <w:t>The DPA is a recurring structured judgement about the probability of a meaningful, verified reduction in Canada-U.S. economic conflict within defined horizons.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Horizon</w:t>
            </w:r>
          </w:p>
        </w:tc>
        <w:tc>
          <w:tcPr>
            <w:tcW w:type="dxa" w:w="5141"/>
            <w:shd w:fill="D9E5F2"/>
          </w:tcPr>
          <w:p>
            <w:r>
              <w:rPr>
                <w:b/>
                <w:sz w:val="15"/>
              </w:rPr>
              <w:t>Question</w:t>
            </w:r>
          </w:p>
        </w:tc>
      </w:tr>
      <w:tr>
        <w:tc>
          <w:tcPr>
            <w:tcW w:type="dxa" w:w="5141"/>
            <w:vAlign w:val="top"/>
          </w:tcPr>
          <w:p>
            <w:pPr>
              <w:spacing w:after="0"/>
            </w:pPr>
            <w:r>
              <w:rPr>
                <w:sz w:val="15"/>
              </w:rPr>
              <w:t>7 days</w:t>
            </w:r>
          </w:p>
        </w:tc>
        <w:tc>
          <w:tcPr>
            <w:tcW w:type="dxa" w:w="5141"/>
            <w:vAlign w:val="top"/>
          </w:tcPr>
          <w:p>
            <w:pPr>
              <w:spacing w:after="0"/>
            </w:pPr>
            <w:r>
              <w:rPr>
                <w:sz w:val="15"/>
              </w:rPr>
              <w:t>Is a concrete pause, exemption, meeting, sector cure or reciprocal step likely?</w:t>
            </w:r>
          </w:p>
        </w:tc>
      </w:tr>
      <w:tr>
        <w:tc>
          <w:tcPr>
            <w:tcW w:type="dxa" w:w="5141"/>
            <w:vAlign w:val="top"/>
          </w:tcPr>
          <w:p>
            <w:pPr>
              <w:spacing w:after="0"/>
            </w:pPr>
            <w:r>
              <w:rPr>
                <w:sz w:val="15"/>
              </w:rPr>
              <w:t>30 days</w:t>
            </w:r>
          </w:p>
        </w:tc>
        <w:tc>
          <w:tcPr>
            <w:tcW w:type="dxa" w:w="5141"/>
            <w:vAlign w:val="top"/>
          </w:tcPr>
          <w:p>
            <w:pPr>
              <w:spacing w:after="0"/>
            </w:pPr>
            <w:r>
              <w:rPr>
                <w:sz w:val="15"/>
              </w:rPr>
              <w:t>Is a negotiated reduction in one or more material measures likely?</w:t>
            </w:r>
          </w:p>
        </w:tc>
      </w:tr>
      <w:tr>
        <w:tc>
          <w:tcPr>
            <w:tcW w:type="dxa" w:w="5141"/>
            <w:vAlign w:val="top"/>
          </w:tcPr>
          <w:p>
            <w:pPr>
              <w:spacing w:after="0"/>
            </w:pPr>
            <w:r>
              <w:rPr>
                <w:sz w:val="15"/>
              </w:rPr>
              <w:t>90 days</w:t>
            </w:r>
          </w:p>
        </w:tc>
        <w:tc>
          <w:tcPr>
            <w:tcW w:type="dxa" w:w="5141"/>
            <w:vAlign w:val="top"/>
          </w:tcPr>
          <w:p>
            <w:pPr>
              <w:spacing w:after="0"/>
            </w:pPr>
            <w:r>
              <w:rPr>
                <w:sz w:val="15"/>
              </w:rPr>
              <w:t>Is a broader stabilization or framework settlement likely?</w:t>
            </w:r>
          </w:p>
        </w:tc>
      </w:tr>
      <w:tr>
        <w:tc>
          <w:tcPr>
            <w:tcW w:type="dxa" w:w="5141"/>
            <w:vAlign w:val="top"/>
          </w:tcPr>
          <w:p>
            <w:pPr>
              <w:spacing w:after="0"/>
            </w:pPr>
            <w:r>
              <w:rPr>
                <w:sz w:val="15"/>
              </w:rPr>
              <w:t>12 months</w:t>
            </w:r>
          </w:p>
        </w:tc>
        <w:tc>
          <w:tcPr>
            <w:tcW w:type="dxa" w:w="5141"/>
            <w:vAlign w:val="top"/>
          </w:tcPr>
          <w:p>
            <w:pPr>
              <w:spacing w:after="0"/>
            </w:pPr>
            <w:r>
              <w:rPr>
                <w:sz w:val="15"/>
              </w:rPr>
              <w:t>Is the conflict likely to move toward durable normalization rather than recurring coercive cycles?</w:t>
            </w:r>
          </w:p>
        </w:tc>
      </w:tr>
    </w:tbl>
    <w:p>
      <w:pPr>
        <w:pStyle w:val="Heading2"/>
        <w:keepNext/>
        <w:spacing w:before="120" w:after="50"/>
      </w:pPr>
      <w:bookmarkStart w:id="566" w:name="_Toc9400566"/>
      <w:r>
        <w:t>Required DPA Output</w:t>
      </w:r>
      <w:bookmarkEnd w:id="566"/>
    </w:p>
    <w:p>
      <w:pPr>
        <w:pStyle w:val="ListBullet"/>
        <w:spacing w:after="40"/>
      </w:pPr>
      <w:r>
        <w:t>Probability range, not false precision.</w:t>
      </w:r>
    </w:p>
    <w:p>
      <w:pPr>
        <w:pStyle w:val="ListBullet"/>
        <w:spacing w:after="40"/>
      </w:pPr>
      <w:r>
        <w:t>Direction since last assessment: rising, falling, unchanged.</w:t>
      </w:r>
    </w:p>
    <w:p>
      <w:pPr>
        <w:pStyle w:val="ListBullet"/>
        <w:spacing w:after="40"/>
      </w:pPr>
      <w:r>
        <w:t>Confidence level.</w:t>
      </w:r>
    </w:p>
    <w:p>
      <w:pPr>
        <w:pStyle w:val="ListBullet"/>
        <w:spacing w:after="40"/>
      </w:pPr>
      <w:r>
        <w:t>Top five drivers toward de-escalation.</w:t>
      </w:r>
    </w:p>
    <w:p>
      <w:pPr>
        <w:pStyle w:val="ListBullet"/>
        <w:spacing w:after="40"/>
      </w:pPr>
      <w:r>
        <w:t>Top five blockers.</w:t>
      </w:r>
    </w:p>
    <w:p>
      <w:pPr>
        <w:pStyle w:val="ListBullet"/>
        <w:spacing w:after="40"/>
      </w:pPr>
      <w:r>
        <w:t>Key indicators to watch before next update.</w:t>
      </w:r>
    </w:p>
    <w:p>
      <w:pPr>
        <w:pStyle w:val="ListBullet"/>
        <w:spacing w:after="40"/>
      </w:pPr>
      <w:r>
        <w:t>Alternative hypothesis and dissent.</w:t>
      </w:r>
    </w:p>
    <w:p>
      <w:pPr>
        <w:pStyle w:val="ListBullet"/>
        <w:spacing w:after="40"/>
      </w:pPr>
      <w:r>
        <w:t>Canadian actions that could improve the probability without conceding core objectives.</w:t>
      </w:r>
    </w:p>
    <w:p>
      <w:pPr>
        <w:pStyle w:val="ListBullet"/>
        <w:spacing w:after="40"/>
      </w:pPr>
      <w:r>
        <w:t>Pre-cleared actions if probability crosses defined thresholds.</w:t>
      </w:r>
    </w:p>
    <w:p>
      <w:pPr>
        <w:pStyle w:val="ListBullet"/>
        <w:spacing w:after="40"/>
      </w:pPr>
      <w:r>
        <w:t>Explicit statement of what would cause the assessment to change.</w:t>
      </w:r>
    </w:p>
    <w:p>
      <w:r>
        <w:br w:type="page"/>
      </w:r>
    </w:p>
    <w:p>
      <w:pPr>
        <w:pStyle w:val="Heading1"/>
        <w:keepNext/>
        <w:spacing w:before="120" w:after="50"/>
      </w:pPr>
      <w:bookmarkStart w:id="567" w:name="_Toc9400567"/>
      <w:r>
        <w:t>16. DPA Scoring Model</w:t>
      </w:r>
      <w:bookmarkEnd w:id="567"/>
    </w:p>
    <w:p>
      <w:r>
        <w:rPr>
          <w:b w:val="0"/>
          <w:i w:val="0"/>
        </w:rPr>
        <w:t>The score is an analytic aid, not an algorithmic decision-maker. Suggested dimensions are scored from -2 (strong escalation signal) to +2 (strong de-escalation signal), with written evidence required.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Dimension</w:t>
            </w:r>
          </w:p>
        </w:tc>
        <w:tc>
          <w:tcPr>
            <w:tcW w:type="dxa" w:w="3427"/>
            <w:shd w:fill="D9E5F2"/>
          </w:tcPr>
          <w:p>
            <w:r>
              <w:rPr>
                <w:b/>
                <w:sz w:val="14"/>
              </w:rPr>
              <w:t>Weight</w:t>
            </w:r>
          </w:p>
        </w:tc>
        <w:tc>
          <w:tcPr>
            <w:tcW w:type="dxa" w:w="3427"/>
            <w:shd w:fill="D9E5F2"/>
          </w:tcPr>
          <w:p>
            <w:r>
              <w:rPr>
                <w:b/>
                <w:sz w:val="14"/>
              </w:rPr>
              <w:t>Examples</w:t>
            </w:r>
          </w:p>
        </w:tc>
      </w:tr>
      <w:tr>
        <w:tc>
          <w:tcPr>
            <w:tcW w:type="dxa" w:w="3427"/>
            <w:vAlign w:val="top"/>
          </w:tcPr>
          <w:p>
            <w:pPr>
              <w:spacing w:after="0"/>
            </w:pPr>
            <w:r>
              <w:rPr>
                <w:sz w:val="14"/>
              </w:rPr>
              <w:t>Negotiating behaviour</w:t>
            </w:r>
          </w:p>
        </w:tc>
        <w:tc>
          <w:tcPr>
            <w:tcW w:type="dxa" w:w="3427"/>
            <w:vAlign w:val="top"/>
          </w:tcPr>
          <w:p>
            <w:pPr>
              <w:spacing w:after="0"/>
            </w:pPr>
            <w:r>
              <w:rPr>
                <w:sz w:val="14"/>
              </w:rPr>
              <w:t>20%</w:t>
            </w:r>
          </w:p>
        </w:tc>
        <w:tc>
          <w:tcPr>
            <w:tcW w:type="dxa" w:w="3427"/>
            <w:vAlign w:val="top"/>
          </w:tcPr>
          <w:p>
            <w:pPr>
              <w:spacing w:after="0"/>
            </w:pPr>
            <w:r>
              <w:rPr>
                <w:sz w:val="14"/>
              </w:rPr>
              <w:t>Meetings, term narrowing, reciprocal proposals, verification work</w:t>
            </w:r>
          </w:p>
        </w:tc>
      </w:tr>
      <w:tr>
        <w:tc>
          <w:tcPr>
            <w:tcW w:type="dxa" w:w="3427"/>
            <w:vAlign w:val="top"/>
          </w:tcPr>
          <w:p>
            <w:pPr>
              <w:spacing w:after="0"/>
            </w:pPr>
            <w:r>
              <w:rPr>
                <w:sz w:val="14"/>
              </w:rPr>
              <w:t>Executive policy posture</w:t>
            </w:r>
          </w:p>
        </w:tc>
        <w:tc>
          <w:tcPr>
            <w:tcW w:type="dxa" w:w="3427"/>
            <w:vAlign w:val="top"/>
          </w:tcPr>
          <w:p>
            <w:pPr>
              <w:spacing w:after="0"/>
            </w:pPr>
            <w:r>
              <w:rPr>
                <w:sz w:val="14"/>
              </w:rPr>
              <w:t>15%</w:t>
            </w:r>
          </w:p>
        </w:tc>
        <w:tc>
          <w:tcPr>
            <w:tcW w:type="dxa" w:w="3427"/>
            <w:vAlign w:val="top"/>
          </w:tcPr>
          <w:p>
            <w:pPr>
              <w:spacing w:after="0"/>
            </w:pPr>
            <w:r>
              <w:rPr>
                <w:sz w:val="14"/>
              </w:rPr>
              <w:t>Tariff implementation, exemptions, pauses, new authorities</w:t>
            </w:r>
          </w:p>
        </w:tc>
      </w:tr>
      <w:tr>
        <w:tc>
          <w:tcPr>
            <w:tcW w:type="dxa" w:w="3427"/>
            <w:vAlign w:val="top"/>
          </w:tcPr>
          <w:p>
            <w:pPr>
              <w:spacing w:after="0"/>
            </w:pPr>
            <w:r>
              <w:rPr>
                <w:sz w:val="14"/>
              </w:rPr>
              <w:t>Congressional/state movement</w:t>
            </w:r>
          </w:p>
        </w:tc>
        <w:tc>
          <w:tcPr>
            <w:tcW w:type="dxa" w:w="3427"/>
            <w:vAlign w:val="top"/>
          </w:tcPr>
          <w:p>
            <w:pPr>
              <w:spacing w:after="0"/>
            </w:pPr>
            <w:r>
              <w:rPr>
                <w:sz w:val="14"/>
              </w:rPr>
              <w:t>10%</w:t>
            </w:r>
          </w:p>
        </w:tc>
        <w:tc>
          <w:tcPr>
            <w:tcW w:type="dxa" w:w="3427"/>
            <w:vAlign w:val="top"/>
          </w:tcPr>
          <w:p>
            <w:pPr>
              <w:spacing w:after="0"/>
            </w:pPr>
            <w:r>
              <w:rPr>
                <w:sz w:val="14"/>
              </w:rPr>
              <w:t>Hearings, letters, bills, bipartisan coalitions, governors</w:t>
            </w:r>
          </w:p>
        </w:tc>
      </w:tr>
      <w:tr>
        <w:tc>
          <w:tcPr>
            <w:tcW w:type="dxa" w:w="3427"/>
            <w:vAlign w:val="top"/>
          </w:tcPr>
          <w:p>
            <w:pPr>
              <w:spacing w:after="0"/>
            </w:pPr>
            <w:r>
              <w:rPr>
                <w:sz w:val="14"/>
              </w:rPr>
              <w:t>Business/labour pressure</w:t>
            </w:r>
          </w:p>
        </w:tc>
        <w:tc>
          <w:tcPr>
            <w:tcW w:type="dxa" w:w="3427"/>
            <w:vAlign w:val="top"/>
          </w:tcPr>
          <w:p>
            <w:pPr>
              <w:spacing w:after="0"/>
            </w:pPr>
            <w:r>
              <w:rPr>
                <w:sz w:val="14"/>
              </w:rPr>
              <w:t>10%</w:t>
            </w:r>
          </w:p>
        </w:tc>
        <w:tc>
          <w:tcPr>
            <w:tcW w:type="dxa" w:w="3427"/>
            <w:vAlign w:val="top"/>
          </w:tcPr>
          <w:p>
            <w:pPr>
              <w:spacing w:after="0"/>
            </w:pPr>
            <w:r>
              <w:rPr>
                <w:sz w:val="14"/>
              </w:rPr>
              <w:t>Order losses, investment concerns, organized settlement advocacy</w:t>
            </w:r>
          </w:p>
        </w:tc>
      </w:tr>
      <w:tr>
        <w:tc>
          <w:tcPr>
            <w:tcW w:type="dxa" w:w="3427"/>
            <w:vAlign w:val="top"/>
          </w:tcPr>
          <w:p>
            <w:pPr>
              <w:spacing w:after="0"/>
            </w:pPr>
            <w:r>
              <w:rPr>
                <w:sz w:val="14"/>
              </w:rPr>
              <w:t>Legal/regulatory trajectory</w:t>
            </w:r>
          </w:p>
        </w:tc>
        <w:tc>
          <w:tcPr>
            <w:tcW w:type="dxa" w:w="3427"/>
            <w:vAlign w:val="top"/>
          </w:tcPr>
          <w:p>
            <w:pPr>
              <w:spacing w:after="0"/>
            </w:pPr>
            <w:r>
              <w:rPr>
                <w:sz w:val="14"/>
              </w:rPr>
              <w:t>10%</w:t>
            </w:r>
          </w:p>
        </w:tc>
        <w:tc>
          <w:tcPr>
            <w:tcW w:type="dxa" w:w="3427"/>
            <w:vAlign w:val="top"/>
          </w:tcPr>
          <w:p>
            <w:pPr>
              <w:spacing w:after="0"/>
            </w:pPr>
            <w:r>
              <w:rPr>
                <w:sz w:val="14"/>
              </w:rPr>
              <w:t>Rulings, injunctions, implementation guidance, dispute milestones</w:t>
            </w:r>
          </w:p>
        </w:tc>
      </w:tr>
      <w:tr>
        <w:tc>
          <w:tcPr>
            <w:tcW w:type="dxa" w:w="3427"/>
            <w:vAlign w:val="top"/>
          </w:tcPr>
          <w:p>
            <w:pPr>
              <w:spacing w:after="0"/>
            </w:pPr>
            <w:r>
              <w:rPr>
                <w:sz w:val="14"/>
              </w:rPr>
              <w:t>Economic stress/adaptation</w:t>
            </w:r>
          </w:p>
        </w:tc>
        <w:tc>
          <w:tcPr>
            <w:tcW w:type="dxa" w:w="3427"/>
            <w:vAlign w:val="top"/>
          </w:tcPr>
          <w:p>
            <w:pPr>
              <w:spacing w:after="0"/>
            </w:pPr>
            <w:r>
              <w:rPr>
                <w:sz w:val="14"/>
              </w:rPr>
              <w:t>10%</w:t>
            </w:r>
          </w:p>
        </w:tc>
        <w:tc>
          <w:tcPr>
            <w:tcW w:type="dxa" w:w="3427"/>
            <w:vAlign w:val="top"/>
          </w:tcPr>
          <w:p>
            <w:pPr>
              <w:spacing w:after="0"/>
            </w:pPr>
            <w:r>
              <w:rPr>
                <w:sz w:val="14"/>
              </w:rPr>
              <w:t>Trade diversion, price pass-through, layoffs, inventories, substitution</w:t>
            </w:r>
          </w:p>
        </w:tc>
      </w:tr>
      <w:tr>
        <w:tc>
          <w:tcPr>
            <w:tcW w:type="dxa" w:w="3427"/>
            <w:vAlign w:val="top"/>
          </w:tcPr>
          <w:p>
            <w:pPr>
              <w:spacing w:after="0"/>
            </w:pPr>
            <w:r>
              <w:rPr>
                <w:sz w:val="14"/>
              </w:rPr>
              <w:t>Public/narrative environment</w:t>
            </w:r>
          </w:p>
        </w:tc>
        <w:tc>
          <w:tcPr>
            <w:tcW w:type="dxa" w:w="3427"/>
            <w:vAlign w:val="top"/>
          </w:tcPr>
          <w:p>
            <w:pPr>
              <w:spacing w:after="0"/>
            </w:pPr>
            <w:r>
              <w:rPr>
                <w:sz w:val="14"/>
              </w:rPr>
              <w:t>10%</w:t>
            </w:r>
          </w:p>
        </w:tc>
        <w:tc>
          <w:tcPr>
            <w:tcW w:type="dxa" w:w="3427"/>
            <w:vAlign w:val="top"/>
          </w:tcPr>
          <w:p>
            <w:pPr>
              <w:spacing w:after="0"/>
            </w:pPr>
            <w:r>
              <w:rPr>
                <w:sz w:val="14"/>
              </w:rPr>
              <w:t>Salience, tolerance, perceived fairness, appetite for compromise</w:t>
            </w:r>
          </w:p>
        </w:tc>
      </w:tr>
      <w:tr>
        <w:tc>
          <w:tcPr>
            <w:tcW w:type="dxa" w:w="3427"/>
            <w:vAlign w:val="top"/>
          </w:tcPr>
          <w:p>
            <w:pPr>
              <w:spacing w:after="0"/>
            </w:pPr>
            <w:r>
              <w:rPr>
                <w:sz w:val="14"/>
              </w:rPr>
              <w:t>Allied/third-country context</w:t>
            </w:r>
          </w:p>
        </w:tc>
        <w:tc>
          <w:tcPr>
            <w:tcW w:type="dxa" w:w="3427"/>
            <w:vAlign w:val="top"/>
          </w:tcPr>
          <w:p>
            <w:pPr>
              <w:spacing w:after="0"/>
            </w:pPr>
            <w:r>
              <w:rPr>
                <w:sz w:val="14"/>
              </w:rPr>
              <w:t>5%</w:t>
            </w:r>
          </w:p>
        </w:tc>
        <w:tc>
          <w:tcPr>
            <w:tcW w:type="dxa" w:w="3427"/>
            <w:vAlign w:val="top"/>
          </w:tcPr>
          <w:p>
            <w:pPr>
              <w:spacing w:after="0"/>
            </w:pPr>
            <w:r>
              <w:rPr>
                <w:sz w:val="14"/>
              </w:rPr>
              <w:t>Coalition pressure, mediation, parallel disputes</w:t>
            </w:r>
          </w:p>
        </w:tc>
      </w:tr>
      <w:tr>
        <w:tc>
          <w:tcPr>
            <w:tcW w:type="dxa" w:w="3427"/>
            <w:vAlign w:val="top"/>
          </w:tcPr>
          <w:p>
            <w:pPr>
              <w:spacing w:after="0"/>
            </w:pPr>
            <w:r>
              <w:rPr>
                <w:sz w:val="14"/>
              </w:rPr>
              <w:t>Canadian cohesion/endurance</w:t>
            </w:r>
          </w:p>
        </w:tc>
        <w:tc>
          <w:tcPr>
            <w:tcW w:type="dxa" w:w="3427"/>
            <w:vAlign w:val="top"/>
          </w:tcPr>
          <w:p>
            <w:pPr>
              <w:spacing w:after="0"/>
            </w:pPr>
            <w:r>
              <w:rPr>
                <w:sz w:val="14"/>
              </w:rPr>
              <w:t>5%</w:t>
            </w:r>
          </w:p>
        </w:tc>
        <w:tc>
          <w:tcPr>
            <w:tcW w:type="dxa" w:w="3427"/>
            <w:vAlign w:val="top"/>
          </w:tcPr>
          <w:p>
            <w:pPr>
              <w:spacing w:after="0"/>
            </w:pPr>
            <w:r>
              <w:rPr>
                <w:sz w:val="14"/>
              </w:rPr>
              <w:t>Provincial alignment, support capacity, domestic tolerance</w:t>
            </w:r>
          </w:p>
        </w:tc>
      </w:tr>
      <w:tr>
        <w:tc>
          <w:tcPr>
            <w:tcW w:type="dxa" w:w="3427"/>
            <w:vAlign w:val="top"/>
          </w:tcPr>
          <w:p>
            <w:pPr>
              <w:spacing w:after="0"/>
            </w:pPr>
            <w:r>
              <w:rPr>
                <w:sz w:val="14"/>
              </w:rPr>
              <w:t>Security/shock context</w:t>
            </w:r>
          </w:p>
        </w:tc>
        <w:tc>
          <w:tcPr>
            <w:tcW w:type="dxa" w:w="3427"/>
            <w:vAlign w:val="top"/>
          </w:tcPr>
          <w:p>
            <w:pPr>
              <w:spacing w:after="0"/>
            </w:pPr>
            <w:r>
              <w:rPr>
                <w:sz w:val="14"/>
              </w:rPr>
              <w:t>5%</w:t>
            </w:r>
          </w:p>
        </w:tc>
        <w:tc>
          <w:tcPr>
            <w:tcW w:type="dxa" w:w="3427"/>
            <w:vAlign w:val="top"/>
          </w:tcPr>
          <w:p>
            <w:pPr>
              <w:spacing w:after="0"/>
            </w:pPr>
            <w:r>
              <w:rPr>
                <w:sz w:val="14"/>
              </w:rPr>
              <w:t>Relevant authorized threat or crisis conditions</w:t>
            </w:r>
          </w:p>
        </w:tc>
      </w:tr>
    </w:tbl>
    <w:p>
      <w:r>
        <w:rPr>
          <w:b w:val="0"/>
          <w:i w:val="0"/>
        </w:rPr>
        <w:t>The team may alter weights for a specific crisis, but every change must be documented. Scores never override qualitative judgement.</w:t>
      </w:r>
    </w:p>
    <w:p>
      <w:r>
        <w:br w:type="page"/>
      </w:r>
    </w:p>
    <w:p>
      <w:pPr>
        <w:pStyle w:val="Heading1"/>
        <w:keepNext/>
        <w:spacing w:before="120" w:after="50"/>
      </w:pPr>
      <w:bookmarkStart w:id="568" w:name="_Toc9400568"/>
      <w:r>
        <w:t>17. DPA Probability Bands and Decision Posture</w:t>
      </w:r>
      <w:bookmarkEnd w:id="568"/>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Band</w:t>
            </w:r>
          </w:p>
        </w:tc>
        <w:tc>
          <w:tcPr>
            <w:tcW w:type="dxa" w:w="3427"/>
            <w:shd w:fill="D9E5F2"/>
          </w:tcPr>
          <w:p>
            <w:r>
              <w:rPr>
                <w:b/>
                <w:sz w:val="14"/>
              </w:rPr>
              <w:t>Interpretation</w:t>
            </w:r>
          </w:p>
        </w:tc>
        <w:tc>
          <w:tcPr>
            <w:tcW w:type="dxa" w:w="3427"/>
            <w:shd w:fill="D9E5F2"/>
          </w:tcPr>
          <w:p>
            <w:r>
              <w:rPr>
                <w:b/>
                <w:sz w:val="14"/>
              </w:rPr>
              <w:t>Default posture</w:t>
            </w:r>
          </w:p>
        </w:tc>
      </w:tr>
      <w:tr>
        <w:tc>
          <w:tcPr>
            <w:tcW w:type="dxa" w:w="3427"/>
            <w:vAlign w:val="top"/>
          </w:tcPr>
          <w:p>
            <w:pPr>
              <w:spacing w:after="0"/>
            </w:pPr>
            <w:r>
              <w:rPr>
                <w:sz w:val="14"/>
              </w:rPr>
              <w:t>0–20%</w:t>
            </w:r>
          </w:p>
        </w:tc>
        <w:tc>
          <w:tcPr>
            <w:tcW w:type="dxa" w:w="3427"/>
            <w:vAlign w:val="top"/>
          </w:tcPr>
          <w:p>
            <w:pPr>
              <w:spacing w:after="0"/>
            </w:pPr>
            <w:r>
              <w:rPr>
                <w:sz w:val="14"/>
              </w:rPr>
              <w:t>Settlement opening remote</w:t>
            </w:r>
          </w:p>
        </w:tc>
        <w:tc>
          <w:tcPr>
            <w:tcW w:type="dxa" w:w="3427"/>
            <w:vAlign w:val="top"/>
          </w:tcPr>
          <w:p>
            <w:pPr>
              <w:spacing w:after="0"/>
            </w:pPr>
            <w:r>
              <w:rPr>
                <w:sz w:val="14"/>
              </w:rPr>
              <w:t>Protect endurance; diversify; keep channels open; avoid performative concessions.</w:t>
            </w:r>
          </w:p>
        </w:tc>
      </w:tr>
      <w:tr>
        <w:tc>
          <w:tcPr>
            <w:tcW w:type="dxa" w:w="3427"/>
            <w:vAlign w:val="top"/>
          </w:tcPr>
          <w:p>
            <w:pPr>
              <w:spacing w:after="0"/>
            </w:pPr>
            <w:r>
              <w:rPr>
                <w:sz w:val="14"/>
              </w:rPr>
              <w:t>21–40%</w:t>
            </w:r>
          </w:p>
        </w:tc>
        <w:tc>
          <w:tcPr>
            <w:tcW w:type="dxa" w:w="3427"/>
            <w:vAlign w:val="top"/>
          </w:tcPr>
          <w:p>
            <w:pPr>
              <w:spacing w:after="0"/>
            </w:pPr>
            <w:r>
              <w:rPr>
                <w:sz w:val="14"/>
              </w:rPr>
              <w:t>Weak opening</w:t>
            </w:r>
          </w:p>
        </w:tc>
        <w:tc>
          <w:tcPr>
            <w:tcW w:type="dxa" w:w="3427"/>
            <w:vAlign w:val="top"/>
          </w:tcPr>
          <w:p>
            <w:pPr>
              <w:spacing w:after="0"/>
            </w:pPr>
            <w:r>
              <w:rPr>
                <w:sz w:val="14"/>
              </w:rPr>
              <w:t>Prepare offers and verification quietly; test counterpart seriousness.</w:t>
            </w:r>
          </w:p>
        </w:tc>
      </w:tr>
      <w:tr>
        <w:tc>
          <w:tcPr>
            <w:tcW w:type="dxa" w:w="3427"/>
            <w:vAlign w:val="top"/>
          </w:tcPr>
          <w:p>
            <w:pPr>
              <w:spacing w:after="0"/>
            </w:pPr>
            <w:r>
              <w:rPr>
                <w:sz w:val="14"/>
              </w:rPr>
              <w:t>41–60%</w:t>
            </w:r>
          </w:p>
        </w:tc>
        <w:tc>
          <w:tcPr>
            <w:tcW w:type="dxa" w:w="3427"/>
            <w:vAlign w:val="top"/>
          </w:tcPr>
          <w:p>
            <w:pPr>
              <w:spacing w:after="0"/>
            </w:pPr>
            <w:r>
              <w:rPr>
                <w:sz w:val="14"/>
              </w:rPr>
              <w:t>Contested / fluid</w:t>
            </w:r>
          </w:p>
        </w:tc>
        <w:tc>
          <w:tcPr>
            <w:tcW w:type="dxa" w:w="3427"/>
            <w:vAlign w:val="top"/>
          </w:tcPr>
          <w:p>
            <w:pPr>
              <w:spacing w:after="0"/>
            </w:pPr>
            <w:r>
              <w:rPr>
                <w:sz w:val="14"/>
              </w:rPr>
              <w:t>Increase diplomatic tempo; pre-clear reciprocal moves; avoid unnecessary new escalation.</w:t>
            </w:r>
          </w:p>
        </w:tc>
      </w:tr>
      <w:tr>
        <w:tc>
          <w:tcPr>
            <w:tcW w:type="dxa" w:w="3427"/>
            <w:vAlign w:val="top"/>
          </w:tcPr>
          <w:p>
            <w:pPr>
              <w:spacing w:after="0"/>
            </w:pPr>
            <w:r>
              <w:rPr>
                <w:sz w:val="14"/>
              </w:rPr>
              <w:t>61–80%</w:t>
            </w:r>
          </w:p>
        </w:tc>
        <w:tc>
          <w:tcPr>
            <w:tcW w:type="dxa" w:w="3427"/>
            <w:vAlign w:val="top"/>
          </w:tcPr>
          <w:p>
            <w:pPr>
              <w:spacing w:after="0"/>
            </w:pPr>
            <w:r>
              <w:rPr>
                <w:sz w:val="14"/>
              </w:rPr>
              <w:t>Credible opening</w:t>
            </w:r>
          </w:p>
        </w:tc>
        <w:tc>
          <w:tcPr>
            <w:tcW w:type="dxa" w:w="3427"/>
            <w:vAlign w:val="top"/>
          </w:tcPr>
          <w:p>
            <w:pPr>
              <w:spacing w:after="0"/>
            </w:pPr>
            <w:r>
              <w:rPr>
                <w:sz w:val="14"/>
              </w:rPr>
              <w:t>Table executable package; align provinces; prepare rapid suspension/reduction instruments.</w:t>
            </w:r>
          </w:p>
        </w:tc>
      </w:tr>
      <w:tr>
        <w:tc>
          <w:tcPr>
            <w:tcW w:type="dxa" w:w="3427"/>
            <w:vAlign w:val="top"/>
          </w:tcPr>
          <w:p>
            <w:pPr>
              <w:spacing w:after="0"/>
            </w:pPr>
            <w:r>
              <w:rPr>
                <w:sz w:val="14"/>
              </w:rPr>
              <w:t>81–100%</w:t>
            </w:r>
          </w:p>
        </w:tc>
        <w:tc>
          <w:tcPr>
            <w:tcW w:type="dxa" w:w="3427"/>
            <w:vAlign w:val="top"/>
          </w:tcPr>
          <w:p>
            <w:pPr>
              <w:spacing w:after="0"/>
            </w:pPr>
            <w:r>
              <w:rPr>
                <w:sz w:val="14"/>
              </w:rPr>
              <w:t>High-probability near-term deal</w:t>
            </w:r>
          </w:p>
        </w:tc>
        <w:tc>
          <w:tcPr>
            <w:tcW w:type="dxa" w:w="3427"/>
            <w:vAlign w:val="top"/>
          </w:tcPr>
          <w:p>
            <w:pPr>
              <w:spacing w:after="0"/>
            </w:pPr>
            <w:r>
              <w:rPr>
                <w:sz w:val="14"/>
              </w:rPr>
              <w:t>Shift from pressure generation to implementation protection, verification and anti-whipsaw safeguards.</w:t>
            </w:r>
          </w:p>
        </w:tc>
      </w:tr>
    </w:tbl>
    <w:p>
      <w:pPr>
        <w:pStyle w:val="Heading2"/>
        <w:keepNext/>
        <w:spacing w:before="120" w:after="50"/>
      </w:pPr>
      <w:bookmarkStart w:id="569" w:name="_Toc9400569"/>
      <w:r>
        <w:t>Anti-Gaming Rule</w:t>
      </w:r>
      <w:bookmarkEnd w:id="569"/>
    </w:p>
    <w:p>
      <w:r>
        <w:rPr>
          <w:b w:val="0"/>
          <w:i w:val="0"/>
        </w:rPr>
        <w:t>No department may improve a DPA score by relabelling an unchanged position as a concession. Movement requires a change in observable behaviour, legal posture, implementation, or negotiating substance.</w:t>
      </w:r>
    </w:p>
    <w:p>
      <w:pPr>
        <w:pStyle w:val="Heading2"/>
        <w:keepNext/>
        <w:spacing w:before="120" w:after="50"/>
      </w:pPr>
      <w:bookmarkStart w:id="570" w:name="_Toc9400570"/>
      <w:r>
        <w:t>Dissent Box</w:t>
      </w:r>
      <w:bookmarkEnd w:id="570"/>
    </w:p>
    <w:p>
      <w:r>
        <w:rPr>
          <w:b w:val="0"/>
          <w:i w:val="0"/>
        </w:rPr>
        <w:t>Every DPA includes a mandatory dissent field: 'The strongest case that this assessment is wrong is...' If no dissent exists, the chair must assign a red team to construct one.</w:t>
      </w:r>
    </w:p>
    <w:p>
      <w:r>
        <w:br w:type="page"/>
      </w:r>
    </w:p>
    <w:p>
      <w:pPr>
        <w:pStyle w:val="Heading1"/>
        <w:keepNext/>
        <w:spacing w:before="120" w:after="50"/>
      </w:pPr>
      <w:bookmarkStart w:id="571" w:name="_Toc9400571"/>
      <w:r>
        <w:t>18. DPA Template</w:t>
      </w:r>
      <w:bookmarkEnd w:id="571"/>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Entry</w:t>
            </w:r>
          </w:p>
        </w:tc>
      </w:tr>
      <w:tr>
        <w:tc>
          <w:tcPr>
            <w:tcW w:type="dxa" w:w="5141"/>
            <w:vAlign w:val="top"/>
          </w:tcPr>
          <w:p>
            <w:pPr>
              <w:spacing w:after="0"/>
            </w:pPr>
            <w:r>
              <w:rPr>
                <w:sz w:val="15"/>
              </w:rPr>
              <w:t>Assessment date / cutoff</w:t>
            </w:r>
          </w:p>
        </w:tc>
        <w:tc>
          <w:tcPr>
            <w:tcW w:type="dxa" w:w="5141"/>
            <w:vAlign w:val="top"/>
          </w:tcPr>
          <w:p>
            <w:pPr>
              <w:spacing w:after="0"/>
            </w:pPr>
            <w:r>
              <w:rPr>
                <w:sz w:val="15"/>
              </w:rPr>
            </w:r>
          </w:p>
        </w:tc>
      </w:tr>
      <w:tr>
        <w:tc>
          <w:tcPr>
            <w:tcW w:type="dxa" w:w="5141"/>
            <w:vAlign w:val="top"/>
          </w:tcPr>
          <w:p>
            <w:pPr>
              <w:spacing w:after="0"/>
            </w:pPr>
            <w:r>
              <w:rPr>
                <w:sz w:val="15"/>
              </w:rPr>
              <w:t>7-day probability</w:t>
            </w:r>
          </w:p>
        </w:tc>
        <w:tc>
          <w:tcPr>
            <w:tcW w:type="dxa" w:w="5141"/>
            <w:vAlign w:val="top"/>
          </w:tcPr>
          <w:p>
            <w:pPr>
              <w:spacing w:after="0"/>
            </w:pPr>
            <w:r>
              <w:rPr>
                <w:sz w:val="15"/>
              </w:rPr>
              <w:t>___% range / confidence ___ / direction ___</w:t>
            </w:r>
          </w:p>
        </w:tc>
      </w:tr>
      <w:tr>
        <w:tc>
          <w:tcPr>
            <w:tcW w:type="dxa" w:w="5141"/>
            <w:vAlign w:val="top"/>
          </w:tcPr>
          <w:p>
            <w:pPr>
              <w:spacing w:after="0"/>
            </w:pPr>
            <w:r>
              <w:rPr>
                <w:sz w:val="15"/>
              </w:rPr>
              <w:t>30-day probability</w:t>
            </w:r>
          </w:p>
        </w:tc>
        <w:tc>
          <w:tcPr>
            <w:tcW w:type="dxa" w:w="5141"/>
            <w:vAlign w:val="top"/>
          </w:tcPr>
          <w:p>
            <w:pPr>
              <w:spacing w:after="0"/>
            </w:pPr>
            <w:r>
              <w:rPr>
                <w:sz w:val="15"/>
              </w:rPr>
              <w:t>___% range / confidence ___ / direction ___</w:t>
            </w:r>
          </w:p>
        </w:tc>
      </w:tr>
      <w:tr>
        <w:tc>
          <w:tcPr>
            <w:tcW w:type="dxa" w:w="5141"/>
            <w:vAlign w:val="top"/>
          </w:tcPr>
          <w:p>
            <w:pPr>
              <w:spacing w:after="0"/>
            </w:pPr>
            <w:r>
              <w:rPr>
                <w:sz w:val="15"/>
              </w:rPr>
              <w:t>90-day probability</w:t>
            </w:r>
          </w:p>
        </w:tc>
        <w:tc>
          <w:tcPr>
            <w:tcW w:type="dxa" w:w="5141"/>
            <w:vAlign w:val="top"/>
          </w:tcPr>
          <w:p>
            <w:pPr>
              <w:spacing w:after="0"/>
            </w:pPr>
            <w:r>
              <w:rPr>
                <w:sz w:val="15"/>
              </w:rPr>
              <w:t>___% range / confidence ___ / direction ___</w:t>
            </w:r>
          </w:p>
        </w:tc>
      </w:tr>
      <w:tr>
        <w:tc>
          <w:tcPr>
            <w:tcW w:type="dxa" w:w="5141"/>
            <w:vAlign w:val="top"/>
          </w:tcPr>
          <w:p>
            <w:pPr>
              <w:spacing w:after="0"/>
            </w:pPr>
            <w:r>
              <w:rPr>
                <w:sz w:val="15"/>
              </w:rPr>
              <w:t>12-month normalization probability</w:t>
            </w:r>
          </w:p>
        </w:tc>
        <w:tc>
          <w:tcPr>
            <w:tcW w:type="dxa" w:w="5141"/>
            <w:vAlign w:val="top"/>
          </w:tcPr>
          <w:p>
            <w:pPr>
              <w:spacing w:after="0"/>
            </w:pPr>
            <w:r>
              <w:rPr>
                <w:sz w:val="15"/>
              </w:rPr>
              <w:t>___% range / confidence ___ / direction ___</w:t>
            </w:r>
          </w:p>
        </w:tc>
      </w:tr>
      <w:tr>
        <w:tc>
          <w:tcPr>
            <w:tcW w:type="dxa" w:w="5141"/>
            <w:vAlign w:val="top"/>
          </w:tcPr>
          <w:p>
            <w:pPr>
              <w:spacing w:after="0"/>
            </w:pPr>
            <w:r>
              <w:rPr>
                <w:sz w:val="15"/>
              </w:rPr>
              <w:t>Most important positive signal</w:t>
            </w:r>
          </w:p>
        </w:tc>
        <w:tc>
          <w:tcPr>
            <w:tcW w:type="dxa" w:w="5141"/>
            <w:vAlign w:val="top"/>
          </w:tcPr>
          <w:p>
            <w:pPr>
              <w:spacing w:after="0"/>
            </w:pPr>
            <w:r>
              <w:rPr>
                <w:sz w:val="15"/>
              </w:rPr>
            </w:r>
          </w:p>
        </w:tc>
      </w:tr>
      <w:tr>
        <w:tc>
          <w:tcPr>
            <w:tcW w:type="dxa" w:w="5141"/>
            <w:vAlign w:val="top"/>
          </w:tcPr>
          <w:p>
            <w:pPr>
              <w:spacing w:after="0"/>
            </w:pPr>
            <w:r>
              <w:rPr>
                <w:sz w:val="15"/>
              </w:rPr>
              <w:t>Most important negative signal</w:t>
            </w:r>
          </w:p>
        </w:tc>
        <w:tc>
          <w:tcPr>
            <w:tcW w:type="dxa" w:w="5141"/>
            <w:vAlign w:val="top"/>
          </w:tcPr>
          <w:p>
            <w:pPr>
              <w:spacing w:after="0"/>
            </w:pPr>
            <w:r>
              <w:rPr>
                <w:sz w:val="15"/>
              </w:rPr>
            </w:r>
          </w:p>
        </w:tc>
      </w:tr>
      <w:tr>
        <w:tc>
          <w:tcPr>
            <w:tcW w:type="dxa" w:w="5141"/>
            <w:vAlign w:val="top"/>
          </w:tcPr>
          <w:p>
            <w:pPr>
              <w:spacing w:after="0"/>
            </w:pPr>
            <w:r>
              <w:rPr>
                <w:sz w:val="15"/>
              </w:rPr>
              <w:t>New evidence since last DPA</w:t>
            </w:r>
          </w:p>
        </w:tc>
        <w:tc>
          <w:tcPr>
            <w:tcW w:type="dxa" w:w="5141"/>
            <w:vAlign w:val="top"/>
          </w:tcPr>
          <w:p>
            <w:pPr>
              <w:spacing w:after="0"/>
            </w:pPr>
            <w:r>
              <w:rPr>
                <w:sz w:val="15"/>
              </w:rPr>
            </w:r>
          </w:p>
        </w:tc>
      </w:tr>
      <w:tr>
        <w:tc>
          <w:tcPr>
            <w:tcW w:type="dxa" w:w="5141"/>
            <w:vAlign w:val="top"/>
          </w:tcPr>
          <w:p>
            <w:pPr>
              <w:spacing w:after="0"/>
            </w:pPr>
            <w:r>
              <w:rPr>
                <w:sz w:val="15"/>
              </w:rPr>
              <w:t>Evidence discounted and why</w:t>
            </w:r>
          </w:p>
        </w:tc>
        <w:tc>
          <w:tcPr>
            <w:tcW w:type="dxa" w:w="5141"/>
            <w:vAlign w:val="top"/>
          </w:tcPr>
          <w:p>
            <w:pPr>
              <w:spacing w:after="0"/>
            </w:pPr>
            <w:r>
              <w:rPr>
                <w:sz w:val="15"/>
              </w:rPr>
            </w:r>
          </w:p>
        </w:tc>
      </w:tr>
      <w:tr>
        <w:tc>
          <w:tcPr>
            <w:tcW w:type="dxa" w:w="5141"/>
            <w:vAlign w:val="top"/>
          </w:tcPr>
          <w:p>
            <w:pPr>
              <w:spacing w:after="0"/>
            </w:pPr>
            <w:r>
              <w:rPr>
                <w:sz w:val="15"/>
              </w:rPr>
              <w:t>Top uncertainty</w:t>
            </w:r>
          </w:p>
        </w:tc>
        <w:tc>
          <w:tcPr>
            <w:tcW w:type="dxa" w:w="5141"/>
            <w:vAlign w:val="top"/>
          </w:tcPr>
          <w:p>
            <w:pPr>
              <w:spacing w:after="0"/>
            </w:pPr>
            <w:r>
              <w:rPr>
                <w:sz w:val="15"/>
              </w:rPr>
            </w:r>
          </w:p>
        </w:tc>
      </w:tr>
      <w:tr>
        <w:tc>
          <w:tcPr>
            <w:tcW w:type="dxa" w:w="5141"/>
            <w:vAlign w:val="top"/>
          </w:tcPr>
          <w:p>
            <w:pPr>
              <w:spacing w:after="0"/>
            </w:pPr>
            <w:r>
              <w:rPr>
                <w:sz w:val="15"/>
              </w:rPr>
              <w:t>Strongest alternative hypothesis</w:t>
            </w:r>
          </w:p>
        </w:tc>
        <w:tc>
          <w:tcPr>
            <w:tcW w:type="dxa" w:w="5141"/>
            <w:vAlign w:val="top"/>
          </w:tcPr>
          <w:p>
            <w:pPr>
              <w:spacing w:after="0"/>
            </w:pPr>
            <w:r>
              <w:rPr>
                <w:sz w:val="15"/>
              </w:rPr>
            </w:r>
          </w:p>
        </w:tc>
      </w:tr>
      <w:tr>
        <w:tc>
          <w:tcPr>
            <w:tcW w:type="dxa" w:w="5141"/>
            <w:vAlign w:val="top"/>
          </w:tcPr>
          <w:p>
            <w:pPr>
              <w:spacing w:after="0"/>
            </w:pPr>
            <w:r>
              <w:rPr>
                <w:sz w:val="15"/>
              </w:rPr>
              <w:t>Dissenting assessment</w:t>
            </w:r>
          </w:p>
        </w:tc>
        <w:tc>
          <w:tcPr>
            <w:tcW w:type="dxa" w:w="5141"/>
            <w:vAlign w:val="top"/>
          </w:tcPr>
          <w:p>
            <w:pPr>
              <w:spacing w:after="0"/>
            </w:pPr>
            <w:r>
              <w:rPr>
                <w:sz w:val="15"/>
              </w:rPr>
            </w:r>
          </w:p>
        </w:tc>
      </w:tr>
      <w:tr>
        <w:tc>
          <w:tcPr>
            <w:tcW w:type="dxa" w:w="5141"/>
            <w:vAlign w:val="top"/>
          </w:tcPr>
          <w:p>
            <w:pPr>
              <w:spacing w:after="0"/>
            </w:pPr>
            <w:r>
              <w:rPr>
                <w:sz w:val="15"/>
              </w:rPr>
              <w:t>Next observable trigger</w:t>
            </w:r>
          </w:p>
        </w:tc>
        <w:tc>
          <w:tcPr>
            <w:tcW w:type="dxa" w:w="5141"/>
            <w:vAlign w:val="top"/>
          </w:tcPr>
          <w:p>
            <w:pPr>
              <w:spacing w:after="0"/>
            </w:pPr>
            <w:r>
              <w:rPr>
                <w:sz w:val="15"/>
              </w:rPr>
            </w:r>
          </w:p>
        </w:tc>
      </w:tr>
      <w:tr>
        <w:tc>
          <w:tcPr>
            <w:tcW w:type="dxa" w:w="5141"/>
            <w:vAlign w:val="top"/>
          </w:tcPr>
          <w:p>
            <w:pPr>
              <w:spacing w:after="0"/>
            </w:pPr>
            <w:r>
              <w:rPr>
                <w:sz w:val="15"/>
              </w:rPr>
              <w:t>Recommended Canadian preparation</w:t>
            </w:r>
          </w:p>
        </w:tc>
        <w:tc>
          <w:tcPr>
            <w:tcW w:type="dxa" w:w="5141"/>
            <w:vAlign w:val="top"/>
          </w:tcPr>
          <w:p>
            <w:pPr>
              <w:spacing w:after="0"/>
            </w:pPr>
            <w:r>
              <w:rPr>
                <w:sz w:val="15"/>
              </w:rPr>
            </w:r>
          </w:p>
        </w:tc>
      </w:tr>
      <w:tr>
        <w:tc>
          <w:tcPr>
            <w:tcW w:type="dxa" w:w="5141"/>
            <w:vAlign w:val="top"/>
          </w:tcPr>
          <w:p>
            <w:pPr>
              <w:spacing w:after="0"/>
            </w:pPr>
            <w:r>
              <w:rPr>
                <w:sz w:val="15"/>
              </w:rPr>
              <w:t>Pre-cleared off-ramp action</w:t>
            </w:r>
          </w:p>
        </w:tc>
        <w:tc>
          <w:tcPr>
            <w:tcW w:type="dxa" w:w="5141"/>
            <w:vAlign w:val="top"/>
          </w:tcPr>
          <w:p>
            <w:pPr>
              <w:spacing w:after="0"/>
            </w:pPr>
            <w:r>
              <w:rPr>
                <w:sz w:val="15"/>
              </w:rPr>
            </w:r>
          </w:p>
        </w:tc>
      </w:tr>
      <w:tr>
        <w:tc>
          <w:tcPr>
            <w:tcW w:type="dxa" w:w="5141"/>
            <w:vAlign w:val="top"/>
          </w:tcPr>
          <w:p>
            <w:pPr>
              <w:spacing w:after="0"/>
            </w:pPr>
            <w:r>
              <w:rPr>
                <w:sz w:val="15"/>
              </w:rPr>
              <w:t>Next assessment</w:t>
            </w:r>
          </w:p>
        </w:tc>
        <w:tc>
          <w:tcPr>
            <w:tcW w:type="dxa" w:w="5141"/>
            <w:vAlign w:val="top"/>
          </w:tcPr>
          <w:p>
            <w:pPr>
              <w:spacing w:after="0"/>
            </w:pPr>
            <w:r>
              <w:rPr>
                <w:sz w:val="15"/>
              </w:rPr>
            </w:r>
          </w:p>
        </w:tc>
      </w:tr>
    </w:tbl>
    <w:p>
      <w:pPr>
        <w:pStyle w:val="Heading2"/>
        <w:keepNext/>
        <w:spacing w:before="120" w:after="50"/>
      </w:pPr>
      <w:bookmarkStart w:id="572" w:name="_Toc9400572"/>
      <w:r>
        <w:t>One-Sentence Ministerial Bottom Line</w:t>
      </w:r>
      <w:bookmarkEnd w:id="572"/>
    </w:p>
    <w:p>
      <w:r>
        <w:rPr>
          <w:b w:val="0"/>
          <w:i w:val="0"/>
        </w:rPr>
        <w:t>Example structure: 'The 30-day probability of a material negotiated reduction is assessed at 45–60%, moderate confidence, rising from last week because [verified factors], but a deal remains vulnerable to [blockers]; Canada should [preparation] while preserving [red line].'</w:t>
      </w:r>
    </w:p>
    <w:p>
      <w:r>
        <w:br w:type="page"/>
      </w:r>
    </w:p>
    <w:p>
      <w:pPr>
        <w:pStyle w:val="Heading1"/>
        <w:keepNext/>
        <w:spacing w:before="120" w:after="50"/>
      </w:pPr>
      <w:bookmarkStart w:id="573" w:name="_Toc9400573"/>
      <w:r>
        <w:t>19. Escalation Warning Indicators: Architecture</w:t>
      </w:r>
      <w:bookmarkEnd w:id="573"/>
    </w:p>
    <w:p>
      <w:r>
        <w:rPr>
          <w:b w:val="0"/>
          <w:i w:val="0"/>
        </w:rPr>
        <w:t>The warning system looks for combinations of indicators rather than dramatic single events.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Level</w:t>
            </w:r>
          </w:p>
        </w:tc>
        <w:tc>
          <w:tcPr>
            <w:tcW w:type="dxa" w:w="3427"/>
            <w:shd w:fill="D9E5F2"/>
          </w:tcPr>
          <w:p>
            <w:r>
              <w:rPr>
                <w:b/>
                <w:sz w:val="14"/>
              </w:rPr>
              <w:t>Meaning</w:t>
            </w:r>
          </w:p>
        </w:tc>
        <w:tc>
          <w:tcPr>
            <w:tcW w:type="dxa" w:w="3427"/>
            <w:shd w:fill="D9E5F2"/>
          </w:tcPr>
          <w:p>
            <w:r>
              <w:rPr>
                <w:b/>
                <w:sz w:val="14"/>
              </w:rPr>
              <w:t>Response</w:t>
            </w:r>
          </w:p>
        </w:tc>
      </w:tr>
      <w:tr>
        <w:tc>
          <w:tcPr>
            <w:tcW w:type="dxa" w:w="3427"/>
            <w:vAlign w:val="top"/>
          </w:tcPr>
          <w:p>
            <w:pPr>
              <w:spacing w:after="0"/>
            </w:pPr>
            <w:r>
              <w:rPr>
                <w:sz w:val="14"/>
              </w:rPr>
              <w:t>GREEN</w:t>
            </w:r>
          </w:p>
        </w:tc>
        <w:tc>
          <w:tcPr>
            <w:tcW w:type="dxa" w:w="3427"/>
            <w:vAlign w:val="top"/>
          </w:tcPr>
          <w:p>
            <w:pPr>
              <w:spacing w:after="0"/>
            </w:pPr>
            <w:r>
              <w:rPr>
                <w:sz w:val="14"/>
              </w:rPr>
              <w:t>Normal friction / no material new escalation evidence</w:t>
            </w:r>
          </w:p>
        </w:tc>
        <w:tc>
          <w:tcPr>
            <w:tcW w:type="dxa" w:w="3427"/>
            <w:vAlign w:val="top"/>
          </w:tcPr>
          <w:p>
            <w:pPr>
              <w:spacing w:after="0"/>
            </w:pPr>
            <w:r>
              <w:rPr>
                <w:sz w:val="14"/>
              </w:rPr>
              <w:t>Routine monitoring</w:t>
            </w:r>
          </w:p>
        </w:tc>
      </w:tr>
      <w:tr>
        <w:tc>
          <w:tcPr>
            <w:tcW w:type="dxa" w:w="3427"/>
            <w:vAlign w:val="top"/>
          </w:tcPr>
          <w:p>
            <w:pPr>
              <w:spacing w:after="0"/>
            </w:pPr>
            <w:r>
              <w:rPr>
                <w:sz w:val="14"/>
              </w:rPr>
              <w:t>YELLOW</w:t>
            </w:r>
          </w:p>
        </w:tc>
        <w:tc>
          <w:tcPr>
            <w:tcW w:type="dxa" w:w="3427"/>
            <w:vAlign w:val="top"/>
          </w:tcPr>
          <w:p>
            <w:pPr>
              <w:spacing w:after="0"/>
            </w:pPr>
            <w:r>
              <w:rPr>
                <w:sz w:val="14"/>
              </w:rPr>
              <w:t>One or more credible preparatory signals</w:t>
            </w:r>
          </w:p>
        </w:tc>
        <w:tc>
          <w:tcPr>
            <w:tcW w:type="dxa" w:w="3427"/>
            <w:vAlign w:val="top"/>
          </w:tcPr>
          <w:p>
            <w:pPr>
              <w:spacing w:after="0"/>
            </w:pPr>
            <w:r>
              <w:rPr>
                <w:sz w:val="14"/>
              </w:rPr>
              <w:t>Increase collection from lawful streams; validate; scenario review</w:t>
            </w:r>
          </w:p>
        </w:tc>
      </w:tr>
      <w:tr>
        <w:tc>
          <w:tcPr>
            <w:tcW w:type="dxa" w:w="3427"/>
            <w:vAlign w:val="top"/>
          </w:tcPr>
          <w:p>
            <w:pPr>
              <w:spacing w:after="0"/>
            </w:pPr>
            <w:r>
              <w:rPr>
                <w:sz w:val="14"/>
              </w:rPr>
              <w:t>ORANGE</w:t>
            </w:r>
          </w:p>
        </w:tc>
        <w:tc>
          <w:tcPr>
            <w:tcW w:type="dxa" w:w="3427"/>
            <w:vAlign w:val="top"/>
          </w:tcPr>
          <w:p>
            <w:pPr>
              <w:spacing w:after="0"/>
            </w:pPr>
            <w:r>
              <w:rPr>
                <w:sz w:val="14"/>
              </w:rPr>
              <w:t>Multiple corroborated signals or concrete implementation preparation</w:t>
            </w:r>
          </w:p>
        </w:tc>
        <w:tc>
          <w:tcPr>
            <w:tcW w:type="dxa" w:w="3427"/>
            <w:vAlign w:val="top"/>
          </w:tcPr>
          <w:p>
            <w:pPr>
              <w:spacing w:after="0"/>
            </w:pPr>
            <w:r>
              <w:rPr>
                <w:sz w:val="14"/>
              </w:rPr>
              <w:t>Senior warning; legal/economic readiness; provincial coordination; support preparation</w:t>
            </w:r>
          </w:p>
        </w:tc>
      </w:tr>
      <w:tr>
        <w:tc>
          <w:tcPr>
            <w:tcW w:type="dxa" w:w="3427"/>
            <w:vAlign w:val="top"/>
          </w:tcPr>
          <w:p>
            <w:pPr>
              <w:spacing w:after="0"/>
            </w:pPr>
            <w:r>
              <w:rPr>
                <w:sz w:val="14"/>
              </w:rPr>
              <w:t>RED</w:t>
            </w:r>
          </w:p>
        </w:tc>
        <w:tc>
          <w:tcPr>
            <w:tcW w:type="dxa" w:w="3427"/>
            <w:vAlign w:val="top"/>
          </w:tcPr>
          <w:p>
            <w:pPr>
              <w:spacing w:after="0"/>
            </w:pPr>
            <w:r>
              <w:rPr>
                <w:sz w:val="14"/>
              </w:rPr>
              <w:t>Escalation announced, imminent, or operationally underway</w:t>
            </w:r>
          </w:p>
        </w:tc>
        <w:tc>
          <w:tcPr>
            <w:tcW w:type="dxa" w:w="3427"/>
            <w:vAlign w:val="top"/>
          </w:tcPr>
          <w:p>
            <w:pPr>
              <w:spacing w:after="0"/>
            </w:pPr>
            <w:r>
              <w:rPr>
                <w:sz w:val="14"/>
              </w:rPr>
              <w:t>Activate approved response process; protect essentials; open crisis communications</w:t>
            </w:r>
          </w:p>
        </w:tc>
      </w:tr>
    </w:tbl>
    <w:p>
      <w:pPr>
        <w:pStyle w:val="Heading2"/>
        <w:keepNext/>
        <w:spacing w:before="120" w:after="50"/>
      </w:pPr>
      <w:bookmarkStart w:id="574" w:name="_Toc9400574"/>
      <w:r>
        <w:t>Warning Philosophy</w:t>
      </w:r>
      <w:bookmarkEnd w:id="574"/>
    </w:p>
    <w:p>
      <w:r>
        <w:rPr>
          <w:b w:val="0"/>
          <w:i w:val="0"/>
        </w:rPr>
        <w:t>A warning is not a recommendation to retaliate. It is a recommendation to prepare. The government may respond with diplomacy, litigation, support, diversification, targeted countermeasures, restraint, or a combination.</w:t>
      </w:r>
    </w:p>
    <w:p>
      <w:r>
        <w:br w:type="page"/>
      </w:r>
    </w:p>
    <w:p>
      <w:pPr>
        <w:pStyle w:val="Heading1"/>
        <w:keepNext/>
        <w:spacing w:before="120" w:after="50"/>
      </w:pPr>
      <w:bookmarkStart w:id="575" w:name="_Toc9400575"/>
      <w:r>
        <w:t>20. Executive and Negotiating Warning Indicators</w:t>
      </w:r>
      <w:bookmarkEnd w:id="575"/>
    </w:p>
    <w:p>
      <w:r>
        <w:rPr>
          <w:b w:val="0"/>
          <w:i w:val="0"/>
        </w:rPr>
        <w:t>Illustrative indicators are prompts for validation, not automatic conclusions.</w:t>
      </w:r>
    </w:p>
    <w:p>
      <w:pPr>
        <w:pStyle w:val="ListBullet"/>
        <w:spacing w:after="40"/>
      </w:pPr>
      <w:r>
        <w:t>Negotiating meetings cancelled without replacement.</w:t>
      </w:r>
    </w:p>
    <w:p>
      <w:pPr>
        <w:pStyle w:val="ListBullet"/>
        <w:spacing w:after="40"/>
      </w:pPr>
      <w:r>
        <w:t>Counterpart moves from negotiable demands to non-negotiable public ultimatums.</w:t>
      </w:r>
    </w:p>
    <w:p>
      <w:pPr>
        <w:pStyle w:val="ListBullet"/>
        <w:spacing w:after="40"/>
      </w:pPr>
      <w:r>
        <w:t>Draft implementation guidance appears before talks conclude.</w:t>
      </w:r>
    </w:p>
    <w:p>
      <w:pPr>
        <w:pStyle w:val="ListBullet"/>
        <w:spacing w:after="40"/>
      </w:pPr>
      <w:r>
        <w:t>Exemption/remission channels narrow materially.</w:t>
      </w:r>
    </w:p>
    <w:p>
      <w:pPr>
        <w:pStyle w:val="ListBullet"/>
        <w:spacing w:after="40"/>
      </w:pPr>
      <w:r>
        <w:t>Senior rhetoric begins matching specific administrative preparation.</w:t>
      </w:r>
    </w:p>
    <w:p>
      <w:pPr>
        <w:pStyle w:val="ListBullet"/>
        <w:spacing w:after="40"/>
      </w:pPr>
      <w:r>
        <w:t>Previously separate sector disputes become linked into one package.</w:t>
      </w:r>
    </w:p>
    <w:p>
      <w:pPr>
        <w:pStyle w:val="ListBullet"/>
        <w:spacing w:after="40"/>
      </w:pPr>
      <w:r>
        <w:t>Counterpart refuses verification or anti-whipsaw mechanisms.</w:t>
      </w:r>
    </w:p>
    <w:p>
      <w:pPr>
        <w:pStyle w:val="ListBullet"/>
        <w:spacing w:after="40"/>
      </w:pPr>
      <w:r>
        <w:t>Canadian offers receive no substantive response while deadlines accelerate.</w:t>
      </w:r>
    </w:p>
    <w:p>
      <w:pPr>
        <w:pStyle w:val="Heading2"/>
        <w:keepNext/>
        <w:spacing w:before="120" w:after="50"/>
      </w:pPr>
      <w:bookmarkStart w:id="576" w:name="_Toc9400576"/>
      <w:r>
        <w:t>Corroboration Rule</w:t>
      </w:r>
      <w:bookmarkEnd w:id="576"/>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bookmarkStart w:id="577" w:name="_Toc9400577"/>
      <w:r>
        <w:t>Required Analyst Note</w:t>
      </w:r>
      <w:bookmarkEnd w:id="577"/>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bookmarkStart w:id="578" w:name="_Toc9400578"/>
      <w:r>
        <w:t>21. Congressional and State Warning Indicators</w:t>
      </w:r>
      <w:bookmarkEnd w:id="578"/>
    </w:p>
    <w:p>
      <w:r>
        <w:rPr>
          <w:b w:val="0"/>
          <w:i w:val="0"/>
        </w:rPr>
        <w:t>Illustrative indicators are prompts for validation, not automatic conclusions.</w:t>
      </w:r>
    </w:p>
    <w:p>
      <w:pPr>
        <w:pStyle w:val="ListBullet"/>
        <w:spacing w:after="40"/>
      </w:pPr>
      <w:r>
        <w:t>Relevant committees schedule hearings or legislation enabling broader trade restrictions.</w:t>
      </w:r>
    </w:p>
    <w:p>
      <w:pPr>
        <w:pStyle w:val="ListBullet"/>
        <w:spacing w:after="40"/>
      </w:pPr>
      <w:r>
        <w:t>Cross-party support emerges for escalation rather than sector-specific complaints.</w:t>
      </w:r>
    </w:p>
    <w:p>
      <w:pPr>
        <w:pStyle w:val="ListBullet"/>
        <w:spacing w:after="40"/>
      </w:pPr>
      <w:r>
        <w:t>State officials report imminent industrial or procurement changes tied to federal measures.</w:t>
      </w:r>
    </w:p>
    <w:p>
      <w:pPr>
        <w:pStyle w:val="ListBullet"/>
        <w:spacing w:after="40"/>
      </w:pPr>
      <w:r>
        <w:t>Letters or resolutions shift from signalling to concrete statutory asks.</w:t>
      </w:r>
    </w:p>
    <w:p>
      <w:pPr>
        <w:pStyle w:val="ListBullet"/>
        <w:spacing w:after="40"/>
      </w:pPr>
      <w:r>
        <w:t>Congressional staff indicate implementation language is being drafted.</w:t>
      </w:r>
    </w:p>
    <w:p>
      <w:pPr>
        <w:pStyle w:val="ListBullet"/>
        <w:spacing w:after="40"/>
      </w:pPr>
      <w:r>
        <w:t>Conversely, bipartisan restraint coalitions, exemption letters or oversight pressure can be de-escalation indicators.</w:t>
      </w:r>
    </w:p>
    <w:p>
      <w:pPr>
        <w:pStyle w:val="Heading2"/>
        <w:keepNext/>
        <w:spacing w:before="120" w:after="50"/>
      </w:pPr>
      <w:bookmarkStart w:id="579" w:name="_Toc9400579"/>
      <w:r>
        <w:t>Corroboration Rule</w:t>
      </w:r>
      <w:bookmarkEnd w:id="579"/>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bookmarkStart w:id="580" w:name="_Toc9400580"/>
      <w:r>
        <w:t>Required Analyst Note</w:t>
      </w:r>
      <w:bookmarkEnd w:id="580"/>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bookmarkStart w:id="581" w:name="_Toc9400581"/>
      <w:r>
        <w:t>22. Business, Labour and Industrial Warning Indicators</w:t>
      </w:r>
      <w:bookmarkEnd w:id="581"/>
    </w:p>
    <w:p>
      <w:r>
        <w:rPr>
          <w:b w:val="0"/>
          <w:i w:val="0"/>
        </w:rPr>
        <w:t>Illustrative indicators are prompts for validation, not automatic conclusions.</w:t>
      </w:r>
    </w:p>
    <w:p>
      <w:pPr>
        <w:pStyle w:val="ListBullet"/>
        <w:spacing w:after="40"/>
      </w:pPr>
      <w:r>
        <w:t>Order cancellations spread across firms rather than isolated anecdotes.</w:t>
      </w:r>
    </w:p>
    <w:p>
      <w:pPr>
        <w:pStyle w:val="ListBullet"/>
        <w:spacing w:after="40"/>
      </w:pPr>
      <w:r>
        <w:t>U.S. customers accelerate supplier replacement or contract termination.</w:t>
      </w:r>
    </w:p>
    <w:p>
      <w:pPr>
        <w:pStyle w:val="ListBullet"/>
        <w:spacing w:after="40"/>
      </w:pPr>
      <w:r>
        <w:t>Canadian firms move from contingency planning to layoffs or plant closures.</w:t>
      </w:r>
    </w:p>
    <w:p>
      <w:pPr>
        <w:pStyle w:val="ListBullet"/>
        <w:spacing w:after="40"/>
      </w:pPr>
      <w:r>
        <w:t>Inventories accumulate at border-dependent producers.</w:t>
      </w:r>
    </w:p>
    <w:p>
      <w:pPr>
        <w:pStyle w:val="ListBullet"/>
        <w:spacing w:after="40"/>
      </w:pPr>
      <w:r>
        <w:t>Insurance, credit or customs-brokerage costs rise sharply.</w:t>
      </w:r>
    </w:p>
    <w:p>
      <w:pPr>
        <w:pStyle w:val="ListBullet"/>
        <w:spacing w:after="40"/>
      </w:pPr>
      <w:r>
        <w:t>Major investment decisions are postponed explicitly because of bilateral policy uncertainty.</w:t>
      </w:r>
    </w:p>
    <w:p>
      <w:pPr>
        <w:pStyle w:val="ListBullet"/>
        <w:spacing w:after="40"/>
      </w:pPr>
      <w:r>
        <w:t>Industry associations move from private concern to coordinated emergency advocacy.</w:t>
      </w:r>
    </w:p>
    <w:p>
      <w:pPr>
        <w:pStyle w:val="Heading2"/>
        <w:keepNext/>
        <w:spacing w:before="120" w:after="50"/>
      </w:pPr>
      <w:bookmarkStart w:id="582" w:name="_Toc9400582"/>
      <w:r>
        <w:t>Corroboration Rule</w:t>
      </w:r>
      <w:bookmarkEnd w:id="582"/>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bookmarkStart w:id="583" w:name="_Toc9400583"/>
      <w:r>
        <w:t>Required Analyst Note</w:t>
      </w:r>
      <w:bookmarkEnd w:id="583"/>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bookmarkStart w:id="584" w:name="_Toc9400584"/>
      <w:r>
        <w:t>23. Market and Macro Warning Indicators</w:t>
      </w:r>
      <w:bookmarkEnd w:id="584"/>
    </w:p>
    <w:p>
      <w:r>
        <w:rPr>
          <w:b w:val="0"/>
          <w:i w:val="0"/>
        </w:rPr>
        <w:t>Illustrative indicators are prompts for validation, not automatic conclusions.</w:t>
      </w:r>
    </w:p>
    <w:p>
      <w:pPr>
        <w:pStyle w:val="ListBullet"/>
        <w:spacing w:after="40"/>
      </w:pPr>
      <w:r>
        <w:t>Persistent trade-sensitive sector repricing beyond broad-market moves.</w:t>
      </w:r>
    </w:p>
    <w:p>
      <w:pPr>
        <w:pStyle w:val="ListBullet"/>
        <w:spacing w:after="40"/>
      </w:pPr>
      <w:r>
        <w:t>Sharp freight or border-delay changes corroborated by physical-volume data.</w:t>
      </w:r>
    </w:p>
    <w:p>
      <w:pPr>
        <w:pStyle w:val="ListBullet"/>
        <w:spacing w:after="40"/>
      </w:pPr>
      <w:r>
        <w:t>Credit spreads widen for exposed sectors.</w:t>
      </w:r>
    </w:p>
    <w:p>
      <w:pPr>
        <w:pStyle w:val="ListBullet"/>
        <w:spacing w:after="40"/>
      </w:pPr>
      <w:r>
        <w:t>Commodity basis differentials suggest border or logistics impairment.</w:t>
      </w:r>
    </w:p>
    <w:p>
      <w:pPr>
        <w:pStyle w:val="ListBullet"/>
        <w:spacing w:after="40"/>
      </w:pPr>
      <w:r>
        <w:t>Exchange-rate movement is unusually large and event-linked.</w:t>
      </w:r>
    </w:p>
    <w:p>
      <w:pPr>
        <w:pStyle w:val="ListBullet"/>
        <w:spacing w:after="40"/>
      </w:pPr>
      <w:r>
        <w:t>Price/volume trade data show sustained contraction inconsistent with seasonality.</w:t>
      </w:r>
    </w:p>
    <w:p>
      <w:pPr>
        <w:pStyle w:val="ListBullet"/>
        <w:spacing w:after="40"/>
      </w:pPr>
      <w:r>
        <w:t>Warning must distinguish tariff effects from monetary policy, geopolitics, weather and global commodity cycles.</w:t>
      </w:r>
    </w:p>
    <w:p>
      <w:pPr>
        <w:pStyle w:val="Heading2"/>
        <w:keepNext/>
        <w:spacing w:before="120" w:after="50"/>
      </w:pPr>
      <w:bookmarkStart w:id="585" w:name="_Toc9400585"/>
      <w:r>
        <w:t>Corroboration Rule</w:t>
      </w:r>
      <w:bookmarkEnd w:id="585"/>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bookmarkStart w:id="586" w:name="_Toc9400586"/>
      <w:r>
        <w:t>Required Analyst Note</w:t>
      </w:r>
      <w:bookmarkEnd w:id="586"/>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bookmarkStart w:id="587" w:name="_Toc9400587"/>
      <w:r>
        <w:t>24. Legal and Administrative Warning Indicators</w:t>
      </w:r>
      <w:bookmarkEnd w:id="587"/>
    </w:p>
    <w:p>
      <w:r>
        <w:rPr>
          <w:b w:val="0"/>
          <w:i w:val="0"/>
        </w:rPr>
        <w:t>Illustrative indicators are prompts for validation, not automatic conclusions.</w:t>
      </w:r>
    </w:p>
    <w:p>
      <w:pPr>
        <w:pStyle w:val="ListBullet"/>
        <w:spacing w:after="40"/>
      </w:pPr>
      <w:r>
        <w:t>New tariff authority invoked or implementation notice published.</w:t>
      </w:r>
    </w:p>
    <w:p>
      <w:pPr>
        <w:pStyle w:val="ListBullet"/>
        <w:spacing w:after="40"/>
      </w:pPr>
      <w:r>
        <w:t>Court ruling removes a constraint on escalation or blocks an off-ramp.</w:t>
      </w:r>
    </w:p>
    <w:p>
      <w:pPr>
        <w:pStyle w:val="ListBullet"/>
        <w:spacing w:after="40"/>
      </w:pPr>
      <w:r>
        <w:t>Customs classification/origin guidance becomes more restrictive.</w:t>
      </w:r>
    </w:p>
    <w:p>
      <w:pPr>
        <w:pStyle w:val="ListBullet"/>
        <w:spacing w:after="40"/>
      </w:pPr>
      <w:r>
        <w:t>Remission/exclusion rules are withdrawn or narrowed.</w:t>
      </w:r>
    </w:p>
    <w:p>
      <w:pPr>
        <w:pStyle w:val="ListBullet"/>
        <w:spacing w:after="40"/>
      </w:pPr>
      <w:r>
        <w:t>Statutory deadlines approach without extension authority prepared.</w:t>
      </w:r>
    </w:p>
    <w:p>
      <w:pPr>
        <w:pStyle w:val="ListBullet"/>
        <w:spacing w:after="40"/>
      </w:pPr>
      <w:r>
        <w:t>Trade-remedy, procurement, export-control or investment-screening measures expand into new sectors.</w:t>
      </w:r>
    </w:p>
    <w:p>
      <w:pPr>
        <w:pStyle w:val="ListBullet"/>
        <w:spacing w:after="40"/>
      </w:pPr>
      <w:r>
        <w:t>Formal dispute channels are suspended, bypassed or exhausted.</w:t>
      </w:r>
    </w:p>
    <w:p>
      <w:pPr>
        <w:pStyle w:val="Heading2"/>
        <w:keepNext/>
        <w:spacing w:before="120" w:after="50"/>
      </w:pPr>
      <w:bookmarkStart w:id="588" w:name="_Toc9400588"/>
      <w:r>
        <w:t>Corroboration Rule</w:t>
      </w:r>
      <w:bookmarkEnd w:id="588"/>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bookmarkStart w:id="589" w:name="_Toc9400589"/>
      <w:r>
        <w:t>Required Analyst Note</w:t>
      </w:r>
      <w:bookmarkEnd w:id="589"/>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bookmarkStart w:id="590" w:name="_Toc9400590"/>
      <w:r>
        <w:t>25. Narrative and Public-Opinion Warning Indicators</w:t>
      </w:r>
      <w:bookmarkEnd w:id="590"/>
    </w:p>
    <w:p>
      <w:r>
        <w:rPr>
          <w:b w:val="0"/>
          <w:i w:val="0"/>
        </w:rPr>
        <w:t>Illustrative indicators are prompts for validation, not automatic conclusions.</w:t>
      </w:r>
    </w:p>
    <w:p>
      <w:pPr>
        <w:pStyle w:val="ListBullet"/>
        <w:spacing w:after="40"/>
      </w:pPr>
      <w:r>
        <w:t>Trade conflict becomes a sustained high-salience public issue rather than episodic news.</w:t>
      </w:r>
    </w:p>
    <w:p>
      <w:pPr>
        <w:pStyle w:val="ListBullet"/>
        <w:spacing w:after="40"/>
      </w:pPr>
      <w:r>
        <w:t>Compromise becomes framed as betrayal across multiple influential constituencies.</w:t>
      </w:r>
    </w:p>
    <w:p>
      <w:pPr>
        <w:pStyle w:val="ListBullet"/>
        <w:spacing w:after="40"/>
      </w:pPr>
      <w:r>
        <w:t>False claims about Canadian measures spread widely enough to affect policy debate.</w:t>
      </w:r>
    </w:p>
    <w:p>
      <w:pPr>
        <w:pStyle w:val="ListBullet"/>
        <w:spacing w:after="40"/>
      </w:pPr>
      <w:r>
        <w:t>Public tolerance for economic costs rises or falls materially.</w:t>
      </w:r>
    </w:p>
    <w:p>
      <w:pPr>
        <w:pStyle w:val="ListBullet"/>
        <w:spacing w:after="40"/>
      </w:pPr>
      <w:r>
        <w:t>Regional narratives diverge sharply, creating coalition-fracture risk.</w:t>
      </w:r>
    </w:p>
    <w:p>
      <w:pPr>
        <w:pStyle w:val="ListBullet"/>
        <w:spacing w:after="40"/>
      </w:pPr>
      <w:r>
        <w:t>Assessment remains aggregate and policy-focused; individuals are not profiled for political beliefs.</w:t>
      </w:r>
    </w:p>
    <w:p>
      <w:pPr>
        <w:pStyle w:val="Heading2"/>
        <w:keepNext/>
        <w:spacing w:before="120" w:after="50"/>
      </w:pPr>
      <w:bookmarkStart w:id="591" w:name="_Toc9400591"/>
      <w:r>
        <w:t>Corroboration Rule</w:t>
      </w:r>
      <w:bookmarkEnd w:id="591"/>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bookmarkStart w:id="592" w:name="_Toc9400592"/>
      <w:r>
        <w:t>Required Analyst Note</w:t>
      </w:r>
      <w:bookmarkEnd w:id="592"/>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bookmarkStart w:id="593" w:name="_Toc9400593"/>
      <w:r>
        <w:t>26. Canadian Cohesion and Endurance Warning Indicators</w:t>
      </w:r>
      <w:bookmarkEnd w:id="593"/>
    </w:p>
    <w:p>
      <w:r>
        <w:rPr>
          <w:b w:val="0"/>
          <w:i w:val="0"/>
        </w:rPr>
        <w:t>Illustrative indicators are prompts for validation, not automatic conclusions.</w:t>
      </w:r>
    </w:p>
    <w:p>
      <w:pPr>
        <w:pStyle w:val="ListBullet"/>
        <w:spacing w:after="40"/>
      </w:pPr>
      <w:r>
        <w:t>Provincial leaders publicly reject national negotiating positions without prior consultation.</w:t>
      </w:r>
    </w:p>
    <w:p>
      <w:pPr>
        <w:pStyle w:val="ListBullet"/>
        <w:spacing w:after="40"/>
      </w:pPr>
      <w:r>
        <w:t>Regional burden becomes materially asymmetric without compensation response.</w:t>
      </w:r>
    </w:p>
    <w:p>
      <w:pPr>
        <w:pStyle w:val="ListBullet"/>
        <w:spacing w:after="40"/>
      </w:pPr>
      <w:r>
        <w:t>Remission demand, layoffs, insolvencies or household price effects exceed approved thresholds.</w:t>
      </w:r>
    </w:p>
    <w:p>
      <w:pPr>
        <w:pStyle w:val="ListBullet"/>
        <w:spacing w:after="40"/>
      </w:pPr>
      <w:r>
        <w:t>Sector groups begin seeking separate U.S. arrangements because they believe national strategy will sacrifice them.</w:t>
      </w:r>
    </w:p>
    <w:p>
      <w:pPr>
        <w:pStyle w:val="ListBullet"/>
        <w:spacing w:after="40"/>
      </w:pPr>
      <w:r>
        <w:t>Support programs are announced but cannot disburse on operational timelines.</w:t>
      </w:r>
    </w:p>
    <w:p>
      <w:pPr>
        <w:pStyle w:val="ListBullet"/>
        <w:spacing w:after="40"/>
      </w:pPr>
      <w:r>
        <w:t>Public confidence declines because objectives or off-ramps are unclear.</w:t>
      </w:r>
    </w:p>
    <w:p>
      <w:pPr>
        <w:pStyle w:val="Heading2"/>
        <w:keepNext/>
        <w:spacing w:before="120" w:after="50"/>
      </w:pPr>
      <w:bookmarkStart w:id="594" w:name="_Toc9400594"/>
      <w:r>
        <w:t>Corroboration Rule</w:t>
      </w:r>
      <w:bookmarkEnd w:id="594"/>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bookmarkStart w:id="595" w:name="_Toc9400595"/>
      <w:r>
        <w:t>Required Analyst Note</w:t>
      </w:r>
      <w:bookmarkEnd w:id="595"/>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bookmarkStart w:id="596" w:name="_Toc9400596"/>
      <w:r>
        <w:t>27. Security and Foreign-Interference Indicators</w:t>
      </w:r>
      <w:bookmarkEnd w:id="596"/>
    </w:p>
    <w:p>
      <w:r>
        <w:rPr>
          <w:b w:val="0"/>
          <w:i w:val="0"/>
        </w:rPr>
        <w:t>Illustrative indicators are prompts for validation, not automatic conclusions.</w:t>
      </w:r>
    </w:p>
    <w:p>
      <w:pPr>
        <w:pStyle w:val="ListBullet"/>
        <w:spacing w:after="40"/>
      </w:pPr>
      <w:r>
        <w:t>Authorized agencies identify foreign interference or espionage relevant to Canadian economic-security decisions.</w:t>
      </w:r>
    </w:p>
    <w:p>
      <w:pPr>
        <w:pStyle w:val="ListBullet"/>
        <w:spacing w:after="40"/>
      </w:pPr>
      <w:r>
        <w:t>Cyber activity targets critical economic infrastructure in a manner linked by competent authorities to a threat actor.</w:t>
      </w:r>
    </w:p>
    <w:p>
      <w:pPr>
        <w:pStyle w:val="ListBullet"/>
        <w:spacing w:after="40"/>
      </w:pPr>
      <w:r>
        <w:t>Covert efforts seek to corrupt, intimidate or clandestinely manipulate Canadian decision processes.</w:t>
      </w:r>
    </w:p>
    <w:p>
      <w:pPr>
        <w:pStyle w:val="ListBullet"/>
        <w:spacing w:after="40"/>
      </w:pPr>
      <w:r>
        <w:t>Such reporting remains governed by existing statutory thresholds, oversight, dissemination controls and caveats.</w:t>
      </w:r>
    </w:p>
    <w:p>
      <w:pPr>
        <w:pStyle w:val="ListBullet"/>
        <w:spacing w:after="40"/>
      </w:pPr>
      <w:r>
        <w:t>Ordinary advocacy, lobbying, journalism, protests, commercial negotiation and political disagreement are not security indicators merely because they affect trade politics.</w:t>
      </w:r>
    </w:p>
    <w:p>
      <w:pPr>
        <w:pStyle w:val="Heading2"/>
        <w:keepNext/>
        <w:spacing w:before="120" w:after="50"/>
      </w:pPr>
      <w:bookmarkStart w:id="597" w:name="_Toc9400597"/>
      <w:r>
        <w:t>Corroboration Rule</w:t>
      </w:r>
      <w:bookmarkEnd w:id="597"/>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bookmarkStart w:id="598" w:name="_Toc9400598"/>
      <w:r>
        <w:t>Required Analyst Note</w:t>
      </w:r>
      <w:bookmarkEnd w:id="598"/>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bookmarkStart w:id="599" w:name="_Toc9400599"/>
      <w:r>
        <w:t>28. De-escalation Indicators</w:t>
      </w:r>
      <w:bookmarkEnd w:id="599"/>
    </w:p>
    <w:p>
      <w:r>
        <w:rPr>
          <w:b w:val="0"/>
          <w:i w:val="0"/>
        </w:rPr>
        <w:t>The framework must be as good at seeing peace as it is at seeing trouble.</w:t>
      </w:r>
    </w:p>
    <w:p>
      <w:pPr>
        <w:pStyle w:val="ListBullet"/>
        <w:spacing w:after="40"/>
      </w:pPr>
      <w:r>
        <w:t>Counterpart replaces maximalist public demand with a technically negotiable formulation.</w:t>
      </w:r>
    </w:p>
    <w:p>
      <w:pPr>
        <w:pStyle w:val="ListBullet"/>
        <w:spacing w:after="40"/>
      </w:pPr>
      <w:r>
        <w:t>Working-level teams resume text-based negotiations.</w:t>
      </w:r>
    </w:p>
    <w:p>
      <w:pPr>
        <w:pStyle w:val="ListBullet"/>
        <w:spacing w:after="40"/>
      </w:pPr>
      <w:r>
        <w:t>Tariff implementation is delayed, narrowed, suspended or paired with expanded exclusions.</w:t>
      </w:r>
    </w:p>
    <w:p>
      <w:pPr>
        <w:pStyle w:val="ListBullet"/>
        <w:spacing w:after="40"/>
      </w:pPr>
      <w:r>
        <w:t>Verification mechanisms become acceptable to both sides.</w:t>
      </w:r>
    </w:p>
    <w:p>
      <w:pPr>
        <w:pStyle w:val="ListBullet"/>
        <w:spacing w:after="40"/>
      </w:pPr>
      <w:r>
        <w:t>Congressional or state actors shift from complaint to concrete settlement architecture.</w:t>
      </w:r>
    </w:p>
    <w:p>
      <w:pPr>
        <w:pStyle w:val="ListBullet"/>
        <w:spacing w:after="40"/>
      </w:pPr>
      <w:r>
        <w:t>Business groups on both sides converge on a specific cure rather than generic opposition.</w:t>
      </w:r>
    </w:p>
    <w:p>
      <w:pPr>
        <w:pStyle w:val="ListBullet"/>
        <w:spacing w:after="40"/>
      </w:pPr>
      <w:r>
        <w:t>Legal proceedings create incentives for negotiated resolution.</w:t>
      </w:r>
    </w:p>
    <w:p>
      <w:pPr>
        <w:pStyle w:val="ListBullet"/>
        <w:spacing w:after="40"/>
      </w:pPr>
      <w:r>
        <w:t>Public rhetoric begins separating policy disagreement from national hostility.</w:t>
      </w:r>
    </w:p>
    <w:p>
      <w:pPr>
        <w:pStyle w:val="ListBullet"/>
        <w:spacing w:after="40"/>
      </w:pPr>
      <w:r>
        <w:t>Counterpart accepts phased, reciprocal, reversible steps.</w:t>
      </w:r>
    </w:p>
    <w:p>
      <w:pPr>
        <w:pStyle w:val="ListBullet"/>
        <w:spacing w:after="40"/>
      </w:pPr>
      <w:r>
        <w:t>Officials begin discussing implementation sequencing, communications and face-saving rather than only substantive demands.</w:t>
      </w:r>
    </w:p>
    <w:p>
      <w:pPr>
        <w:pStyle w:val="ListBullet"/>
        <w:spacing w:after="40"/>
      </w:pPr>
      <w:r>
        <w:t>Third-party or CUSMA channels reopen.</w:t>
      </w:r>
    </w:p>
    <w:p>
      <w:pPr>
        <w:pStyle w:val="ListBullet"/>
        <w:spacing w:after="40"/>
      </w:pPr>
      <w:r>
        <w:t>Canadian provincial and sector stakeholders judge a proposed settlement materially fair.</w:t>
      </w:r>
    </w:p>
    <w:p>
      <w:pPr>
        <w:pStyle w:val="Heading2"/>
        <w:keepNext/>
        <w:spacing w:before="120" w:after="50"/>
      </w:pPr>
      <w:bookmarkStart w:id="600" w:name="_Toc9400600"/>
      <w:r>
        <w:t>False Dawn Test</w:t>
      </w:r>
      <w:bookmarkEnd w:id="600"/>
    </w:p>
    <w:p>
      <w:r>
        <w:rPr>
          <w:b w:val="0"/>
          <w:i w:val="0"/>
        </w:rPr>
        <w:t>Before upgrading the DPA, ask whether the signal changes incentives or implementation. A friendly speech without a changed tariff date is sentiment. A changed tariff date, written term sheet, restored meeting, or verified exemption is movement.</w:t>
      </w:r>
    </w:p>
    <w:p>
      <w:r>
        <w:br w:type="page"/>
      </w:r>
    </w:p>
    <w:p>
      <w:pPr>
        <w:pStyle w:val="Heading1"/>
        <w:keepNext/>
        <w:spacing w:before="120" w:after="50"/>
      </w:pPr>
      <w:bookmarkStart w:id="601" w:name="_Toc9400601"/>
      <w:r>
        <w:t>29. Canadian Harm Early-Warning Dashboard</w:t>
      </w:r>
      <w:bookmarkEnd w:id="601"/>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Indicator</w:t>
            </w:r>
          </w:p>
        </w:tc>
        <w:tc>
          <w:tcPr>
            <w:tcW w:type="dxa" w:w="3427"/>
            <w:shd w:fill="D9E5F2"/>
          </w:tcPr>
          <w:p>
            <w:r>
              <w:rPr>
                <w:b/>
                <w:sz w:val="14"/>
              </w:rPr>
              <w:t>Watch for</w:t>
            </w:r>
          </w:p>
        </w:tc>
        <w:tc>
          <w:tcPr>
            <w:tcW w:type="dxa" w:w="3427"/>
            <w:shd w:fill="D9E5F2"/>
          </w:tcPr>
          <w:p>
            <w:r>
              <w:rPr>
                <w:b/>
                <w:sz w:val="14"/>
              </w:rPr>
              <w:t>Possible response</w:t>
            </w:r>
          </w:p>
        </w:tc>
      </w:tr>
      <w:tr>
        <w:tc>
          <w:tcPr>
            <w:tcW w:type="dxa" w:w="3427"/>
            <w:vAlign w:val="top"/>
          </w:tcPr>
          <w:p>
            <w:pPr>
              <w:spacing w:after="0"/>
            </w:pPr>
            <w:r>
              <w:rPr>
                <w:sz w:val="14"/>
              </w:rPr>
              <w:t>Consumer prices</w:t>
            </w:r>
          </w:p>
        </w:tc>
        <w:tc>
          <w:tcPr>
            <w:tcW w:type="dxa" w:w="3427"/>
            <w:vAlign w:val="top"/>
          </w:tcPr>
          <w:p>
            <w:pPr>
              <w:spacing w:after="0"/>
            </w:pPr>
            <w:r>
              <w:rPr>
                <w:sz w:val="14"/>
              </w:rPr>
              <w:t>Concentrated pass-through in essentials</w:t>
            </w:r>
          </w:p>
        </w:tc>
        <w:tc>
          <w:tcPr>
            <w:tcW w:type="dxa" w:w="3427"/>
            <w:vAlign w:val="top"/>
          </w:tcPr>
          <w:p>
            <w:pPr>
              <w:spacing w:after="0"/>
            </w:pPr>
            <w:r>
              <w:rPr>
                <w:sz w:val="14"/>
              </w:rPr>
              <w:t>Remission, substitution, targeted support</w:t>
            </w:r>
          </w:p>
        </w:tc>
      </w:tr>
      <w:tr>
        <w:tc>
          <w:tcPr>
            <w:tcW w:type="dxa" w:w="3427"/>
            <w:vAlign w:val="top"/>
          </w:tcPr>
          <w:p>
            <w:pPr>
              <w:spacing w:after="0"/>
            </w:pPr>
            <w:r>
              <w:rPr>
                <w:sz w:val="14"/>
              </w:rPr>
              <w:t>SME stress</w:t>
            </w:r>
          </w:p>
        </w:tc>
        <w:tc>
          <w:tcPr>
            <w:tcW w:type="dxa" w:w="3427"/>
            <w:vAlign w:val="top"/>
          </w:tcPr>
          <w:p>
            <w:pPr>
              <w:spacing w:after="0"/>
            </w:pPr>
            <w:r>
              <w:rPr>
                <w:sz w:val="14"/>
              </w:rPr>
              <w:t>Cash-flow, customs, inventory and credit problems</w:t>
            </w:r>
          </w:p>
        </w:tc>
        <w:tc>
          <w:tcPr>
            <w:tcW w:type="dxa" w:w="3427"/>
            <w:vAlign w:val="top"/>
          </w:tcPr>
          <w:p>
            <w:pPr>
              <w:spacing w:after="0"/>
            </w:pPr>
            <w:r>
              <w:rPr>
                <w:sz w:val="14"/>
              </w:rPr>
              <w:t>Finance/EDC/BDC support; customs guidance</w:t>
            </w:r>
          </w:p>
        </w:tc>
      </w:tr>
      <w:tr>
        <w:tc>
          <w:tcPr>
            <w:tcW w:type="dxa" w:w="3427"/>
            <w:vAlign w:val="top"/>
          </w:tcPr>
          <w:p>
            <w:pPr>
              <w:spacing w:after="0"/>
            </w:pPr>
            <w:r>
              <w:rPr>
                <w:sz w:val="14"/>
              </w:rPr>
              <w:t>Employment</w:t>
            </w:r>
          </w:p>
        </w:tc>
        <w:tc>
          <w:tcPr>
            <w:tcW w:type="dxa" w:w="3427"/>
            <w:vAlign w:val="top"/>
          </w:tcPr>
          <w:p>
            <w:pPr>
              <w:spacing w:after="0"/>
            </w:pPr>
            <w:r>
              <w:rPr>
                <w:sz w:val="14"/>
              </w:rPr>
              <w:t>Layoffs/hours reductions in exposed regions</w:t>
            </w:r>
          </w:p>
        </w:tc>
        <w:tc>
          <w:tcPr>
            <w:tcW w:type="dxa" w:w="3427"/>
            <w:vAlign w:val="top"/>
          </w:tcPr>
          <w:p>
            <w:pPr>
              <w:spacing w:after="0"/>
            </w:pPr>
            <w:r>
              <w:rPr>
                <w:sz w:val="14"/>
              </w:rPr>
              <w:t>Worker support; procurement; adjustment</w:t>
            </w:r>
          </w:p>
        </w:tc>
      </w:tr>
      <w:tr>
        <w:tc>
          <w:tcPr>
            <w:tcW w:type="dxa" w:w="3427"/>
            <w:vAlign w:val="top"/>
          </w:tcPr>
          <w:p>
            <w:pPr>
              <w:spacing w:after="0"/>
            </w:pPr>
            <w:r>
              <w:rPr>
                <w:sz w:val="14"/>
              </w:rPr>
              <w:t>Insolvency</w:t>
            </w:r>
          </w:p>
        </w:tc>
        <w:tc>
          <w:tcPr>
            <w:tcW w:type="dxa" w:w="3427"/>
            <w:vAlign w:val="top"/>
          </w:tcPr>
          <w:p>
            <w:pPr>
              <w:spacing w:after="0"/>
            </w:pPr>
            <w:r>
              <w:rPr>
                <w:sz w:val="14"/>
              </w:rPr>
              <w:t>Clustered failures in tariff-exposed supply chains</w:t>
            </w:r>
          </w:p>
        </w:tc>
        <w:tc>
          <w:tcPr>
            <w:tcW w:type="dxa" w:w="3427"/>
            <w:vAlign w:val="top"/>
          </w:tcPr>
          <w:p>
            <w:pPr>
              <w:spacing w:after="0"/>
            </w:pPr>
            <w:r>
              <w:rPr>
                <w:sz w:val="14"/>
              </w:rPr>
              <w:t>Emergency liquidity / restructuring tools</w:t>
            </w:r>
          </w:p>
        </w:tc>
      </w:tr>
      <w:tr>
        <w:tc>
          <w:tcPr>
            <w:tcW w:type="dxa" w:w="3427"/>
            <w:vAlign w:val="top"/>
          </w:tcPr>
          <w:p>
            <w:pPr>
              <w:spacing w:after="0"/>
            </w:pPr>
            <w:r>
              <w:rPr>
                <w:sz w:val="14"/>
              </w:rPr>
              <w:t>Regional burden</w:t>
            </w:r>
          </w:p>
        </w:tc>
        <w:tc>
          <w:tcPr>
            <w:tcW w:type="dxa" w:w="3427"/>
            <w:vAlign w:val="top"/>
          </w:tcPr>
          <w:p>
            <w:pPr>
              <w:spacing w:after="0"/>
            </w:pPr>
            <w:r>
              <w:rPr>
                <w:sz w:val="14"/>
              </w:rPr>
              <w:t>One province/territory bearing disproportionate cost</w:t>
            </w:r>
          </w:p>
        </w:tc>
        <w:tc>
          <w:tcPr>
            <w:tcW w:type="dxa" w:w="3427"/>
            <w:vAlign w:val="top"/>
          </w:tcPr>
          <w:p>
            <w:pPr>
              <w:spacing w:after="0"/>
            </w:pPr>
            <w:r>
              <w:rPr>
                <w:sz w:val="14"/>
              </w:rPr>
              <w:t>Solidarity Protocol compensation/co-design</w:t>
            </w:r>
          </w:p>
        </w:tc>
      </w:tr>
      <w:tr>
        <w:tc>
          <w:tcPr>
            <w:tcW w:type="dxa" w:w="3427"/>
            <w:vAlign w:val="top"/>
          </w:tcPr>
          <w:p>
            <w:pPr>
              <w:spacing w:after="0"/>
            </w:pPr>
            <w:r>
              <w:rPr>
                <w:sz w:val="14"/>
              </w:rPr>
              <w:t>Supply chains</w:t>
            </w:r>
          </w:p>
        </w:tc>
        <w:tc>
          <w:tcPr>
            <w:tcW w:type="dxa" w:w="3427"/>
            <w:vAlign w:val="top"/>
          </w:tcPr>
          <w:p>
            <w:pPr>
              <w:spacing w:after="0"/>
            </w:pPr>
            <w:r>
              <w:rPr>
                <w:sz w:val="14"/>
              </w:rPr>
              <w:t>Critical input shortages or certification bottlenecks</w:t>
            </w:r>
          </w:p>
        </w:tc>
        <w:tc>
          <w:tcPr>
            <w:tcW w:type="dxa" w:w="3427"/>
            <w:vAlign w:val="top"/>
          </w:tcPr>
          <w:p>
            <w:pPr>
              <w:spacing w:after="0"/>
            </w:pPr>
            <w:r>
              <w:rPr>
                <w:sz w:val="14"/>
              </w:rPr>
              <w:t>Exemptions, alternate sourcing, stockpiles</w:t>
            </w:r>
          </w:p>
        </w:tc>
      </w:tr>
      <w:tr>
        <w:tc>
          <w:tcPr>
            <w:tcW w:type="dxa" w:w="3427"/>
            <w:vAlign w:val="top"/>
          </w:tcPr>
          <w:p>
            <w:pPr>
              <w:spacing w:after="0"/>
            </w:pPr>
            <w:r>
              <w:rPr>
                <w:sz w:val="14"/>
              </w:rPr>
              <w:t>Fiscal cost</w:t>
            </w:r>
          </w:p>
        </w:tc>
        <w:tc>
          <w:tcPr>
            <w:tcW w:type="dxa" w:w="3427"/>
            <w:vAlign w:val="top"/>
          </w:tcPr>
          <w:p>
            <w:pPr>
              <w:spacing w:after="0"/>
            </w:pPr>
            <w:r>
              <w:rPr>
                <w:sz w:val="14"/>
              </w:rPr>
              <w:t>Support envelope rising faster than strategic benefit</w:t>
            </w:r>
          </w:p>
        </w:tc>
        <w:tc>
          <w:tcPr>
            <w:tcW w:type="dxa" w:w="3427"/>
            <w:vAlign w:val="top"/>
          </w:tcPr>
          <w:p>
            <w:pPr>
              <w:spacing w:after="0"/>
            </w:pPr>
            <w:r>
              <w:rPr>
                <w:sz w:val="14"/>
              </w:rPr>
              <w:t>Reassess instrument mix</w:t>
            </w:r>
          </w:p>
        </w:tc>
      </w:tr>
      <w:tr>
        <w:tc>
          <w:tcPr>
            <w:tcW w:type="dxa" w:w="3427"/>
            <w:vAlign w:val="top"/>
          </w:tcPr>
          <w:p>
            <w:pPr>
              <w:spacing w:after="0"/>
            </w:pPr>
            <w:r>
              <w:rPr>
                <w:sz w:val="14"/>
              </w:rPr>
              <w:t>Public support</w:t>
            </w:r>
          </w:p>
        </w:tc>
        <w:tc>
          <w:tcPr>
            <w:tcW w:type="dxa" w:w="3427"/>
            <w:vAlign w:val="top"/>
          </w:tcPr>
          <w:p>
            <w:pPr>
              <w:spacing w:after="0"/>
            </w:pPr>
            <w:r>
              <w:rPr>
                <w:sz w:val="14"/>
              </w:rPr>
              <w:t>Confusion about objective or tolerance erosion</w:t>
            </w:r>
          </w:p>
        </w:tc>
        <w:tc>
          <w:tcPr>
            <w:tcW w:type="dxa" w:w="3427"/>
            <w:vAlign w:val="top"/>
          </w:tcPr>
          <w:p>
            <w:pPr>
              <w:spacing w:after="0"/>
            </w:pPr>
            <w:r>
              <w:rPr>
                <w:sz w:val="14"/>
              </w:rPr>
              <w:t>Clarify objectives/off-ramps; modify harmful measures</w:t>
            </w:r>
          </w:p>
        </w:tc>
      </w:tr>
    </w:tbl>
    <w:p>
      <w:r>
        <w:rPr>
          <w:b w:val="0"/>
          <w:i w:val="0"/>
        </w:rPr>
        <w:t>These indicators connect directly to the Federal-Provincial Trade Conflict Solidarity Protocol and the future Economic Conflict Endurance and Burden-Sharing Framework.</w:t>
      </w:r>
    </w:p>
    <w:p>
      <w:r>
        <w:br w:type="page"/>
      </w:r>
    </w:p>
    <w:p>
      <w:pPr>
        <w:pStyle w:val="Heading1"/>
        <w:keepNext/>
        <w:spacing w:before="120" w:after="50"/>
      </w:pPr>
      <w:bookmarkStart w:id="602" w:name="_Toc9400602"/>
      <w:r>
        <w:t>30. Business Consultation Protocol</w:t>
      </w:r>
      <w:bookmarkEnd w:id="602"/>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Stage</w:t>
            </w:r>
          </w:p>
        </w:tc>
        <w:tc>
          <w:tcPr>
            <w:tcW w:type="dxa" w:w="5141"/>
            <w:shd w:fill="D9E5F2"/>
          </w:tcPr>
          <w:p>
            <w:r>
              <w:rPr>
                <w:b/>
                <w:sz w:val="14"/>
              </w:rPr>
              <w:t>Procedure</w:t>
            </w:r>
          </w:p>
        </w:tc>
      </w:tr>
      <w:tr>
        <w:tc>
          <w:tcPr>
            <w:tcW w:type="dxa" w:w="5141"/>
            <w:vAlign w:val="top"/>
          </w:tcPr>
          <w:p>
            <w:pPr>
              <w:spacing w:after="0"/>
            </w:pPr>
            <w:r>
              <w:rPr>
                <w:sz w:val="14"/>
              </w:rPr>
              <w:t>Prepare</w:t>
            </w:r>
          </w:p>
        </w:tc>
        <w:tc>
          <w:tcPr>
            <w:tcW w:type="dxa" w:w="5141"/>
            <w:vAlign w:val="top"/>
          </w:tcPr>
          <w:p>
            <w:pPr>
              <w:spacing w:after="0"/>
            </w:pPr>
            <w:r>
              <w:rPr>
                <w:sz w:val="14"/>
              </w:rPr>
              <w:t>Define the decision question and sectors; avoid fishing expeditions.</w:t>
            </w:r>
          </w:p>
        </w:tc>
      </w:tr>
      <w:tr>
        <w:tc>
          <w:tcPr>
            <w:tcW w:type="dxa" w:w="5141"/>
            <w:vAlign w:val="top"/>
          </w:tcPr>
          <w:p>
            <w:pPr>
              <w:spacing w:after="0"/>
            </w:pPr>
            <w:r>
              <w:rPr>
                <w:sz w:val="14"/>
              </w:rPr>
              <w:t>Invite</w:t>
            </w:r>
          </w:p>
        </w:tc>
        <w:tc>
          <w:tcPr>
            <w:tcW w:type="dxa" w:w="5141"/>
            <w:vAlign w:val="top"/>
          </w:tcPr>
          <w:p>
            <w:pPr>
              <w:spacing w:after="0"/>
            </w:pPr>
            <w:r>
              <w:rPr>
                <w:sz w:val="14"/>
              </w:rPr>
              <w:t>Use representative mix by size, region, sector, ownership and trade exposure.</w:t>
            </w:r>
          </w:p>
        </w:tc>
      </w:tr>
      <w:tr>
        <w:tc>
          <w:tcPr>
            <w:tcW w:type="dxa" w:w="5141"/>
            <w:vAlign w:val="top"/>
          </w:tcPr>
          <w:p>
            <w:pPr>
              <w:spacing w:after="0"/>
            </w:pPr>
            <w:r>
              <w:rPr>
                <w:sz w:val="14"/>
              </w:rPr>
              <w:t>Disclose</w:t>
            </w:r>
          </w:p>
        </w:tc>
        <w:tc>
          <w:tcPr>
            <w:tcW w:type="dxa" w:w="5141"/>
            <w:vAlign w:val="top"/>
          </w:tcPr>
          <w:p>
            <w:pPr>
              <w:spacing w:after="0"/>
            </w:pPr>
            <w:r>
              <w:rPr>
                <w:sz w:val="14"/>
              </w:rPr>
              <w:t>Explain purpose, confidentiality treatment and limits.</w:t>
            </w:r>
          </w:p>
        </w:tc>
      </w:tr>
      <w:tr>
        <w:tc>
          <w:tcPr>
            <w:tcW w:type="dxa" w:w="5141"/>
            <w:vAlign w:val="top"/>
          </w:tcPr>
          <w:p>
            <w:pPr>
              <w:spacing w:after="0"/>
            </w:pPr>
            <w:r>
              <w:rPr>
                <w:sz w:val="14"/>
              </w:rPr>
              <w:t>Ask</w:t>
            </w:r>
          </w:p>
        </w:tc>
        <w:tc>
          <w:tcPr>
            <w:tcW w:type="dxa" w:w="5141"/>
            <w:vAlign w:val="top"/>
          </w:tcPr>
          <w:p>
            <w:pPr>
              <w:spacing w:after="0"/>
            </w:pPr>
            <w:r>
              <w:rPr>
                <w:sz w:val="14"/>
              </w:rPr>
              <w:t>Use common structured questions plus sector-specific follow-ups.</w:t>
            </w:r>
          </w:p>
        </w:tc>
      </w:tr>
      <w:tr>
        <w:tc>
          <w:tcPr>
            <w:tcW w:type="dxa" w:w="5141"/>
            <w:vAlign w:val="top"/>
          </w:tcPr>
          <w:p>
            <w:pPr>
              <w:spacing w:after="0"/>
            </w:pPr>
            <w:r>
              <w:rPr>
                <w:sz w:val="14"/>
              </w:rPr>
              <w:t>Validate</w:t>
            </w:r>
          </w:p>
        </w:tc>
        <w:tc>
          <w:tcPr>
            <w:tcW w:type="dxa" w:w="5141"/>
            <w:vAlign w:val="top"/>
          </w:tcPr>
          <w:p>
            <w:pPr>
              <w:spacing w:after="0"/>
            </w:pPr>
            <w:r>
              <w:rPr>
                <w:sz w:val="14"/>
              </w:rPr>
              <w:t>Compare claims with customs, market, employment and other firms' evidence.</w:t>
            </w:r>
          </w:p>
        </w:tc>
      </w:tr>
      <w:tr>
        <w:tc>
          <w:tcPr>
            <w:tcW w:type="dxa" w:w="5141"/>
            <w:vAlign w:val="top"/>
          </w:tcPr>
          <w:p>
            <w:pPr>
              <w:spacing w:after="0"/>
            </w:pPr>
            <w:r>
              <w:rPr>
                <w:sz w:val="14"/>
              </w:rPr>
              <w:t>Protect</w:t>
            </w:r>
          </w:p>
        </w:tc>
        <w:tc>
          <w:tcPr>
            <w:tcW w:type="dxa" w:w="5141"/>
            <w:vAlign w:val="top"/>
          </w:tcPr>
          <w:p>
            <w:pPr>
              <w:spacing w:after="0"/>
            </w:pPr>
            <w:r>
              <w:rPr>
                <w:sz w:val="14"/>
              </w:rPr>
              <w:t>Do not circulate commercially sensitive details beyond need-to-know.</w:t>
            </w:r>
          </w:p>
        </w:tc>
      </w:tr>
      <w:tr>
        <w:tc>
          <w:tcPr>
            <w:tcW w:type="dxa" w:w="5141"/>
            <w:vAlign w:val="top"/>
          </w:tcPr>
          <w:p>
            <w:pPr>
              <w:spacing w:after="0"/>
            </w:pPr>
            <w:r>
              <w:rPr>
                <w:sz w:val="14"/>
              </w:rPr>
              <w:t>Report</w:t>
            </w:r>
          </w:p>
        </w:tc>
        <w:tc>
          <w:tcPr>
            <w:tcW w:type="dxa" w:w="5141"/>
            <w:vAlign w:val="top"/>
          </w:tcPr>
          <w:p>
            <w:pPr>
              <w:spacing w:after="0"/>
            </w:pPr>
            <w:r>
              <w:rPr>
                <w:sz w:val="14"/>
              </w:rPr>
              <w:t>Aggregate where possible; distinguish consensus, minority view and anecdote.</w:t>
            </w:r>
          </w:p>
        </w:tc>
      </w:tr>
      <w:tr>
        <w:tc>
          <w:tcPr>
            <w:tcW w:type="dxa" w:w="5141"/>
            <w:vAlign w:val="top"/>
          </w:tcPr>
          <w:p>
            <w:pPr>
              <w:spacing w:after="0"/>
            </w:pPr>
            <w:r>
              <w:rPr>
                <w:sz w:val="14"/>
              </w:rPr>
              <w:t>Follow up</w:t>
            </w:r>
          </w:p>
        </w:tc>
        <w:tc>
          <w:tcPr>
            <w:tcW w:type="dxa" w:w="5141"/>
            <w:vAlign w:val="top"/>
          </w:tcPr>
          <w:p>
            <w:pPr>
              <w:spacing w:after="0"/>
            </w:pPr>
            <w:r>
              <w:rPr>
                <w:sz w:val="14"/>
              </w:rPr>
              <w:t>Return when policy changes to test whether observed effects match predictions.</w:t>
            </w:r>
          </w:p>
        </w:tc>
      </w:tr>
    </w:tbl>
    <w:p>
      <w:pPr>
        <w:pStyle w:val="Heading2"/>
        <w:keepNext/>
        <w:spacing w:before="120" w:after="50"/>
      </w:pPr>
      <w:bookmarkStart w:id="603" w:name="_Toc9400603"/>
      <w:r>
        <w:t>Standard Questions</w:t>
      </w:r>
      <w:bookmarkEnd w:id="603"/>
    </w:p>
    <w:p>
      <w:pPr>
        <w:pStyle w:val="ListBullet"/>
        <w:spacing w:after="40"/>
      </w:pPr>
      <w:r>
        <w:t>What changed in the last 30 days?</w:t>
      </w:r>
    </w:p>
    <w:p>
      <w:pPr>
        <w:pStyle w:val="ListBullet"/>
        <w:spacing w:after="40"/>
      </w:pPr>
      <w:r>
        <w:t>What are you doing differently because of the conflict?</w:t>
      </w:r>
    </w:p>
    <w:p>
      <w:pPr>
        <w:pStyle w:val="ListBullet"/>
        <w:spacing w:after="40"/>
      </w:pPr>
      <w:r>
        <w:t>Which cost is hardest to substitute away?</w:t>
      </w:r>
    </w:p>
    <w:p>
      <w:pPr>
        <w:pStyle w:val="ListBullet"/>
        <w:spacing w:after="40"/>
      </w:pPr>
      <w:r>
        <w:t>What decision will you make in the next 30/90 days if policy is unchanged?</w:t>
      </w:r>
    </w:p>
    <w:p>
      <w:pPr>
        <w:pStyle w:val="ListBullet"/>
        <w:spacing w:after="40"/>
      </w:pPr>
      <w:r>
        <w:t>What policy change would materially alter that decision?</w:t>
      </w:r>
    </w:p>
    <w:p>
      <w:pPr>
        <w:pStyle w:val="ListBullet"/>
        <w:spacing w:after="40"/>
      </w:pPr>
      <w:r>
        <w:t>What evidence can independently verify the claim?</w:t>
      </w:r>
    </w:p>
    <w:p>
      <w:r>
        <w:br w:type="page"/>
      </w:r>
    </w:p>
    <w:p>
      <w:pPr>
        <w:pStyle w:val="Heading1"/>
        <w:keepNext/>
        <w:spacing w:before="120" w:after="50"/>
      </w:pPr>
      <w:bookmarkStart w:id="604" w:name="_Toc9400604"/>
      <w:r>
        <w:t>31. Congressional and State Engagement Reporting Template</w:t>
      </w:r>
      <w:bookmarkEnd w:id="604"/>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Entry</w:t>
            </w:r>
          </w:p>
        </w:tc>
      </w:tr>
      <w:tr>
        <w:tc>
          <w:tcPr>
            <w:tcW w:type="dxa" w:w="5141"/>
            <w:vAlign w:val="top"/>
          </w:tcPr>
          <w:p>
            <w:pPr>
              <w:spacing w:after="0"/>
            </w:pPr>
            <w:r>
              <w:rPr>
                <w:sz w:val="15"/>
              </w:rPr>
              <w:t>Institution / office</w:t>
            </w:r>
          </w:p>
        </w:tc>
        <w:tc>
          <w:tcPr>
            <w:tcW w:type="dxa" w:w="5141"/>
            <w:vAlign w:val="top"/>
          </w:tcPr>
          <w:p>
            <w:pPr>
              <w:spacing w:after="0"/>
            </w:pPr>
            <w:r>
              <w:rPr>
                <w:sz w:val="15"/>
              </w:rPr>
            </w:r>
          </w:p>
        </w:tc>
      </w:tr>
      <w:tr>
        <w:tc>
          <w:tcPr>
            <w:tcW w:type="dxa" w:w="5141"/>
            <w:vAlign w:val="top"/>
          </w:tcPr>
          <w:p>
            <w:pPr>
              <w:spacing w:after="0"/>
            </w:pPr>
            <w:r>
              <w:rPr>
                <w:sz w:val="15"/>
              </w:rPr>
              <w:t>Official capacity</w:t>
            </w:r>
          </w:p>
        </w:tc>
        <w:tc>
          <w:tcPr>
            <w:tcW w:type="dxa" w:w="5141"/>
            <w:vAlign w:val="top"/>
          </w:tcPr>
          <w:p>
            <w:pPr>
              <w:spacing w:after="0"/>
            </w:pPr>
            <w:r>
              <w:rPr>
                <w:sz w:val="15"/>
              </w:rPr>
            </w:r>
          </w:p>
        </w:tc>
      </w:tr>
      <w:tr>
        <w:tc>
          <w:tcPr>
            <w:tcW w:type="dxa" w:w="5141"/>
            <w:vAlign w:val="top"/>
          </w:tcPr>
          <w:p>
            <w:pPr>
              <w:spacing w:after="0"/>
            </w:pPr>
            <w:r>
              <w:rPr>
                <w:sz w:val="15"/>
              </w:rPr>
              <w:t>Date / participants</w:t>
            </w:r>
          </w:p>
        </w:tc>
        <w:tc>
          <w:tcPr>
            <w:tcW w:type="dxa" w:w="5141"/>
            <w:vAlign w:val="top"/>
          </w:tcPr>
          <w:p>
            <w:pPr>
              <w:spacing w:after="0"/>
            </w:pPr>
            <w:r>
              <w:rPr>
                <w:sz w:val="15"/>
              </w:rPr>
            </w:r>
          </w:p>
        </w:tc>
      </w:tr>
      <w:tr>
        <w:tc>
          <w:tcPr>
            <w:tcW w:type="dxa" w:w="5141"/>
            <w:vAlign w:val="top"/>
          </w:tcPr>
          <w:p>
            <w:pPr>
              <w:spacing w:after="0"/>
            </w:pPr>
            <w:r>
              <w:rPr>
                <w:sz w:val="15"/>
              </w:rPr>
              <w:t>Public / private / attributable status</w:t>
            </w:r>
          </w:p>
        </w:tc>
        <w:tc>
          <w:tcPr>
            <w:tcW w:type="dxa" w:w="5141"/>
            <w:vAlign w:val="top"/>
          </w:tcPr>
          <w:p>
            <w:pPr>
              <w:spacing w:after="0"/>
            </w:pPr>
            <w:r>
              <w:rPr>
                <w:sz w:val="15"/>
              </w:rPr>
            </w:r>
          </w:p>
        </w:tc>
      </w:tr>
      <w:tr>
        <w:tc>
          <w:tcPr>
            <w:tcW w:type="dxa" w:w="5141"/>
            <w:vAlign w:val="top"/>
          </w:tcPr>
          <w:p>
            <w:pPr>
              <w:spacing w:after="0"/>
            </w:pPr>
            <w:r>
              <w:rPr>
                <w:sz w:val="15"/>
              </w:rPr>
              <w:t>Issue discussed</w:t>
            </w:r>
          </w:p>
        </w:tc>
        <w:tc>
          <w:tcPr>
            <w:tcW w:type="dxa" w:w="5141"/>
            <w:vAlign w:val="top"/>
          </w:tcPr>
          <w:p>
            <w:pPr>
              <w:spacing w:after="0"/>
            </w:pPr>
            <w:r>
              <w:rPr>
                <w:sz w:val="15"/>
              </w:rPr>
            </w:r>
          </w:p>
        </w:tc>
      </w:tr>
      <w:tr>
        <w:tc>
          <w:tcPr>
            <w:tcW w:type="dxa" w:w="5141"/>
            <w:vAlign w:val="top"/>
          </w:tcPr>
          <w:p>
            <w:pPr>
              <w:spacing w:after="0"/>
            </w:pPr>
            <w:r>
              <w:rPr>
                <w:sz w:val="15"/>
              </w:rPr>
              <w:t>Position expressed</w:t>
            </w:r>
          </w:p>
        </w:tc>
        <w:tc>
          <w:tcPr>
            <w:tcW w:type="dxa" w:w="5141"/>
            <w:vAlign w:val="top"/>
          </w:tcPr>
          <w:p>
            <w:pPr>
              <w:spacing w:after="0"/>
            </w:pPr>
            <w:r>
              <w:rPr>
                <w:sz w:val="15"/>
              </w:rPr>
            </w:r>
          </w:p>
        </w:tc>
      </w:tr>
      <w:tr>
        <w:tc>
          <w:tcPr>
            <w:tcW w:type="dxa" w:w="5141"/>
            <w:vAlign w:val="top"/>
          </w:tcPr>
          <w:p>
            <w:pPr>
              <w:spacing w:after="0"/>
            </w:pPr>
            <w:r>
              <w:rPr>
                <w:sz w:val="15"/>
              </w:rPr>
              <w:t>Concrete action underway</w:t>
            </w:r>
          </w:p>
        </w:tc>
        <w:tc>
          <w:tcPr>
            <w:tcW w:type="dxa" w:w="5141"/>
            <w:vAlign w:val="top"/>
          </w:tcPr>
          <w:p>
            <w:pPr>
              <w:spacing w:after="0"/>
            </w:pPr>
            <w:r>
              <w:rPr>
                <w:sz w:val="15"/>
              </w:rPr>
            </w:r>
          </w:p>
        </w:tc>
      </w:tr>
      <w:tr>
        <w:tc>
          <w:tcPr>
            <w:tcW w:type="dxa" w:w="5141"/>
            <w:vAlign w:val="top"/>
          </w:tcPr>
          <w:p>
            <w:pPr>
              <w:spacing w:after="0"/>
            </w:pPr>
            <w:r>
              <w:rPr>
                <w:sz w:val="15"/>
              </w:rPr>
              <w:t>Authority / ability to deliver</w:t>
            </w:r>
          </w:p>
        </w:tc>
        <w:tc>
          <w:tcPr>
            <w:tcW w:type="dxa" w:w="5141"/>
            <w:vAlign w:val="top"/>
          </w:tcPr>
          <w:p>
            <w:pPr>
              <w:spacing w:after="0"/>
            </w:pPr>
            <w:r>
              <w:rPr>
                <w:sz w:val="15"/>
              </w:rPr>
            </w:r>
          </w:p>
        </w:tc>
      </w:tr>
      <w:tr>
        <w:tc>
          <w:tcPr>
            <w:tcW w:type="dxa" w:w="5141"/>
            <w:vAlign w:val="top"/>
          </w:tcPr>
          <w:p>
            <w:pPr>
              <w:spacing w:after="0"/>
            </w:pPr>
            <w:r>
              <w:rPr>
                <w:sz w:val="15"/>
              </w:rPr>
              <w:t>Evidence of coalition breadth</w:t>
            </w:r>
          </w:p>
        </w:tc>
        <w:tc>
          <w:tcPr>
            <w:tcW w:type="dxa" w:w="5141"/>
            <w:vAlign w:val="top"/>
          </w:tcPr>
          <w:p>
            <w:pPr>
              <w:spacing w:after="0"/>
            </w:pPr>
            <w:r>
              <w:rPr>
                <w:sz w:val="15"/>
              </w:rPr>
            </w:r>
          </w:p>
        </w:tc>
      </w:tr>
      <w:tr>
        <w:tc>
          <w:tcPr>
            <w:tcW w:type="dxa" w:w="5141"/>
            <w:vAlign w:val="top"/>
          </w:tcPr>
          <w:p>
            <w:pPr>
              <w:spacing w:after="0"/>
            </w:pPr>
            <w:r>
              <w:rPr>
                <w:sz w:val="15"/>
              </w:rPr>
              <w:t>Election sensitivity check</w:t>
            </w:r>
          </w:p>
        </w:tc>
        <w:tc>
          <w:tcPr>
            <w:tcW w:type="dxa" w:w="5141"/>
            <w:vAlign w:val="top"/>
          </w:tcPr>
          <w:p>
            <w:pPr>
              <w:spacing w:after="0"/>
            </w:pPr>
            <w:r>
              <w:rPr>
                <w:sz w:val="15"/>
              </w:rPr>
            </w:r>
          </w:p>
        </w:tc>
      </w:tr>
      <w:tr>
        <w:tc>
          <w:tcPr>
            <w:tcW w:type="dxa" w:w="5141"/>
            <w:vAlign w:val="top"/>
          </w:tcPr>
          <w:p>
            <w:pPr>
              <w:spacing w:after="0"/>
            </w:pPr>
            <w:r>
              <w:rPr>
                <w:sz w:val="15"/>
              </w:rPr>
              <w:t>Analyst confidence</w:t>
            </w:r>
          </w:p>
        </w:tc>
        <w:tc>
          <w:tcPr>
            <w:tcW w:type="dxa" w:w="5141"/>
            <w:vAlign w:val="top"/>
          </w:tcPr>
          <w:p>
            <w:pPr>
              <w:spacing w:after="0"/>
            </w:pPr>
            <w:r>
              <w:rPr>
                <w:sz w:val="15"/>
              </w:rPr>
            </w:r>
          </w:p>
        </w:tc>
      </w:tr>
      <w:tr>
        <w:tc>
          <w:tcPr>
            <w:tcW w:type="dxa" w:w="5141"/>
            <w:vAlign w:val="top"/>
          </w:tcPr>
          <w:p>
            <w:pPr>
              <w:spacing w:after="0"/>
            </w:pPr>
            <w:r>
              <w:rPr>
                <w:sz w:val="15"/>
              </w:rPr>
              <w:t>DPA relevance</w:t>
            </w:r>
          </w:p>
        </w:tc>
        <w:tc>
          <w:tcPr>
            <w:tcW w:type="dxa" w:w="5141"/>
            <w:vAlign w:val="top"/>
          </w:tcPr>
          <w:p>
            <w:pPr>
              <w:spacing w:after="0"/>
            </w:pPr>
            <w:r>
              <w:rPr>
                <w:sz w:val="15"/>
              </w:rPr>
            </w:r>
          </w:p>
        </w:tc>
      </w:tr>
      <w:tr>
        <w:tc>
          <w:tcPr>
            <w:tcW w:type="dxa" w:w="5141"/>
            <w:vAlign w:val="top"/>
          </w:tcPr>
          <w:p>
            <w:pPr>
              <w:spacing w:after="0"/>
            </w:pPr>
            <w:r>
              <w:rPr>
                <w:sz w:val="15"/>
              </w:rPr>
              <w:t>Follow-up / verification</w:t>
            </w:r>
          </w:p>
        </w:tc>
        <w:tc>
          <w:tcPr>
            <w:tcW w:type="dxa" w:w="5141"/>
            <w:vAlign w:val="top"/>
          </w:tcPr>
          <w:p>
            <w:pPr>
              <w:spacing w:after="0"/>
            </w:pPr>
            <w:r>
              <w:rPr>
                <w:sz w:val="15"/>
              </w:rPr>
            </w:r>
          </w:p>
        </w:tc>
      </w:tr>
    </w:tbl>
    <w:p>
      <w:r>
        <w:rPr>
          <w:b w:val="0"/>
          <w:i w:val="0"/>
        </w:rPr>
        <w:t>Reporting should distinguish access from influence. Ten friendly meetings do not equal ten votes, and ten votes do not necessarily change executive action. Institutional power must be mapped, not assumed.</w:t>
      </w:r>
    </w:p>
    <w:p>
      <w:r>
        <w:br w:type="page"/>
      </w:r>
    </w:p>
    <w:p>
      <w:pPr>
        <w:pStyle w:val="Heading1"/>
        <w:keepNext/>
        <w:spacing w:before="120" w:after="50"/>
      </w:pPr>
      <w:bookmarkStart w:id="605" w:name="_Toc9400605"/>
      <w:r>
        <w:t>32. Media and Narrative Analysis Protocol</w:t>
      </w:r>
      <w:bookmarkEnd w:id="605"/>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Layer</w:t>
            </w:r>
          </w:p>
        </w:tc>
        <w:tc>
          <w:tcPr>
            <w:tcW w:type="dxa" w:w="5141"/>
            <w:shd w:fill="D9E5F2"/>
          </w:tcPr>
          <w:p>
            <w:r>
              <w:rPr>
                <w:b/>
                <w:sz w:val="14"/>
              </w:rPr>
              <w:t>Question</w:t>
            </w:r>
          </w:p>
        </w:tc>
      </w:tr>
      <w:tr>
        <w:tc>
          <w:tcPr>
            <w:tcW w:type="dxa" w:w="5141"/>
            <w:vAlign w:val="top"/>
          </w:tcPr>
          <w:p>
            <w:pPr>
              <w:spacing w:after="0"/>
            </w:pPr>
            <w:r>
              <w:rPr>
                <w:sz w:val="14"/>
              </w:rPr>
              <w:t>Official statements</w:t>
            </w:r>
          </w:p>
        </w:tc>
        <w:tc>
          <w:tcPr>
            <w:tcW w:type="dxa" w:w="5141"/>
            <w:vAlign w:val="top"/>
          </w:tcPr>
          <w:p>
            <w:pPr>
              <w:spacing w:after="0"/>
            </w:pPr>
            <w:r>
              <w:rPr>
                <w:sz w:val="14"/>
              </w:rPr>
              <w:t>What did an authorized decision-maker actually say?</w:t>
            </w:r>
          </w:p>
        </w:tc>
      </w:tr>
      <w:tr>
        <w:tc>
          <w:tcPr>
            <w:tcW w:type="dxa" w:w="5141"/>
            <w:vAlign w:val="top"/>
          </w:tcPr>
          <w:p>
            <w:pPr>
              <w:spacing w:after="0"/>
            </w:pPr>
            <w:r>
              <w:rPr>
                <w:sz w:val="14"/>
              </w:rPr>
              <w:t>Reported policy</w:t>
            </w:r>
          </w:p>
        </w:tc>
        <w:tc>
          <w:tcPr>
            <w:tcW w:type="dxa" w:w="5141"/>
            <w:vAlign w:val="top"/>
          </w:tcPr>
          <w:p>
            <w:pPr>
              <w:spacing w:after="0"/>
            </w:pPr>
            <w:r>
              <w:rPr>
                <w:sz w:val="14"/>
              </w:rPr>
              <w:t>Does reporting cite documents, named officials or multiple independent sources?</w:t>
            </w:r>
          </w:p>
        </w:tc>
      </w:tr>
      <w:tr>
        <w:tc>
          <w:tcPr>
            <w:tcW w:type="dxa" w:w="5141"/>
            <w:vAlign w:val="top"/>
          </w:tcPr>
          <w:p>
            <w:pPr>
              <w:spacing w:after="0"/>
            </w:pPr>
            <w:r>
              <w:rPr>
                <w:sz w:val="14"/>
              </w:rPr>
              <w:t>Regional media</w:t>
            </w:r>
          </w:p>
        </w:tc>
        <w:tc>
          <w:tcPr>
            <w:tcW w:type="dxa" w:w="5141"/>
            <w:vAlign w:val="top"/>
          </w:tcPr>
          <w:p>
            <w:pPr>
              <w:spacing w:after="0"/>
            </w:pPr>
            <w:r>
              <w:rPr>
                <w:sz w:val="14"/>
              </w:rPr>
              <w:t>Are effects salient in specific states/provinces or sectors?</w:t>
            </w:r>
          </w:p>
        </w:tc>
      </w:tr>
      <w:tr>
        <w:tc>
          <w:tcPr>
            <w:tcW w:type="dxa" w:w="5141"/>
            <w:vAlign w:val="top"/>
          </w:tcPr>
          <w:p>
            <w:pPr>
              <w:spacing w:after="0"/>
            </w:pPr>
            <w:r>
              <w:rPr>
                <w:sz w:val="14"/>
              </w:rPr>
              <w:t>Trade press</w:t>
            </w:r>
          </w:p>
        </w:tc>
        <w:tc>
          <w:tcPr>
            <w:tcW w:type="dxa" w:w="5141"/>
            <w:vAlign w:val="top"/>
          </w:tcPr>
          <w:p>
            <w:pPr>
              <w:spacing w:after="0"/>
            </w:pPr>
            <w:r>
              <w:rPr>
                <w:sz w:val="14"/>
              </w:rPr>
              <w:t>Are implementation details emerging before mass media notice?</w:t>
            </w:r>
          </w:p>
        </w:tc>
      </w:tr>
      <w:tr>
        <w:tc>
          <w:tcPr>
            <w:tcW w:type="dxa" w:w="5141"/>
            <w:vAlign w:val="top"/>
          </w:tcPr>
          <w:p>
            <w:pPr>
              <w:spacing w:after="0"/>
            </w:pPr>
            <w:r>
              <w:rPr>
                <w:sz w:val="14"/>
              </w:rPr>
              <w:t>Commentary</w:t>
            </w:r>
          </w:p>
        </w:tc>
        <w:tc>
          <w:tcPr>
            <w:tcW w:type="dxa" w:w="5141"/>
            <w:vAlign w:val="top"/>
          </w:tcPr>
          <w:p>
            <w:pPr>
              <w:spacing w:after="0"/>
            </w:pPr>
            <w:r>
              <w:rPr>
                <w:sz w:val="14"/>
              </w:rPr>
              <w:t>Is this analysis/opinion rather than factual reporting?</w:t>
            </w:r>
          </w:p>
        </w:tc>
      </w:tr>
      <w:tr>
        <w:tc>
          <w:tcPr>
            <w:tcW w:type="dxa" w:w="5141"/>
            <w:vAlign w:val="top"/>
          </w:tcPr>
          <w:p>
            <w:pPr>
              <w:spacing w:after="0"/>
            </w:pPr>
            <w:r>
              <w:rPr>
                <w:sz w:val="14"/>
              </w:rPr>
              <w:t>Social media</w:t>
            </w:r>
          </w:p>
        </w:tc>
        <w:tc>
          <w:tcPr>
            <w:tcW w:type="dxa" w:w="5141"/>
            <w:vAlign w:val="top"/>
          </w:tcPr>
          <w:p>
            <w:pPr>
              <w:spacing w:after="0"/>
            </w:pPr>
            <w:r>
              <w:rPr>
                <w:sz w:val="14"/>
              </w:rPr>
              <w:t>Is the signal organic, coordinated, bot-amplified, or simply unknowable? Do not overclaim.</w:t>
            </w:r>
          </w:p>
        </w:tc>
      </w:tr>
      <w:tr>
        <w:tc>
          <w:tcPr>
            <w:tcW w:type="dxa" w:w="5141"/>
            <w:vAlign w:val="top"/>
          </w:tcPr>
          <w:p>
            <w:pPr>
              <w:spacing w:after="0"/>
            </w:pPr>
            <w:r>
              <w:rPr>
                <w:sz w:val="14"/>
              </w:rPr>
              <w:t>Correction need</w:t>
            </w:r>
          </w:p>
        </w:tc>
        <w:tc>
          <w:tcPr>
            <w:tcW w:type="dxa" w:w="5141"/>
            <w:vAlign w:val="top"/>
          </w:tcPr>
          <w:p>
            <w:pPr>
              <w:spacing w:after="0"/>
            </w:pPr>
            <w:r>
              <w:rPr>
                <w:sz w:val="14"/>
              </w:rPr>
              <w:t>Is false information materially affecting Canadian interests?</w:t>
            </w:r>
          </w:p>
        </w:tc>
      </w:tr>
      <w:tr>
        <w:tc>
          <w:tcPr>
            <w:tcW w:type="dxa" w:w="5141"/>
            <w:vAlign w:val="top"/>
          </w:tcPr>
          <w:p>
            <w:pPr>
              <w:spacing w:after="0"/>
            </w:pPr>
            <w:r>
              <w:rPr>
                <w:sz w:val="14"/>
              </w:rPr>
              <w:t>DPA impact</w:t>
            </w:r>
          </w:p>
        </w:tc>
        <w:tc>
          <w:tcPr>
            <w:tcW w:type="dxa" w:w="5141"/>
            <w:vAlign w:val="top"/>
          </w:tcPr>
          <w:p>
            <w:pPr>
              <w:spacing w:after="0"/>
            </w:pPr>
            <w:r>
              <w:rPr>
                <w:sz w:val="14"/>
              </w:rPr>
              <w:t>Does narrative change institutional incentives or only atmosphere?</w:t>
            </w:r>
          </w:p>
        </w:tc>
      </w:tr>
    </w:tbl>
    <w:p>
      <w:r>
        <w:rPr>
          <w:b w:val="0"/>
          <w:i w:val="0"/>
        </w:rPr>
        <w:t>Media volume is not public opinion. Social-media virality is not a representative survey. Analysts must keep those categories separate.</w:t>
      </w:r>
    </w:p>
    <w:p>
      <w:r>
        <w:br w:type="page"/>
      </w:r>
    </w:p>
    <w:p>
      <w:pPr>
        <w:pStyle w:val="Heading1"/>
        <w:keepNext/>
        <w:spacing w:before="120" w:after="50"/>
      </w:pPr>
      <w:bookmarkStart w:id="606" w:name="_Toc9400606"/>
      <w:r>
        <w:t>33. Public-Opinion Research Safeguards</w:t>
      </w:r>
      <w:bookmarkEnd w:id="606"/>
    </w:p>
    <w:p>
      <w:r>
        <w:rPr>
          <w:b w:val="0"/>
          <w:i w:val="0"/>
        </w:rPr>
        <w:t>Federal public-opinion research is governed by established rules and standards. The framework should use compliant research to understand aggregate attitudes, not to target individuals.</w:t>
      </w:r>
    </w:p>
    <w:p>
      <w:pPr>
        <w:pStyle w:val="ListBullet"/>
        <w:spacing w:after="40"/>
      </w:pPr>
      <w:r>
        <w:t>Use approved Government of Canada POR processes where research is commissioned.</w:t>
      </w:r>
    </w:p>
    <w:p>
      <w:pPr>
        <w:pStyle w:val="ListBullet"/>
        <w:spacing w:after="40"/>
      </w:pPr>
      <w:r>
        <w:t>Record sponsor, methodology, sample, field dates, question wording and limitations.</w:t>
      </w:r>
    </w:p>
    <w:p>
      <w:pPr>
        <w:pStyle w:val="ListBullet"/>
        <w:spacing w:after="40"/>
      </w:pPr>
      <w:r>
        <w:t>Protect respondent privacy and anonymity.</w:t>
      </w:r>
    </w:p>
    <w:p>
      <w:pPr>
        <w:pStyle w:val="ListBullet"/>
        <w:spacing w:after="40"/>
      </w:pPr>
      <w:r>
        <w:t>Maintain political neutrality.</w:t>
      </w:r>
    </w:p>
    <w:p>
      <w:pPr>
        <w:pStyle w:val="ListBullet"/>
        <w:spacing w:after="40"/>
      </w:pPr>
      <w:r>
        <w:t>Do not use surreptitious collection of personal political views.</w:t>
      </w:r>
    </w:p>
    <w:p>
      <w:pPr>
        <w:pStyle w:val="ListBullet"/>
        <w:spacing w:after="40"/>
      </w:pPr>
      <w:r>
        <w:t>Do not merge POR respondent data with operational targeting databases.</w:t>
      </w:r>
    </w:p>
    <w:p>
      <w:pPr>
        <w:pStyle w:val="ListBullet"/>
        <w:spacing w:after="40"/>
      </w:pPr>
      <w:r>
        <w:t>Use public polling from third parties only after methodological review.</w:t>
      </w:r>
    </w:p>
    <w:p>
      <w:pPr>
        <w:pStyle w:val="ListBullet"/>
        <w:spacing w:after="40"/>
      </w:pPr>
      <w:r>
        <w:t>Treat changes inside the margin of error as no change unless supported by other evidence.</w:t>
      </w:r>
    </w:p>
    <w:p>
      <w:pPr>
        <w:pStyle w:val="Heading2"/>
        <w:keepNext/>
        <w:spacing w:before="120" w:after="50"/>
      </w:pPr>
      <w:bookmarkStart w:id="607" w:name="_Toc9400607"/>
      <w:r>
        <w:t>Decision Use</w:t>
      </w:r>
      <w:bookmarkEnd w:id="607"/>
    </w:p>
    <w:p>
      <w:r>
        <w:rPr>
          <w:b w:val="0"/>
          <w:i w:val="0"/>
        </w:rPr>
        <w:t>POR can inform whether Canadians understand the government's objectives, whether burden is perceived as fair, and whether Americans distinguish Canadian policy from hostility toward American citizens. It should never become a tool for manipulating electoral behaviour.</w:t>
      </w:r>
    </w:p>
    <w:p>
      <w:r>
        <w:br w:type="page"/>
      </w:r>
    </w:p>
    <w:p>
      <w:pPr>
        <w:pStyle w:val="Heading1"/>
        <w:keepNext/>
        <w:spacing w:before="120" w:after="50"/>
      </w:pPr>
      <w:bookmarkStart w:id="608" w:name="_Toc9400608"/>
      <w:r>
        <w:t>34. Information Security and Compartmentation</w:t>
      </w:r>
      <w:bookmarkEnd w:id="608"/>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Category</w:t>
            </w:r>
          </w:p>
        </w:tc>
        <w:tc>
          <w:tcPr>
            <w:tcW w:type="dxa" w:w="5141"/>
            <w:shd w:fill="D9E5F2"/>
          </w:tcPr>
          <w:p>
            <w:r>
              <w:rPr>
                <w:b/>
                <w:sz w:val="14"/>
              </w:rPr>
              <w:t>Handling principle</w:t>
            </w:r>
          </w:p>
        </w:tc>
      </w:tr>
      <w:tr>
        <w:tc>
          <w:tcPr>
            <w:tcW w:type="dxa" w:w="5141"/>
            <w:vAlign w:val="top"/>
          </w:tcPr>
          <w:p>
            <w:pPr>
              <w:spacing w:after="0"/>
            </w:pPr>
            <w:r>
              <w:rPr>
                <w:sz w:val="14"/>
              </w:rPr>
              <w:t>Public</w:t>
            </w:r>
          </w:p>
        </w:tc>
        <w:tc>
          <w:tcPr>
            <w:tcW w:type="dxa" w:w="5141"/>
            <w:vAlign w:val="top"/>
          </w:tcPr>
          <w:p>
            <w:pPr>
              <w:spacing w:after="0"/>
            </w:pPr>
            <w:r>
              <w:rPr>
                <w:sz w:val="14"/>
              </w:rPr>
              <w:t>Broadly shareable; cite source.</w:t>
            </w:r>
          </w:p>
        </w:tc>
      </w:tr>
      <w:tr>
        <w:tc>
          <w:tcPr>
            <w:tcW w:type="dxa" w:w="5141"/>
            <w:vAlign w:val="top"/>
          </w:tcPr>
          <w:p>
            <w:pPr>
              <w:spacing w:after="0"/>
            </w:pPr>
            <w:r>
              <w:rPr>
                <w:sz w:val="14"/>
              </w:rPr>
              <w:t>Protected policy</w:t>
            </w:r>
          </w:p>
        </w:tc>
        <w:tc>
          <w:tcPr>
            <w:tcW w:type="dxa" w:w="5141"/>
            <w:vAlign w:val="top"/>
          </w:tcPr>
          <w:p>
            <w:pPr>
              <w:spacing w:after="0"/>
            </w:pPr>
            <w:r>
              <w:rPr>
                <w:sz w:val="14"/>
              </w:rPr>
              <w:t>Need-to-know within government; avoid unnecessary personal/commercial detail.</w:t>
            </w:r>
          </w:p>
        </w:tc>
      </w:tr>
      <w:tr>
        <w:tc>
          <w:tcPr>
            <w:tcW w:type="dxa" w:w="5141"/>
            <w:vAlign w:val="top"/>
          </w:tcPr>
          <w:p>
            <w:pPr>
              <w:spacing w:after="0"/>
            </w:pPr>
            <w:r>
              <w:rPr>
                <w:sz w:val="14"/>
              </w:rPr>
              <w:t>Commercial confidential</w:t>
            </w:r>
          </w:p>
        </w:tc>
        <w:tc>
          <w:tcPr>
            <w:tcW w:type="dxa" w:w="5141"/>
            <w:vAlign w:val="top"/>
          </w:tcPr>
          <w:p>
            <w:pPr>
              <w:spacing w:after="0"/>
            </w:pPr>
            <w:r>
              <w:rPr>
                <w:sz w:val="14"/>
              </w:rPr>
              <w:t>Restrict to purpose; aggregate in wider products where possible.</w:t>
            </w:r>
          </w:p>
        </w:tc>
      </w:tr>
      <w:tr>
        <w:tc>
          <w:tcPr>
            <w:tcW w:type="dxa" w:w="5141"/>
            <w:vAlign w:val="top"/>
          </w:tcPr>
          <w:p>
            <w:pPr>
              <w:spacing w:after="0"/>
            </w:pPr>
            <w:r>
              <w:rPr>
                <w:sz w:val="14"/>
              </w:rPr>
              <w:t>Solicitor-client privileged</w:t>
            </w:r>
          </w:p>
        </w:tc>
        <w:tc>
          <w:tcPr>
            <w:tcW w:type="dxa" w:w="5141"/>
            <w:vAlign w:val="top"/>
          </w:tcPr>
          <w:p>
            <w:pPr>
              <w:spacing w:after="0"/>
            </w:pPr>
            <w:r>
              <w:rPr>
                <w:sz w:val="14"/>
              </w:rPr>
              <w:t>Justice/legal-services controls; do not reproduce casually.</w:t>
            </w:r>
          </w:p>
        </w:tc>
      </w:tr>
      <w:tr>
        <w:tc>
          <w:tcPr>
            <w:tcW w:type="dxa" w:w="5141"/>
            <w:vAlign w:val="top"/>
          </w:tcPr>
          <w:p>
            <w:pPr>
              <w:spacing w:after="0"/>
            </w:pPr>
            <w:r>
              <w:rPr>
                <w:sz w:val="14"/>
              </w:rPr>
              <w:t>Classified intelligence</w:t>
            </w:r>
          </w:p>
        </w:tc>
        <w:tc>
          <w:tcPr>
            <w:tcW w:type="dxa" w:w="5141"/>
            <w:vAlign w:val="top"/>
          </w:tcPr>
          <w:p>
            <w:pPr>
              <w:spacing w:after="0"/>
            </w:pPr>
            <w:r>
              <w:rPr>
                <w:sz w:val="14"/>
              </w:rPr>
              <w:t>Originator/dissemination rules; sources and methods protected.</w:t>
            </w:r>
          </w:p>
        </w:tc>
      </w:tr>
      <w:tr>
        <w:tc>
          <w:tcPr>
            <w:tcW w:type="dxa" w:w="5141"/>
            <w:vAlign w:val="top"/>
          </w:tcPr>
          <w:p>
            <w:pPr>
              <w:spacing w:after="0"/>
            </w:pPr>
            <w:r>
              <w:rPr>
                <w:sz w:val="14"/>
              </w:rPr>
              <w:t>Cabinet confidence</w:t>
            </w:r>
          </w:p>
        </w:tc>
        <w:tc>
          <w:tcPr>
            <w:tcW w:type="dxa" w:w="5141"/>
            <w:vAlign w:val="top"/>
          </w:tcPr>
          <w:p>
            <w:pPr>
              <w:spacing w:after="0"/>
            </w:pPr>
            <w:r>
              <w:rPr>
                <w:sz w:val="14"/>
              </w:rPr>
              <w:t>Handle under applicable Cabinet-confidences rules.</w:t>
            </w:r>
          </w:p>
        </w:tc>
      </w:tr>
      <w:tr>
        <w:tc>
          <w:tcPr>
            <w:tcW w:type="dxa" w:w="5141"/>
            <w:vAlign w:val="top"/>
          </w:tcPr>
          <w:p>
            <w:pPr>
              <w:spacing w:after="0"/>
            </w:pPr>
            <w:r>
              <w:rPr>
                <w:sz w:val="14"/>
              </w:rPr>
              <w:t>Personal information</w:t>
            </w:r>
          </w:p>
        </w:tc>
        <w:tc>
          <w:tcPr>
            <w:tcW w:type="dxa" w:w="5141"/>
            <w:vAlign w:val="top"/>
          </w:tcPr>
          <w:p>
            <w:pPr>
              <w:spacing w:after="0"/>
            </w:pPr>
            <w:r>
              <w:rPr>
                <w:sz w:val="14"/>
              </w:rPr>
              <w:t>Privacy Act and applicable policy; minimize and protect.</w:t>
            </w:r>
          </w:p>
        </w:tc>
      </w:tr>
    </w:tbl>
    <w:p>
      <w:pPr>
        <w:pStyle w:val="Heading2"/>
        <w:keepNext/>
        <w:spacing w:before="120" w:after="50"/>
      </w:pPr>
      <w:bookmarkStart w:id="609" w:name="_Toc9400609"/>
      <w:r>
        <w:t>Tear-Line Practice</w:t>
      </w:r>
      <w:bookmarkEnd w:id="609"/>
    </w:p>
    <w:p>
      <w:r>
        <w:rPr>
          <w:b w:val="0"/>
          <w:i w:val="0"/>
        </w:rPr>
        <w:t>Where classified reporting materially changes the assessment, produce the widest releasable analytic implication possible without revealing protected sources or methods. This allows economic and diplomatic officials to act on the judgement while respecting compartmentation.</w:t>
      </w:r>
    </w:p>
    <w:p>
      <w:r>
        <w:br w:type="page"/>
      </w:r>
    </w:p>
    <w:p>
      <w:pPr>
        <w:pStyle w:val="Heading1"/>
        <w:keepNext/>
        <w:spacing w:before="120" w:after="50"/>
      </w:pPr>
      <w:bookmarkStart w:id="610" w:name="_Toc9400610"/>
      <w:r>
        <w:t>35. Privacy, Civil Liberties and Democratic Firewall</w:t>
      </w:r>
      <w:bookmarkEnd w:id="610"/>
    </w:p>
    <w:p>
      <w:r>
        <w:rPr>
          <w:b w:val="0"/>
          <w:i w:val="0"/>
        </w:rPr>
        <w:t>Economic statecraft is politically contentious. That makes civil-liberties discipline more important, not less.</w:t>
      </w:r>
    </w:p>
    <w:p>
      <w:pPr>
        <w:pStyle w:val="ListBullet"/>
        <w:spacing w:after="40"/>
      </w:pPr>
      <w:r>
        <w:t>No database of Canadians or Americans categorized by political belief for economic-statecraft purposes.</w:t>
      </w:r>
    </w:p>
    <w:p>
      <w:pPr>
        <w:pStyle w:val="ListBullet"/>
        <w:spacing w:after="40"/>
      </w:pPr>
      <w:r>
        <w:t>No monitoring of private communications without separate lawful authority held by the competent agency.</w:t>
      </w:r>
    </w:p>
    <w:p>
      <w:pPr>
        <w:pStyle w:val="ListBullet"/>
        <w:spacing w:after="40"/>
      </w:pPr>
      <w:r>
        <w:t>No collection because a person criticizes Canadian policy.</w:t>
      </w:r>
    </w:p>
    <w:p>
      <w:pPr>
        <w:pStyle w:val="ListBullet"/>
        <w:spacing w:after="40"/>
      </w:pPr>
      <w:r>
        <w:t>No covert recruitment of journalists, academics, influencers or civic groups to manipulate debate.</w:t>
      </w:r>
    </w:p>
    <w:p>
      <w:pPr>
        <w:pStyle w:val="ListBullet"/>
        <w:spacing w:after="40"/>
      </w:pPr>
      <w:r>
        <w:t>No use of government economic assistance as leverage to obtain political intelligence.</w:t>
      </w:r>
    </w:p>
    <w:p>
      <w:pPr>
        <w:pStyle w:val="ListBullet"/>
        <w:spacing w:after="40"/>
      </w:pPr>
      <w:r>
        <w:t>No discriminatory targeting based on protected characteristics.</w:t>
      </w:r>
    </w:p>
    <w:p>
      <w:pPr>
        <w:pStyle w:val="ListBullet"/>
        <w:spacing w:after="40"/>
      </w:pPr>
      <w:r>
        <w:t>No election interference or candidate advocacy.</w:t>
      </w:r>
    </w:p>
    <w:p>
      <w:pPr>
        <w:pStyle w:val="ListBullet"/>
        <w:spacing w:after="40"/>
      </w:pPr>
      <w:r>
        <w:t>No repurposing business consultations into security investigations absent separate lawful process.</w:t>
      </w:r>
    </w:p>
    <w:p>
      <w:pPr>
        <w:pStyle w:val="ListBullet"/>
        <w:spacing w:after="40"/>
      </w:pPr>
      <w:r>
        <w:t>Analysts may assess public institutions, published advocacy, aggregate public sentiment and observable policy behaviour.</w:t>
      </w:r>
    </w:p>
    <w:p>
      <w:pPr>
        <w:pStyle w:val="ListBullet"/>
        <w:spacing w:after="40"/>
      </w:pPr>
      <w:r>
        <w:t>Suspected criminal or national-security matters are referred to competent authorities, not investigated by ESSAC.</w:t>
      </w:r>
    </w:p>
    <w:p>
      <w:r>
        <w:br w:type="page"/>
      </w:r>
    </w:p>
    <w:p>
      <w:pPr>
        <w:pStyle w:val="Heading1"/>
        <w:keepNext/>
        <w:spacing w:before="120" w:after="50"/>
      </w:pPr>
      <w:bookmarkStart w:id="611" w:name="_Toc9400611"/>
      <w:r>
        <w:t>36. Legal Risk Integration</w:t>
      </w:r>
      <w:bookmarkEnd w:id="611"/>
    </w:p>
    <w:p>
      <w:r>
        <w:rPr>
          <w:b w:val="0"/>
          <w:i w:val="0"/>
        </w:rPr>
        <w:t>Justice Canada identifies legal risk management as the systematic detection, avoidance, mitigation and management of legal risks. For economic statecraft, legal assessment must enter before decisions harden.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Legal question</w:t>
            </w:r>
          </w:p>
        </w:tc>
        <w:tc>
          <w:tcPr>
            <w:tcW w:type="dxa" w:w="5141"/>
            <w:shd w:fill="D9E5F2"/>
          </w:tcPr>
          <w:p>
            <w:r>
              <w:rPr>
                <w:b/>
                <w:sz w:val="14"/>
              </w:rPr>
              <w:t>Owner / input</w:t>
            </w:r>
          </w:p>
        </w:tc>
      </w:tr>
      <w:tr>
        <w:tc>
          <w:tcPr>
            <w:tcW w:type="dxa" w:w="5141"/>
            <w:vAlign w:val="top"/>
          </w:tcPr>
          <w:p>
            <w:pPr>
              <w:spacing w:after="0"/>
            </w:pPr>
            <w:r>
              <w:rPr>
                <w:sz w:val="14"/>
              </w:rPr>
              <w:t>Canadian statutory authority</w:t>
            </w:r>
          </w:p>
        </w:tc>
        <w:tc>
          <w:tcPr>
            <w:tcW w:type="dxa" w:w="5141"/>
            <w:vAlign w:val="top"/>
          </w:tcPr>
          <w:p>
            <w:pPr>
              <w:spacing w:after="0"/>
            </w:pPr>
            <w:r>
              <w:rPr>
                <w:sz w:val="14"/>
              </w:rPr>
              <w:t>Justice + responsible department</w:t>
            </w:r>
          </w:p>
        </w:tc>
      </w:tr>
      <w:tr>
        <w:tc>
          <w:tcPr>
            <w:tcW w:type="dxa" w:w="5141"/>
            <w:vAlign w:val="top"/>
          </w:tcPr>
          <w:p>
            <w:pPr>
              <w:spacing w:after="0"/>
            </w:pPr>
            <w:r>
              <w:rPr>
                <w:sz w:val="14"/>
              </w:rPr>
              <w:t>Constitutional / federal-provincial issue</w:t>
            </w:r>
          </w:p>
        </w:tc>
        <w:tc>
          <w:tcPr>
            <w:tcW w:type="dxa" w:w="5141"/>
            <w:vAlign w:val="top"/>
          </w:tcPr>
          <w:p>
            <w:pPr>
              <w:spacing w:after="0"/>
            </w:pPr>
            <w:r>
              <w:rPr>
                <w:sz w:val="14"/>
              </w:rPr>
              <w:t>Justice + intergovernmental/provincial counsel</w:t>
            </w:r>
          </w:p>
        </w:tc>
      </w:tr>
      <w:tr>
        <w:tc>
          <w:tcPr>
            <w:tcW w:type="dxa" w:w="5141"/>
            <w:vAlign w:val="top"/>
          </w:tcPr>
          <w:p>
            <w:pPr>
              <w:spacing w:after="0"/>
            </w:pPr>
            <w:r>
              <w:rPr>
                <w:sz w:val="14"/>
              </w:rPr>
              <w:t>CUSMA/WTO/FTA compliance</w:t>
            </w:r>
          </w:p>
        </w:tc>
        <w:tc>
          <w:tcPr>
            <w:tcW w:type="dxa" w:w="5141"/>
            <w:vAlign w:val="top"/>
          </w:tcPr>
          <w:p>
            <w:pPr>
              <w:spacing w:after="0"/>
            </w:pPr>
            <w:r>
              <w:rPr>
                <w:sz w:val="14"/>
              </w:rPr>
              <w:t>Trade law specialists</w:t>
            </w:r>
          </w:p>
        </w:tc>
      </w:tr>
      <w:tr>
        <w:tc>
          <w:tcPr>
            <w:tcW w:type="dxa" w:w="5141"/>
            <w:vAlign w:val="top"/>
          </w:tcPr>
          <w:p>
            <w:pPr>
              <w:spacing w:after="0"/>
            </w:pPr>
            <w:r>
              <w:rPr>
                <w:sz w:val="14"/>
              </w:rPr>
              <w:t>Customs implementation</w:t>
            </w:r>
          </w:p>
        </w:tc>
        <w:tc>
          <w:tcPr>
            <w:tcW w:type="dxa" w:w="5141"/>
            <w:vAlign w:val="top"/>
          </w:tcPr>
          <w:p>
            <w:pPr>
              <w:spacing w:after="0"/>
            </w:pPr>
            <w:r>
              <w:rPr>
                <w:sz w:val="14"/>
              </w:rPr>
              <w:t>Finance / CBSA + counsel</w:t>
            </w:r>
          </w:p>
        </w:tc>
      </w:tr>
      <w:tr>
        <w:tc>
          <w:tcPr>
            <w:tcW w:type="dxa" w:w="5141"/>
            <w:vAlign w:val="top"/>
          </w:tcPr>
          <w:p>
            <w:pPr>
              <w:spacing w:after="0"/>
            </w:pPr>
            <w:r>
              <w:rPr>
                <w:sz w:val="14"/>
              </w:rPr>
              <w:t>Privacy / information sharing</w:t>
            </w:r>
          </w:p>
        </w:tc>
        <w:tc>
          <w:tcPr>
            <w:tcW w:type="dxa" w:w="5141"/>
            <w:vAlign w:val="top"/>
          </w:tcPr>
          <w:p>
            <w:pPr>
              <w:spacing w:after="0"/>
            </w:pPr>
            <w:r>
              <w:rPr>
                <w:sz w:val="14"/>
              </w:rPr>
              <w:t>Departmental privacy/legal officials</w:t>
            </w:r>
          </w:p>
        </w:tc>
      </w:tr>
      <w:tr>
        <w:tc>
          <w:tcPr>
            <w:tcW w:type="dxa" w:w="5141"/>
            <w:vAlign w:val="top"/>
          </w:tcPr>
          <w:p>
            <w:pPr>
              <w:spacing w:after="0"/>
            </w:pPr>
            <w:r>
              <w:rPr>
                <w:sz w:val="14"/>
              </w:rPr>
              <w:t>Intelligence dissemination</w:t>
            </w:r>
          </w:p>
        </w:tc>
        <w:tc>
          <w:tcPr>
            <w:tcW w:type="dxa" w:w="5141"/>
            <w:vAlign w:val="top"/>
          </w:tcPr>
          <w:p>
            <w:pPr>
              <w:spacing w:after="0"/>
            </w:pPr>
            <w:r>
              <w:rPr>
                <w:sz w:val="14"/>
              </w:rPr>
              <w:t>Originating agency + legal/policy authorities</w:t>
            </w:r>
          </w:p>
        </w:tc>
      </w:tr>
      <w:tr>
        <w:tc>
          <w:tcPr>
            <w:tcW w:type="dxa" w:w="5141"/>
            <w:vAlign w:val="top"/>
          </w:tcPr>
          <w:p>
            <w:pPr>
              <w:spacing w:after="0"/>
            </w:pPr>
            <w:r>
              <w:rPr>
                <w:sz w:val="14"/>
              </w:rPr>
              <w:t>Litigation effect</w:t>
            </w:r>
          </w:p>
        </w:tc>
        <w:tc>
          <w:tcPr>
            <w:tcW w:type="dxa" w:w="5141"/>
            <w:vAlign w:val="top"/>
          </w:tcPr>
          <w:p>
            <w:pPr>
              <w:spacing w:after="0"/>
            </w:pPr>
            <w:r>
              <w:rPr>
                <w:sz w:val="14"/>
              </w:rPr>
              <w:t>Justice / relevant counsel</w:t>
            </w:r>
          </w:p>
        </w:tc>
      </w:tr>
      <w:tr>
        <w:tc>
          <w:tcPr>
            <w:tcW w:type="dxa" w:w="5141"/>
            <w:vAlign w:val="top"/>
          </w:tcPr>
          <w:p>
            <w:pPr>
              <w:spacing w:after="0"/>
            </w:pPr>
            <w:r>
              <w:rPr>
                <w:sz w:val="14"/>
              </w:rPr>
              <w:t>Procurement / subsidy / support design</w:t>
            </w:r>
          </w:p>
        </w:tc>
        <w:tc>
          <w:tcPr>
            <w:tcW w:type="dxa" w:w="5141"/>
            <w:vAlign w:val="top"/>
          </w:tcPr>
          <w:p>
            <w:pPr>
              <w:spacing w:after="0"/>
            </w:pPr>
            <w:r>
              <w:rPr>
                <w:sz w:val="14"/>
              </w:rPr>
              <w:t>Responsible department + Justice</w:t>
            </w:r>
          </w:p>
        </w:tc>
      </w:tr>
    </w:tbl>
    <w:p>
      <w:r>
        <w:rPr>
          <w:b w:val="0"/>
          <w:i w:val="0"/>
        </w:rPr>
        <w:t>ESSAC should display legal status as Confirmed / Under Review / Contested / Enjoined / Proposed. It should never flatten those categories into 'law.'</w:t>
      </w:r>
    </w:p>
    <w:p>
      <w:r>
        <w:br w:type="page"/>
      </w:r>
    </w:p>
    <w:p>
      <w:pPr>
        <w:pStyle w:val="Heading1"/>
        <w:keepNext/>
        <w:spacing w:before="120" w:after="50"/>
      </w:pPr>
      <w:bookmarkStart w:id="612" w:name="_Toc9400612"/>
      <w:r>
        <w:t>37. Bias and Failure-Mode Register</w:t>
      </w:r>
      <w:bookmarkEnd w:id="612"/>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Failure mode</w:t>
            </w:r>
          </w:p>
        </w:tc>
        <w:tc>
          <w:tcPr>
            <w:tcW w:type="dxa" w:w="5141"/>
            <w:shd w:fill="D9E5F2"/>
          </w:tcPr>
          <w:p>
            <w:r>
              <w:rPr>
                <w:b/>
                <w:sz w:val="14"/>
              </w:rPr>
              <w:t>Countermeasure</w:t>
            </w:r>
          </w:p>
        </w:tc>
      </w:tr>
      <w:tr>
        <w:tc>
          <w:tcPr>
            <w:tcW w:type="dxa" w:w="5141"/>
            <w:vAlign w:val="top"/>
          </w:tcPr>
          <w:p>
            <w:pPr>
              <w:spacing w:after="0"/>
            </w:pPr>
            <w:r>
              <w:rPr>
                <w:sz w:val="14"/>
              </w:rPr>
              <w:t>Confirmation bias</w:t>
            </w:r>
          </w:p>
        </w:tc>
        <w:tc>
          <w:tcPr>
            <w:tcW w:type="dxa" w:w="5141"/>
            <w:vAlign w:val="top"/>
          </w:tcPr>
          <w:p>
            <w:pPr>
              <w:spacing w:after="0"/>
            </w:pPr>
            <w:r>
              <w:rPr>
                <w:sz w:val="14"/>
              </w:rPr>
              <w:t>Competing hypotheses; mandatory falsifiers</w:t>
            </w:r>
          </w:p>
        </w:tc>
      </w:tr>
      <w:tr>
        <w:tc>
          <w:tcPr>
            <w:tcW w:type="dxa" w:w="5141"/>
            <w:vAlign w:val="top"/>
          </w:tcPr>
          <w:p>
            <w:pPr>
              <w:spacing w:after="0"/>
            </w:pPr>
            <w:r>
              <w:rPr>
                <w:sz w:val="14"/>
              </w:rPr>
              <w:t>Recency bias</w:t>
            </w:r>
          </w:p>
        </w:tc>
        <w:tc>
          <w:tcPr>
            <w:tcW w:type="dxa" w:w="5141"/>
            <w:vAlign w:val="top"/>
          </w:tcPr>
          <w:p>
            <w:pPr>
              <w:spacing w:after="0"/>
            </w:pPr>
            <w:r>
              <w:rPr>
                <w:sz w:val="14"/>
              </w:rPr>
              <w:t>Baseline comparisons and rolling windows</w:t>
            </w:r>
          </w:p>
        </w:tc>
      </w:tr>
      <w:tr>
        <w:tc>
          <w:tcPr>
            <w:tcW w:type="dxa" w:w="5141"/>
            <w:vAlign w:val="top"/>
          </w:tcPr>
          <w:p>
            <w:pPr>
              <w:spacing w:after="0"/>
            </w:pPr>
            <w:r>
              <w:rPr>
                <w:sz w:val="14"/>
              </w:rPr>
              <w:t>Access bias</w:t>
            </w:r>
          </w:p>
        </w:tc>
        <w:tc>
          <w:tcPr>
            <w:tcW w:type="dxa" w:w="5141"/>
            <w:vAlign w:val="top"/>
          </w:tcPr>
          <w:p>
            <w:pPr>
              <w:spacing w:after="0"/>
            </w:pPr>
            <w:r>
              <w:rPr>
                <w:sz w:val="14"/>
              </w:rPr>
              <w:t>Weight by authority and evidence, not seniority of contact</w:t>
            </w:r>
          </w:p>
        </w:tc>
      </w:tr>
      <w:tr>
        <w:tc>
          <w:tcPr>
            <w:tcW w:type="dxa" w:w="5141"/>
            <w:vAlign w:val="top"/>
          </w:tcPr>
          <w:p>
            <w:pPr>
              <w:spacing w:after="0"/>
            </w:pPr>
            <w:r>
              <w:rPr>
                <w:sz w:val="14"/>
              </w:rPr>
              <w:t>Headline bias</w:t>
            </w:r>
          </w:p>
        </w:tc>
        <w:tc>
          <w:tcPr>
            <w:tcW w:type="dxa" w:w="5141"/>
            <w:vAlign w:val="top"/>
          </w:tcPr>
          <w:p>
            <w:pPr>
              <w:spacing w:after="0"/>
            </w:pPr>
            <w:r>
              <w:rPr>
                <w:sz w:val="14"/>
              </w:rPr>
              <w:t>Source tiering and implementation check</w:t>
            </w:r>
          </w:p>
        </w:tc>
      </w:tr>
      <w:tr>
        <w:tc>
          <w:tcPr>
            <w:tcW w:type="dxa" w:w="5141"/>
            <w:vAlign w:val="top"/>
          </w:tcPr>
          <w:p>
            <w:pPr>
              <w:spacing w:after="0"/>
            </w:pPr>
            <w:r>
              <w:rPr>
                <w:sz w:val="14"/>
              </w:rPr>
              <w:t>Groupthink</w:t>
            </w:r>
          </w:p>
        </w:tc>
        <w:tc>
          <w:tcPr>
            <w:tcW w:type="dxa" w:w="5141"/>
            <w:vAlign w:val="top"/>
          </w:tcPr>
          <w:p>
            <w:pPr>
              <w:spacing w:after="0"/>
            </w:pPr>
            <w:r>
              <w:rPr>
                <w:sz w:val="14"/>
              </w:rPr>
              <w:t>Dissent box and rotating red team</w:t>
            </w:r>
          </w:p>
        </w:tc>
      </w:tr>
      <w:tr>
        <w:tc>
          <w:tcPr>
            <w:tcW w:type="dxa" w:w="5141"/>
            <w:vAlign w:val="top"/>
          </w:tcPr>
          <w:p>
            <w:pPr>
              <w:spacing w:after="0"/>
            </w:pPr>
            <w:r>
              <w:rPr>
                <w:sz w:val="14"/>
              </w:rPr>
              <w:t>Politicization</w:t>
            </w:r>
          </w:p>
        </w:tc>
        <w:tc>
          <w:tcPr>
            <w:tcW w:type="dxa" w:w="5141"/>
            <w:vAlign w:val="top"/>
          </w:tcPr>
          <w:p>
            <w:pPr>
              <w:spacing w:after="0"/>
            </w:pPr>
            <w:r>
              <w:rPr>
                <w:sz w:val="14"/>
              </w:rPr>
              <w:t>Analytic independence; evidence trail</w:t>
            </w:r>
          </w:p>
        </w:tc>
      </w:tr>
      <w:tr>
        <w:tc>
          <w:tcPr>
            <w:tcW w:type="dxa" w:w="5141"/>
            <w:vAlign w:val="top"/>
          </w:tcPr>
          <w:p>
            <w:pPr>
              <w:spacing w:after="0"/>
            </w:pPr>
            <w:r>
              <w:rPr>
                <w:sz w:val="14"/>
              </w:rPr>
              <w:t>False precision</w:t>
            </w:r>
          </w:p>
        </w:tc>
        <w:tc>
          <w:tcPr>
            <w:tcW w:type="dxa" w:w="5141"/>
            <w:vAlign w:val="top"/>
          </w:tcPr>
          <w:p>
            <w:pPr>
              <w:spacing w:after="0"/>
            </w:pPr>
            <w:r>
              <w:rPr>
                <w:sz w:val="14"/>
              </w:rPr>
              <w:t>Probability ranges and confidence labels</w:t>
            </w:r>
          </w:p>
        </w:tc>
      </w:tr>
      <w:tr>
        <w:tc>
          <w:tcPr>
            <w:tcW w:type="dxa" w:w="5141"/>
            <w:vAlign w:val="top"/>
          </w:tcPr>
          <w:p>
            <w:pPr>
              <w:spacing w:after="0"/>
            </w:pPr>
            <w:r>
              <w:rPr>
                <w:sz w:val="14"/>
              </w:rPr>
              <w:t>Circular reporting</w:t>
            </w:r>
          </w:p>
        </w:tc>
        <w:tc>
          <w:tcPr>
            <w:tcW w:type="dxa" w:w="5141"/>
            <w:vAlign w:val="top"/>
          </w:tcPr>
          <w:p>
            <w:pPr>
              <w:spacing w:after="0"/>
            </w:pPr>
            <w:r>
              <w:rPr>
                <w:sz w:val="14"/>
              </w:rPr>
              <w:t>Track original source provenance</w:t>
            </w:r>
          </w:p>
        </w:tc>
      </w:tr>
      <w:tr>
        <w:tc>
          <w:tcPr>
            <w:tcW w:type="dxa" w:w="5141"/>
            <w:vAlign w:val="top"/>
          </w:tcPr>
          <w:p>
            <w:pPr>
              <w:spacing w:after="0"/>
            </w:pPr>
            <w:r>
              <w:rPr>
                <w:sz w:val="14"/>
              </w:rPr>
              <w:t>Sector capture</w:t>
            </w:r>
          </w:p>
        </w:tc>
        <w:tc>
          <w:tcPr>
            <w:tcW w:type="dxa" w:w="5141"/>
            <w:vAlign w:val="top"/>
          </w:tcPr>
          <w:p>
            <w:pPr>
              <w:spacing w:after="0"/>
            </w:pPr>
            <w:r>
              <w:rPr>
                <w:sz w:val="14"/>
              </w:rPr>
              <w:t>Representative consultations and public data</w:t>
            </w:r>
          </w:p>
        </w:tc>
      </w:tr>
      <w:tr>
        <w:tc>
          <w:tcPr>
            <w:tcW w:type="dxa" w:w="5141"/>
            <w:vAlign w:val="top"/>
          </w:tcPr>
          <w:p>
            <w:pPr>
              <w:spacing w:after="0"/>
            </w:pPr>
            <w:r>
              <w:rPr>
                <w:sz w:val="14"/>
              </w:rPr>
              <w:t>Classified-information halo</w:t>
            </w:r>
          </w:p>
        </w:tc>
        <w:tc>
          <w:tcPr>
            <w:tcW w:type="dxa" w:w="5141"/>
            <w:vAlign w:val="top"/>
          </w:tcPr>
          <w:p>
            <w:pPr>
              <w:spacing w:after="0"/>
            </w:pPr>
            <w:r>
              <w:rPr>
                <w:sz w:val="14"/>
              </w:rPr>
              <w:t>Do not overweight intelligence merely because it is secret</w:t>
            </w:r>
          </w:p>
        </w:tc>
      </w:tr>
      <w:tr>
        <w:tc>
          <w:tcPr>
            <w:tcW w:type="dxa" w:w="5141"/>
            <w:vAlign w:val="top"/>
          </w:tcPr>
          <w:p>
            <w:pPr>
              <w:spacing w:after="0"/>
            </w:pPr>
            <w:r>
              <w:rPr>
                <w:sz w:val="14"/>
              </w:rPr>
              <w:t>Model overfitting</w:t>
            </w:r>
          </w:p>
        </w:tc>
        <w:tc>
          <w:tcPr>
            <w:tcW w:type="dxa" w:w="5141"/>
            <w:vAlign w:val="top"/>
          </w:tcPr>
          <w:p>
            <w:pPr>
              <w:spacing w:after="0"/>
            </w:pPr>
            <w:r>
              <w:rPr>
                <w:sz w:val="14"/>
              </w:rPr>
              <w:t>Simple transparent scores; human judgement</w:t>
            </w:r>
          </w:p>
        </w:tc>
      </w:tr>
      <w:tr>
        <w:tc>
          <w:tcPr>
            <w:tcW w:type="dxa" w:w="5141"/>
            <w:vAlign w:val="top"/>
          </w:tcPr>
          <w:p>
            <w:pPr>
              <w:spacing w:after="0"/>
            </w:pPr>
            <w:r>
              <w:rPr>
                <w:sz w:val="14"/>
              </w:rPr>
              <w:t>Silence = consent</w:t>
            </w:r>
          </w:p>
        </w:tc>
        <w:tc>
          <w:tcPr>
            <w:tcW w:type="dxa" w:w="5141"/>
            <w:vAlign w:val="top"/>
          </w:tcPr>
          <w:p>
            <w:pPr>
              <w:spacing w:after="0"/>
            </w:pPr>
            <w:r>
              <w:rPr>
                <w:sz w:val="14"/>
              </w:rPr>
              <w:t>Record missing evidence as missing, not supportive</w:t>
            </w:r>
          </w:p>
        </w:tc>
      </w:tr>
    </w:tbl>
    <w:p>
      <w:r>
        <w:br w:type="page"/>
      </w:r>
    </w:p>
    <w:p>
      <w:pPr>
        <w:pStyle w:val="Heading1"/>
        <w:keepNext/>
        <w:spacing w:before="120" w:after="50"/>
      </w:pPr>
      <w:bookmarkStart w:id="613" w:name="_Toc9400613"/>
      <w:r>
        <w:t>38. Red-Team and Challenge Function</w:t>
      </w:r>
      <w:bookmarkEnd w:id="613"/>
    </w:p>
    <w:p>
      <w:r>
        <w:rPr>
          <w:b w:val="0"/>
          <w:i w:val="0"/>
        </w:rPr>
        <w:t>A small challenge team should review each major DPA and RED/ORANGE warning.</w:t>
      </w:r>
    </w:p>
    <w:p>
      <w:pPr>
        <w:pStyle w:val="ListBullet"/>
        <w:spacing w:after="40"/>
      </w:pPr>
      <w:r>
        <w:t>Construct the strongest case that de-escalation probability is overstated.</w:t>
      </w:r>
    </w:p>
    <w:p>
      <w:pPr>
        <w:pStyle w:val="ListBullet"/>
        <w:spacing w:after="40"/>
      </w:pPr>
      <w:r>
        <w:t>Construct the strongest case that it is understated.</w:t>
      </w:r>
    </w:p>
    <w:p>
      <w:pPr>
        <w:pStyle w:val="ListBullet"/>
        <w:spacing w:after="40"/>
      </w:pPr>
      <w:r>
        <w:t>Identify which evidence is duplicated or circular.</w:t>
      </w:r>
    </w:p>
    <w:p>
      <w:pPr>
        <w:pStyle w:val="ListBullet"/>
        <w:spacing w:after="40"/>
      </w:pPr>
      <w:r>
        <w:t>Identify incentives of key sources.</w:t>
      </w:r>
    </w:p>
    <w:p>
      <w:pPr>
        <w:pStyle w:val="ListBullet"/>
        <w:spacing w:after="40"/>
      </w:pPr>
      <w:r>
        <w:t>Test whether Canadian policy itself is causing the warning signal.</w:t>
      </w:r>
    </w:p>
    <w:p>
      <w:pPr>
        <w:pStyle w:val="ListBullet"/>
        <w:spacing w:after="40"/>
      </w:pPr>
      <w:r>
        <w:t>Ask what an adversary would want Canada to believe.</w:t>
      </w:r>
    </w:p>
    <w:p>
      <w:pPr>
        <w:pStyle w:val="ListBullet"/>
        <w:spacing w:after="40"/>
      </w:pPr>
      <w:r>
        <w:t>Ask what a neutral third-country analyst would infer.</w:t>
      </w:r>
    </w:p>
    <w:p>
      <w:pPr>
        <w:pStyle w:val="ListBullet"/>
        <w:spacing w:after="40"/>
      </w:pPr>
      <w:r>
        <w:t>Identify the cheapest additional evidence that would resolve the largest uncertainty.</w:t>
      </w:r>
    </w:p>
    <w:p>
      <w:pPr>
        <w:pStyle w:val="ListBullet"/>
        <w:spacing w:after="40"/>
      </w:pPr>
      <w:r>
        <w:t>Record unresolved disagreement rather than forcing artificial consensus.</w:t>
      </w:r>
    </w:p>
    <w:p>
      <w:pPr>
        <w:pStyle w:val="Heading2"/>
        <w:keepNext/>
        <w:spacing w:before="120" w:after="50"/>
      </w:pPr>
      <w:bookmarkStart w:id="614" w:name="_Toc9400614"/>
      <w:r>
        <w:t>Challenge Timing</w:t>
      </w:r>
      <w:bookmarkEnd w:id="614"/>
    </w:p>
    <w:p>
      <w:r>
        <w:rPr>
          <w:b w:val="0"/>
          <w:i w:val="0"/>
        </w:rPr>
        <w:t>Red-team review should be fast enough to matter: same-day for crisis warnings, 24 hours for weekly DPA, deeper quarterly methodological review.</w:t>
      </w:r>
    </w:p>
    <w:p>
      <w:r>
        <w:br w:type="page"/>
      </w:r>
    </w:p>
    <w:p>
      <w:pPr>
        <w:pStyle w:val="Heading1"/>
        <w:keepNext/>
        <w:spacing w:before="120" w:after="50"/>
      </w:pPr>
      <w:bookmarkStart w:id="615" w:name="_Toc9400615"/>
      <w:r>
        <w:t>39. Meeting Rhythm and Product Cadence</w:t>
      </w:r>
      <w:bookmarkEnd w:id="615"/>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Cadence</w:t>
            </w:r>
          </w:p>
        </w:tc>
        <w:tc>
          <w:tcPr>
            <w:tcW w:type="dxa" w:w="5141"/>
            <w:shd w:fill="D9E5F2"/>
          </w:tcPr>
          <w:p>
            <w:r>
              <w:rPr>
                <w:b/>
                <w:sz w:val="14"/>
              </w:rPr>
              <w:t>Product</w:t>
            </w:r>
          </w:p>
        </w:tc>
      </w:tr>
      <w:tr>
        <w:tc>
          <w:tcPr>
            <w:tcW w:type="dxa" w:w="5141"/>
            <w:vAlign w:val="top"/>
          </w:tcPr>
          <w:p>
            <w:pPr>
              <w:spacing w:after="0"/>
            </w:pPr>
            <w:r>
              <w:rPr>
                <w:sz w:val="14"/>
              </w:rPr>
              <w:t>Continuous</w:t>
            </w:r>
          </w:p>
        </w:tc>
        <w:tc>
          <w:tcPr>
            <w:tcW w:type="dxa" w:w="5141"/>
            <w:vAlign w:val="top"/>
          </w:tcPr>
          <w:p>
            <w:pPr>
              <w:spacing w:after="0"/>
            </w:pPr>
            <w:r>
              <w:rPr>
                <w:sz w:val="14"/>
              </w:rPr>
              <w:t>Event log and alert queue</w:t>
            </w:r>
          </w:p>
        </w:tc>
      </w:tr>
      <w:tr>
        <w:tc>
          <w:tcPr>
            <w:tcW w:type="dxa" w:w="5141"/>
            <w:vAlign w:val="top"/>
          </w:tcPr>
          <w:p>
            <w:pPr>
              <w:spacing w:after="0"/>
            </w:pPr>
            <w:r>
              <w:rPr>
                <w:sz w:val="14"/>
              </w:rPr>
              <w:t>Daily during acute crisis</w:t>
            </w:r>
          </w:p>
        </w:tc>
        <w:tc>
          <w:tcPr>
            <w:tcW w:type="dxa" w:w="5141"/>
            <w:vAlign w:val="top"/>
          </w:tcPr>
          <w:p>
            <w:pPr>
              <w:spacing w:after="0"/>
            </w:pPr>
            <w:r>
              <w:rPr>
                <w:sz w:val="14"/>
              </w:rPr>
              <w:t>Morning 1-page situational note</w:t>
            </w:r>
          </w:p>
        </w:tc>
      </w:tr>
      <w:tr>
        <w:tc>
          <w:tcPr>
            <w:tcW w:type="dxa" w:w="5141"/>
            <w:vAlign w:val="top"/>
          </w:tcPr>
          <w:p>
            <w:pPr>
              <w:spacing w:after="0"/>
            </w:pPr>
            <w:r>
              <w:rPr>
                <w:sz w:val="14"/>
              </w:rPr>
              <w:t>Twice weekly during active negotiations</w:t>
            </w:r>
          </w:p>
        </w:tc>
        <w:tc>
          <w:tcPr>
            <w:tcW w:type="dxa" w:w="5141"/>
            <w:vAlign w:val="top"/>
          </w:tcPr>
          <w:p>
            <w:pPr>
              <w:spacing w:after="0"/>
            </w:pPr>
            <w:r>
              <w:rPr>
                <w:sz w:val="14"/>
              </w:rPr>
              <w:t>Negotiation signal update</w:t>
            </w:r>
          </w:p>
        </w:tc>
      </w:tr>
      <w:tr>
        <w:tc>
          <w:tcPr>
            <w:tcW w:type="dxa" w:w="5141"/>
            <w:vAlign w:val="top"/>
          </w:tcPr>
          <w:p>
            <w:pPr>
              <w:spacing w:after="0"/>
            </w:pPr>
            <w:r>
              <w:rPr>
                <w:sz w:val="14"/>
              </w:rPr>
              <w:t>Weekly</w:t>
            </w:r>
          </w:p>
        </w:tc>
        <w:tc>
          <w:tcPr>
            <w:tcW w:type="dxa" w:w="5141"/>
            <w:vAlign w:val="top"/>
          </w:tcPr>
          <w:p>
            <w:pPr>
              <w:spacing w:after="0"/>
            </w:pPr>
            <w:r>
              <w:rPr>
                <w:sz w:val="14"/>
              </w:rPr>
              <w:t>Full De-escalation Probability Assessment</w:t>
            </w:r>
          </w:p>
        </w:tc>
      </w:tr>
      <w:tr>
        <w:tc>
          <w:tcPr>
            <w:tcW w:type="dxa" w:w="5141"/>
            <w:vAlign w:val="top"/>
          </w:tcPr>
          <w:p>
            <w:pPr>
              <w:spacing w:after="0"/>
            </w:pPr>
            <w:r>
              <w:rPr>
                <w:sz w:val="14"/>
              </w:rPr>
              <w:t>Monthly</w:t>
            </w:r>
          </w:p>
        </w:tc>
        <w:tc>
          <w:tcPr>
            <w:tcW w:type="dxa" w:w="5141"/>
            <w:vAlign w:val="top"/>
          </w:tcPr>
          <w:p>
            <w:pPr>
              <w:spacing w:after="0"/>
            </w:pPr>
            <w:r>
              <w:rPr>
                <w:sz w:val="14"/>
              </w:rPr>
              <w:t>Economic effects and Canadian endurance dashboard</w:t>
            </w:r>
          </w:p>
        </w:tc>
      </w:tr>
      <w:tr>
        <w:tc>
          <w:tcPr>
            <w:tcW w:type="dxa" w:w="5141"/>
            <w:vAlign w:val="top"/>
          </w:tcPr>
          <w:p>
            <w:pPr>
              <w:spacing w:after="0"/>
            </w:pPr>
            <w:r>
              <w:rPr>
                <w:sz w:val="14"/>
              </w:rPr>
              <w:t>Quarterly</w:t>
            </w:r>
          </w:p>
        </w:tc>
        <w:tc>
          <w:tcPr>
            <w:tcW w:type="dxa" w:w="5141"/>
            <w:vAlign w:val="top"/>
          </w:tcPr>
          <w:p>
            <w:pPr>
              <w:spacing w:after="0"/>
            </w:pPr>
            <w:r>
              <w:rPr>
                <w:sz w:val="14"/>
              </w:rPr>
              <w:t>Methodology, weights, source performance and false-alarm review</w:t>
            </w:r>
          </w:p>
        </w:tc>
      </w:tr>
      <w:tr>
        <w:tc>
          <w:tcPr>
            <w:tcW w:type="dxa" w:w="5141"/>
            <w:vAlign w:val="top"/>
          </w:tcPr>
          <w:p>
            <w:pPr>
              <w:spacing w:after="0"/>
            </w:pPr>
            <w:r>
              <w:rPr>
                <w:sz w:val="14"/>
              </w:rPr>
              <w:t>After major event</w:t>
            </w:r>
          </w:p>
        </w:tc>
        <w:tc>
          <w:tcPr>
            <w:tcW w:type="dxa" w:w="5141"/>
            <w:vAlign w:val="top"/>
          </w:tcPr>
          <w:p>
            <w:pPr>
              <w:spacing w:after="0"/>
            </w:pPr>
            <w:r>
              <w:rPr>
                <w:sz w:val="14"/>
              </w:rPr>
              <w:t>Special assessment within defined decision timeline</w:t>
            </w:r>
          </w:p>
        </w:tc>
      </w:tr>
      <w:tr>
        <w:tc>
          <w:tcPr>
            <w:tcW w:type="dxa" w:w="5141"/>
            <w:vAlign w:val="top"/>
          </w:tcPr>
          <w:p>
            <w:pPr>
              <w:spacing w:after="0"/>
            </w:pPr>
            <w:r>
              <w:rPr>
                <w:sz w:val="14"/>
              </w:rPr>
              <w:t>After settlement</w:t>
            </w:r>
          </w:p>
        </w:tc>
        <w:tc>
          <w:tcPr>
            <w:tcW w:type="dxa" w:w="5141"/>
            <w:vAlign w:val="top"/>
          </w:tcPr>
          <w:p>
            <w:pPr>
              <w:spacing w:after="0"/>
            </w:pPr>
            <w:r>
              <w:rPr>
                <w:sz w:val="14"/>
              </w:rPr>
              <w:t>Verification and relapse-risk assessment</w:t>
            </w:r>
          </w:p>
        </w:tc>
      </w:tr>
    </w:tbl>
    <w:p>
      <w:pPr>
        <w:pStyle w:val="Heading2"/>
        <w:keepNext/>
        <w:spacing w:before="120" w:after="50"/>
      </w:pPr>
      <w:bookmarkStart w:id="616" w:name="_Toc9400616"/>
      <w:r>
        <w:t>Battle Rhythm Without Battle Theatre</w:t>
      </w:r>
      <w:bookmarkEnd w:id="616"/>
    </w:p>
    <w:p>
      <w:r>
        <w:rPr>
          <w:b w:val="0"/>
          <w:i w:val="0"/>
        </w:rPr>
        <w:t>The system should feel boring when it is working: disciplined cutoffs, repeatable templates, explicit evidence and few surprises. Drama is not a performance metric.</w:t>
      </w:r>
    </w:p>
    <w:p>
      <w:r>
        <w:br w:type="page"/>
      </w:r>
    </w:p>
    <w:p>
      <w:pPr>
        <w:pStyle w:val="Heading1"/>
        <w:keepNext/>
        <w:spacing w:before="120" w:after="50"/>
      </w:pPr>
      <w:bookmarkStart w:id="617" w:name="_Toc9400617"/>
      <w:r>
        <w:t>40. Daily Situational Note Template</w:t>
      </w:r>
      <w:bookmarkEnd w:id="617"/>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Section</w:t>
            </w:r>
          </w:p>
        </w:tc>
        <w:tc>
          <w:tcPr>
            <w:tcW w:type="dxa" w:w="5141"/>
            <w:shd w:fill="D9E5F2"/>
          </w:tcPr>
          <w:p>
            <w:r>
              <w:rPr>
                <w:b/>
                <w:sz w:val="15"/>
              </w:rPr>
              <w:t>Maximum content</w:t>
            </w:r>
          </w:p>
        </w:tc>
      </w:tr>
      <w:tr>
        <w:tc>
          <w:tcPr>
            <w:tcW w:type="dxa" w:w="5141"/>
            <w:vAlign w:val="top"/>
          </w:tcPr>
          <w:p>
            <w:pPr>
              <w:spacing w:after="0"/>
            </w:pPr>
            <w:r>
              <w:rPr>
                <w:sz w:val="15"/>
              </w:rPr>
              <w:t>What changed</w:t>
            </w:r>
          </w:p>
        </w:tc>
        <w:tc>
          <w:tcPr>
            <w:tcW w:type="dxa" w:w="5141"/>
            <w:vAlign w:val="top"/>
          </w:tcPr>
          <w:p>
            <w:pPr>
              <w:spacing w:after="0"/>
            </w:pPr>
            <w:r>
              <w:rPr>
                <w:sz w:val="15"/>
              </w:rPr>
              <w:t>Five bullets</w:t>
            </w:r>
          </w:p>
        </w:tc>
      </w:tr>
      <w:tr>
        <w:tc>
          <w:tcPr>
            <w:tcW w:type="dxa" w:w="5141"/>
            <w:vAlign w:val="top"/>
          </w:tcPr>
          <w:p>
            <w:pPr>
              <w:spacing w:after="0"/>
            </w:pPr>
            <w:r>
              <w:rPr>
                <w:sz w:val="15"/>
              </w:rPr>
              <w:t>What did not change</w:t>
            </w:r>
          </w:p>
        </w:tc>
        <w:tc>
          <w:tcPr>
            <w:tcW w:type="dxa" w:w="5141"/>
            <w:vAlign w:val="top"/>
          </w:tcPr>
          <w:p>
            <w:pPr>
              <w:spacing w:after="0"/>
            </w:pPr>
            <w:r>
              <w:rPr>
                <w:sz w:val="15"/>
              </w:rPr>
              <w:t>Three stabilizing facts</w:t>
            </w:r>
          </w:p>
        </w:tc>
      </w:tr>
      <w:tr>
        <w:tc>
          <w:tcPr>
            <w:tcW w:type="dxa" w:w="5141"/>
            <w:vAlign w:val="top"/>
          </w:tcPr>
          <w:p>
            <w:pPr>
              <w:spacing w:after="0"/>
            </w:pPr>
            <w:r>
              <w:rPr>
                <w:sz w:val="15"/>
              </w:rPr>
              <w:t>DPA movement</w:t>
            </w:r>
          </w:p>
        </w:tc>
        <w:tc>
          <w:tcPr>
            <w:tcW w:type="dxa" w:w="5141"/>
            <w:vAlign w:val="top"/>
          </w:tcPr>
          <w:p>
            <w:pPr>
              <w:spacing w:after="0"/>
            </w:pPr>
            <w:r>
              <w:rPr>
                <w:sz w:val="15"/>
              </w:rPr>
              <w:t>Direction only unless full update required</w:t>
            </w:r>
          </w:p>
        </w:tc>
      </w:tr>
      <w:tr>
        <w:tc>
          <w:tcPr>
            <w:tcW w:type="dxa" w:w="5141"/>
            <w:vAlign w:val="top"/>
          </w:tcPr>
          <w:p>
            <w:pPr>
              <w:spacing w:after="0"/>
            </w:pPr>
            <w:r>
              <w:rPr>
                <w:sz w:val="15"/>
              </w:rPr>
              <w:t>Warning level</w:t>
            </w:r>
          </w:p>
        </w:tc>
        <w:tc>
          <w:tcPr>
            <w:tcW w:type="dxa" w:w="5141"/>
            <w:vAlign w:val="top"/>
          </w:tcPr>
          <w:p>
            <w:pPr>
              <w:spacing w:after="0"/>
            </w:pPr>
            <w:r>
              <w:rPr>
                <w:sz w:val="15"/>
              </w:rPr>
              <w:t>Green / Yellow / Orange / Red</w:t>
            </w:r>
          </w:p>
        </w:tc>
      </w:tr>
      <w:tr>
        <w:tc>
          <w:tcPr>
            <w:tcW w:type="dxa" w:w="5141"/>
            <w:vAlign w:val="top"/>
          </w:tcPr>
          <w:p>
            <w:pPr>
              <w:spacing w:after="0"/>
            </w:pPr>
            <w:r>
              <w:rPr>
                <w:sz w:val="15"/>
              </w:rPr>
              <w:t>Canadian harm</w:t>
            </w:r>
          </w:p>
        </w:tc>
        <w:tc>
          <w:tcPr>
            <w:tcW w:type="dxa" w:w="5141"/>
            <w:vAlign w:val="top"/>
          </w:tcPr>
          <w:p>
            <w:pPr>
              <w:spacing w:after="0"/>
            </w:pPr>
            <w:r>
              <w:rPr>
                <w:sz w:val="15"/>
              </w:rPr>
              <w:t>Top three indicators</w:t>
            </w:r>
          </w:p>
        </w:tc>
      </w:tr>
      <w:tr>
        <w:tc>
          <w:tcPr>
            <w:tcW w:type="dxa" w:w="5141"/>
            <w:vAlign w:val="top"/>
          </w:tcPr>
          <w:p>
            <w:pPr>
              <w:spacing w:after="0"/>
            </w:pPr>
            <w:r>
              <w:rPr>
                <w:sz w:val="15"/>
              </w:rPr>
              <w:t>Legal change</w:t>
            </w:r>
          </w:p>
        </w:tc>
        <w:tc>
          <w:tcPr>
            <w:tcW w:type="dxa" w:w="5141"/>
            <w:vAlign w:val="top"/>
          </w:tcPr>
          <w:p>
            <w:pPr>
              <w:spacing w:after="0"/>
            </w:pPr>
            <w:r>
              <w:rPr>
                <w:sz w:val="15"/>
              </w:rPr>
              <w:t>Only verified developments</w:t>
            </w:r>
          </w:p>
        </w:tc>
      </w:tr>
      <w:tr>
        <w:tc>
          <w:tcPr>
            <w:tcW w:type="dxa" w:w="5141"/>
            <w:vAlign w:val="top"/>
          </w:tcPr>
          <w:p>
            <w:pPr>
              <w:spacing w:after="0"/>
            </w:pPr>
            <w:r>
              <w:rPr>
                <w:sz w:val="15"/>
              </w:rPr>
              <w:t>Decision window</w:t>
            </w:r>
          </w:p>
        </w:tc>
        <w:tc>
          <w:tcPr>
            <w:tcW w:type="dxa" w:w="5141"/>
            <w:vAlign w:val="top"/>
          </w:tcPr>
          <w:p>
            <w:pPr>
              <w:spacing w:after="0"/>
            </w:pPr>
            <w:r>
              <w:rPr>
                <w:sz w:val="15"/>
              </w:rPr>
              <w:t>Next 72 hours</w:t>
            </w:r>
          </w:p>
        </w:tc>
      </w:tr>
      <w:tr>
        <w:tc>
          <w:tcPr>
            <w:tcW w:type="dxa" w:w="5141"/>
            <w:vAlign w:val="top"/>
          </w:tcPr>
          <w:p>
            <w:pPr>
              <w:spacing w:after="0"/>
            </w:pPr>
            <w:r>
              <w:rPr>
                <w:sz w:val="15"/>
              </w:rPr>
              <w:t>Required action</w:t>
            </w:r>
          </w:p>
        </w:tc>
        <w:tc>
          <w:tcPr>
            <w:tcW w:type="dxa" w:w="5141"/>
            <w:vAlign w:val="top"/>
          </w:tcPr>
          <w:p>
            <w:pPr>
              <w:spacing w:after="0"/>
            </w:pPr>
            <w:r>
              <w:rPr>
                <w:sz w:val="15"/>
              </w:rPr>
              <w:t>Prepare / decide / communicate / no action</w:t>
            </w:r>
          </w:p>
        </w:tc>
      </w:tr>
      <w:tr>
        <w:tc>
          <w:tcPr>
            <w:tcW w:type="dxa" w:w="5141"/>
            <w:vAlign w:val="top"/>
          </w:tcPr>
          <w:p>
            <w:pPr>
              <w:spacing w:after="0"/>
            </w:pPr>
            <w:r>
              <w:rPr>
                <w:sz w:val="15"/>
              </w:rPr>
              <w:t>Unknowns</w:t>
            </w:r>
          </w:p>
        </w:tc>
        <w:tc>
          <w:tcPr>
            <w:tcW w:type="dxa" w:w="5141"/>
            <w:vAlign w:val="top"/>
          </w:tcPr>
          <w:p>
            <w:pPr>
              <w:spacing w:after="0"/>
            </w:pPr>
            <w:r>
              <w:rPr>
                <w:sz w:val="15"/>
              </w:rPr>
              <w:t>Top three gaps</w:t>
            </w:r>
          </w:p>
        </w:tc>
      </w:tr>
    </w:tbl>
    <w:p>
      <w:r>
        <w:rPr>
          <w:b w:val="0"/>
          <w:i w:val="0"/>
        </w:rPr>
        <w:t>The daily note should not become a newspaper clipping service. Every included item must answer: 'What decision could this change?'</w:t>
      </w:r>
    </w:p>
    <w:p>
      <w:r>
        <w:br w:type="page"/>
      </w:r>
    </w:p>
    <w:p>
      <w:pPr>
        <w:pStyle w:val="Heading1"/>
        <w:keepNext/>
        <w:spacing w:before="120" w:after="50"/>
      </w:pPr>
      <w:bookmarkStart w:id="618" w:name="_Toc9400618"/>
      <w:r>
        <w:t>41. Weekly DPA Production Cycle</w:t>
      </w:r>
      <w:bookmarkEnd w:id="618"/>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Day / step</w:t>
            </w:r>
          </w:p>
        </w:tc>
        <w:tc>
          <w:tcPr>
            <w:tcW w:type="dxa" w:w="5141"/>
            <w:shd w:fill="D9E5F2"/>
          </w:tcPr>
          <w:p>
            <w:r>
              <w:rPr>
                <w:b/>
                <w:sz w:val="14"/>
              </w:rPr>
              <w:t>Action</w:t>
            </w:r>
          </w:p>
        </w:tc>
      </w:tr>
      <w:tr>
        <w:tc>
          <w:tcPr>
            <w:tcW w:type="dxa" w:w="5141"/>
            <w:vAlign w:val="top"/>
          </w:tcPr>
          <w:p>
            <w:pPr>
              <w:spacing w:after="0"/>
            </w:pPr>
            <w:r>
              <w:rPr>
                <w:sz w:val="14"/>
              </w:rPr>
              <w:t>Cutoff</w:t>
            </w:r>
          </w:p>
        </w:tc>
        <w:tc>
          <w:tcPr>
            <w:tcW w:type="dxa" w:w="5141"/>
            <w:vAlign w:val="top"/>
          </w:tcPr>
          <w:p>
            <w:pPr>
              <w:spacing w:after="0"/>
            </w:pPr>
            <w:r>
              <w:rPr>
                <w:sz w:val="14"/>
              </w:rPr>
              <w:t>Freeze evidence set at agreed time.</w:t>
            </w:r>
          </w:p>
        </w:tc>
      </w:tr>
      <w:tr>
        <w:tc>
          <w:tcPr>
            <w:tcW w:type="dxa" w:w="5141"/>
            <w:vAlign w:val="top"/>
          </w:tcPr>
          <w:p>
            <w:pPr>
              <w:spacing w:after="0"/>
            </w:pPr>
            <w:r>
              <w:rPr>
                <w:sz w:val="14"/>
              </w:rPr>
              <w:t>Stream leads</w:t>
            </w:r>
          </w:p>
        </w:tc>
        <w:tc>
          <w:tcPr>
            <w:tcW w:type="dxa" w:w="5141"/>
            <w:vAlign w:val="top"/>
          </w:tcPr>
          <w:p>
            <w:pPr>
              <w:spacing w:after="0"/>
            </w:pPr>
            <w:r>
              <w:rPr>
                <w:sz w:val="14"/>
              </w:rPr>
              <w:t>Submit changes, confidence and hypothesis relevance.</w:t>
            </w:r>
          </w:p>
        </w:tc>
      </w:tr>
      <w:tr>
        <w:tc>
          <w:tcPr>
            <w:tcW w:type="dxa" w:w="5141"/>
            <w:vAlign w:val="top"/>
          </w:tcPr>
          <w:p>
            <w:pPr>
              <w:spacing w:after="0"/>
            </w:pPr>
            <w:r>
              <w:rPr>
                <w:sz w:val="14"/>
              </w:rPr>
              <w:t>Integrator</w:t>
            </w:r>
          </w:p>
        </w:tc>
        <w:tc>
          <w:tcPr>
            <w:tcW w:type="dxa" w:w="5141"/>
            <w:vAlign w:val="top"/>
          </w:tcPr>
          <w:p>
            <w:pPr>
              <w:spacing w:after="0"/>
            </w:pPr>
            <w:r>
              <w:rPr>
                <w:sz w:val="14"/>
              </w:rPr>
              <w:t>Updates scoring and qualitative assessment.</w:t>
            </w:r>
          </w:p>
        </w:tc>
      </w:tr>
      <w:tr>
        <w:tc>
          <w:tcPr>
            <w:tcW w:type="dxa" w:w="5141"/>
            <w:vAlign w:val="top"/>
          </w:tcPr>
          <w:p>
            <w:pPr>
              <w:spacing w:after="0"/>
            </w:pPr>
            <w:r>
              <w:rPr>
                <w:sz w:val="14"/>
              </w:rPr>
              <w:t>Legal/privacy/security check</w:t>
            </w:r>
          </w:p>
        </w:tc>
        <w:tc>
          <w:tcPr>
            <w:tcW w:type="dxa" w:w="5141"/>
            <w:vAlign w:val="top"/>
          </w:tcPr>
          <w:p>
            <w:pPr>
              <w:spacing w:after="0"/>
            </w:pPr>
            <w:r>
              <w:rPr>
                <w:sz w:val="14"/>
              </w:rPr>
              <w:t>Review sensitive claims and handling.</w:t>
            </w:r>
          </w:p>
        </w:tc>
      </w:tr>
      <w:tr>
        <w:tc>
          <w:tcPr>
            <w:tcW w:type="dxa" w:w="5141"/>
            <w:vAlign w:val="top"/>
          </w:tcPr>
          <w:p>
            <w:pPr>
              <w:spacing w:after="0"/>
            </w:pPr>
            <w:r>
              <w:rPr>
                <w:sz w:val="14"/>
              </w:rPr>
              <w:t>Challenge team</w:t>
            </w:r>
          </w:p>
        </w:tc>
        <w:tc>
          <w:tcPr>
            <w:tcW w:type="dxa" w:w="5141"/>
            <w:vAlign w:val="top"/>
          </w:tcPr>
          <w:p>
            <w:pPr>
              <w:spacing w:after="0"/>
            </w:pPr>
            <w:r>
              <w:rPr>
                <w:sz w:val="14"/>
              </w:rPr>
              <w:t>Tests assumptions and dissent.</w:t>
            </w:r>
          </w:p>
        </w:tc>
      </w:tr>
      <w:tr>
        <w:tc>
          <w:tcPr>
            <w:tcW w:type="dxa" w:w="5141"/>
            <w:vAlign w:val="top"/>
          </w:tcPr>
          <w:p>
            <w:pPr>
              <w:spacing w:after="0"/>
            </w:pPr>
            <w:r>
              <w:rPr>
                <w:sz w:val="14"/>
              </w:rPr>
              <w:t>Chair</w:t>
            </w:r>
          </w:p>
        </w:tc>
        <w:tc>
          <w:tcPr>
            <w:tcW w:type="dxa" w:w="5141"/>
            <w:vAlign w:val="top"/>
          </w:tcPr>
          <w:p>
            <w:pPr>
              <w:spacing w:after="0"/>
            </w:pPr>
            <w:r>
              <w:rPr>
                <w:sz w:val="14"/>
              </w:rPr>
              <w:t>Resolves presentation, not analytic disagreement.</w:t>
            </w:r>
          </w:p>
        </w:tc>
      </w:tr>
      <w:tr>
        <w:tc>
          <w:tcPr>
            <w:tcW w:type="dxa" w:w="5141"/>
            <w:vAlign w:val="top"/>
          </w:tcPr>
          <w:p>
            <w:pPr>
              <w:spacing w:after="0"/>
            </w:pPr>
            <w:r>
              <w:rPr>
                <w:sz w:val="14"/>
              </w:rPr>
              <w:t>Senior review</w:t>
            </w:r>
          </w:p>
        </w:tc>
        <w:tc>
          <w:tcPr>
            <w:tcW w:type="dxa" w:w="5141"/>
            <w:vAlign w:val="top"/>
          </w:tcPr>
          <w:p>
            <w:pPr>
              <w:spacing w:after="0"/>
            </w:pPr>
            <w:r>
              <w:rPr>
                <w:sz w:val="14"/>
              </w:rPr>
              <w:t>Decision-makers receive probability, drivers, triggers and preparations.</w:t>
            </w:r>
          </w:p>
        </w:tc>
      </w:tr>
      <w:tr>
        <w:tc>
          <w:tcPr>
            <w:tcW w:type="dxa" w:w="5141"/>
            <w:vAlign w:val="top"/>
          </w:tcPr>
          <w:p>
            <w:pPr>
              <w:spacing w:after="0"/>
            </w:pPr>
            <w:r>
              <w:rPr>
                <w:sz w:val="14"/>
              </w:rPr>
              <w:t>Feedback</w:t>
            </w:r>
          </w:p>
        </w:tc>
        <w:tc>
          <w:tcPr>
            <w:tcW w:type="dxa" w:w="5141"/>
            <w:vAlign w:val="top"/>
          </w:tcPr>
          <w:p>
            <w:pPr>
              <w:spacing w:after="0"/>
            </w:pPr>
            <w:r>
              <w:rPr>
                <w:sz w:val="14"/>
              </w:rPr>
              <w:t>Record which questions decision-makers need answered next cycle.</w:t>
            </w:r>
          </w:p>
        </w:tc>
      </w:tr>
    </w:tbl>
    <w:p>
      <w:pPr>
        <w:pStyle w:val="Heading2"/>
        <w:keepNext/>
        <w:spacing w:before="120" w:after="50"/>
      </w:pPr>
      <w:bookmarkStart w:id="619" w:name="_Toc9400619"/>
      <w:r>
        <w:t>Revision Discipline</w:t>
      </w:r>
      <w:bookmarkEnd w:id="619"/>
    </w:p>
    <w:p>
      <w:r>
        <w:rPr>
          <w:b w:val="0"/>
          <w:i w:val="0"/>
        </w:rPr>
        <w:t>When the DPA changes materially, show why. A chart of historical 7/30/90-day assessments should be maintained so analysts can later examine calibration and bias.</w:t>
      </w:r>
    </w:p>
    <w:p>
      <w:r>
        <w:br w:type="page"/>
      </w:r>
    </w:p>
    <w:p>
      <w:pPr>
        <w:pStyle w:val="Heading1"/>
        <w:keepNext/>
        <w:spacing w:before="120" w:after="50"/>
      </w:pPr>
      <w:bookmarkStart w:id="620" w:name="_Toc9400620"/>
      <w:r>
        <w:t>42. Crisis Surge Protocol</w:t>
      </w:r>
      <w:bookmarkEnd w:id="620"/>
    </w:p>
    <w:p>
      <w:r>
        <w:rPr>
          <w:b w:val="0"/>
          <w:i w:val="0"/>
        </w:rPr>
        <w:t>When warning reaches ORANGE or RED, ESSAC shifts from routine assessment to surge mode without expanding legal authorities.</w:t>
      </w:r>
    </w:p>
    <w:p>
      <w:pPr>
        <w:pStyle w:val="ListBullet"/>
        <w:spacing w:after="40"/>
      </w:pPr>
      <w:r>
        <w:t>Establish a common event clock and authoritative document repository.</w:t>
      </w:r>
    </w:p>
    <w:p>
      <w:pPr>
        <w:pStyle w:val="ListBullet"/>
        <w:spacing w:after="40"/>
      </w:pPr>
      <w:r>
        <w:t>Move to shorter evidence cutoffs.</w:t>
      </w:r>
    </w:p>
    <w:p>
      <w:pPr>
        <w:pStyle w:val="ListBullet"/>
        <w:spacing w:after="40"/>
      </w:pPr>
      <w:r>
        <w:t>Assign one lead per information stream.</w:t>
      </w:r>
    </w:p>
    <w:p>
      <w:pPr>
        <w:pStyle w:val="ListBullet"/>
        <w:spacing w:after="40"/>
      </w:pPr>
      <w:r>
        <w:t>Require rapid legal verification of purported authorities and dates.</w:t>
      </w:r>
    </w:p>
    <w:p>
      <w:pPr>
        <w:pStyle w:val="ListBullet"/>
        <w:spacing w:after="40"/>
      </w:pPr>
      <w:r>
        <w:t>Contact provinces/territories through agreed channels.</w:t>
      </w:r>
    </w:p>
    <w:p>
      <w:pPr>
        <w:pStyle w:val="ListBullet"/>
        <w:spacing w:after="40"/>
      </w:pPr>
      <w:r>
        <w:t>Increase business consultation only where it answers specific operational questions.</w:t>
      </w:r>
    </w:p>
    <w:p>
      <w:pPr>
        <w:pStyle w:val="ListBullet"/>
        <w:spacing w:after="40"/>
      </w:pPr>
      <w:r>
        <w:t>Separate confirmed facts, credible reports and rumours visually.</w:t>
      </w:r>
    </w:p>
    <w:p>
      <w:pPr>
        <w:pStyle w:val="ListBullet"/>
        <w:spacing w:after="40"/>
      </w:pPr>
      <w:r>
        <w:t>Prepare Canadian options but do not allow the cell to become the policy decision-maker.</w:t>
      </w:r>
    </w:p>
    <w:p>
      <w:pPr>
        <w:pStyle w:val="ListBullet"/>
        <w:spacing w:after="40"/>
      </w:pPr>
      <w:r>
        <w:t>Maintain an off-ramp and emergency-cooperation channel.</w:t>
      </w:r>
    </w:p>
    <w:p>
      <w:pPr>
        <w:pStyle w:val="ListBullet"/>
        <w:spacing w:after="40"/>
      </w:pPr>
      <w:r>
        <w:t>Return to normal cadence once the triggering condition ends.</w:t>
      </w:r>
    </w:p>
    <w:p>
      <w:r>
        <w:br w:type="page"/>
      </w:r>
    </w:p>
    <w:p>
      <w:pPr>
        <w:pStyle w:val="Heading1"/>
        <w:keepNext/>
        <w:spacing w:before="120" w:after="50"/>
      </w:pPr>
      <w:bookmarkStart w:id="621" w:name="_Toc9400621"/>
      <w:r>
        <w:t>43. False-Alarm and Missed-Warning Review</w:t>
      </w:r>
      <w:bookmarkEnd w:id="621"/>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Question</w:t>
            </w:r>
          </w:p>
        </w:tc>
        <w:tc>
          <w:tcPr>
            <w:tcW w:type="dxa" w:w="5141"/>
            <w:shd w:fill="D9E5F2"/>
          </w:tcPr>
          <w:p>
            <w:r>
              <w:rPr>
                <w:b/>
                <w:sz w:val="14"/>
              </w:rPr>
              <w:t>Purpose</w:t>
            </w:r>
          </w:p>
        </w:tc>
      </w:tr>
      <w:tr>
        <w:tc>
          <w:tcPr>
            <w:tcW w:type="dxa" w:w="5141"/>
            <w:vAlign w:val="top"/>
          </w:tcPr>
          <w:p>
            <w:pPr>
              <w:spacing w:after="0"/>
            </w:pPr>
            <w:r>
              <w:rPr>
                <w:sz w:val="14"/>
              </w:rPr>
              <w:t>What did we predict?</w:t>
            </w:r>
          </w:p>
        </w:tc>
        <w:tc>
          <w:tcPr>
            <w:tcW w:type="dxa" w:w="5141"/>
            <w:vAlign w:val="top"/>
          </w:tcPr>
          <w:p>
            <w:pPr>
              <w:spacing w:after="0"/>
            </w:pPr>
            <w:r>
              <w:rPr>
                <w:sz w:val="14"/>
              </w:rPr>
              <w:t>Preserve original judgement</w:t>
            </w:r>
          </w:p>
        </w:tc>
      </w:tr>
      <w:tr>
        <w:tc>
          <w:tcPr>
            <w:tcW w:type="dxa" w:w="5141"/>
            <w:vAlign w:val="top"/>
          </w:tcPr>
          <w:p>
            <w:pPr>
              <w:spacing w:after="0"/>
            </w:pPr>
            <w:r>
              <w:rPr>
                <w:sz w:val="14"/>
              </w:rPr>
              <w:t>What happened?</w:t>
            </w:r>
          </w:p>
        </w:tc>
        <w:tc>
          <w:tcPr>
            <w:tcW w:type="dxa" w:w="5141"/>
            <w:vAlign w:val="top"/>
          </w:tcPr>
          <w:p>
            <w:pPr>
              <w:spacing w:after="0"/>
            </w:pPr>
            <w:r>
              <w:rPr>
                <w:sz w:val="14"/>
              </w:rPr>
              <w:t>Outcome</w:t>
            </w:r>
          </w:p>
        </w:tc>
      </w:tr>
      <w:tr>
        <w:tc>
          <w:tcPr>
            <w:tcW w:type="dxa" w:w="5141"/>
            <w:vAlign w:val="top"/>
          </w:tcPr>
          <w:p>
            <w:pPr>
              <w:spacing w:after="0"/>
            </w:pPr>
            <w:r>
              <w:rPr>
                <w:sz w:val="14"/>
              </w:rPr>
              <w:t>Which indicators fired?</w:t>
            </w:r>
          </w:p>
        </w:tc>
        <w:tc>
          <w:tcPr>
            <w:tcW w:type="dxa" w:w="5141"/>
            <w:vAlign w:val="top"/>
          </w:tcPr>
          <w:p>
            <w:pPr>
              <w:spacing w:after="0"/>
            </w:pPr>
            <w:r>
              <w:rPr>
                <w:sz w:val="14"/>
              </w:rPr>
              <w:t>Signal quality</w:t>
            </w:r>
          </w:p>
        </w:tc>
      </w:tr>
      <w:tr>
        <w:tc>
          <w:tcPr>
            <w:tcW w:type="dxa" w:w="5141"/>
            <w:vAlign w:val="top"/>
          </w:tcPr>
          <w:p>
            <w:pPr>
              <w:spacing w:after="0"/>
            </w:pPr>
            <w:r>
              <w:rPr>
                <w:sz w:val="14"/>
              </w:rPr>
              <w:t>Which were noise?</w:t>
            </w:r>
          </w:p>
        </w:tc>
        <w:tc>
          <w:tcPr>
            <w:tcW w:type="dxa" w:w="5141"/>
            <w:vAlign w:val="top"/>
          </w:tcPr>
          <w:p>
            <w:pPr>
              <w:spacing w:after="0"/>
            </w:pPr>
            <w:r>
              <w:rPr>
                <w:sz w:val="14"/>
              </w:rPr>
              <w:t>False-positive control</w:t>
            </w:r>
          </w:p>
        </w:tc>
      </w:tr>
      <w:tr>
        <w:tc>
          <w:tcPr>
            <w:tcW w:type="dxa" w:w="5141"/>
            <w:vAlign w:val="top"/>
          </w:tcPr>
          <w:p>
            <w:pPr>
              <w:spacing w:after="0"/>
            </w:pPr>
            <w:r>
              <w:rPr>
                <w:sz w:val="14"/>
              </w:rPr>
              <w:t>What did we miss?</w:t>
            </w:r>
          </w:p>
        </w:tc>
        <w:tc>
          <w:tcPr>
            <w:tcW w:type="dxa" w:w="5141"/>
            <w:vAlign w:val="top"/>
          </w:tcPr>
          <w:p>
            <w:pPr>
              <w:spacing w:after="0"/>
            </w:pPr>
            <w:r>
              <w:rPr>
                <w:sz w:val="14"/>
              </w:rPr>
              <w:t>Blind spots</w:t>
            </w:r>
          </w:p>
        </w:tc>
      </w:tr>
      <w:tr>
        <w:tc>
          <w:tcPr>
            <w:tcW w:type="dxa" w:w="5141"/>
            <w:vAlign w:val="top"/>
          </w:tcPr>
          <w:p>
            <w:pPr>
              <w:spacing w:after="0"/>
            </w:pPr>
            <w:r>
              <w:rPr>
                <w:sz w:val="14"/>
              </w:rPr>
              <w:t>Was the evidence available?</w:t>
            </w:r>
          </w:p>
        </w:tc>
        <w:tc>
          <w:tcPr>
            <w:tcW w:type="dxa" w:w="5141"/>
            <w:vAlign w:val="top"/>
          </w:tcPr>
          <w:p>
            <w:pPr>
              <w:spacing w:after="0"/>
            </w:pPr>
            <w:r>
              <w:rPr>
                <w:sz w:val="14"/>
              </w:rPr>
              <w:t>Collection vs analysis failure</w:t>
            </w:r>
          </w:p>
        </w:tc>
      </w:tr>
      <w:tr>
        <w:tc>
          <w:tcPr>
            <w:tcW w:type="dxa" w:w="5141"/>
            <w:vAlign w:val="top"/>
          </w:tcPr>
          <w:p>
            <w:pPr>
              <w:spacing w:after="0"/>
            </w:pPr>
            <w:r>
              <w:rPr>
                <w:sz w:val="14"/>
              </w:rPr>
              <w:t>Did bias affect judgement?</w:t>
            </w:r>
          </w:p>
        </w:tc>
        <w:tc>
          <w:tcPr>
            <w:tcW w:type="dxa" w:w="5141"/>
            <w:vAlign w:val="top"/>
          </w:tcPr>
          <w:p>
            <w:pPr>
              <w:spacing w:after="0"/>
            </w:pPr>
            <w:r>
              <w:rPr>
                <w:sz w:val="14"/>
              </w:rPr>
              <w:t>Process improvement</w:t>
            </w:r>
          </w:p>
        </w:tc>
      </w:tr>
      <w:tr>
        <w:tc>
          <w:tcPr>
            <w:tcW w:type="dxa" w:w="5141"/>
            <w:vAlign w:val="top"/>
          </w:tcPr>
          <w:p>
            <w:pPr>
              <w:spacing w:after="0"/>
            </w:pPr>
            <w:r>
              <w:rPr>
                <w:sz w:val="14"/>
              </w:rPr>
              <w:t>Were decision-makers warned in time?</w:t>
            </w:r>
          </w:p>
        </w:tc>
        <w:tc>
          <w:tcPr>
            <w:tcW w:type="dxa" w:w="5141"/>
            <w:vAlign w:val="top"/>
          </w:tcPr>
          <w:p>
            <w:pPr>
              <w:spacing w:after="0"/>
            </w:pPr>
            <w:r>
              <w:rPr>
                <w:sz w:val="14"/>
              </w:rPr>
              <w:t>Delivery effectiveness</w:t>
            </w:r>
          </w:p>
        </w:tc>
      </w:tr>
      <w:tr>
        <w:tc>
          <w:tcPr>
            <w:tcW w:type="dxa" w:w="5141"/>
            <w:vAlign w:val="top"/>
          </w:tcPr>
          <w:p>
            <w:pPr>
              <w:spacing w:after="0"/>
            </w:pPr>
            <w:r>
              <w:rPr>
                <w:sz w:val="14"/>
              </w:rPr>
              <w:t>Did the warning cause unnecessary action?</w:t>
            </w:r>
          </w:p>
        </w:tc>
        <w:tc>
          <w:tcPr>
            <w:tcW w:type="dxa" w:w="5141"/>
            <w:vAlign w:val="top"/>
          </w:tcPr>
          <w:p>
            <w:pPr>
              <w:spacing w:after="0"/>
            </w:pPr>
            <w:r>
              <w:rPr>
                <w:sz w:val="14"/>
              </w:rPr>
              <w:t>Cost of false alarm</w:t>
            </w:r>
          </w:p>
        </w:tc>
      </w:tr>
      <w:tr>
        <w:tc>
          <w:tcPr>
            <w:tcW w:type="dxa" w:w="5141"/>
            <w:vAlign w:val="top"/>
          </w:tcPr>
          <w:p>
            <w:pPr>
              <w:spacing w:after="0"/>
            </w:pPr>
            <w:r>
              <w:rPr>
                <w:sz w:val="14"/>
              </w:rPr>
              <w:t>What changes now?</w:t>
            </w:r>
          </w:p>
        </w:tc>
        <w:tc>
          <w:tcPr>
            <w:tcW w:type="dxa" w:w="5141"/>
            <w:vAlign w:val="top"/>
          </w:tcPr>
          <w:p>
            <w:pPr>
              <w:spacing w:after="0"/>
            </w:pPr>
            <w:r>
              <w:rPr>
                <w:sz w:val="14"/>
              </w:rPr>
              <w:t>Weights, sources, thresholds, training</w:t>
            </w:r>
          </w:p>
        </w:tc>
      </w:tr>
    </w:tbl>
    <w:p>
      <w:r>
        <w:rPr>
          <w:b w:val="0"/>
          <w:i w:val="0"/>
        </w:rPr>
        <w:t>A warning system that never admits error will eventually become either alarmist or useless.</w:t>
      </w:r>
    </w:p>
    <w:p>
      <w:r>
        <w:br w:type="page"/>
      </w:r>
    </w:p>
    <w:p>
      <w:pPr>
        <w:pStyle w:val="Heading1"/>
        <w:keepNext/>
        <w:spacing w:before="120" w:after="50"/>
      </w:pPr>
      <w:bookmarkStart w:id="622" w:name="_Toc9400622"/>
      <w:r>
        <w:t>44. Integration with the Strategic Timing Calendar</w:t>
      </w:r>
      <w:bookmarkEnd w:id="622"/>
    </w:p>
    <w:p>
      <w:r>
        <w:rPr>
          <w:b w:val="0"/>
          <w:i w:val="0"/>
        </w:rPr>
        <w:t>The Situational Awareness Framework tells decision-makers what the environment is doing. The Strategic Timing and Decision Windows Calendar tells them when institutions, data releases, industrial cycles and implementation conditions make action more or less sensible.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ESSAC signal</w:t>
            </w:r>
          </w:p>
        </w:tc>
        <w:tc>
          <w:tcPr>
            <w:tcW w:type="dxa" w:w="5141"/>
            <w:shd w:fill="D9E5F2"/>
          </w:tcPr>
          <w:p>
            <w:r>
              <w:rPr>
                <w:b/>
                <w:sz w:val="14"/>
              </w:rPr>
              <w:t>Calendar response</w:t>
            </w:r>
          </w:p>
        </w:tc>
      </w:tr>
      <w:tr>
        <w:tc>
          <w:tcPr>
            <w:tcW w:type="dxa" w:w="5141"/>
            <w:vAlign w:val="top"/>
          </w:tcPr>
          <w:p>
            <w:pPr>
              <w:spacing w:after="0"/>
            </w:pPr>
            <w:r>
              <w:rPr>
                <w:sz w:val="14"/>
              </w:rPr>
              <w:t>DPA rises before scheduled negotiating window</w:t>
            </w:r>
          </w:p>
        </w:tc>
        <w:tc>
          <w:tcPr>
            <w:tcW w:type="dxa" w:w="5141"/>
            <w:vAlign w:val="top"/>
          </w:tcPr>
          <w:p>
            <w:pPr>
              <w:spacing w:after="0"/>
            </w:pPr>
            <w:r>
              <w:rPr>
                <w:sz w:val="14"/>
              </w:rPr>
              <w:t>Pre-clear settlement package and verification</w:t>
            </w:r>
          </w:p>
        </w:tc>
      </w:tr>
      <w:tr>
        <w:tc>
          <w:tcPr>
            <w:tcW w:type="dxa" w:w="5141"/>
            <w:vAlign w:val="top"/>
          </w:tcPr>
          <w:p>
            <w:pPr>
              <w:spacing w:after="0"/>
            </w:pPr>
            <w:r>
              <w:rPr>
                <w:sz w:val="14"/>
              </w:rPr>
              <w:t>Escalation warning rises before tariff review date</w:t>
            </w:r>
          </w:p>
        </w:tc>
        <w:tc>
          <w:tcPr>
            <w:tcW w:type="dxa" w:w="5141"/>
            <w:vAlign w:val="top"/>
          </w:tcPr>
          <w:p>
            <w:pPr>
              <w:spacing w:after="0"/>
            </w:pPr>
            <w:r>
              <w:rPr>
                <w:sz w:val="14"/>
              </w:rPr>
              <w:t>Accelerate legal/economic readiness</w:t>
            </w:r>
          </w:p>
        </w:tc>
      </w:tr>
      <w:tr>
        <w:tc>
          <w:tcPr>
            <w:tcW w:type="dxa" w:w="5141"/>
            <w:vAlign w:val="top"/>
          </w:tcPr>
          <w:p>
            <w:pPr>
              <w:spacing w:after="0"/>
            </w:pPr>
            <w:r>
              <w:rPr>
                <w:sz w:val="14"/>
              </w:rPr>
              <w:t>Market stress coincides with severe weather</w:t>
            </w:r>
          </w:p>
        </w:tc>
        <w:tc>
          <w:tcPr>
            <w:tcW w:type="dxa" w:w="5141"/>
            <w:vAlign w:val="top"/>
          </w:tcPr>
          <w:p>
            <w:pPr>
              <w:spacing w:after="0"/>
            </w:pPr>
            <w:r>
              <w:rPr>
                <w:sz w:val="14"/>
              </w:rPr>
              <w:t>Activate restraint condition</w:t>
            </w:r>
          </w:p>
        </w:tc>
      </w:tr>
      <w:tr>
        <w:tc>
          <w:tcPr>
            <w:tcW w:type="dxa" w:w="5141"/>
            <w:vAlign w:val="top"/>
          </w:tcPr>
          <w:p>
            <w:pPr>
              <w:spacing w:after="0"/>
            </w:pPr>
            <w:r>
              <w:rPr>
                <w:sz w:val="14"/>
              </w:rPr>
              <w:t>Congressional movement during sitting period</w:t>
            </w:r>
          </w:p>
        </w:tc>
        <w:tc>
          <w:tcPr>
            <w:tcW w:type="dxa" w:w="5141"/>
            <w:vAlign w:val="top"/>
          </w:tcPr>
          <w:p>
            <w:pPr>
              <w:spacing w:after="0"/>
            </w:pPr>
            <w:r>
              <w:rPr>
                <w:sz w:val="14"/>
              </w:rPr>
              <w:t>Increase institutional engagement</w:t>
            </w:r>
          </w:p>
        </w:tc>
      </w:tr>
      <w:tr>
        <w:tc>
          <w:tcPr>
            <w:tcW w:type="dxa" w:w="5141"/>
            <w:vAlign w:val="top"/>
          </w:tcPr>
          <w:p>
            <w:pPr>
              <w:spacing w:after="0"/>
            </w:pPr>
            <w:r>
              <w:rPr>
                <w:sz w:val="14"/>
              </w:rPr>
              <w:t>Business harm rises before fiscal window</w:t>
            </w:r>
          </w:p>
        </w:tc>
        <w:tc>
          <w:tcPr>
            <w:tcW w:type="dxa" w:w="5141"/>
            <w:vAlign w:val="top"/>
          </w:tcPr>
          <w:p>
            <w:pPr>
              <w:spacing w:after="0"/>
            </w:pPr>
            <w:r>
              <w:rPr>
                <w:sz w:val="14"/>
              </w:rPr>
              <w:t>Prepare support/appropriation decision</w:t>
            </w:r>
          </w:p>
        </w:tc>
      </w:tr>
      <w:tr>
        <w:tc>
          <w:tcPr>
            <w:tcW w:type="dxa" w:w="5141"/>
            <w:vAlign w:val="top"/>
          </w:tcPr>
          <w:p>
            <w:pPr>
              <w:spacing w:after="0"/>
            </w:pPr>
            <w:r>
              <w:rPr>
                <w:sz w:val="14"/>
              </w:rPr>
              <w:t>Legal ruling creates new off-ramp</w:t>
            </w:r>
          </w:p>
        </w:tc>
        <w:tc>
          <w:tcPr>
            <w:tcW w:type="dxa" w:w="5141"/>
            <w:vAlign w:val="top"/>
          </w:tcPr>
          <w:p>
            <w:pPr>
              <w:spacing w:after="0"/>
            </w:pPr>
            <w:r>
              <w:rPr>
                <w:sz w:val="14"/>
              </w:rPr>
              <w:t>Identify earliest executable suspension date</w:t>
            </w:r>
          </w:p>
        </w:tc>
      </w:tr>
    </w:tbl>
    <w:p>
      <w:r>
        <w:br w:type="page"/>
      </w:r>
    </w:p>
    <w:p>
      <w:pPr>
        <w:pStyle w:val="Heading1"/>
        <w:keepNext/>
        <w:spacing w:before="120" w:after="50"/>
      </w:pPr>
      <w:bookmarkStart w:id="623" w:name="_Toc9400623"/>
      <w:r>
        <w:t>45. Integration with the Federal-Provincial Solidarity Protocol</w:t>
      </w:r>
      <w:bookmarkEnd w:id="623"/>
    </w:p>
    <w:p>
      <w:r>
        <w:rPr>
          <w:b w:val="0"/>
          <w:i w:val="0"/>
        </w:rPr>
        <w:t>Regional information is both an input and an accountability mechanism.</w:t>
      </w:r>
    </w:p>
    <w:p>
      <w:pPr>
        <w:pStyle w:val="ListBullet"/>
        <w:spacing w:after="40"/>
      </w:pPr>
      <w:r>
        <w:t>Provinces receive a defined channel to submit regional economic and U.S.-state signals.</w:t>
      </w:r>
    </w:p>
    <w:p>
      <w:pPr>
        <w:pStyle w:val="ListBullet"/>
        <w:spacing w:after="40"/>
      </w:pPr>
      <w:r>
        <w:t>ESSAC distinguishes province-reported evidence from independently verified data.</w:t>
      </w:r>
    </w:p>
    <w:p>
      <w:pPr>
        <w:pStyle w:val="ListBullet"/>
        <w:spacing w:after="40"/>
      </w:pPr>
      <w:r>
        <w:t>Regional burden indicators feed the Canadian-harm dashboard.</w:t>
      </w:r>
    </w:p>
    <w:p>
      <w:pPr>
        <w:pStyle w:val="ListBullet"/>
        <w:spacing w:after="40"/>
      </w:pPr>
      <w:r>
        <w:t>Material province-specific warnings trigger no-surprise consultation before national action where time permits.</w:t>
      </w:r>
    </w:p>
    <w:p>
      <w:pPr>
        <w:pStyle w:val="ListBullet"/>
        <w:spacing w:after="40"/>
      </w:pPr>
      <w:r>
        <w:t>Confidential U.S.-province approaches are handled under the Solidarity Protocol, not broadcast across unnecessary channels.</w:t>
      </w:r>
    </w:p>
    <w:p>
      <w:pPr>
        <w:pStyle w:val="ListBullet"/>
        <w:spacing w:after="40"/>
      </w:pPr>
      <w:r>
        <w:t>National assessments explicitly identify when one province bears disproportionate risk.</w:t>
      </w:r>
    </w:p>
    <w:p>
      <w:pPr>
        <w:pStyle w:val="ListBullet"/>
        <w:spacing w:after="40"/>
      </w:pPr>
      <w:r>
        <w:t>Settlement DPAs include a provincial fairness and implementability check.</w:t>
      </w:r>
    </w:p>
    <w:p>
      <w:r>
        <w:br w:type="page"/>
      </w:r>
    </w:p>
    <w:p>
      <w:pPr>
        <w:pStyle w:val="Heading1"/>
        <w:keepNext/>
        <w:spacing w:before="120" w:after="50"/>
      </w:pPr>
      <w:bookmarkStart w:id="624" w:name="_Toc9400624"/>
      <w:r>
        <w:t>46. Integration with CR-TAR and Countermeasure Instruments</w:t>
      </w:r>
      <w:bookmarkEnd w:id="624"/>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Signal</w:t>
            </w:r>
          </w:p>
        </w:tc>
        <w:tc>
          <w:tcPr>
            <w:tcW w:type="dxa" w:w="5141"/>
            <w:shd w:fill="D9E5F2"/>
          </w:tcPr>
          <w:p>
            <w:r>
              <w:rPr>
                <w:b/>
                <w:sz w:val="14"/>
              </w:rPr>
              <w:t>Countermeasure implication</w:t>
            </w:r>
          </w:p>
        </w:tc>
      </w:tr>
      <w:tr>
        <w:tc>
          <w:tcPr>
            <w:tcW w:type="dxa" w:w="5141"/>
            <w:vAlign w:val="top"/>
          </w:tcPr>
          <w:p>
            <w:pPr>
              <w:spacing w:after="0"/>
            </w:pPr>
            <w:r>
              <w:rPr>
                <w:sz w:val="14"/>
              </w:rPr>
              <w:t>Low DPA + rising escalation warning</w:t>
            </w:r>
          </w:p>
        </w:tc>
        <w:tc>
          <w:tcPr>
            <w:tcW w:type="dxa" w:w="5141"/>
            <w:vAlign w:val="top"/>
          </w:tcPr>
          <w:p>
            <w:pPr>
              <w:spacing w:after="0"/>
            </w:pPr>
            <w:r>
              <w:rPr>
                <w:sz w:val="14"/>
              </w:rPr>
              <w:t>Prepare calibrated options; do not automatically activate.</w:t>
            </w:r>
          </w:p>
        </w:tc>
      </w:tr>
      <w:tr>
        <w:tc>
          <w:tcPr>
            <w:tcW w:type="dxa" w:w="5141"/>
            <w:vAlign w:val="top"/>
          </w:tcPr>
          <w:p>
            <w:pPr>
              <w:spacing w:after="0"/>
            </w:pPr>
            <w:r>
              <w:rPr>
                <w:sz w:val="14"/>
              </w:rPr>
              <w:t>High DPA</w:t>
            </w:r>
          </w:p>
        </w:tc>
        <w:tc>
          <w:tcPr>
            <w:tcW w:type="dxa" w:w="5141"/>
            <w:vAlign w:val="top"/>
          </w:tcPr>
          <w:p>
            <w:pPr>
              <w:spacing w:after="0"/>
            </w:pPr>
            <w:r>
              <w:rPr>
                <w:sz w:val="14"/>
              </w:rPr>
              <w:t>Avoid new measures likely to destroy credible settlement opening.</w:t>
            </w:r>
          </w:p>
        </w:tc>
      </w:tr>
      <w:tr>
        <w:tc>
          <w:tcPr>
            <w:tcW w:type="dxa" w:w="5141"/>
            <w:vAlign w:val="top"/>
          </w:tcPr>
          <w:p>
            <w:pPr>
              <w:spacing w:after="0"/>
            </w:pPr>
            <w:r>
              <w:rPr>
                <w:sz w:val="14"/>
              </w:rPr>
              <w:t>Canadian harm threshold breached</w:t>
            </w:r>
          </w:p>
        </w:tc>
        <w:tc>
          <w:tcPr>
            <w:tcW w:type="dxa" w:w="5141"/>
            <w:vAlign w:val="top"/>
          </w:tcPr>
          <w:p>
            <w:pPr>
              <w:spacing w:after="0"/>
            </w:pPr>
            <w:r>
              <w:rPr>
                <w:sz w:val="14"/>
              </w:rPr>
              <w:t>Modify, remit, substitute or suspend affected measure.</w:t>
            </w:r>
          </w:p>
        </w:tc>
      </w:tr>
      <w:tr>
        <w:tc>
          <w:tcPr>
            <w:tcW w:type="dxa" w:w="5141"/>
            <w:vAlign w:val="top"/>
          </w:tcPr>
          <w:p>
            <w:pPr>
              <w:spacing w:after="0"/>
            </w:pPr>
            <w:r>
              <w:rPr>
                <w:sz w:val="14"/>
              </w:rPr>
              <w:t>U.S. sector cure verified</w:t>
            </w:r>
          </w:p>
        </w:tc>
        <w:tc>
          <w:tcPr>
            <w:tcW w:type="dxa" w:w="5141"/>
            <w:vAlign w:val="top"/>
          </w:tcPr>
          <w:p>
            <w:pPr>
              <w:spacing w:after="0"/>
            </w:pPr>
            <w:r>
              <w:rPr>
                <w:sz w:val="14"/>
              </w:rPr>
              <w:t>Prepare matched Canadian sector cure.</w:t>
            </w:r>
          </w:p>
        </w:tc>
      </w:tr>
      <w:tr>
        <w:tc>
          <w:tcPr>
            <w:tcW w:type="dxa" w:w="5141"/>
            <w:vAlign w:val="top"/>
          </w:tcPr>
          <w:p>
            <w:pPr>
              <w:spacing w:after="0"/>
            </w:pPr>
            <w:r>
              <w:rPr>
                <w:sz w:val="14"/>
              </w:rPr>
              <w:t>Legal authority changes</w:t>
            </w:r>
          </w:p>
        </w:tc>
        <w:tc>
          <w:tcPr>
            <w:tcW w:type="dxa" w:w="5141"/>
            <w:vAlign w:val="top"/>
          </w:tcPr>
          <w:p>
            <w:pPr>
              <w:spacing w:after="0"/>
            </w:pPr>
            <w:r>
              <w:rPr>
                <w:sz w:val="14"/>
              </w:rPr>
              <w:t>Revalidate classification, rate and implementation.</w:t>
            </w:r>
          </w:p>
        </w:tc>
      </w:tr>
      <w:tr>
        <w:tc>
          <w:tcPr>
            <w:tcW w:type="dxa" w:w="5141"/>
            <w:vAlign w:val="top"/>
          </w:tcPr>
          <w:p>
            <w:pPr>
              <w:spacing w:after="0"/>
            </w:pPr>
            <w:r>
              <w:rPr>
                <w:sz w:val="14"/>
              </w:rPr>
              <w:t>Business adaptation strong</w:t>
            </w:r>
          </w:p>
        </w:tc>
        <w:tc>
          <w:tcPr>
            <w:tcW w:type="dxa" w:w="5141"/>
            <w:vAlign w:val="top"/>
          </w:tcPr>
          <w:p>
            <w:pPr>
              <w:spacing w:after="0"/>
            </w:pPr>
            <w:r>
              <w:rPr>
                <w:sz w:val="14"/>
              </w:rPr>
              <w:t>Update expected leverage and Canadian cost assumptions.</w:t>
            </w:r>
          </w:p>
        </w:tc>
      </w:tr>
      <w:tr>
        <w:tc>
          <w:tcPr>
            <w:tcW w:type="dxa" w:w="5141"/>
            <w:vAlign w:val="top"/>
          </w:tcPr>
          <w:p>
            <w:pPr>
              <w:spacing w:after="0"/>
            </w:pPr>
            <w:r>
              <w:rPr>
                <w:sz w:val="14"/>
              </w:rPr>
              <w:t>Public salience changes</w:t>
            </w:r>
          </w:p>
        </w:tc>
        <w:tc>
          <w:tcPr>
            <w:tcW w:type="dxa" w:w="5141"/>
            <w:vAlign w:val="top"/>
          </w:tcPr>
          <w:p>
            <w:pPr>
              <w:spacing w:after="0"/>
            </w:pPr>
            <w:r>
              <w:rPr>
                <w:sz w:val="14"/>
              </w:rPr>
              <w:t>Adjust explanation, not legal incidence or discriminatory targeting.</w:t>
            </w:r>
          </w:p>
        </w:tc>
      </w:tr>
    </w:tbl>
    <w:p>
      <w:r>
        <w:br w:type="page"/>
      </w:r>
    </w:p>
    <w:p>
      <w:pPr>
        <w:pStyle w:val="Heading1"/>
        <w:keepNext/>
        <w:spacing w:before="120" w:after="50"/>
      </w:pPr>
      <w:bookmarkStart w:id="625" w:name="_Toc9400625"/>
      <w:r>
        <w:t>47. Integration with Diversification and Public Diplomacy</w:t>
      </w:r>
      <w:bookmarkEnd w:id="625"/>
    </w:p>
    <w:p>
      <w:r>
        <w:rPr>
          <w:b w:val="0"/>
          <w:i w:val="0"/>
        </w:rPr>
        <w:t>Situational awareness should help Canada choose constructive alternatives, not merely retaliatory ones.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Observation</w:t>
            </w:r>
          </w:p>
        </w:tc>
        <w:tc>
          <w:tcPr>
            <w:tcW w:type="dxa" w:w="5141"/>
            <w:shd w:fill="D9E5F2"/>
          </w:tcPr>
          <w:p>
            <w:r>
              <w:rPr>
                <w:b/>
                <w:sz w:val="14"/>
              </w:rPr>
              <w:t>Possible initiative</w:t>
            </w:r>
          </w:p>
        </w:tc>
      </w:tr>
      <w:tr>
        <w:tc>
          <w:tcPr>
            <w:tcW w:type="dxa" w:w="5141"/>
            <w:vAlign w:val="top"/>
          </w:tcPr>
          <w:p>
            <w:pPr>
              <w:spacing w:after="0"/>
            </w:pPr>
            <w:r>
              <w:rPr>
                <w:sz w:val="14"/>
              </w:rPr>
              <w:t>U.S. customer replacement accelerating</w:t>
            </w:r>
          </w:p>
        </w:tc>
        <w:tc>
          <w:tcPr>
            <w:tcW w:type="dxa" w:w="5141"/>
            <w:vAlign w:val="top"/>
          </w:tcPr>
          <w:p>
            <w:pPr>
              <w:spacing w:after="0"/>
            </w:pPr>
            <w:r>
              <w:rPr>
                <w:sz w:val="14"/>
              </w:rPr>
              <w:t>Activate non-U.S. export corridor and finance support</w:t>
            </w:r>
          </w:p>
        </w:tc>
      </w:tr>
      <w:tr>
        <w:tc>
          <w:tcPr>
            <w:tcW w:type="dxa" w:w="5141"/>
            <w:vAlign w:val="top"/>
          </w:tcPr>
          <w:p>
            <w:pPr>
              <w:spacing w:after="0"/>
            </w:pPr>
            <w:r>
              <w:rPr>
                <w:sz w:val="14"/>
              </w:rPr>
              <w:t>Critical input exposure rising</w:t>
            </w:r>
          </w:p>
        </w:tc>
        <w:tc>
          <w:tcPr>
            <w:tcW w:type="dxa" w:w="5141"/>
            <w:vAlign w:val="top"/>
          </w:tcPr>
          <w:p>
            <w:pPr>
              <w:spacing w:after="0"/>
            </w:pPr>
            <w:r>
              <w:rPr>
                <w:sz w:val="14"/>
              </w:rPr>
              <w:t>Accelerate alternate sourcing / stockpile / standards work</w:t>
            </w:r>
          </w:p>
        </w:tc>
      </w:tr>
      <w:tr>
        <w:tc>
          <w:tcPr>
            <w:tcW w:type="dxa" w:w="5141"/>
            <w:vAlign w:val="top"/>
          </w:tcPr>
          <w:p>
            <w:pPr>
              <w:spacing w:after="0"/>
            </w:pPr>
            <w:r>
              <w:rPr>
                <w:sz w:val="14"/>
              </w:rPr>
              <w:t>Partner fears secondary pressure</w:t>
            </w:r>
          </w:p>
        </w:tc>
        <w:tc>
          <w:tcPr>
            <w:tcW w:type="dxa" w:w="5141"/>
            <w:vAlign w:val="top"/>
          </w:tcPr>
          <w:p>
            <w:pPr>
              <w:spacing w:after="0"/>
            </w:pPr>
            <w:r>
              <w:rPr>
                <w:sz w:val="14"/>
              </w:rPr>
              <w:t>Deploy legal assurance, finance and coalition consultation</w:t>
            </w:r>
          </w:p>
        </w:tc>
      </w:tr>
      <w:tr>
        <w:tc>
          <w:tcPr>
            <w:tcW w:type="dxa" w:w="5141"/>
            <w:vAlign w:val="top"/>
          </w:tcPr>
          <w:p>
            <w:pPr>
              <w:spacing w:after="0"/>
            </w:pPr>
            <w:r>
              <w:rPr>
                <w:sz w:val="14"/>
              </w:rPr>
              <w:t>American public hostility is not rising despite government dispute</w:t>
            </w:r>
          </w:p>
        </w:tc>
        <w:tc>
          <w:tcPr>
            <w:tcW w:type="dxa" w:w="5141"/>
            <w:vAlign w:val="top"/>
          </w:tcPr>
          <w:p>
            <w:pPr>
              <w:spacing w:after="0"/>
            </w:pPr>
            <w:r>
              <w:rPr>
                <w:sz w:val="14"/>
              </w:rPr>
              <w:t>Preserve People Track; avoid collective-blame rhetoric</w:t>
            </w:r>
          </w:p>
        </w:tc>
      </w:tr>
      <w:tr>
        <w:tc>
          <w:tcPr>
            <w:tcW w:type="dxa" w:w="5141"/>
            <w:vAlign w:val="top"/>
          </w:tcPr>
          <w:p>
            <w:pPr>
              <w:spacing w:after="0"/>
            </w:pPr>
            <w:r>
              <w:rPr>
                <w:sz w:val="14"/>
              </w:rPr>
              <w:t>Misinformation drives misunderstanding</w:t>
            </w:r>
          </w:p>
        </w:tc>
        <w:tc>
          <w:tcPr>
            <w:tcW w:type="dxa" w:w="5141"/>
            <w:vAlign w:val="top"/>
          </w:tcPr>
          <w:p>
            <w:pPr>
              <w:spacing w:after="0"/>
            </w:pPr>
            <w:r>
              <w:rPr>
                <w:sz w:val="14"/>
              </w:rPr>
              <w:t>Publish factual correction with source evidence</w:t>
            </w:r>
          </w:p>
        </w:tc>
      </w:tr>
      <w:tr>
        <w:tc>
          <w:tcPr>
            <w:tcW w:type="dxa" w:w="5141"/>
            <w:vAlign w:val="top"/>
          </w:tcPr>
          <w:p>
            <w:pPr>
              <w:spacing w:after="0"/>
            </w:pPr>
            <w:r>
              <w:rPr>
                <w:sz w:val="14"/>
              </w:rPr>
              <w:t>Settlement probability low for prolonged period</w:t>
            </w:r>
          </w:p>
        </w:tc>
        <w:tc>
          <w:tcPr>
            <w:tcW w:type="dxa" w:w="5141"/>
            <w:vAlign w:val="top"/>
          </w:tcPr>
          <w:p>
            <w:pPr>
              <w:spacing w:after="0"/>
            </w:pPr>
            <w:r>
              <w:rPr>
                <w:sz w:val="14"/>
              </w:rPr>
              <w:t>Shift effort from persuasion toward resilience and relationship preservation</w:t>
            </w:r>
          </w:p>
        </w:tc>
      </w:tr>
    </w:tbl>
    <w:p>
      <w:r>
        <w:br w:type="page"/>
      </w:r>
    </w:p>
    <w:p>
      <w:pPr>
        <w:pStyle w:val="Heading1"/>
        <w:keepNext/>
        <w:spacing w:before="120" w:after="50"/>
      </w:pPr>
      <w:bookmarkStart w:id="626" w:name="_Toc9400626"/>
      <w:r>
        <w:t>48. Implementation Roadmap: First 30 Days</w:t>
      </w:r>
      <w:bookmarkEnd w:id="626"/>
    </w:p>
    <w:p>
      <w:pPr>
        <w:pStyle w:val="ListNumber"/>
        <w:spacing w:after="40"/>
      </w:pPr>
      <w:r>
        <w:t>Designate PCO coordinating owner and participating departments.</w:t>
      </w:r>
    </w:p>
    <w:p>
      <w:pPr>
        <w:pStyle w:val="ListNumber"/>
        <w:spacing w:after="40"/>
      </w:pPr>
      <w:r>
        <w:t>Approve charter stating that ESSAC has no independent collection authority.</w:t>
      </w:r>
    </w:p>
    <w:p>
      <w:pPr>
        <w:pStyle w:val="ListNumber"/>
        <w:spacing w:after="40"/>
      </w:pPr>
      <w:r>
        <w:t>Inventory existing lawful data/reporting feeds.</w:t>
      </w:r>
    </w:p>
    <w:p>
      <w:pPr>
        <w:pStyle w:val="ListNumber"/>
        <w:spacing w:after="40"/>
      </w:pPr>
      <w:r>
        <w:t>Create source metadata standard and sensitivity markings.</w:t>
      </w:r>
    </w:p>
    <w:p>
      <w:pPr>
        <w:pStyle w:val="ListNumber"/>
        <w:spacing w:after="40"/>
      </w:pPr>
      <w:r>
        <w:t>Establish initial competing hypotheses.</w:t>
      </w:r>
    </w:p>
    <w:p>
      <w:pPr>
        <w:pStyle w:val="ListNumber"/>
        <w:spacing w:after="40"/>
      </w:pPr>
      <w:r>
        <w:t>Build DPA v0 with 7/30/90-day horizons.</w:t>
      </w:r>
    </w:p>
    <w:p>
      <w:pPr>
        <w:pStyle w:val="ListNumber"/>
        <w:spacing w:after="40"/>
      </w:pPr>
      <w:r>
        <w:t>Define escalation warning categories and owners.</w:t>
      </w:r>
    </w:p>
    <w:p>
      <w:pPr>
        <w:pStyle w:val="ListNumber"/>
        <w:spacing w:after="40"/>
      </w:pPr>
      <w:r>
        <w:t>Create provincial/territorial liaison channel.</w:t>
      </w:r>
    </w:p>
    <w:p>
      <w:pPr>
        <w:pStyle w:val="ListNumber"/>
        <w:spacing w:after="40"/>
      </w:pPr>
      <w:r>
        <w:t>Establish Justice, privacy and security review points.</w:t>
      </w:r>
    </w:p>
    <w:p>
      <w:pPr>
        <w:pStyle w:val="ListNumber"/>
        <w:spacing w:after="40"/>
      </w:pPr>
      <w:r>
        <w:t>Run one tabletop exercise using a historical or synthetic tariff escalation.</w:t>
      </w:r>
    </w:p>
    <w:p>
      <w:pPr>
        <w:pStyle w:val="ListNumber"/>
        <w:spacing w:after="40"/>
      </w:pPr>
      <w:r>
        <w:t>Begin calibration log.</w:t>
      </w:r>
    </w:p>
    <w:p>
      <w:r>
        <w:br w:type="page"/>
      </w:r>
    </w:p>
    <w:p>
      <w:pPr>
        <w:pStyle w:val="Heading1"/>
        <w:keepNext/>
        <w:spacing w:before="120" w:after="50"/>
      </w:pPr>
      <w:bookmarkStart w:id="627" w:name="_Toc9400627"/>
      <w:r>
        <w:t>49. Implementation Roadmap: Days 31–100</w:t>
      </w:r>
      <w:bookmarkEnd w:id="627"/>
    </w:p>
    <w:p>
      <w:pPr>
        <w:pStyle w:val="ListNumber"/>
        <w:spacing w:after="40"/>
      </w:pPr>
      <w:r>
        <w:t>Automate ingestion of public economic releases where permitted.</w:t>
      </w:r>
    </w:p>
    <w:p>
      <w:pPr>
        <w:pStyle w:val="ListNumber"/>
        <w:spacing w:after="40"/>
      </w:pPr>
      <w:r>
        <w:t>Standardize business consultation questionnaire and confidentiality language.</w:t>
      </w:r>
    </w:p>
    <w:p>
      <w:pPr>
        <w:pStyle w:val="ListNumber"/>
        <w:spacing w:after="40"/>
      </w:pPr>
      <w:r>
        <w:t>Establish congressional/state reporting template across U.S. posts.</w:t>
      </w:r>
    </w:p>
    <w:p>
      <w:pPr>
        <w:pStyle w:val="ListNumber"/>
        <w:spacing w:after="40"/>
      </w:pPr>
      <w:r>
        <w:t>Create public-opinion methodology checklist.</w:t>
      </w:r>
    </w:p>
    <w:p>
      <w:pPr>
        <w:pStyle w:val="ListNumber"/>
        <w:spacing w:after="40"/>
      </w:pPr>
      <w:r>
        <w:t>Implement daily note and weekly DPA cadence.</w:t>
      </w:r>
    </w:p>
    <w:p>
      <w:pPr>
        <w:pStyle w:val="ListNumber"/>
        <w:spacing w:after="40"/>
      </w:pPr>
      <w:r>
        <w:t>Create red-team rotation and dissent procedure.</w:t>
      </w:r>
    </w:p>
    <w:p>
      <w:pPr>
        <w:pStyle w:val="ListNumber"/>
        <w:spacing w:after="40"/>
      </w:pPr>
      <w:r>
        <w:t>Define Canadian-harm thresholds with the Endurance Framework workstream.</w:t>
      </w:r>
    </w:p>
    <w:p>
      <w:pPr>
        <w:pStyle w:val="ListNumber"/>
        <w:spacing w:after="40"/>
      </w:pPr>
      <w:r>
        <w:t>Link DPA triggers to pre-cleared de-escalation instruments.</w:t>
      </w:r>
    </w:p>
    <w:p>
      <w:pPr>
        <w:pStyle w:val="ListNumber"/>
        <w:spacing w:after="40"/>
      </w:pPr>
      <w:r>
        <w:t>Conduct information-sharing and privacy review.</w:t>
      </w:r>
    </w:p>
    <w:p>
      <w:pPr>
        <w:pStyle w:val="ListNumber"/>
        <w:spacing w:after="40"/>
      </w:pPr>
      <w:r>
        <w:t>Run a second exercise focused on a false alarm and a genuine settlement opening.</w:t>
      </w:r>
    </w:p>
    <w:p>
      <w:pPr>
        <w:pStyle w:val="ListNumber"/>
        <w:spacing w:after="40"/>
      </w:pPr>
      <w:r>
        <w:t>Report calibration findings to senior governance body.</w:t>
      </w:r>
    </w:p>
    <w:p>
      <w:r>
        <w:br w:type="page"/>
      </w:r>
    </w:p>
    <w:p>
      <w:pPr>
        <w:pStyle w:val="Heading1"/>
        <w:keepNext/>
        <w:spacing w:before="120" w:after="50"/>
      </w:pPr>
      <w:bookmarkStart w:id="628" w:name="_Toc9400628"/>
      <w:r>
        <w:t>50. Implementation Roadmap: Mature State</w:t>
      </w:r>
      <w:bookmarkEnd w:id="628"/>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Capability</w:t>
            </w:r>
          </w:p>
        </w:tc>
        <w:tc>
          <w:tcPr>
            <w:tcW w:type="dxa" w:w="5141"/>
            <w:shd w:fill="D9E5F2"/>
          </w:tcPr>
          <w:p>
            <w:r>
              <w:rPr>
                <w:b/>
                <w:sz w:val="14"/>
              </w:rPr>
              <w:t>Mature condition</w:t>
            </w:r>
          </w:p>
        </w:tc>
      </w:tr>
      <w:tr>
        <w:tc>
          <w:tcPr>
            <w:tcW w:type="dxa" w:w="5141"/>
            <w:vAlign w:val="top"/>
          </w:tcPr>
          <w:p>
            <w:pPr>
              <w:spacing w:after="0"/>
            </w:pPr>
            <w:r>
              <w:rPr>
                <w:sz w:val="14"/>
              </w:rPr>
              <w:t>Data</w:t>
            </w:r>
          </w:p>
        </w:tc>
        <w:tc>
          <w:tcPr>
            <w:tcW w:type="dxa" w:w="5141"/>
            <w:vAlign w:val="top"/>
          </w:tcPr>
          <w:p>
            <w:pPr>
              <w:spacing w:after="0"/>
            </w:pPr>
            <w:r>
              <w:rPr>
                <w:sz w:val="14"/>
              </w:rPr>
              <w:t>Authoritative feeds, provenance, revisions and ownership clear</w:t>
            </w:r>
          </w:p>
        </w:tc>
      </w:tr>
      <w:tr>
        <w:tc>
          <w:tcPr>
            <w:tcW w:type="dxa" w:w="5141"/>
            <w:vAlign w:val="top"/>
          </w:tcPr>
          <w:p>
            <w:pPr>
              <w:spacing w:after="0"/>
            </w:pPr>
            <w:r>
              <w:rPr>
                <w:sz w:val="14"/>
              </w:rPr>
              <w:t>Diplomacy</w:t>
            </w:r>
          </w:p>
        </w:tc>
        <w:tc>
          <w:tcPr>
            <w:tcW w:type="dxa" w:w="5141"/>
            <w:vAlign w:val="top"/>
          </w:tcPr>
          <w:p>
            <w:pPr>
              <w:spacing w:after="0"/>
            </w:pPr>
            <w:r>
              <w:rPr>
                <w:sz w:val="14"/>
              </w:rPr>
              <w:t>Consistent reporting from Washington, consulates and partner capitals</w:t>
            </w:r>
          </w:p>
        </w:tc>
      </w:tr>
      <w:tr>
        <w:tc>
          <w:tcPr>
            <w:tcW w:type="dxa" w:w="5141"/>
            <w:vAlign w:val="top"/>
          </w:tcPr>
          <w:p>
            <w:pPr>
              <w:spacing w:after="0"/>
            </w:pPr>
            <w:r>
              <w:rPr>
                <w:sz w:val="14"/>
              </w:rPr>
              <w:t>Business</w:t>
            </w:r>
          </w:p>
        </w:tc>
        <w:tc>
          <w:tcPr>
            <w:tcW w:type="dxa" w:w="5141"/>
            <w:vAlign w:val="top"/>
          </w:tcPr>
          <w:p>
            <w:pPr>
              <w:spacing w:after="0"/>
            </w:pPr>
            <w:r>
              <w:rPr>
                <w:sz w:val="14"/>
              </w:rPr>
              <w:t>Representative structured consultation with confidentiality controls</w:t>
            </w:r>
          </w:p>
        </w:tc>
      </w:tr>
      <w:tr>
        <w:tc>
          <w:tcPr>
            <w:tcW w:type="dxa" w:w="5141"/>
            <w:vAlign w:val="top"/>
          </w:tcPr>
          <w:p>
            <w:pPr>
              <w:spacing w:after="0"/>
            </w:pPr>
            <w:r>
              <w:rPr>
                <w:sz w:val="14"/>
              </w:rPr>
              <w:t>Legal</w:t>
            </w:r>
          </w:p>
        </w:tc>
        <w:tc>
          <w:tcPr>
            <w:tcW w:type="dxa" w:w="5141"/>
            <w:vAlign w:val="top"/>
          </w:tcPr>
          <w:p>
            <w:pPr>
              <w:spacing w:after="0"/>
            </w:pPr>
            <w:r>
              <w:rPr>
                <w:sz w:val="14"/>
              </w:rPr>
              <w:t>Rapid verified status of measures and litigation</w:t>
            </w:r>
          </w:p>
        </w:tc>
      </w:tr>
      <w:tr>
        <w:tc>
          <w:tcPr>
            <w:tcW w:type="dxa" w:w="5141"/>
            <w:vAlign w:val="top"/>
          </w:tcPr>
          <w:p>
            <w:pPr>
              <w:spacing w:after="0"/>
            </w:pPr>
            <w:r>
              <w:rPr>
                <w:sz w:val="14"/>
              </w:rPr>
              <w:t>Warnings</w:t>
            </w:r>
          </w:p>
        </w:tc>
        <w:tc>
          <w:tcPr>
            <w:tcW w:type="dxa" w:w="5141"/>
            <w:vAlign w:val="top"/>
          </w:tcPr>
          <w:p>
            <w:pPr>
              <w:spacing w:after="0"/>
            </w:pPr>
            <w:r>
              <w:rPr>
                <w:sz w:val="14"/>
              </w:rPr>
              <w:t>Thresholds tested against real outcomes</w:t>
            </w:r>
          </w:p>
        </w:tc>
      </w:tr>
      <w:tr>
        <w:tc>
          <w:tcPr>
            <w:tcW w:type="dxa" w:w="5141"/>
            <w:vAlign w:val="top"/>
          </w:tcPr>
          <w:p>
            <w:pPr>
              <w:spacing w:after="0"/>
            </w:pPr>
            <w:r>
              <w:rPr>
                <w:sz w:val="14"/>
              </w:rPr>
              <w:t>DPA</w:t>
            </w:r>
          </w:p>
        </w:tc>
        <w:tc>
          <w:tcPr>
            <w:tcW w:type="dxa" w:w="5141"/>
            <w:vAlign w:val="top"/>
          </w:tcPr>
          <w:p>
            <w:pPr>
              <w:spacing w:after="0"/>
            </w:pPr>
            <w:r>
              <w:rPr>
                <w:sz w:val="14"/>
              </w:rPr>
              <w:t>Historical calibration record and documented dissent</w:t>
            </w:r>
          </w:p>
        </w:tc>
      </w:tr>
      <w:tr>
        <w:tc>
          <w:tcPr>
            <w:tcW w:type="dxa" w:w="5141"/>
            <w:vAlign w:val="top"/>
          </w:tcPr>
          <w:p>
            <w:pPr>
              <w:spacing w:after="0"/>
            </w:pPr>
            <w:r>
              <w:rPr>
                <w:sz w:val="14"/>
              </w:rPr>
              <w:t>Provinces</w:t>
            </w:r>
          </w:p>
        </w:tc>
        <w:tc>
          <w:tcPr>
            <w:tcW w:type="dxa" w:w="5141"/>
            <w:vAlign w:val="top"/>
          </w:tcPr>
          <w:p>
            <w:pPr>
              <w:spacing w:after="0"/>
            </w:pPr>
            <w:r>
              <w:rPr>
                <w:sz w:val="14"/>
              </w:rPr>
              <w:t>Two-way no-surprise signal exchange</w:t>
            </w:r>
          </w:p>
        </w:tc>
      </w:tr>
      <w:tr>
        <w:tc>
          <w:tcPr>
            <w:tcW w:type="dxa" w:w="5141"/>
            <w:vAlign w:val="top"/>
          </w:tcPr>
          <w:p>
            <w:pPr>
              <w:spacing w:after="0"/>
            </w:pPr>
            <w:r>
              <w:rPr>
                <w:sz w:val="14"/>
              </w:rPr>
              <w:t>Security</w:t>
            </w:r>
          </w:p>
        </w:tc>
        <w:tc>
          <w:tcPr>
            <w:tcW w:type="dxa" w:w="5141"/>
            <w:vAlign w:val="top"/>
          </w:tcPr>
          <w:p>
            <w:pPr>
              <w:spacing w:after="0"/>
            </w:pPr>
            <w:r>
              <w:rPr>
                <w:sz w:val="14"/>
              </w:rPr>
              <w:t>Clean interface with authorized agencies; no mandate creep</w:t>
            </w:r>
          </w:p>
        </w:tc>
      </w:tr>
      <w:tr>
        <w:tc>
          <w:tcPr>
            <w:tcW w:type="dxa" w:w="5141"/>
            <w:vAlign w:val="top"/>
          </w:tcPr>
          <w:p>
            <w:pPr>
              <w:spacing w:after="0"/>
            </w:pPr>
            <w:r>
              <w:rPr>
                <w:sz w:val="14"/>
              </w:rPr>
              <w:t>Decision support</w:t>
            </w:r>
          </w:p>
        </w:tc>
        <w:tc>
          <w:tcPr>
            <w:tcW w:type="dxa" w:w="5141"/>
            <w:vAlign w:val="top"/>
          </w:tcPr>
          <w:p>
            <w:pPr>
              <w:spacing w:after="0"/>
            </w:pPr>
            <w:r>
              <w:rPr>
                <w:sz w:val="14"/>
              </w:rPr>
              <w:t>Options linked to triggers, timing windows and off-ramps</w:t>
            </w:r>
          </w:p>
        </w:tc>
      </w:tr>
      <w:tr>
        <w:tc>
          <w:tcPr>
            <w:tcW w:type="dxa" w:w="5141"/>
            <w:vAlign w:val="top"/>
          </w:tcPr>
          <w:p>
            <w:pPr>
              <w:spacing w:after="0"/>
            </w:pPr>
            <w:r>
              <w:rPr>
                <w:sz w:val="14"/>
              </w:rPr>
              <w:t>Learning</w:t>
            </w:r>
          </w:p>
        </w:tc>
        <w:tc>
          <w:tcPr>
            <w:tcW w:type="dxa" w:w="5141"/>
            <w:vAlign w:val="top"/>
          </w:tcPr>
          <w:p>
            <w:pPr>
              <w:spacing w:after="0"/>
            </w:pPr>
            <w:r>
              <w:rPr>
                <w:sz w:val="14"/>
              </w:rPr>
              <w:t>After-action reviews change the system</w:t>
            </w:r>
          </w:p>
        </w:tc>
      </w:tr>
    </w:tbl>
    <w:p>
      <w:pPr>
        <w:pStyle w:val="Heading1"/>
        <w:keepNext/>
        <w:spacing w:before="120" w:after="50"/>
      </w:pPr>
      <w:bookmarkStart w:id="629" w:name="_Toc9400629"/>
      <w:r>
        <w:t>51. Ministerial / Cabinet Decision Card</w:t>
      </w:r>
      <w:bookmarkEnd w:id="629"/>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Assessment</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What is confirmed?</w:t>
            </w:r>
          </w:p>
        </w:tc>
        <w:tc>
          <w:tcPr>
            <w:tcW w:type="dxa" w:w="5141"/>
            <w:vAlign w:val="top"/>
          </w:tcPr>
          <w:p>
            <w:pPr>
              <w:spacing w:after="0"/>
            </w:pPr>
            <w:r>
              <w:rPr>
                <w:sz w:val="15"/>
              </w:rPr>
            </w:r>
          </w:p>
        </w:tc>
      </w:tr>
      <w:tr>
        <w:tc>
          <w:tcPr>
            <w:tcW w:type="dxa" w:w="5141"/>
            <w:vAlign w:val="top"/>
          </w:tcPr>
          <w:p>
            <w:pPr>
              <w:spacing w:after="0"/>
            </w:pPr>
            <w:r>
              <w:rPr>
                <w:sz w:val="15"/>
              </w:rPr>
              <w:t>What remains uncertain?</w:t>
            </w:r>
          </w:p>
        </w:tc>
        <w:tc>
          <w:tcPr>
            <w:tcW w:type="dxa" w:w="5141"/>
            <w:vAlign w:val="top"/>
          </w:tcPr>
          <w:p>
            <w:pPr>
              <w:spacing w:after="0"/>
            </w:pPr>
            <w:r>
              <w:rPr>
                <w:sz w:val="15"/>
              </w:rPr>
            </w:r>
          </w:p>
        </w:tc>
      </w:tr>
      <w:tr>
        <w:tc>
          <w:tcPr>
            <w:tcW w:type="dxa" w:w="5141"/>
            <w:vAlign w:val="top"/>
          </w:tcPr>
          <w:p>
            <w:pPr>
              <w:spacing w:after="0"/>
            </w:pPr>
            <w:r>
              <w:rPr>
                <w:sz w:val="15"/>
              </w:rPr>
              <w:t>DPA 7 / 30 / 90 days</w:t>
            </w:r>
          </w:p>
        </w:tc>
        <w:tc>
          <w:tcPr>
            <w:tcW w:type="dxa" w:w="5141"/>
            <w:vAlign w:val="top"/>
          </w:tcPr>
          <w:p>
            <w:pPr>
              <w:spacing w:after="0"/>
            </w:pPr>
            <w:r>
              <w:rPr>
                <w:sz w:val="15"/>
              </w:rPr>
            </w:r>
          </w:p>
        </w:tc>
      </w:tr>
      <w:tr>
        <w:tc>
          <w:tcPr>
            <w:tcW w:type="dxa" w:w="5141"/>
            <w:vAlign w:val="top"/>
          </w:tcPr>
          <w:p>
            <w:pPr>
              <w:spacing w:after="0"/>
            </w:pPr>
            <w:r>
              <w:rPr>
                <w:sz w:val="15"/>
              </w:rPr>
              <w:t>Escalation warning level</w:t>
            </w:r>
          </w:p>
        </w:tc>
        <w:tc>
          <w:tcPr>
            <w:tcW w:type="dxa" w:w="5141"/>
            <w:vAlign w:val="top"/>
          </w:tcPr>
          <w:p>
            <w:pPr>
              <w:spacing w:after="0"/>
            </w:pPr>
            <w:r>
              <w:rPr>
                <w:sz w:val="15"/>
              </w:rPr>
            </w:r>
          </w:p>
        </w:tc>
      </w:tr>
      <w:tr>
        <w:tc>
          <w:tcPr>
            <w:tcW w:type="dxa" w:w="5141"/>
            <w:vAlign w:val="top"/>
          </w:tcPr>
          <w:p>
            <w:pPr>
              <w:spacing w:after="0"/>
            </w:pPr>
            <w:r>
              <w:rPr>
                <w:sz w:val="15"/>
              </w:rPr>
              <w:t>Canadian harm trend</w:t>
            </w:r>
          </w:p>
        </w:tc>
        <w:tc>
          <w:tcPr>
            <w:tcW w:type="dxa" w:w="5141"/>
            <w:vAlign w:val="top"/>
          </w:tcPr>
          <w:p>
            <w:pPr>
              <w:spacing w:after="0"/>
            </w:pPr>
            <w:r>
              <w:rPr>
                <w:sz w:val="15"/>
              </w:rPr>
            </w:r>
          </w:p>
        </w:tc>
      </w:tr>
      <w:tr>
        <w:tc>
          <w:tcPr>
            <w:tcW w:type="dxa" w:w="5141"/>
            <w:vAlign w:val="top"/>
          </w:tcPr>
          <w:p>
            <w:pPr>
              <w:spacing w:after="0"/>
            </w:pPr>
            <w:r>
              <w:rPr>
                <w:sz w:val="15"/>
              </w:rPr>
              <w:t>Provincial cohesion trend</w:t>
            </w:r>
          </w:p>
        </w:tc>
        <w:tc>
          <w:tcPr>
            <w:tcW w:type="dxa" w:w="5141"/>
            <w:vAlign w:val="top"/>
          </w:tcPr>
          <w:p>
            <w:pPr>
              <w:spacing w:after="0"/>
            </w:pPr>
            <w:r>
              <w:rPr>
                <w:sz w:val="15"/>
              </w:rPr>
            </w:r>
          </w:p>
        </w:tc>
      </w:tr>
      <w:tr>
        <w:tc>
          <w:tcPr>
            <w:tcW w:type="dxa" w:w="5141"/>
            <w:vAlign w:val="top"/>
          </w:tcPr>
          <w:p>
            <w:pPr>
              <w:spacing w:after="0"/>
            </w:pPr>
            <w:r>
              <w:rPr>
                <w:sz w:val="15"/>
              </w:rPr>
              <w:t>Legal posture</w:t>
            </w:r>
          </w:p>
        </w:tc>
        <w:tc>
          <w:tcPr>
            <w:tcW w:type="dxa" w:w="5141"/>
            <w:vAlign w:val="top"/>
          </w:tcPr>
          <w:p>
            <w:pPr>
              <w:spacing w:after="0"/>
            </w:pPr>
            <w:r>
              <w:rPr>
                <w:sz w:val="15"/>
              </w:rPr>
            </w:r>
          </w:p>
        </w:tc>
      </w:tr>
      <w:tr>
        <w:tc>
          <w:tcPr>
            <w:tcW w:type="dxa" w:w="5141"/>
            <w:vAlign w:val="top"/>
          </w:tcPr>
          <w:p>
            <w:pPr>
              <w:spacing w:after="0"/>
            </w:pPr>
            <w:r>
              <w:rPr>
                <w:sz w:val="15"/>
              </w:rPr>
              <w:t>Next decision window</w:t>
            </w:r>
          </w:p>
        </w:tc>
        <w:tc>
          <w:tcPr>
            <w:tcW w:type="dxa" w:w="5141"/>
            <w:vAlign w:val="top"/>
          </w:tcPr>
          <w:p>
            <w:pPr>
              <w:spacing w:after="0"/>
            </w:pPr>
            <w:r>
              <w:rPr>
                <w:sz w:val="15"/>
              </w:rPr>
            </w:r>
          </w:p>
        </w:tc>
      </w:tr>
      <w:tr>
        <w:tc>
          <w:tcPr>
            <w:tcW w:type="dxa" w:w="5141"/>
            <w:vAlign w:val="top"/>
          </w:tcPr>
          <w:p>
            <w:pPr>
              <w:spacing w:after="0"/>
            </w:pPr>
            <w:r>
              <w:rPr>
                <w:sz w:val="15"/>
              </w:rPr>
              <w:t>Options prepared</w:t>
            </w:r>
          </w:p>
        </w:tc>
        <w:tc>
          <w:tcPr>
            <w:tcW w:type="dxa" w:w="5141"/>
            <w:vAlign w:val="top"/>
          </w:tcPr>
          <w:p>
            <w:pPr>
              <w:spacing w:after="0"/>
            </w:pPr>
            <w:r>
              <w:rPr>
                <w:sz w:val="15"/>
              </w:rPr>
            </w:r>
          </w:p>
        </w:tc>
      </w:tr>
      <w:tr>
        <w:tc>
          <w:tcPr>
            <w:tcW w:type="dxa" w:w="5141"/>
            <w:vAlign w:val="top"/>
          </w:tcPr>
          <w:p>
            <w:pPr>
              <w:spacing w:after="0"/>
            </w:pPr>
            <w:r>
              <w:rPr>
                <w:sz w:val="15"/>
              </w:rPr>
              <w:t>Best reversible action now</w:t>
            </w:r>
          </w:p>
        </w:tc>
        <w:tc>
          <w:tcPr>
            <w:tcW w:type="dxa" w:w="5141"/>
            <w:vAlign w:val="top"/>
          </w:tcPr>
          <w:p>
            <w:pPr>
              <w:spacing w:after="0"/>
            </w:pPr>
            <w:r>
              <w:rPr>
                <w:sz w:val="15"/>
              </w:rPr>
            </w:r>
          </w:p>
        </w:tc>
      </w:tr>
      <w:tr>
        <w:tc>
          <w:tcPr>
            <w:tcW w:type="dxa" w:w="5141"/>
            <w:vAlign w:val="top"/>
          </w:tcPr>
          <w:p>
            <w:pPr>
              <w:spacing w:after="0"/>
            </w:pPr>
            <w:r>
              <w:rPr>
                <w:sz w:val="15"/>
              </w:rPr>
              <w:t>What would make us change course?</w:t>
            </w:r>
          </w:p>
        </w:tc>
        <w:tc>
          <w:tcPr>
            <w:tcW w:type="dxa" w:w="5141"/>
            <w:vAlign w:val="top"/>
          </w:tcPr>
          <w:p>
            <w:pPr>
              <w:spacing w:after="0"/>
            </w:pPr>
            <w:r>
              <w:rPr>
                <w:sz w:val="15"/>
              </w:rPr>
            </w:r>
          </w:p>
        </w:tc>
      </w:tr>
    </w:tbl>
    <w:p>
      <w:r>
        <w:rPr>
          <w:b w:val="0"/>
          <w:i w:val="0"/>
        </w:rPr>
        <w:t>The card should fit on one page. Detailed annexes exist for officials who need them; senior decision-makers should not have to reverse-engineer the assessment from 80 slides.</w:t>
      </w:r>
    </w:p>
    <w:p>
      <w:pPr>
        <w:pStyle w:val="Heading1"/>
        <w:keepNext/>
        <w:spacing w:before="120" w:after="50"/>
      </w:pPr>
      <w:bookmarkStart w:id="630" w:name="_Toc9400630"/>
      <w:r>
        <w:t>52. Sample DPA: Illustrative, Not a Current Assessment</w:t>
      </w:r>
      <w:bookmarkEnd w:id="630"/>
    </w:p>
    <w:p>
      <w:r>
        <w:rPr>
          <w:b w:val="0"/>
          <w:i w:val="0"/>
        </w:rPr>
        <w:t>The following is a synthetic example demonstrating form only. It is not an assessment of current U.S. intentions.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Field</w:t>
            </w:r>
          </w:p>
        </w:tc>
        <w:tc>
          <w:tcPr>
            <w:tcW w:type="dxa" w:w="5141"/>
            <w:shd w:fill="D9E5F2"/>
          </w:tcPr>
          <w:p>
            <w:r>
              <w:rPr>
                <w:b/>
                <w:sz w:val="14"/>
              </w:rPr>
              <w:t>Illustrative entry</w:t>
            </w:r>
          </w:p>
        </w:tc>
      </w:tr>
      <w:tr>
        <w:tc>
          <w:tcPr>
            <w:tcW w:type="dxa" w:w="5141"/>
            <w:vAlign w:val="top"/>
          </w:tcPr>
          <w:p>
            <w:pPr>
              <w:spacing w:after="0"/>
            </w:pPr>
            <w:r>
              <w:rPr>
                <w:sz w:val="14"/>
              </w:rPr>
              <w:t>30-day probability</w:t>
            </w:r>
          </w:p>
        </w:tc>
        <w:tc>
          <w:tcPr>
            <w:tcW w:type="dxa" w:w="5141"/>
            <w:vAlign w:val="top"/>
          </w:tcPr>
          <w:p>
            <w:pPr>
              <w:spacing w:after="0"/>
            </w:pPr>
            <w:r>
              <w:rPr>
                <w:sz w:val="14"/>
              </w:rPr>
              <w:t>45–60%, moderate confidence, rising</w:t>
            </w:r>
          </w:p>
        </w:tc>
      </w:tr>
      <w:tr>
        <w:tc>
          <w:tcPr>
            <w:tcW w:type="dxa" w:w="5141"/>
            <w:vAlign w:val="top"/>
          </w:tcPr>
          <w:p>
            <w:pPr>
              <w:spacing w:after="0"/>
            </w:pPr>
            <w:r>
              <w:rPr>
                <w:sz w:val="14"/>
              </w:rPr>
              <w:t>Positive drivers</w:t>
            </w:r>
          </w:p>
        </w:tc>
        <w:tc>
          <w:tcPr>
            <w:tcW w:type="dxa" w:w="5141"/>
            <w:vAlign w:val="top"/>
          </w:tcPr>
          <w:p>
            <w:pPr>
              <w:spacing w:after="0"/>
            </w:pPr>
            <w:r>
              <w:rPr>
                <w:sz w:val="14"/>
              </w:rPr>
              <w:t>Working-level talks restored; narrow sector exemption under discussion; business coalition requests reciprocal pause</w:t>
            </w:r>
          </w:p>
        </w:tc>
      </w:tr>
      <w:tr>
        <w:tc>
          <w:tcPr>
            <w:tcW w:type="dxa" w:w="5141"/>
            <w:vAlign w:val="top"/>
          </w:tcPr>
          <w:p>
            <w:pPr>
              <w:spacing w:after="0"/>
            </w:pPr>
            <w:r>
              <w:rPr>
                <w:sz w:val="14"/>
              </w:rPr>
              <w:t>Blockers</w:t>
            </w:r>
          </w:p>
        </w:tc>
        <w:tc>
          <w:tcPr>
            <w:tcW w:type="dxa" w:w="5141"/>
            <w:vAlign w:val="top"/>
          </w:tcPr>
          <w:p>
            <w:pPr>
              <w:spacing w:after="0"/>
            </w:pPr>
            <w:r>
              <w:rPr>
                <w:sz w:val="14"/>
              </w:rPr>
              <w:t>Senior rhetoric remains hostile; tariff implementation guidance still active</w:t>
            </w:r>
          </w:p>
        </w:tc>
      </w:tr>
      <w:tr>
        <w:tc>
          <w:tcPr>
            <w:tcW w:type="dxa" w:w="5141"/>
            <w:vAlign w:val="top"/>
          </w:tcPr>
          <w:p>
            <w:pPr>
              <w:spacing w:after="0"/>
            </w:pPr>
            <w:r>
              <w:rPr>
                <w:sz w:val="14"/>
              </w:rPr>
              <w:t>Warning level</w:t>
            </w:r>
          </w:p>
        </w:tc>
        <w:tc>
          <w:tcPr>
            <w:tcW w:type="dxa" w:w="5141"/>
            <w:vAlign w:val="top"/>
          </w:tcPr>
          <w:p>
            <w:pPr>
              <w:spacing w:after="0"/>
            </w:pPr>
            <w:r>
              <w:rPr>
                <w:sz w:val="14"/>
              </w:rPr>
              <w:t>YELLOW</w:t>
            </w:r>
          </w:p>
        </w:tc>
      </w:tr>
      <w:tr>
        <w:tc>
          <w:tcPr>
            <w:tcW w:type="dxa" w:w="5141"/>
            <w:vAlign w:val="top"/>
          </w:tcPr>
          <w:p>
            <w:pPr>
              <w:spacing w:after="0"/>
            </w:pPr>
            <w:r>
              <w:rPr>
                <w:sz w:val="14"/>
              </w:rPr>
              <w:t>Alternative hypothesis</w:t>
            </w:r>
          </w:p>
        </w:tc>
        <w:tc>
          <w:tcPr>
            <w:tcW w:type="dxa" w:w="5141"/>
            <w:vAlign w:val="top"/>
          </w:tcPr>
          <w:p>
            <w:pPr>
              <w:spacing w:after="0"/>
            </w:pPr>
            <w:r>
              <w:rPr>
                <w:sz w:val="14"/>
              </w:rPr>
              <w:t>Talks are tactical and intended only to delay Canadian countermeasures</w:t>
            </w:r>
          </w:p>
        </w:tc>
      </w:tr>
      <w:tr>
        <w:tc>
          <w:tcPr>
            <w:tcW w:type="dxa" w:w="5141"/>
            <w:vAlign w:val="top"/>
          </w:tcPr>
          <w:p>
            <w:pPr>
              <w:spacing w:after="0"/>
            </w:pPr>
            <w:r>
              <w:rPr>
                <w:sz w:val="14"/>
              </w:rPr>
              <w:t>Falsifier</w:t>
            </w:r>
          </w:p>
        </w:tc>
        <w:tc>
          <w:tcPr>
            <w:tcW w:type="dxa" w:w="5141"/>
            <w:vAlign w:val="top"/>
          </w:tcPr>
          <w:p>
            <w:pPr>
              <w:spacing w:after="0"/>
            </w:pPr>
            <w:r>
              <w:rPr>
                <w:sz w:val="14"/>
              </w:rPr>
              <w:t>No technical meeting occurs by agreed date; exemption text fails to materialize</w:t>
            </w:r>
          </w:p>
        </w:tc>
      </w:tr>
      <w:tr>
        <w:tc>
          <w:tcPr>
            <w:tcW w:type="dxa" w:w="5141"/>
            <w:vAlign w:val="top"/>
          </w:tcPr>
          <w:p>
            <w:pPr>
              <w:spacing w:after="0"/>
            </w:pPr>
            <w:r>
              <w:rPr>
                <w:sz w:val="14"/>
              </w:rPr>
              <w:t>Canadian preparation</w:t>
            </w:r>
          </w:p>
        </w:tc>
        <w:tc>
          <w:tcPr>
            <w:tcW w:type="dxa" w:w="5141"/>
            <w:vAlign w:val="top"/>
          </w:tcPr>
          <w:p>
            <w:pPr>
              <w:spacing w:after="0"/>
            </w:pPr>
            <w:r>
              <w:rPr>
                <w:sz w:val="14"/>
              </w:rPr>
              <w:t>Draft reciprocal sector suspension, verification terms and anti-whipsaw restoration</w:t>
            </w:r>
          </w:p>
        </w:tc>
      </w:tr>
      <w:tr>
        <w:tc>
          <w:tcPr>
            <w:tcW w:type="dxa" w:w="5141"/>
            <w:vAlign w:val="top"/>
          </w:tcPr>
          <w:p>
            <w:pPr>
              <w:spacing w:after="0"/>
            </w:pPr>
            <w:r>
              <w:rPr>
                <w:sz w:val="14"/>
              </w:rPr>
              <w:t>Do not do</w:t>
            </w:r>
          </w:p>
        </w:tc>
        <w:tc>
          <w:tcPr>
            <w:tcW w:type="dxa" w:w="5141"/>
            <w:vAlign w:val="top"/>
          </w:tcPr>
          <w:p>
            <w:pPr>
              <w:spacing w:after="0"/>
            </w:pPr>
            <w:r>
              <w:rPr>
                <w:sz w:val="14"/>
              </w:rPr>
              <w:t>Treat friendly rhetoric alone as settlement</w:t>
            </w:r>
          </w:p>
        </w:tc>
      </w:tr>
    </w:tbl>
    <w:p>
      <w:pPr>
        <w:pStyle w:val="Heading1"/>
        <w:keepNext/>
        <w:spacing w:before="120" w:after="50"/>
      </w:pPr>
      <w:bookmarkStart w:id="631" w:name="_Toc9400631"/>
      <w:r>
        <w:t>53. Source Register and Institutional Anchors</w:t>
      </w:r>
      <w:bookmarkEnd w:id="631"/>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Anchor</w:t>
            </w:r>
          </w:p>
        </w:tc>
        <w:tc>
          <w:tcPr>
            <w:tcW w:type="dxa" w:w="3427"/>
            <w:shd w:fill="D9E5F2"/>
          </w:tcPr>
          <w:p>
            <w:r>
              <w:rPr>
                <w:b/>
                <w:sz w:val="14"/>
              </w:rPr>
              <w:t>Use</w:t>
            </w:r>
          </w:p>
        </w:tc>
        <w:tc>
          <w:tcPr>
            <w:tcW w:type="dxa" w:w="3427"/>
            <w:shd w:fill="D9E5F2"/>
          </w:tcPr>
          <w:p>
            <w:r>
              <w:rPr>
                <w:b/>
                <w:sz w:val="14"/>
              </w:rPr>
              <w:t>Authority</w:t>
            </w:r>
          </w:p>
        </w:tc>
      </w:tr>
      <w:tr>
        <w:tc>
          <w:tcPr>
            <w:tcW w:type="dxa" w:w="3427"/>
            <w:vAlign w:val="top"/>
          </w:tcPr>
          <w:p>
            <w:pPr>
              <w:spacing w:after="0"/>
            </w:pPr>
            <w:r>
              <w:rPr>
                <w:sz w:val="14"/>
              </w:rPr>
              <w:t>CSIS Mandate</w:t>
            </w:r>
          </w:p>
        </w:tc>
        <w:tc>
          <w:tcPr>
            <w:tcW w:type="dxa" w:w="3427"/>
            <w:vAlign w:val="top"/>
          </w:tcPr>
          <w:p>
            <w:pPr>
              <w:spacing w:after="0"/>
            </w:pPr>
            <w:r>
              <w:rPr>
                <w:sz w:val="14"/>
              </w:rPr>
              <w:t>Existing statutory security-intelligence role; framework does not expand it.</w:t>
            </w:r>
          </w:p>
        </w:tc>
        <w:tc>
          <w:tcPr>
            <w:tcW w:type="dxa" w:w="3427"/>
            <w:vAlign w:val="top"/>
          </w:tcPr>
          <w:p>
            <w:pPr>
              <w:spacing w:after="0"/>
            </w:pPr>
            <w:r>
              <w:rPr>
                <w:sz w:val="14"/>
              </w:rPr>
              <w:t>Canada.ca / Canadian Security Intelligence Service</w:t>
            </w:r>
          </w:p>
        </w:tc>
      </w:tr>
      <w:tr>
        <w:tc>
          <w:tcPr>
            <w:tcW w:type="dxa" w:w="3427"/>
            <w:vAlign w:val="top"/>
          </w:tcPr>
          <w:p>
            <w:pPr>
              <w:spacing w:after="0"/>
            </w:pPr>
            <w:r>
              <w:rPr>
                <w:sz w:val="14"/>
              </w:rPr>
              <w:t>Justice Canada 2026–27 Departmental Plan</w:t>
            </w:r>
          </w:p>
        </w:tc>
        <w:tc>
          <w:tcPr>
            <w:tcW w:type="dxa" w:w="3427"/>
            <w:vAlign w:val="top"/>
          </w:tcPr>
          <w:p>
            <w:pPr>
              <w:spacing w:after="0"/>
            </w:pPr>
            <w:r>
              <w:rPr>
                <w:sz w:val="14"/>
              </w:rPr>
              <w:t>Legal support for U.S. tariff response, CUSMA and economic-security priorities.</w:t>
            </w:r>
          </w:p>
        </w:tc>
        <w:tc>
          <w:tcPr>
            <w:tcW w:type="dxa" w:w="3427"/>
            <w:vAlign w:val="top"/>
          </w:tcPr>
          <w:p>
            <w:pPr>
              <w:spacing w:after="0"/>
            </w:pPr>
            <w:r>
              <w:rPr>
                <w:sz w:val="14"/>
              </w:rPr>
              <w:t>Justice Canada</w:t>
            </w:r>
          </w:p>
        </w:tc>
      </w:tr>
      <w:tr>
        <w:tc>
          <w:tcPr>
            <w:tcW w:type="dxa" w:w="3427"/>
            <w:vAlign w:val="top"/>
          </w:tcPr>
          <w:p>
            <w:pPr>
              <w:spacing w:after="0"/>
            </w:pPr>
            <w:r>
              <w:rPr>
                <w:sz w:val="14"/>
              </w:rPr>
              <w:t>Justice Legal Risk Management</w:t>
            </w:r>
          </w:p>
        </w:tc>
        <w:tc>
          <w:tcPr>
            <w:tcW w:type="dxa" w:w="3427"/>
            <w:vAlign w:val="top"/>
          </w:tcPr>
          <w:p>
            <w:pPr>
              <w:spacing w:after="0"/>
            </w:pPr>
            <w:r>
              <w:rPr>
                <w:sz w:val="14"/>
              </w:rPr>
              <w:t>Detection, avoidance, mitigation and management of legal risk.</w:t>
            </w:r>
          </w:p>
        </w:tc>
        <w:tc>
          <w:tcPr>
            <w:tcW w:type="dxa" w:w="3427"/>
            <w:vAlign w:val="top"/>
          </w:tcPr>
          <w:p>
            <w:pPr>
              <w:spacing w:after="0"/>
            </w:pPr>
            <w:r>
              <w:rPr>
                <w:sz w:val="14"/>
              </w:rPr>
              <w:t>Justice Canada</w:t>
            </w:r>
          </w:p>
        </w:tc>
      </w:tr>
      <w:tr>
        <w:tc>
          <w:tcPr>
            <w:tcW w:type="dxa" w:w="3427"/>
            <w:vAlign w:val="top"/>
          </w:tcPr>
          <w:p>
            <w:pPr>
              <w:spacing w:after="0"/>
            </w:pPr>
            <w:r>
              <w:rPr>
                <w:sz w:val="14"/>
              </w:rPr>
              <w:t>Government of Canada Public Opinion Research guidance</w:t>
            </w:r>
          </w:p>
        </w:tc>
        <w:tc>
          <w:tcPr>
            <w:tcW w:type="dxa" w:w="3427"/>
            <w:vAlign w:val="top"/>
          </w:tcPr>
          <w:p>
            <w:pPr>
              <w:spacing w:after="0"/>
            </w:pPr>
            <w:r>
              <w:rPr>
                <w:sz w:val="14"/>
              </w:rPr>
              <w:t>POR definition, governance, standards, privacy and political-neutrality requirements.</w:t>
            </w:r>
          </w:p>
        </w:tc>
        <w:tc>
          <w:tcPr>
            <w:tcW w:type="dxa" w:w="3427"/>
            <w:vAlign w:val="top"/>
          </w:tcPr>
          <w:p>
            <w:pPr>
              <w:spacing w:after="0"/>
            </w:pPr>
            <w:r>
              <w:rPr>
                <w:sz w:val="14"/>
              </w:rPr>
              <w:t>Treasury Board / PSPC</w:t>
            </w:r>
          </w:p>
        </w:tc>
      </w:tr>
      <w:tr>
        <w:tc>
          <w:tcPr>
            <w:tcW w:type="dxa" w:w="3427"/>
            <w:vAlign w:val="top"/>
          </w:tcPr>
          <w:p>
            <w:pPr>
              <w:spacing w:after="0"/>
            </w:pPr>
            <w:r>
              <w:rPr>
                <w:sz w:val="14"/>
              </w:rPr>
              <w:t>Statistics Canada international merchandise trade tables</w:t>
            </w:r>
          </w:p>
        </w:tc>
        <w:tc>
          <w:tcPr>
            <w:tcW w:type="dxa" w:w="3427"/>
            <w:vAlign w:val="top"/>
          </w:tcPr>
          <w:p>
            <w:pPr>
              <w:spacing w:after="0"/>
            </w:pPr>
            <w:r>
              <w:rPr>
                <w:sz w:val="14"/>
              </w:rPr>
              <w:t>Monthly trade by partner, commodity, industry, origin/destination and transport mode.</w:t>
            </w:r>
          </w:p>
        </w:tc>
        <w:tc>
          <w:tcPr>
            <w:tcW w:type="dxa" w:w="3427"/>
            <w:vAlign w:val="top"/>
          </w:tcPr>
          <w:p>
            <w:pPr>
              <w:spacing w:after="0"/>
            </w:pPr>
            <w:r>
              <w:rPr>
                <w:sz w:val="14"/>
              </w:rPr>
              <w:t>Statistics Canada</w:t>
            </w:r>
          </w:p>
        </w:tc>
      </w:tr>
      <w:tr>
        <w:tc>
          <w:tcPr>
            <w:tcW w:type="dxa" w:w="3427"/>
            <w:vAlign w:val="top"/>
          </w:tcPr>
          <w:p>
            <w:pPr>
              <w:spacing w:after="0"/>
            </w:pPr>
            <w:r>
              <w:rPr>
                <w:sz w:val="14"/>
              </w:rPr>
              <w:t>Statistics Canada release calendar</w:t>
            </w:r>
          </w:p>
        </w:tc>
        <w:tc>
          <w:tcPr>
            <w:tcW w:type="dxa" w:w="3427"/>
            <w:vAlign w:val="top"/>
          </w:tcPr>
          <w:p>
            <w:pPr>
              <w:spacing w:after="0"/>
            </w:pPr>
            <w:r>
              <w:rPr>
                <w:sz w:val="14"/>
              </w:rPr>
              <w:t>Scheduled major economic releases and trade-data refresh points.</w:t>
            </w:r>
          </w:p>
        </w:tc>
        <w:tc>
          <w:tcPr>
            <w:tcW w:type="dxa" w:w="3427"/>
            <w:vAlign w:val="top"/>
          </w:tcPr>
          <w:p>
            <w:pPr>
              <w:spacing w:after="0"/>
            </w:pPr>
            <w:r>
              <w:rPr>
                <w:sz w:val="14"/>
              </w:rPr>
              <w:t>Statistics Canada</w:t>
            </w:r>
          </w:p>
        </w:tc>
      </w:tr>
      <w:tr>
        <w:tc>
          <w:tcPr>
            <w:tcW w:type="dxa" w:w="3427"/>
            <w:vAlign w:val="top"/>
          </w:tcPr>
          <w:p>
            <w:pPr>
              <w:spacing w:after="0"/>
            </w:pPr>
            <w:r>
              <w:rPr>
                <w:sz w:val="14"/>
              </w:rPr>
              <w:t>Bank of Canada Business Outlook Survey</w:t>
            </w:r>
          </w:p>
        </w:tc>
        <w:tc>
          <w:tcPr>
            <w:tcW w:type="dxa" w:w="3427"/>
            <w:vAlign w:val="top"/>
          </w:tcPr>
          <w:p>
            <w:pPr>
              <w:spacing w:after="0"/>
            </w:pPr>
            <w:r>
              <w:rPr>
                <w:sz w:val="14"/>
              </w:rPr>
              <w:t>Structured business sentiment, trade uncertainty, export and investment signals.</w:t>
            </w:r>
          </w:p>
        </w:tc>
        <w:tc>
          <w:tcPr>
            <w:tcW w:type="dxa" w:w="3427"/>
            <w:vAlign w:val="top"/>
          </w:tcPr>
          <w:p>
            <w:pPr>
              <w:spacing w:after="0"/>
            </w:pPr>
            <w:r>
              <w:rPr>
                <w:sz w:val="14"/>
              </w:rPr>
              <w:t>Bank of Canada</w:t>
            </w:r>
          </w:p>
        </w:tc>
      </w:tr>
      <w:tr>
        <w:tc>
          <w:tcPr>
            <w:tcW w:type="dxa" w:w="3427"/>
            <w:vAlign w:val="top"/>
          </w:tcPr>
          <w:p>
            <w:pPr>
              <w:spacing w:after="0"/>
            </w:pPr>
            <w:r>
              <w:rPr>
                <w:sz w:val="14"/>
              </w:rPr>
              <w:t>Federal/departmental legal and privacy authorities</w:t>
            </w:r>
          </w:p>
        </w:tc>
        <w:tc>
          <w:tcPr>
            <w:tcW w:type="dxa" w:w="3427"/>
            <w:vAlign w:val="top"/>
          </w:tcPr>
          <w:p>
            <w:pPr>
              <w:spacing w:after="0"/>
            </w:pPr>
            <w:r>
              <w:rPr>
                <w:sz w:val="14"/>
              </w:rPr>
              <w:t>Must be validated for each information-sharing arrangement.</w:t>
            </w:r>
          </w:p>
        </w:tc>
        <w:tc>
          <w:tcPr>
            <w:tcW w:type="dxa" w:w="3427"/>
            <w:vAlign w:val="top"/>
          </w:tcPr>
          <w:p>
            <w:pPr>
              <w:spacing w:after="0"/>
            </w:pPr>
            <w:r>
              <w:rPr>
                <w:sz w:val="14"/>
              </w:rPr>
              <w:t>Responsible institutions</w:t>
            </w:r>
          </w:p>
        </w:tc>
      </w:tr>
    </w:tbl>
    <w:p>
      <w:pPr>
        <w:pStyle w:val="Heading2"/>
        <w:keepNext/>
        <w:spacing w:before="120" w:after="50"/>
      </w:pPr>
      <w:bookmarkStart w:id="632" w:name="_Toc9400632"/>
      <w:r>
        <w:t>Validation Note</w:t>
      </w:r>
      <w:bookmarkEnd w:id="632"/>
    </w:p>
    <w:p>
      <w:r>
        <w:rPr>
          <w:b w:val="0"/>
          <w:i w:val="0"/>
        </w:rPr>
        <w:t>This framework is a policy design, not a statement that every proposed governance mechanism currently exists. Before implementation, participating institutions would need to validate authorities, information-sharing arrangements, security classifications, privacy impacts, records management, Cabinet-confidence handling, solicitor-client privilege, procurement/POR rules and departmental mandates.</w:t>
      </w:r>
    </w:p>
    <w:p>
      <w:pPr>
        <w:pStyle w:val="Heading1"/>
        <w:keepNext/>
        <w:spacing w:before="120" w:after="50"/>
      </w:pPr>
      <w:bookmarkStart w:id="633" w:name="_Toc9400633"/>
      <w:r>
        <w:t>54. Final Doctrine</w:t>
      </w:r>
      <w:bookmarkEnd w:id="633"/>
    </w:p>
    <w:p>
      <w:r>
        <w:rPr>
          <w:b w:val="0"/>
          <w:i w:val="0"/>
        </w:rPr>
        <w:t>Canada does not need a 'spy network' for economic statecraft. It needs something less cinematic and more useful: a disciplined way to know what it knows, know what it does not know, detect meaningful change, challenge its own assumptions, and place the right warning in front of the right decision-maker before the window closes.</w:t>
      </w:r>
    </w:p>
    <w:p>
      <w:r>
        <w:rPr>
          <w:b w:val="0"/>
          <w:i w:val="0"/>
        </w:rPr>
        <w:t>The De-escalation Probability Assessment is the centre of gravity because it forces the system to search for openings as actively as it searches for threats. The escalation-warning architecture supplies preparation time. The Canadian-harm dashboard prevents strategic abstraction from outrunning domestic endurance. The legal, privacy and democratic firewalls keep situational awareness from mutating into surveillance.</w:t>
      </w:r>
    </w:p>
    <w:p>
      <w:pPr>
        <w:pStyle w:val="Heading2"/>
        <w:keepNext/>
        <w:spacing w:before="120" w:after="50"/>
      </w:pPr>
      <w:bookmarkStart w:id="634" w:name="_Toc9400634"/>
      <w:r>
        <w:t>Five Rules to Remember</w:t>
      </w:r>
      <w:bookmarkEnd w:id="634"/>
    </w:p>
    <w:p>
      <w:pPr>
        <w:pStyle w:val="ListBullet"/>
        <w:spacing w:after="40"/>
      </w:pPr>
      <w:r>
        <w:t>Secret information is not automatically better information.</w:t>
      </w:r>
    </w:p>
    <w:p>
      <w:pPr>
        <w:pStyle w:val="ListBullet"/>
        <w:spacing w:after="40"/>
      </w:pPr>
      <w:r>
        <w:t>A warning is a call to prepare, not a command to retaliate.</w:t>
      </w:r>
    </w:p>
    <w:p>
      <w:pPr>
        <w:pStyle w:val="ListBullet"/>
        <w:spacing w:after="40"/>
      </w:pPr>
      <w:r>
        <w:t>A friendly statement is not a concession until behaviour changes.</w:t>
      </w:r>
    </w:p>
    <w:p>
      <w:pPr>
        <w:pStyle w:val="ListBullet"/>
        <w:spacing w:after="40"/>
      </w:pPr>
      <w:r>
        <w:t>Public opinion is context, not a target.</w:t>
      </w:r>
    </w:p>
    <w:p>
      <w:pPr>
        <w:pStyle w:val="ListBullet"/>
        <w:spacing w:after="40"/>
      </w:pPr>
      <w:r>
        <w:t>The best early-warning system helps Canada recognize the moment it can safely stop escalating.</w:t>
      </w:r>
    </w:p>
    <w:p>
      <w:pPr>
        <w:spacing w:before="500"/>
        <w:jc w:val="center"/>
      </w:pPr>
      <w:r>
        <w:rPr>
          <w:b/>
          <w:sz w:val="26"/>
        </w:rPr>
        <w:t>See early. Think clearly. Warn lawfully. Keep the off-ramp visible.</w:t>
      </w:r>
    </w:p>
    <w:sectPr w:rsidR="00FC693F" w:rsidRPr="0006063C" w:rsidSect="00034616">
      <w:headerReference w:type="default" r:id="rId9"/>
      <w:footerReference w:type="default" r:id="rId10"/>
      <w:pgSz w:w="12240" w:h="15840"/>
      <w:pgMar w:top="821" w:right="979" w:bottom="82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B0BEC5"/>
      </w:pBdr>
      <w:jc w:val="center"/>
    </w:pPr>
    <w:r>
      <w:rPr>
        <w:rFonts w:ascii="Aptos" w:hAnsi="Aptos"/>
        <w:color w:val="5A7CA6"/>
        <w:sz w:val="15"/>
      </w:rPr>
      <w:t xml:space="preserve">Version 1.0  ·  August 2026   |   Page </w:t>
    </w:r>
    <w:r>
      <w:rPr>
        <w:rFonts w:ascii="Aptos" w:hAnsi="Aptos"/>
        <w:color w:val="5A7CA6"/>
        <w:sz w:val="15"/>
      </w:rPr>
      <w:fldChar w:fldCharType="begin"/>
    </w:r>
    <w:r>
      <w:rPr>
        <w:rFonts w:ascii="Aptos" w:hAnsi="Aptos"/>
        <w:color w:val="5A7CA6"/>
        <w:sz w:val="15"/>
      </w:rPr>
      <w:instrText xml:space="preserve"> PAGE </w:instrText>
    </w:r>
    <w:r>
      <w:rPr>
        <w:rFonts w:ascii="Aptos" w:hAnsi="Aptos"/>
        <w:color w:val="5A7CA6"/>
        <w:sz w:val="15"/>
      </w:rPr>
      <w:fldChar w:fldCharType="separate"/>
    </w:r>
    <w:r>
      <w:rPr>
        <w:rFonts w:ascii="Aptos" w:hAnsi="Aptos"/>
        <w:color w:val="5A7CA6"/>
        <w:sz w:val="15"/>
      </w:rPr>
      <w:t>1</w:t>
    </w:r>
    <w:r>
      <w:rPr>
        <w:rFonts w:ascii="Aptos" w:hAnsi="Aptos"/>
        <w:color w:val="5A7CA6"/>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4" w:color="B0BEC5"/>
      </w:pBdr>
      <w:jc w:val="right"/>
    </w:pPr>
    <w:r>
      <w:rPr>
        <w:rFonts w:ascii="Aptos" w:hAnsi="Aptos"/>
        <w:caps/>
        <w:color w:val="5A7CA6"/>
        <w:sz w:val="15"/>
      </w:rPr>
      <w:t>The Economic Statecraft Situational Awareness and Early-Warning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9614"/>
      </w:tabs>
      <w:spacing w:before="90" w:after="20"/>
    </w:pPr>
    <w:rPr>
      <w:rFonts w:ascii="Aptos" w:hAnsi="Aptos"/>
      <w:b/>
      <w:color w:val="365F91"/>
      <w:sz w:val="19"/>
    </w:rPr>
  </w:style>
  <w:style w:type="paragraph" w:styleId="TOC2">
    <w:name w:val="toc 2"/>
    <w:basedOn w:val="Normal"/>
    <w:next w:val="Normal"/>
    <w:autoRedefine/>
    <w:uiPriority w:val="39"/>
    <w:unhideWhenUsed/>
    <w:pPr>
      <w:tabs>
        <w:tab w:val="right" w:leader="dot" w:pos="9614"/>
      </w:tabs>
      <w:spacing w:after="10"/>
      <w:ind w:left="300"/>
    </w:pPr>
    <w:rPr>
      <w:rFonts w:ascii="Aptos" w:hAnsi="Aptos"/>
      <w:color w:val="4F81BD"/>
      <w:sz w:val="17"/>
    </w:rPr>
  </w:style>
  <w:style w:type="character" w:styleId="Hyperlink">
    <w:name w:val="Hyperlink"/>
    <w:basedOn w:val="DefaultParagraphFont"/>
    <w:uiPriority w:val="99"/>
    <w:unhideWhenUsed/>
    <w:rPr>
      <w:color w:val="365F9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