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900" w:after="0"/>
        <w:jc w:val="center"/>
      </w:pPr>
    </w:p>
    <w:p>
      <w:pPr>
        <w:spacing w:after="240"/>
        <w:jc w:val="center"/>
      </w:pPr>
      <w:r>
        <w:rPr>
          <w:rFonts w:ascii="Aptos" w:hAnsi="Aptos"/>
          <w:caps/>
          <w:color w:val="5A7CA6"/>
          <w:spacing w:val="30"/>
          <w:sz w:val="18"/>
        </w:rPr>
        <w:t>Operational Public-Diplomacy Framework</w:t>
      </w:r>
    </w:p>
    <w:p>
      <w:pPr>
        <w:spacing w:after="280"/>
        <w:jc w:val="center"/>
      </w:pPr>
      <w:r>
        <w:rPr>
          <w:rFonts w:ascii="Aptos Display" w:hAnsi="Aptos Display"/>
          <w:b/>
          <w:color w:val="365F91"/>
          <w:spacing w:val="10"/>
          <w:sz w:val="40"/>
        </w:rPr>
        <w:t>The Canadian-American Friendship</w:t>
      </w:r>
    </w:p>
    <w:p>
      <w:pPr>
        <w:spacing w:after="380"/>
        <w:jc w:val="center"/>
      </w:pPr>
      <w:r>
        <w:rPr>
          <w:rFonts w:ascii="Aptos Display" w:hAnsi="Aptos Display"/>
          <w:b/>
          <w:color w:val="365F91"/>
          <w:spacing w:val="10"/>
          <w:sz w:val="40"/>
        </w:rPr>
        <w:t>and Public Diplomacy Strategy</w:t>
      </w:r>
    </w:p>
    <w:p>
      <w:pPr>
        <w:spacing w:after="240"/>
        <w:jc w:val="center"/>
      </w:pPr>
      <w:r>
        <w:rPr>
          <w:rFonts w:ascii="Aptos" w:hAnsi="Aptos"/>
          <w:i/>
          <w:color w:val="4F81BD"/>
          <w:sz w:val="26"/>
        </w:rPr>
        <w:t>Firm on Policy, Open to People</w:t>
      </w:r>
    </w:p>
    <w:p>
      <w:pPr>
        <w:spacing w:after="440"/>
        <w:jc w:val="center"/>
      </w:pPr>
      <w:r>
        <w:rPr>
          <w:rFonts w:ascii="Aptos" w:hAnsi="Aptos"/>
          <w:b/>
          <w:color w:val="365F91"/>
          <w:sz w:val="21"/>
        </w:rPr>
        <w:t>Dispute with the policy, not the people.</w:t>
      </w:r>
    </w:p>
    <w:p>
      <w:pPr>
        <w:pBdr>
          <w:bottom w:val="single" w:sz="6" w:space="1" w:color="4F81BD"/>
        </w:pBdr>
        <w:spacing w:after="440"/>
        <w:ind w:left="2200" w:right="2200"/>
      </w:pPr>
    </w:p>
    <w:p>
      <w:pPr>
        <w:spacing w:after="140"/>
        <w:jc w:val="center"/>
      </w:pPr>
      <w:r>
        <w:rPr>
          <w:rFonts w:ascii="Aptos" w:hAnsi="Aptos"/>
          <w:sz w:val="22"/>
        </w:rPr>
        <w:t>Version 1.1  ·  August 2026</w:t>
      </w:r>
    </w:p>
    <w:p>
      <w:pPr>
        <w:spacing w:after="140"/>
        <w:jc w:val="center"/>
      </w:pPr>
      <w:r>
        <w:rPr>
          <w:rFonts w:ascii="Aptos" w:hAnsi="Aptos"/>
          <w:color w:val="5A7CA6"/>
          <w:sz w:val="20"/>
        </w:rPr>
        <w:t>Trade-War Continuity, Relationship Protection, and Reconciliation Architecture</w:t>
      </w:r>
    </w:p>
    <w:p>
      <w:pPr>
        <w:spacing w:after="1000"/>
        <w:jc w:val="center"/>
      </w:pPr>
      <w:r>
        <w:rPr>
          <w:rFonts w:ascii="Aptos" w:hAnsi="Aptos"/>
          <w:i/>
          <w:color w:val="78909C"/>
          <w:sz w:val="18"/>
        </w:rPr>
        <w:t>Reference architecture · for policy review and expert validation</w:t>
      </w:r>
    </w:p>
    <w:p>
      <w:pPr>
        <w:spacing w:after="80"/>
        <w:jc w:val="center"/>
      </w:pPr>
      <w:r>
        <w:rPr>
          <w:rFonts w:ascii="Aptos" w:hAnsi="Aptos"/>
          <w:b/>
          <w:color w:val="365F91"/>
          <w:sz w:val="20"/>
        </w:rPr>
        <w:t>A Non-Partisan, Transparent Public-Diplomacy Framework</w:t>
      </w:r>
    </w:p>
    <w:p>
      <w:pPr>
        <w:spacing w:after="80"/>
        <w:jc w:val="center"/>
      </w:pPr>
      <w:r>
        <w:rPr>
          <w:rFonts w:ascii="Aptos" w:hAnsi="Aptos"/>
          <w:color w:val="5A7CA6"/>
          <w:sz w:val="19"/>
        </w:rPr>
        <w:t>Prepared for Policy Review and Expert Validation</w:t>
      </w:r>
    </w:p>
    <w:p>
      <w:pPr>
        <w:sectPr>
          <w:pgSz w:w="12240" w:h="15840"/>
          <w:pgMar w:top="1440" w:right="1440" w:bottom="1440" w:left="1440" w:header="720" w:footer="720" w:gutter="0"/>
          <w:pgBorders w:offsetFrom="page">
            <w:top w:val="double" w:sz="6" w:space="24" w:color="365F91"/>
            <w:left w:val="double" w:sz="6" w:space="24" w:color="365F91"/>
            <w:bottom w:val="double" w:sz="6" w:space="24" w:color="365F91"/>
            <w:right w:val="double" w:sz="6" w:space="24" w:color="365F91"/>
          </w:pgBorders>
          <w:cols w:space="720"/>
        </w:sectPr>
      </w:pPr>
    </w:p>
    <w:p>
      <w:pPr>
        <w:keepNext/>
        <w:spacing w:after="360"/>
      </w:pPr>
      <w:r>
        <w:rPr>
          <w:rFonts w:ascii="Aptos Display" w:hAnsi="Aptos Display"/>
          <w:b/>
          <w:caps/>
          <w:color w:val="365F91"/>
          <w:sz w:val="32"/>
        </w:rPr>
        <w:t>Table of Contents</w:t>
      </w:r>
    </w:p>
    <w:p>
      <w:pPr>
        <w:pStyle w:val="TOC1"/>
      </w:pPr>
      <w:r>
        <w:fldChar w:fldCharType="begin" w:dirty="true"/>
      </w:r>
      <w:r>
        <w:instrText xml:space="preserve"> TOC \o "1-2" \h \z \u </w:instrText>
      </w:r>
      <w:r>
        <w:fldChar w:fldCharType="separate"/>
      </w:r>
      <w:hyperlink w:anchor="_Toc9100201" w:history="1">
        <w:r>
          <w:rPr>
            <w:rStyle w:val="Hyperlink"/>
          </w:rPr>
          <w:t>Executive Status Note</w:t>
        </w:r>
        <w:r>
          <w:tab/>
        </w:r>
        <w:r>
          <w:fldChar w:fldCharType="begin"/>
        </w:r>
        <w:r>
          <w:instrText xml:space="preserve"> PAGEREF _Toc9100201 \h </w:instrText>
        </w:r>
        <w:r>
          <w:fldChar w:fldCharType="separate"/>
        </w:r>
        <w:r>
          <w:t>4</w:t>
        </w:r>
        <w:r>
          <w:fldChar w:fldCharType="end"/>
        </w:r>
      </w:hyperlink>
    </w:p>
    <w:p>
      <w:pPr>
        <w:pStyle w:val="TOC2"/>
      </w:pPr>
      <w:hyperlink w:anchor="_Toc9100202" w:history="1">
        <w:r>
          <w:rPr>
            <w:rStyle w:val="Hyperlink"/>
          </w:rPr>
          <w:t>Strategic Objective</w:t>
        </w:r>
        <w:r>
          <w:tab/>
        </w:r>
        <w:r>
          <w:fldChar w:fldCharType="begin"/>
        </w:r>
        <w:r>
          <w:instrText xml:space="preserve"> PAGEREF _Toc9100202 \h </w:instrText>
        </w:r>
        <w:r>
          <w:fldChar w:fldCharType="separate"/>
        </w:r>
        <w:r>
          <w:t>4</w:t>
        </w:r>
        <w:r>
          <w:fldChar w:fldCharType="end"/>
        </w:r>
      </w:hyperlink>
    </w:p>
    <w:p>
      <w:pPr>
        <w:pStyle w:val="TOC2"/>
      </w:pPr>
      <w:hyperlink w:anchor="_Toc9100203" w:history="1">
        <w:r>
          <w:rPr>
            <w:rStyle w:val="Hyperlink"/>
          </w:rPr>
          <w:t>Desired End State</w:t>
        </w:r>
        <w:r>
          <w:tab/>
        </w:r>
        <w:r>
          <w:fldChar w:fldCharType="begin"/>
        </w:r>
        <w:r>
          <w:instrText xml:space="preserve"> PAGEREF _Toc9100203 \h </w:instrText>
        </w:r>
        <w:r>
          <w:fldChar w:fldCharType="separate"/>
        </w:r>
        <w:r>
          <w:t>4</w:t>
        </w:r>
        <w:r>
          <w:fldChar w:fldCharType="end"/>
        </w:r>
      </w:hyperlink>
    </w:p>
    <w:p>
      <w:pPr>
        <w:pStyle w:val="TOC2"/>
      </w:pPr>
      <w:hyperlink w:anchor="_Toc9100204" w:history="1">
        <w:r>
          <w:rPr>
            <w:rStyle w:val="Hyperlink"/>
          </w:rPr>
          <w:t>Operating Formula</w:t>
        </w:r>
        <w:r>
          <w:tab/>
        </w:r>
        <w:r>
          <w:fldChar w:fldCharType="begin"/>
        </w:r>
        <w:r>
          <w:instrText xml:space="preserve"> PAGEREF _Toc9100204 \h </w:instrText>
        </w:r>
        <w:r>
          <w:fldChar w:fldCharType="separate"/>
        </w:r>
        <w:r>
          <w:t>4</w:t>
        </w:r>
        <w:r>
          <w:fldChar w:fldCharType="end"/>
        </w:r>
      </w:hyperlink>
    </w:p>
    <w:p>
      <w:pPr>
        <w:pStyle w:val="TOC1"/>
      </w:pPr>
      <w:hyperlink w:anchor="_Toc9100205" w:history="1">
        <w:r>
          <w:rPr>
            <w:rStyle w:val="Hyperlink"/>
          </w:rPr>
          <w:t>Part I — Doctrine and Strategic Logic</w:t>
        </w:r>
        <w:r>
          <w:tab/>
        </w:r>
        <w:r>
          <w:fldChar w:fldCharType="begin"/>
        </w:r>
        <w:r>
          <w:instrText xml:space="preserve"> PAGEREF _Toc9100205 \h </w:instrText>
        </w:r>
        <w:r>
          <w:fldChar w:fldCharType="separate"/>
        </w:r>
        <w:r>
          <w:t>7</w:t>
        </w:r>
        <w:r>
          <w:fldChar w:fldCharType="end"/>
        </w:r>
      </w:hyperlink>
    </w:p>
    <w:p>
      <w:pPr>
        <w:pStyle w:val="TOC2"/>
      </w:pPr>
      <w:hyperlink w:anchor="_Toc9100206" w:history="1">
        <w:r>
          <w:rPr>
            <w:rStyle w:val="Hyperlink"/>
          </w:rPr>
          <w:t>1.1 Core Doctrine</w:t>
        </w:r>
        <w:r>
          <w:tab/>
        </w:r>
        <w:r>
          <w:fldChar w:fldCharType="begin"/>
        </w:r>
        <w:r>
          <w:instrText xml:space="preserve"> PAGEREF _Toc9100206 \h </w:instrText>
        </w:r>
        <w:r>
          <w:fldChar w:fldCharType="separate"/>
        </w:r>
        <w:r>
          <w:t>7</w:t>
        </w:r>
        <w:r>
          <w:fldChar w:fldCharType="end"/>
        </w:r>
      </w:hyperlink>
    </w:p>
    <w:p>
      <w:pPr>
        <w:pStyle w:val="TOC2"/>
      </w:pPr>
      <w:hyperlink w:anchor="_Toc9100207" w:history="1">
        <w:r>
          <w:rPr>
            <w:rStyle w:val="Hyperlink"/>
          </w:rPr>
          <w:t>1.2 The Kindness Principle</w:t>
        </w:r>
        <w:r>
          <w:tab/>
        </w:r>
        <w:r>
          <w:fldChar w:fldCharType="begin"/>
        </w:r>
        <w:r>
          <w:instrText xml:space="preserve"> PAGEREF _Toc9100207 \h </w:instrText>
        </w:r>
        <w:r>
          <w:fldChar w:fldCharType="separate"/>
        </w:r>
        <w:r>
          <w:t>7</w:t>
        </w:r>
        <w:r>
          <w:fldChar w:fldCharType="end"/>
        </w:r>
      </w:hyperlink>
    </w:p>
    <w:p>
      <w:pPr>
        <w:pStyle w:val="TOC2"/>
      </w:pPr>
      <w:hyperlink w:anchor="_Toc9100208" w:history="1">
        <w:r>
          <w:rPr>
            <w:rStyle w:val="Hyperlink"/>
          </w:rPr>
          <w:t>1.3 Strategic Theory of Change</w:t>
        </w:r>
        <w:r>
          <w:tab/>
        </w:r>
        <w:r>
          <w:fldChar w:fldCharType="begin"/>
        </w:r>
        <w:r>
          <w:instrText xml:space="preserve"> PAGEREF _Toc9100208 \h </w:instrText>
        </w:r>
        <w:r>
          <w:fldChar w:fldCharType="separate"/>
        </w:r>
        <w:r>
          <w:t>7</w:t>
        </w:r>
        <w:r>
          <w:fldChar w:fldCharType="end"/>
        </w:r>
      </w:hyperlink>
    </w:p>
    <w:p>
      <w:pPr>
        <w:pStyle w:val="TOC2"/>
      </w:pPr>
      <w:hyperlink w:anchor="_Toc9100209" w:history="1">
        <w:r>
          <w:rPr>
            <w:rStyle w:val="Hyperlink"/>
          </w:rPr>
          <w:t>1.4 Non-Negotiable Principles</w:t>
        </w:r>
        <w:r>
          <w:tab/>
        </w:r>
        <w:r>
          <w:fldChar w:fldCharType="begin"/>
        </w:r>
        <w:r>
          <w:instrText xml:space="preserve"> PAGEREF _Toc9100209 \h </w:instrText>
        </w:r>
        <w:r>
          <w:fldChar w:fldCharType="separate"/>
        </w:r>
        <w:r>
          <w:t>8</w:t>
        </w:r>
        <w:r>
          <w:fldChar w:fldCharType="end"/>
        </w:r>
      </w:hyperlink>
    </w:p>
    <w:p>
      <w:pPr>
        <w:pStyle w:val="TOC2"/>
      </w:pPr>
      <w:hyperlink w:anchor="_Toc9100210" w:history="1">
        <w:r>
          <w:rPr>
            <w:rStyle w:val="Hyperlink"/>
          </w:rPr>
          <w:t>1.5 Vocabulary Doctrine</w:t>
        </w:r>
        <w:r>
          <w:tab/>
        </w:r>
        <w:r>
          <w:fldChar w:fldCharType="begin"/>
        </w:r>
        <w:r>
          <w:instrText xml:space="preserve"> PAGEREF _Toc9100210 \h </w:instrText>
        </w:r>
        <w:r>
          <w:fldChar w:fldCharType="separate"/>
        </w:r>
        <w:r>
          <w:t>8</w:t>
        </w:r>
        <w:r>
          <w:fldChar w:fldCharType="end"/>
        </w:r>
      </w:hyperlink>
    </w:p>
    <w:p>
      <w:pPr>
        <w:pStyle w:val="TOC1"/>
      </w:pPr>
      <w:hyperlink w:anchor="_Toc9100211" w:history="1">
        <w:r>
          <w:rPr>
            <w:rStyle w:val="Hyperlink"/>
          </w:rPr>
          <w:t>Part II — Current Conflict Baseline</w:t>
        </w:r>
        <w:r>
          <w:tab/>
        </w:r>
        <w:r>
          <w:fldChar w:fldCharType="begin"/>
        </w:r>
        <w:r>
          <w:instrText xml:space="preserve"> PAGEREF _Toc9100211 \h </w:instrText>
        </w:r>
        <w:r>
          <w:fldChar w:fldCharType="separate"/>
        </w:r>
        <w:r>
          <w:t>9</w:t>
        </w:r>
        <w:r>
          <w:fldChar w:fldCharType="end"/>
        </w:r>
      </w:hyperlink>
    </w:p>
    <w:p>
      <w:pPr>
        <w:pStyle w:val="TOC2"/>
      </w:pPr>
      <w:hyperlink w:anchor="_Toc9100212" w:history="1">
        <w:r>
          <w:rPr>
            <w:rStyle w:val="Hyperlink"/>
          </w:rPr>
          <w:t>2.1 Situation as of 28 August 2026</w:t>
        </w:r>
        <w:r>
          <w:tab/>
        </w:r>
        <w:r>
          <w:fldChar w:fldCharType="begin"/>
        </w:r>
        <w:r>
          <w:instrText xml:space="preserve"> PAGEREF _Toc9100212 \h </w:instrText>
        </w:r>
        <w:r>
          <w:fldChar w:fldCharType="separate"/>
        </w:r>
        <w:r>
          <w:t>9</w:t>
        </w:r>
        <w:r>
          <w:fldChar w:fldCharType="end"/>
        </w:r>
      </w:hyperlink>
    </w:p>
    <w:p>
      <w:pPr>
        <w:pStyle w:val="TOC2"/>
      </w:pPr>
      <w:hyperlink w:anchor="_Toc9100213" w:history="1">
        <w:r>
          <w:rPr>
            <w:rStyle w:val="Hyperlink"/>
          </w:rPr>
          <w:t>2.2 Existing Canadian Posture to Preserve</w:t>
        </w:r>
        <w:r>
          <w:tab/>
        </w:r>
        <w:r>
          <w:fldChar w:fldCharType="begin"/>
        </w:r>
        <w:r>
          <w:instrText xml:space="preserve"> PAGEREF _Toc9100213 \h </w:instrText>
        </w:r>
        <w:r>
          <w:fldChar w:fldCharType="separate"/>
        </w:r>
        <w:r>
          <w:t>9</w:t>
        </w:r>
        <w:r>
          <w:fldChar w:fldCharType="end"/>
        </w:r>
      </w:hyperlink>
    </w:p>
    <w:p>
      <w:pPr>
        <w:pStyle w:val="TOC2"/>
      </w:pPr>
      <w:hyperlink w:anchor="_Toc9100214" w:history="1">
        <w:r>
          <w:rPr>
            <w:rStyle w:val="Hyperlink"/>
          </w:rPr>
          <w:t>2.3 Bilateral Assets That Still Exist</w:t>
        </w:r>
        <w:r>
          <w:tab/>
        </w:r>
        <w:r>
          <w:fldChar w:fldCharType="begin"/>
        </w:r>
        <w:r>
          <w:instrText xml:space="preserve"> PAGEREF _Toc9100214 \h </w:instrText>
        </w:r>
        <w:r>
          <w:fldChar w:fldCharType="separate"/>
        </w:r>
        <w:r>
          <w:t>9</w:t>
        </w:r>
        <w:r>
          <w:fldChar w:fldCharType="end"/>
        </w:r>
      </w:hyperlink>
    </w:p>
    <w:p>
      <w:pPr>
        <w:pStyle w:val="TOC2"/>
      </w:pPr>
      <w:hyperlink w:anchor="_Toc9100215" w:history="1">
        <w:r>
          <w:rPr>
            <w:rStyle w:val="Hyperlink"/>
          </w:rPr>
          <w:t>2.4 Strategic Problem</w:t>
        </w:r>
        <w:r>
          <w:tab/>
        </w:r>
        <w:r>
          <w:fldChar w:fldCharType="begin"/>
        </w:r>
        <w:r>
          <w:instrText xml:space="preserve"> PAGEREF _Toc9100215 \h </w:instrText>
        </w:r>
        <w:r>
          <w:fldChar w:fldCharType="separate"/>
        </w:r>
        <w:r>
          <w:t>9</w:t>
        </w:r>
        <w:r>
          <w:fldChar w:fldCharType="end"/>
        </w:r>
      </w:hyperlink>
    </w:p>
    <w:p>
      <w:pPr>
        <w:pStyle w:val="TOC1"/>
      </w:pPr>
      <w:hyperlink w:anchor="_Toc9100216" w:history="1">
        <w:r>
          <w:rPr>
            <w:rStyle w:val="Hyperlink"/>
          </w:rPr>
          <w:t>Part III — Governance and Command Architecture</w:t>
        </w:r>
        <w:r>
          <w:tab/>
        </w:r>
        <w:r>
          <w:fldChar w:fldCharType="begin"/>
        </w:r>
        <w:r>
          <w:instrText xml:space="preserve"> PAGEREF _Toc9100216 \h </w:instrText>
        </w:r>
        <w:r>
          <w:fldChar w:fldCharType="separate"/>
        </w:r>
        <w:r>
          <w:t>10</w:t>
        </w:r>
        <w:r>
          <w:fldChar w:fldCharType="end"/>
        </w:r>
      </w:hyperlink>
    </w:p>
    <w:p>
      <w:pPr>
        <w:pStyle w:val="TOC2"/>
      </w:pPr>
      <w:hyperlink w:anchor="_Toc9100217" w:history="1">
        <w:r>
          <w:rPr>
            <w:rStyle w:val="Hyperlink"/>
          </w:rPr>
          <w:t>3.1 Lead Structure</w:t>
        </w:r>
        <w:r>
          <w:tab/>
        </w:r>
        <w:r>
          <w:fldChar w:fldCharType="begin"/>
        </w:r>
        <w:r>
          <w:instrText xml:space="preserve"> PAGEREF _Toc9100217 \h </w:instrText>
        </w:r>
        <w:r>
          <w:fldChar w:fldCharType="separate"/>
        </w:r>
        <w:r>
          <w:t>10</w:t>
        </w:r>
        <w:r>
          <w:fldChar w:fldCharType="end"/>
        </w:r>
      </w:hyperlink>
    </w:p>
    <w:p>
      <w:pPr>
        <w:pStyle w:val="TOC2"/>
      </w:pPr>
      <w:hyperlink w:anchor="_Toc9100218" w:history="1">
        <w:r>
          <w:rPr>
            <w:rStyle w:val="Hyperlink"/>
          </w:rPr>
          <w:t>3.2 Federal-Provincial Coordination</w:t>
        </w:r>
        <w:r>
          <w:tab/>
        </w:r>
        <w:r>
          <w:fldChar w:fldCharType="begin"/>
        </w:r>
        <w:r>
          <w:instrText xml:space="preserve"> PAGEREF _Toc9100218 \h </w:instrText>
        </w:r>
        <w:r>
          <w:fldChar w:fldCharType="separate"/>
        </w:r>
        <w:r>
          <w:t>10</w:t>
        </w:r>
        <w:r>
          <w:fldChar w:fldCharType="end"/>
        </w:r>
      </w:hyperlink>
    </w:p>
    <w:p>
      <w:pPr>
        <w:pStyle w:val="TOC2"/>
      </w:pPr>
      <w:hyperlink w:anchor="_Toc9100219" w:history="1">
        <w:r>
          <w:rPr>
            <w:rStyle w:val="Hyperlink"/>
          </w:rPr>
          <w:t>3.3 Message Clearance</w:t>
        </w:r>
        <w:r>
          <w:tab/>
        </w:r>
        <w:r>
          <w:fldChar w:fldCharType="begin"/>
        </w:r>
        <w:r>
          <w:instrText xml:space="preserve"> PAGEREF _Toc9100219 \h </w:instrText>
        </w:r>
        <w:r>
          <w:fldChar w:fldCharType="separate"/>
        </w:r>
        <w:r>
          <w:t>10</w:t>
        </w:r>
        <w:r>
          <w:fldChar w:fldCharType="end"/>
        </w:r>
      </w:hyperlink>
    </w:p>
    <w:p>
      <w:pPr>
        <w:pStyle w:val="TOC2"/>
      </w:pPr>
      <w:hyperlink w:anchor="_Toc9100220" w:history="1">
        <w:r>
          <w:rPr>
            <w:rStyle w:val="Hyperlink"/>
          </w:rPr>
          <w:t>3.4 Claims Register</w:t>
        </w:r>
        <w:r>
          <w:tab/>
        </w:r>
        <w:r>
          <w:fldChar w:fldCharType="begin"/>
        </w:r>
        <w:r>
          <w:instrText xml:space="preserve"> PAGEREF _Toc9100220 \h </w:instrText>
        </w:r>
        <w:r>
          <w:fldChar w:fldCharType="separate"/>
        </w:r>
        <w:r>
          <w:t>10</w:t>
        </w:r>
        <w:r>
          <w:fldChar w:fldCharType="end"/>
        </w:r>
      </w:hyperlink>
    </w:p>
    <w:p>
      <w:pPr>
        <w:pStyle w:val="TOC2"/>
      </w:pPr>
      <w:hyperlink w:anchor="_Toc9100221" w:history="1">
        <w:r>
          <w:rPr>
            <w:rStyle w:val="Hyperlink"/>
          </w:rPr>
          <w:t>3.5 Coordination Without Message Monoculture</w:t>
        </w:r>
        <w:r>
          <w:tab/>
        </w:r>
        <w:r>
          <w:fldChar w:fldCharType="begin"/>
        </w:r>
        <w:r>
          <w:instrText xml:space="preserve"> PAGEREF _Toc9100221 \h </w:instrText>
        </w:r>
        <w:r>
          <w:fldChar w:fldCharType="separate"/>
        </w:r>
        <w:r>
          <w:t>10</w:t>
        </w:r>
        <w:r>
          <w:fldChar w:fldCharType="end"/>
        </w:r>
      </w:hyperlink>
    </w:p>
    <w:p>
      <w:pPr>
        <w:pStyle w:val="TOC1"/>
      </w:pPr>
      <w:hyperlink w:anchor="_Toc9100222" w:history="1">
        <w:r>
          <w:rPr>
            <w:rStyle w:val="Hyperlink"/>
          </w:rPr>
          <w:t>Part IV — Audience and Channel Architecture</w:t>
        </w:r>
        <w:r>
          <w:tab/>
        </w:r>
        <w:r>
          <w:fldChar w:fldCharType="begin"/>
        </w:r>
        <w:r>
          <w:instrText xml:space="preserve"> PAGEREF _Toc9100222 \h </w:instrText>
        </w:r>
        <w:r>
          <w:fldChar w:fldCharType="separate"/>
        </w:r>
        <w:r>
          <w:t>11</w:t>
        </w:r>
        <w:r>
          <w:fldChar w:fldCharType="end"/>
        </w:r>
      </w:hyperlink>
    </w:p>
    <w:p>
      <w:pPr>
        <w:pStyle w:val="TOC2"/>
      </w:pPr>
      <w:hyperlink w:anchor="_Toc9100223" w:history="1">
        <w:r>
          <w:rPr>
            <w:rStyle w:val="Hyperlink"/>
          </w:rPr>
          <w:t>4.1 Audience Principle</w:t>
        </w:r>
        <w:r>
          <w:tab/>
        </w:r>
        <w:r>
          <w:fldChar w:fldCharType="begin"/>
        </w:r>
        <w:r>
          <w:instrText xml:space="preserve"> PAGEREF _Toc9100223 \h </w:instrText>
        </w:r>
        <w:r>
          <w:fldChar w:fldCharType="separate"/>
        </w:r>
        <w:r>
          <w:t>11</w:t>
        </w:r>
        <w:r>
          <w:fldChar w:fldCharType="end"/>
        </w:r>
      </w:hyperlink>
    </w:p>
    <w:p>
      <w:pPr>
        <w:pStyle w:val="TOC2"/>
      </w:pPr>
      <w:hyperlink w:anchor="_Toc9100224" w:history="1">
        <w:r>
          <w:rPr>
            <w:rStyle w:val="Hyperlink"/>
          </w:rPr>
          <w:t>4.2 Credibility Hierarchy</w:t>
        </w:r>
        <w:r>
          <w:tab/>
        </w:r>
        <w:r>
          <w:fldChar w:fldCharType="begin"/>
        </w:r>
        <w:r>
          <w:instrText xml:space="preserve"> PAGEREF _Toc9100224 \h </w:instrText>
        </w:r>
        <w:r>
          <w:fldChar w:fldCharType="separate"/>
        </w:r>
        <w:r>
          <w:t>11</w:t>
        </w:r>
        <w:r>
          <w:fldChar w:fldCharType="end"/>
        </w:r>
      </w:hyperlink>
    </w:p>
    <w:p>
      <w:pPr>
        <w:pStyle w:val="TOC2"/>
      </w:pPr>
      <w:hyperlink w:anchor="_Toc9100225" w:history="1">
        <w:r>
          <w:rPr>
            <w:rStyle w:val="Hyperlink"/>
          </w:rPr>
          <w:t>4.3 Regionalization</w:t>
        </w:r>
        <w:r>
          <w:tab/>
        </w:r>
        <w:r>
          <w:fldChar w:fldCharType="begin"/>
        </w:r>
        <w:r>
          <w:instrText xml:space="preserve"> PAGEREF _Toc9100225 \h </w:instrText>
        </w:r>
        <w:r>
          <w:fldChar w:fldCharType="separate"/>
        </w:r>
        <w:r>
          <w:t>11</w:t>
        </w:r>
        <w:r>
          <w:fldChar w:fldCharType="end"/>
        </w:r>
      </w:hyperlink>
    </w:p>
    <w:p>
      <w:pPr>
        <w:pStyle w:val="TOC1"/>
      </w:pPr>
      <w:hyperlink w:anchor="_Toc9100226" w:history="1">
        <w:r>
          <w:rPr>
            <w:rStyle w:val="Hyperlink"/>
          </w:rPr>
          <w:t>Part V — Staged Implementation Plan</w:t>
        </w:r>
        <w:r>
          <w:tab/>
        </w:r>
        <w:r>
          <w:fldChar w:fldCharType="begin"/>
        </w:r>
        <w:r>
          <w:instrText xml:space="preserve"> PAGEREF _Toc9100226 \h </w:instrText>
        </w:r>
        <w:r>
          <w:fldChar w:fldCharType="separate"/>
        </w:r>
        <w:r>
          <w:t>12</w:t>
        </w:r>
        <w:r>
          <w:fldChar w:fldCharType="end"/>
        </w:r>
      </w:hyperlink>
    </w:p>
    <w:p>
      <w:pPr>
        <w:pStyle w:val="TOC2"/>
      </w:pPr>
      <w:hyperlink w:anchor="_Toc9100227" w:history="1">
        <w:r>
          <w:rPr>
            <w:rStyle w:val="Hyperlink"/>
          </w:rPr>
          <w:t>5.1 Stage 0 — Prepare</w:t>
        </w:r>
        <w:r>
          <w:tab/>
        </w:r>
        <w:r>
          <w:fldChar w:fldCharType="begin"/>
        </w:r>
        <w:r>
          <w:instrText xml:space="preserve"> PAGEREF _Toc9100227 \h </w:instrText>
        </w:r>
        <w:r>
          <w:fldChar w:fldCharType="separate"/>
        </w:r>
        <w:r>
          <w:t>12</w:t>
        </w:r>
        <w:r>
          <w:fldChar w:fldCharType="end"/>
        </w:r>
      </w:hyperlink>
    </w:p>
    <w:p>
      <w:pPr>
        <w:pStyle w:val="TOC2"/>
      </w:pPr>
      <w:hyperlink w:anchor="_Toc9100228" w:history="1">
        <w:r>
          <w:rPr>
            <w:rStyle w:val="Hyperlink"/>
          </w:rPr>
          <w:t>5.2 Stage 1 — Reassure</w:t>
        </w:r>
        <w:r>
          <w:tab/>
        </w:r>
        <w:r>
          <w:fldChar w:fldCharType="begin"/>
        </w:r>
        <w:r>
          <w:instrText xml:space="preserve"> PAGEREF _Toc9100228 \h </w:instrText>
        </w:r>
        <w:r>
          <w:fldChar w:fldCharType="separate"/>
        </w:r>
        <w:r>
          <w:t>12</w:t>
        </w:r>
        <w:r>
          <w:fldChar w:fldCharType="end"/>
        </w:r>
      </w:hyperlink>
    </w:p>
    <w:p>
      <w:pPr>
        <w:pStyle w:val="TOC2"/>
      </w:pPr>
      <w:hyperlink w:anchor="_Toc9100229" w:history="1">
        <w:r>
          <w:rPr>
            <w:rStyle w:val="Hyperlink"/>
          </w:rPr>
          <w:t>5.3 Stage 2 — Localize</w:t>
        </w:r>
        <w:r>
          <w:tab/>
        </w:r>
        <w:r>
          <w:fldChar w:fldCharType="begin"/>
        </w:r>
        <w:r>
          <w:instrText xml:space="preserve"> PAGEREF _Toc9100229 \h </w:instrText>
        </w:r>
        <w:r>
          <w:fldChar w:fldCharType="separate"/>
        </w:r>
        <w:r>
          <w:t>13</w:t>
        </w:r>
        <w:r>
          <w:fldChar w:fldCharType="end"/>
        </w:r>
      </w:hyperlink>
    </w:p>
    <w:p>
      <w:pPr>
        <w:pStyle w:val="TOC2"/>
      </w:pPr>
      <w:hyperlink w:anchor="_Toc9100230" w:history="1">
        <w:r>
          <w:rPr>
            <w:rStyle w:val="Hyperlink"/>
          </w:rPr>
          <w:t>5.4 Stage 3 — Demonstrate</w:t>
        </w:r>
        <w:r>
          <w:tab/>
        </w:r>
        <w:r>
          <w:fldChar w:fldCharType="begin"/>
        </w:r>
        <w:r>
          <w:instrText xml:space="preserve"> PAGEREF _Toc9100230 \h </w:instrText>
        </w:r>
        <w:r>
          <w:fldChar w:fldCharType="separate"/>
        </w:r>
        <w:r>
          <w:t>13</w:t>
        </w:r>
        <w:r>
          <w:fldChar w:fldCharType="end"/>
        </w:r>
      </w:hyperlink>
    </w:p>
    <w:p>
      <w:pPr>
        <w:pStyle w:val="TOC2"/>
      </w:pPr>
      <w:hyperlink w:anchor="_Toc9100231" w:history="1">
        <w:r>
          <w:rPr>
            <w:rStyle w:val="Hyperlink"/>
          </w:rPr>
          <w:t>5.5 Stage 4 — Sustain</w:t>
        </w:r>
        <w:r>
          <w:tab/>
        </w:r>
        <w:r>
          <w:fldChar w:fldCharType="begin"/>
        </w:r>
        <w:r>
          <w:instrText xml:space="preserve"> PAGEREF _Toc9100231 \h </w:instrText>
        </w:r>
        <w:r>
          <w:fldChar w:fldCharType="separate"/>
        </w:r>
        <w:r>
          <w:t>13</w:t>
        </w:r>
        <w:r>
          <w:fldChar w:fldCharType="end"/>
        </w:r>
      </w:hyperlink>
    </w:p>
    <w:p>
      <w:pPr>
        <w:pStyle w:val="TOC2"/>
      </w:pPr>
      <w:hyperlink w:anchor="_Toc9100232" w:history="1">
        <w:r>
          <w:rPr>
            <w:rStyle w:val="Hyperlink"/>
          </w:rPr>
          <w:t>5.6 Stage 5 — Reconcile</w:t>
        </w:r>
        <w:r>
          <w:tab/>
        </w:r>
        <w:r>
          <w:fldChar w:fldCharType="begin"/>
        </w:r>
        <w:r>
          <w:instrText xml:space="preserve"> PAGEREF _Toc9100232 \h </w:instrText>
        </w:r>
        <w:r>
          <w:fldChar w:fldCharType="separate"/>
        </w:r>
        <w:r>
          <w:t>13</w:t>
        </w:r>
        <w:r>
          <w:fldChar w:fldCharType="end"/>
        </w:r>
      </w:hyperlink>
    </w:p>
    <w:p>
      <w:pPr>
        <w:pStyle w:val="TOC2"/>
      </w:pPr>
      <w:hyperlink w:anchor="_Toc9100233" w:history="1">
        <w:r>
          <w:rPr>
            <w:rStyle w:val="Hyperlink"/>
          </w:rPr>
          <w:t>5.7 Persuade-to-Preserve Transition Rule</w:t>
        </w:r>
        <w:r>
          <w:tab/>
        </w:r>
        <w:r>
          <w:fldChar w:fldCharType="begin"/>
        </w:r>
        <w:r>
          <w:instrText xml:space="preserve"> PAGEREF _Toc9100233 \h </w:instrText>
        </w:r>
        <w:r>
          <w:fldChar w:fldCharType="separate"/>
        </w:r>
        <w:r>
          <w:t>13</w:t>
        </w:r>
        <w:r>
          <w:fldChar w:fldCharType="end"/>
        </w:r>
      </w:hyperlink>
    </w:p>
    <w:p>
      <w:pPr>
        <w:pStyle w:val="TOC1"/>
      </w:pPr>
      <w:hyperlink w:anchor="_Toc9100234" w:history="1">
        <w:r>
          <w:rPr>
            <w:rStyle w:val="Hyperlink"/>
          </w:rPr>
          <w:t>Part VI — American Outreach Operations</w:t>
        </w:r>
        <w:r>
          <w:tab/>
        </w:r>
        <w:r>
          <w:fldChar w:fldCharType="begin"/>
        </w:r>
        <w:r>
          <w:instrText xml:space="preserve"> PAGEREF _Toc9100234 \h </w:instrText>
        </w:r>
        <w:r>
          <w:fldChar w:fldCharType="separate"/>
        </w:r>
        <w:r>
          <w:t>15</w:t>
        </w:r>
        <w:r>
          <w:fldChar w:fldCharType="end"/>
        </w:r>
      </w:hyperlink>
    </w:p>
    <w:p>
      <w:pPr>
        <w:pStyle w:val="TOC2"/>
      </w:pPr>
      <w:hyperlink w:anchor="_Toc9100235" w:history="1">
        <w:r>
          <w:rPr>
            <w:rStyle w:val="Hyperlink"/>
          </w:rPr>
          <w:t>6.1 Embassy and Consular Roadshow</w:t>
        </w:r>
        <w:r>
          <w:tab/>
        </w:r>
        <w:r>
          <w:fldChar w:fldCharType="begin"/>
        </w:r>
        <w:r>
          <w:instrText xml:space="preserve"> PAGEREF _Toc9100235 \h </w:instrText>
        </w:r>
        <w:r>
          <w:fldChar w:fldCharType="separate"/>
        </w:r>
        <w:r>
          <w:t>15</w:t>
        </w:r>
        <w:r>
          <w:fldChar w:fldCharType="end"/>
        </w:r>
      </w:hyperlink>
    </w:p>
    <w:p>
      <w:pPr>
        <w:pStyle w:val="TOC2"/>
      </w:pPr>
      <w:hyperlink w:anchor="_Toc9100236" w:history="1">
        <w:r>
          <w:rPr>
            <w:rStyle w:val="Hyperlink"/>
          </w:rPr>
          <w:t>6.2 State and District Fact Sheets</w:t>
        </w:r>
        <w:r>
          <w:tab/>
        </w:r>
        <w:r>
          <w:fldChar w:fldCharType="begin"/>
        </w:r>
        <w:r>
          <w:instrText xml:space="preserve"> PAGEREF _Toc9100236 \h </w:instrText>
        </w:r>
        <w:r>
          <w:fldChar w:fldCharType="separate"/>
        </w:r>
        <w:r>
          <w:t>15</w:t>
        </w:r>
        <w:r>
          <w:fldChar w:fldCharType="end"/>
        </w:r>
      </w:hyperlink>
    </w:p>
    <w:p>
      <w:pPr>
        <w:pStyle w:val="TOC2"/>
      </w:pPr>
      <w:hyperlink w:anchor="_Toc9100237" w:history="1">
        <w:r>
          <w:rPr>
            <w:rStyle w:val="Hyperlink"/>
          </w:rPr>
          <w:t>6.3 Governors, Mayors and Legislatures</w:t>
        </w:r>
        <w:r>
          <w:tab/>
        </w:r>
        <w:r>
          <w:fldChar w:fldCharType="begin"/>
        </w:r>
        <w:r>
          <w:instrText xml:space="preserve"> PAGEREF _Toc9100237 \h </w:instrText>
        </w:r>
        <w:r>
          <w:fldChar w:fldCharType="separate"/>
        </w:r>
        <w:r>
          <w:t>15</w:t>
        </w:r>
        <w:r>
          <w:fldChar w:fldCharType="end"/>
        </w:r>
      </w:hyperlink>
    </w:p>
    <w:p>
      <w:pPr>
        <w:pStyle w:val="TOC2"/>
      </w:pPr>
      <w:hyperlink w:anchor="_Toc9100238" w:history="1">
        <w:r>
          <w:rPr>
            <w:rStyle w:val="Hyperlink"/>
          </w:rPr>
          <w:t>6.4 Chambers and Business Networks</w:t>
        </w:r>
        <w:r>
          <w:tab/>
        </w:r>
        <w:r>
          <w:fldChar w:fldCharType="begin"/>
        </w:r>
        <w:r>
          <w:instrText xml:space="preserve"> PAGEREF _Toc9100238 \h </w:instrText>
        </w:r>
        <w:r>
          <w:fldChar w:fldCharType="separate"/>
        </w:r>
        <w:r>
          <w:t>15</w:t>
        </w:r>
        <w:r>
          <w:fldChar w:fldCharType="end"/>
        </w:r>
      </w:hyperlink>
    </w:p>
    <w:p>
      <w:pPr>
        <w:pStyle w:val="TOC2"/>
      </w:pPr>
      <w:hyperlink w:anchor="_Toc9100239" w:history="1">
        <w:r>
          <w:rPr>
            <w:rStyle w:val="Hyperlink"/>
          </w:rPr>
          <w:t>6.5 Labour and Worker Dialogue</w:t>
        </w:r>
        <w:r>
          <w:tab/>
        </w:r>
        <w:r>
          <w:fldChar w:fldCharType="begin"/>
        </w:r>
        <w:r>
          <w:instrText xml:space="preserve"> PAGEREF _Toc9100239 \h </w:instrText>
        </w:r>
        <w:r>
          <w:fldChar w:fldCharType="separate"/>
        </w:r>
        <w:r>
          <w:t>15</w:t>
        </w:r>
        <w:r>
          <w:fldChar w:fldCharType="end"/>
        </w:r>
      </w:hyperlink>
    </w:p>
    <w:p>
      <w:pPr>
        <w:pStyle w:val="TOC2"/>
      </w:pPr>
      <w:hyperlink w:anchor="_Toc9100240" w:history="1">
        <w:r>
          <w:rPr>
            <w:rStyle w:val="Hyperlink"/>
          </w:rPr>
          <w:t>6.6 Agricultural and Rural Outreach</w:t>
        </w:r>
        <w:r>
          <w:tab/>
        </w:r>
        <w:r>
          <w:fldChar w:fldCharType="begin"/>
        </w:r>
        <w:r>
          <w:instrText xml:space="preserve"> PAGEREF _Toc9100240 \h </w:instrText>
        </w:r>
        <w:r>
          <w:fldChar w:fldCharType="separate"/>
        </w:r>
        <w:r>
          <w:t>15</w:t>
        </w:r>
        <w:r>
          <w:fldChar w:fldCharType="end"/>
        </w:r>
      </w:hyperlink>
    </w:p>
    <w:p>
      <w:pPr>
        <w:pStyle w:val="TOC2"/>
      </w:pPr>
      <w:hyperlink w:anchor="_Toc9100241" w:history="1">
        <w:r>
          <w:rPr>
            <w:rStyle w:val="Hyperlink"/>
          </w:rPr>
          <w:t>6.7 Tourism Welcome Track</w:t>
        </w:r>
        <w:r>
          <w:tab/>
        </w:r>
        <w:r>
          <w:fldChar w:fldCharType="begin"/>
        </w:r>
        <w:r>
          <w:instrText xml:space="preserve"> PAGEREF _Toc9100241 \h </w:instrText>
        </w:r>
        <w:r>
          <w:fldChar w:fldCharType="separate"/>
        </w:r>
        <w:r>
          <w:t>16</w:t>
        </w:r>
        <w:r>
          <w:fldChar w:fldCharType="end"/>
        </w:r>
      </w:hyperlink>
    </w:p>
    <w:p>
      <w:pPr>
        <w:pStyle w:val="TOC2"/>
      </w:pPr>
      <w:hyperlink w:anchor="_Toc9100242" w:history="1">
        <w:r>
          <w:rPr>
            <w:rStyle w:val="Hyperlink"/>
          </w:rPr>
          <w:t>6.8 Cross-Border Family Track</w:t>
        </w:r>
        <w:r>
          <w:tab/>
        </w:r>
        <w:r>
          <w:fldChar w:fldCharType="begin"/>
        </w:r>
        <w:r>
          <w:instrText xml:space="preserve"> PAGEREF _Toc9100242 \h </w:instrText>
        </w:r>
        <w:r>
          <w:fldChar w:fldCharType="separate"/>
        </w:r>
        <w:r>
          <w:t>16</w:t>
        </w:r>
        <w:r>
          <w:fldChar w:fldCharType="end"/>
        </w:r>
      </w:hyperlink>
    </w:p>
    <w:p>
      <w:pPr>
        <w:pStyle w:val="TOC2"/>
      </w:pPr>
      <w:hyperlink w:anchor="_Toc9100243" w:history="1">
        <w:r>
          <w:rPr>
            <w:rStyle w:val="Hyperlink"/>
          </w:rPr>
          <w:t>6.9 Indigenous and Tribal Relationships</w:t>
        </w:r>
        <w:r>
          <w:tab/>
        </w:r>
        <w:r>
          <w:fldChar w:fldCharType="begin"/>
        </w:r>
        <w:r>
          <w:instrText xml:space="preserve"> PAGEREF _Toc9100243 \h </w:instrText>
        </w:r>
        <w:r>
          <w:fldChar w:fldCharType="separate"/>
        </w:r>
        <w:r>
          <w:t>16</w:t>
        </w:r>
        <w:r>
          <w:fldChar w:fldCharType="end"/>
        </w:r>
      </w:hyperlink>
    </w:p>
    <w:p>
      <w:pPr>
        <w:pStyle w:val="TOC2"/>
      </w:pPr>
      <w:hyperlink w:anchor="_Toc9100244" w:history="1">
        <w:r>
          <w:rPr>
            <w:rStyle w:val="Hyperlink"/>
          </w:rPr>
          <w:t>6.10 Faith, Civic and Service Organizations</w:t>
        </w:r>
        <w:r>
          <w:tab/>
        </w:r>
        <w:r>
          <w:fldChar w:fldCharType="begin"/>
        </w:r>
        <w:r>
          <w:instrText xml:space="preserve"> PAGEREF _Toc9100244 \h </w:instrText>
        </w:r>
        <w:r>
          <w:fldChar w:fldCharType="separate"/>
        </w:r>
        <w:r>
          <w:t>16</w:t>
        </w:r>
        <w:r>
          <w:fldChar w:fldCharType="end"/>
        </w:r>
      </w:hyperlink>
    </w:p>
    <w:p>
      <w:pPr>
        <w:pStyle w:val="TOC2"/>
      </w:pPr>
      <w:hyperlink w:anchor="_Toc9100245" w:history="1">
        <w:r>
          <w:rPr>
            <w:rStyle w:val="Hyperlink"/>
          </w:rPr>
          <w:t>6.11 Congressional Engagement</w:t>
        </w:r>
        <w:r>
          <w:tab/>
        </w:r>
        <w:r>
          <w:fldChar w:fldCharType="begin"/>
        </w:r>
        <w:r>
          <w:instrText xml:space="preserve"> PAGEREF _Toc9100245 \h </w:instrText>
        </w:r>
        <w:r>
          <w:fldChar w:fldCharType="separate"/>
        </w:r>
        <w:r>
          <w:t>16</w:t>
        </w:r>
        <w:r>
          <w:fldChar w:fldCharType="end"/>
        </w:r>
      </w:hyperlink>
    </w:p>
    <w:p>
      <w:pPr>
        <w:pStyle w:val="TOC2"/>
      </w:pPr>
      <w:hyperlink w:anchor="_Toc9100246" w:history="1">
        <w:r>
          <w:rPr>
            <w:rStyle w:val="Hyperlink"/>
          </w:rPr>
          <w:t>6.12 Agricultural Partnership Track</w:t>
        </w:r>
        <w:r>
          <w:tab/>
        </w:r>
        <w:r>
          <w:fldChar w:fldCharType="begin"/>
        </w:r>
        <w:r>
          <w:instrText xml:space="preserve"> PAGEREF _Toc9100246 \h </w:instrText>
        </w:r>
        <w:r>
          <w:fldChar w:fldCharType="separate"/>
        </w:r>
        <w:r>
          <w:t>16</w:t>
        </w:r>
        <w:r>
          <w:fldChar w:fldCharType="end"/>
        </w:r>
      </w:hyperlink>
    </w:p>
    <w:p>
      <w:pPr>
        <w:pStyle w:val="TOC2"/>
      </w:pPr>
      <w:hyperlink w:anchor="_Toc9100247" w:history="1">
        <w:r>
          <w:rPr>
            <w:rStyle w:val="Hyperlink"/>
          </w:rPr>
          <w:t>6.13 Former Officials and Institutional Elders</w:t>
        </w:r>
        <w:r>
          <w:tab/>
        </w:r>
        <w:r>
          <w:fldChar w:fldCharType="begin"/>
        </w:r>
        <w:r>
          <w:instrText xml:space="preserve"> PAGEREF _Toc9100247 \h </w:instrText>
        </w:r>
        <w:r>
          <w:fldChar w:fldCharType="separate"/>
        </w:r>
        <w:r>
          <w:t>16</w:t>
        </w:r>
        <w:r>
          <w:fldChar w:fldCharType="end"/>
        </w:r>
      </w:hyperlink>
    </w:p>
    <w:p>
      <w:pPr>
        <w:pStyle w:val="TOC2"/>
      </w:pPr>
      <w:hyperlink w:anchor="_Toc9100248" w:history="1">
        <w:r>
          <w:rPr>
            <w:rStyle w:val="Hyperlink"/>
          </w:rPr>
          <w:t>6.14 Outreach Event Template</w:t>
        </w:r>
        <w:r>
          <w:tab/>
        </w:r>
        <w:r>
          <w:fldChar w:fldCharType="begin"/>
        </w:r>
        <w:r>
          <w:instrText xml:space="preserve"> PAGEREF _Toc9100248 \h </w:instrText>
        </w:r>
        <w:r>
          <w:fldChar w:fldCharType="separate"/>
        </w:r>
        <w:r>
          <w:t>17</w:t>
        </w:r>
        <w:r>
          <w:fldChar w:fldCharType="end"/>
        </w:r>
      </w:hyperlink>
    </w:p>
    <w:p>
      <w:pPr>
        <w:pStyle w:val="TOC1"/>
      </w:pPr>
      <w:hyperlink w:anchor="_Toc9100249" w:history="1">
        <w:r>
          <w:rPr>
            <w:rStyle w:val="Hyperlink"/>
          </w:rPr>
          <w:t>Part VII — Canadian Domestic Relationship Protection</w:t>
        </w:r>
        <w:r>
          <w:tab/>
        </w:r>
        <w:r>
          <w:fldChar w:fldCharType="begin"/>
        </w:r>
        <w:r>
          <w:instrText xml:space="preserve"> PAGEREF _Toc9100249 \h </w:instrText>
        </w:r>
        <w:r>
          <w:fldChar w:fldCharType="separate"/>
        </w:r>
        <w:r>
          <w:t>18</w:t>
        </w:r>
        <w:r>
          <w:fldChar w:fldCharType="end"/>
        </w:r>
      </w:hyperlink>
    </w:p>
    <w:p>
      <w:pPr>
        <w:pStyle w:val="TOC2"/>
      </w:pPr>
      <w:hyperlink w:anchor="_Toc9100250" w:history="1">
        <w:r>
          <w:rPr>
            <w:rStyle w:val="Hyperlink"/>
          </w:rPr>
          <w:t>7.1 Objective</w:t>
        </w:r>
        <w:r>
          <w:tab/>
        </w:r>
        <w:r>
          <w:fldChar w:fldCharType="begin"/>
        </w:r>
        <w:r>
          <w:instrText xml:space="preserve"> PAGEREF _Toc9100250 \h </w:instrText>
        </w:r>
        <w:r>
          <w:fldChar w:fldCharType="separate"/>
        </w:r>
        <w:r>
          <w:t>18</w:t>
        </w:r>
        <w:r>
          <w:fldChar w:fldCharType="end"/>
        </w:r>
      </w:hyperlink>
    </w:p>
    <w:p>
      <w:pPr>
        <w:pStyle w:val="TOC2"/>
      </w:pPr>
      <w:hyperlink w:anchor="_Toc9100251" w:history="1">
        <w:r>
          <w:rPr>
            <w:rStyle w:val="Hyperlink"/>
          </w:rPr>
          <w:t>7.2 'Firm With Washington, Open to America'</w:t>
        </w:r>
        <w:r>
          <w:tab/>
        </w:r>
        <w:r>
          <w:fldChar w:fldCharType="begin"/>
        </w:r>
        <w:r>
          <w:instrText xml:space="preserve"> PAGEREF _Toc9100251 \h </w:instrText>
        </w:r>
        <w:r>
          <w:fldChar w:fldCharType="separate"/>
        </w:r>
        <w:r>
          <w:t>18</w:t>
        </w:r>
        <w:r>
          <w:fldChar w:fldCharType="end"/>
        </w:r>
      </w:hyperlink>
    </w:p>
    <w:p>
      <w:pPr>
        <w:pStyle w:val="TOC2"/>
      </w:pPr>
      <w:hyperlink w:anchor="_Toc9100252" w:history="1">
        <w:r>
          <w:rPr>
            <w:rStyle w:val="Hyperlink"/>
          </w:rPr>
          <w:t>7.3 Buy Canadian Without Anti-Americanism</w:t>
        </w:r>
        <w:r>
          <w:tab/>
        </w:r>
        <w:r>
          <w:fldChar w:fldCharType="begin"/>
        </w:r>
        <w:r>
          <w:instrText xml:space="preserve"> PAGEREF _Toc9100252 \h </w:instrText>
        </w:r>
        <w:r>
          <w:fldChar w:fldCharType="separate"/>
        </w:r>
        <w:r>
          <w:t>18</w:t>
        </w:r>
        <w:r>
          <w:fldChar w:fldCharType="end"/>
        </w:r>
      </w:hyperlink>
    </w:p>
    <w:p>
      <w:pPr>
        <w:pStyle w:val="TOC2"/>
      </w:pPr>
      <w:hyperlink w:anchor="_Toc9100253" w:history="1">
        <w:r>
          <w:rPr>
            <w:rStyle w:val="Hyperlink"/>
          </w:rPr>
          <w:t>7.4 Political Rhetoric Standard</w:t>
        </w:r>
        <w:r>
          <w:tab/>
        </w:r>
        <w:r>
          <w:fldChar w:fldCharType="begin"/>
        </w:r>
        <w:r>
          <w:instrText xml:space="preserve"> PAGEREF _Toc9100253 \h </w:instrText>
        </w:r>
        <w:r>
          <w:fldChar w:fldCharType="separate"/>
        </w:r>
        <w:r>
          <w:t>18</w:t>
        </w:r>
        <w:r>
          <w:fldChar w:fldCharType="end"/>
        </w:r>
      </w:hyperlink>
    </w:p>
    <w:p>
      <w:pPr>
        <w:pStyle w:val="TOC2"/>
      </w:pPr>
      <w:hyperlink w:anchor="_Toc9100254" w:history="1">
        <w:r>
          <w:rPr>
            <w:rStyle w:val="Hyperlink"/>
          </w:rPr>
          <w:t>7.5 Canadian Public Education</w:t>
        </w:r>
        <w:r>
          <w:tab/>
        </w:r>
        <w:r>
          <w:fldChar w:fldCharType="begin"/>
        </w:r>
        <w:r>
          <w:instrText xml:space="preserve"> PAGEREF _Toc9100254 \h </w:instrText>
        </w:r>
        <w:r>
          <w:fldChar w:fldCharType="separate"/>
        </w:r>
        <w:r>
          <w:t>18</w:t>
        </w:r>
        <w:r>
          <w:fldChar w:fldCharType="end"/>
        </w:r>
      </w:hyperlink>
    </w:p>
    <w:p>
      <w:pPr>
        <w:pStyle w:val="TOC1"/>
      </w:pPr>
      <w:hyperlink w:anchor="_Toc9100255" w:history="1">
        <w:r>
          <w:rPr>
            <w:rStyle w:val="Hyperlink"/>
          </w:rPr>
          <w:t>Part VIII — Continuity Tracks</w:t>
        </w:r>
        <w:r>
          <w:tab/>
        </w:r>
        <w:r>
          <w:fldChar w:fldCharType="begin"/>
        </w:r>
        <w:r>
          <w:instrText xml:space="preserve"> PAGEREF _Toc9100255 \h </w:instrText>
        </w:r>
        <w:r>
          <w:fldChar w:fldCharType="separate"/>
        </w:r>
        <w:r>
          <w:t>19</w:t>
        </w:r>
        <w:r>
          <w:fldChar w:fldCharType="end"/>
        </w:r>
      </w:hyperlink>
    </w:p>
    <w:p>
      <w:pPr>
        <w:pStyle w:val="TOC2"/>
      </w:pPr>
      <w:hyperlink w:anchor="_Toc9100256" w:history="1">
        <w:r>
          <w:rPr>
            <w:rStyle w:val="Hyperlink"/>
          </w:rPr>
          <w:t>8.1 Border Communities</w:t>
        </w:r>
        <w:r>
          <w:tab/>
        </w:r>
        <w:r>
          <w:fldChar w:fldCharType="begin"/>
        </w:r>
        <w:r>
          <w:instrText xml:space="preserve"> PAGEREF _Toc9100256 \h </w:instrText>
        </w:r>
        <w:r>
          <w:fldChar w:fldCharType="separate"/>
        </w:r>
        <w:r>
          <w:t>19</w:t>
        </w:r>
        <w:r>
          <w:fldChar w:fldCharType="end"/>
        </w:r>
      </w:hyperlink>
    </w:p>
    <w:p>
      <w:pPr>
        <w:pStyle w:val="TOC2"/>
      </w:pPr>
      <w:hyperlink w:anchor="_Toc9100257" w:history="1">
        <w:r>
          <w:rPr>
            <w:rStyle w:val="Hyperlink"/>
          </w:rPr>
          <w:t>8.2 Scientific Cooperation</w:t>
        </w:r>
        <w:r>
          <w:tab/>
        </w:r>
        <w:r>
          <w:fldChar w:fldCharType="begin"/>
        </w:r>
        <w:r>
          <w:instrText xml:space="preserve"> PAGEREF _Toc9100257 \h </w:instrText>
        </w:r>
        <w:r>
          <w:fldChar w:fldCharType="separate"/>
        </w:r>
        <w:r>
          <w:t>19</w:t>
        </w:r>
        <w:r>
          <w:fldChar w:fldCharType="end"/>
        </w:r>
      </w:hyperlink>
    </w:p>
    <w:p>
      <w:pPr>
        <w:pStyle w:val="TOC2"/>
      </w:pPr>
      <w:hyperlink w:anchor="_Toc9100258" w:history="1">
        <w:r>
          <w:rPr>
            <w:rStyle w:val="Hyperlink"/>
          </w:rPr>
          <w:t>8.3 Education</w:t>
        </w:r>
        <w:r>
          <w:tab/>
        </w:r>
        <w:r>
          <w:fldChar w:fldCharType="begin"/>
        </w:r>
        <w:r>
          <w:instrText xml:space="preserve"> PAGEREF _Toc9100258 \h </w:instrText>
        </w:r>
        <w:r>
          <w:fldChar w:fldCharType="separate"/>
        </w:r>
        <w:r>
          <w:t>19</w:t>
        </w:r>
        <w:r>
          <w:fldChar w:fldCharType="end"/>
        </w:r>
      </w:hyperlink>
    </w:p>
    <w:p>
      <w:pPr>
        <w:pStyle w:val="TOC2"/>
      </w:pPr>
      <w:hyperlink w:anchor="_Toc9100259" w:history="1">
        <w:r>
          <w:rPr>
            <w:rStyle w:val="Hyperlink"/>
          </w:rPr>
          <w:t>8.4 Health and Emergency Cooperation</w:t>
        </w:r>
        <w:r>
          <w:tab/>
        </w:r>
        <w:r>
          <w:fldChar w:fldCharType="begin"/>
        </w:r>
        <w:r>
          <w:instrText xml:space="preserve"> PAGEREF _Toc9100259 \h </w:instrText>
        </w:r>
        <w:r>
          <w:fldChar w:fldCharType="separate"/>
        </w:r>
        <w:r>
          <w:t>19</w:t>
        </w:r>
        <w:r>
          <w:fldChar w:fldCharType="end"/>
        </w:r>
      </w:hyperlink>
    </w:p>
    <w:p>
      <w:pPr>
        <w:pStyle w:val="TOC2"/>
      </w:pPr>
      <w:hyperlink w:anchor="_Toc9100260" w:history="1">
        <w:r>
          <w:rPr>
            <w:rStyle w:val="Hyperlink"/>
          </w:rPr>
          <w:t>8.5 Security and Defence</w:t>
        </w:r>
        <w:r>
          <w:tab/>
        </w:r>
        <w:r>
          <w:fldChar w:fldCharType="begin"/>
        </w:r>
        <w:r>
          <w:instrText xml:space="preserve"> PAGEREF _Toc9100260 \h </w:instrText>
        </w:r>
        <w:r>
          <w:fldChar w:fldCharType="separate"/>
        </w:r>
        <w:r>
          <w:t>19</w:t>
        </w:r>
        <w:r>
          <w:fldChar w:fldCharType="end"/>
        </w:r>
      </w:hyperlink>
    </w:p>
    <w:p>
      <w:pPr>
        <w:pStyle w:val="TOC2"/>
      </w:pPr>
      <w:hyperlink w:anchor="_Toc9100261" w:history="1">
        <w:r>
          <w:rPr>
            <w:rStyle w:val="Hyperlink"/>
          </w:rPr>
          <w:t>8.6 Culture and Sport</w:t>
        </w:r>
        <w:r>
          <w:tab/>
        </w:r>
        <w:r>
          <w:fldChar w:fldCharType="begin"/>
        </w:r>
        <w:r>
          <w:instrText xml:space="preserve"> PAGEREF _Toc9100261 \h </w:instrText>
        </w:r>
        <w:r>
          <w:fldChar w:fldCharType="separate"/>
        </w:r>
        <w:r>
          <w:t>19</w:t>
        </w:r>
        <w:r>
          <w:fldChar w:fldCharType="end"/>
        </w:r>
      </w:hyperlink>
    </w:p>
    <w:p>
      <w:pPr>
        <w:pStyle w:val="TOC2"/>
      </w:pPr>
      <w:hyperlink w:anchor="_Toc9100262" w:history="1">
        <w:r>
          <w:rPr>
            <w:rStyle w:val="Hyperlink"/>
          </w:rPr>
          <w:t>8.7 Business Continuity</w:t>
        </w:r>
        <w:r>
          <w:tab/>
        </w:r>
        <w:r>
          <w:fldChar w:fldCharType="begin"/>
        </w:r>
        <w:r>
          <w:instrText xml:space="preserve"> PAGEREF _Toc9100262 \h </w:instrText>
        </w:r>
        <w:r>
          <w:fldChar w:fldCharType="separate"/>
        </w:r>
        <w:r>
          <w:t>19</w:t>
        </w:r>
        <w:r>
          <w:fldChar w:fldCharType="end"/>
        </w:r>
      </w:hyperlink>
    </w:p>
    <w:p>
      <w:pPr>
        <w:pStyle w:val="TOC2"/>
      </w:pPr>
      <w:hyperlink w:anchor="_Toc9100263" w:history="1">
        <w:r>
          <w:rPr>
            <w:rStyle w:val="Hyperlink"/>
          </w:rPr>
          <w:t>8.8 Energy and Infrastructure</w:t>
        </w:r>
        <w:r>
          <w:tab/>
        </w:r>
        <w:r>
          <w:fldChar w:fldCharType="begin"/>
        </w:r>
        <w:r>
          <w:instrText xml:space="preserve"> PAGEREF _Toc9100263 \h </w:instrText>
        </w:r>
        <w:r>
          <w:fldChar w:fldCharType="separate"/>
        </w:r>
        <w:r>
          <w:t>19</w:t>
        </w:r>
        <w:r>
          <w:fldChar w:fldCharType="end"/>
        </w:r>
      </w:hyperlink>
    </w:p>
    <w:p>
      <w:pPr>
        <w:pStyle w:val="TOC2"/>
      </w:pPr>
      <w:hyperlink w:anchor="_Toc9100264" w:history="1">
        <w:r>
          <w:rPr>
            <w:rStyle w:val="Hyperlink"/>
          </w:rPr>
          <w:t>8.9 Labour Mobility and Professional Networks</w:t>
        </w:r>
        <w:r>
          <w:tab/>
        </w:r>
        <w:r>
          <w:fldChar w:fldCharType="begin"/>
        </w:r>
        <w:r>
          <w:instrText xml:space="preserve"> PAGEREF _Toc9100264 \h </w:instrText>
        </w:r>
        <w:r>
          <w:fldChar w:fldCharType="separate"/>
        </w:r>
        <w:r>
          <w:t>20</w:t>
        </w:r>
        <w:r>
          <w:fldChar w:fldCharType="end"/>
        </w:r>
      </w:hyperlink>
    </w:p>
    <w:p>
      <w:pPr>
        <w:pStyle w:val="TOC2"/>
      </w:pPr>
      <w:hyperlink w:anchor="_Toc9100265" w:history="1">
        <w:r>
          <w:rPr>
            <w:rStyle w:val="Hyperlink"/>
          </w:rPr>
          <w:t>8.10 Local Government and Sister-City Links</w:t>
        </w:r>
        <w:r>
          <w:tab/>
        </w:r>
        <w:r>
          <w:fldChar w:fldCharType="begin"/>
        </w:r>
        <w:r>
          <w:instrText xml:space="preserve"> PAGEREF _Toc9100265 \h </w:instrText>
        </w:r>
        <w:r>
          <w:fldChar w:fldCharType="separate"/>
        </w:r>
        <w:r>
          <w:t>20</w:t>
        </w:r>
        <w:r>
          <w:fldChar w:fldCharType="end"/>
        </w:r>
      </w:hyperlink>
    </w:p>
    <w:p>
      <w:pPr>
        <w:pStyle w:val="TOC2"/>
      </w:pPr>
      <w:hyperlink w:anchor="_Toc9100266" w:history="1">
        <w:r>
          <w:rPr>
            <w:rStyle w:val="Hyperlink"/>
          </w:rPr>
          <w:t>8.11 Continuity Protection Test</w:t>
        </w:r>
        <w:r>
          <w:tab/>
        </w:r>
        <w:r>
          <w:fldChar w:fldCharType="begin"/>
        </w:r>
        <w:r>
          <w:instrText xml:space="preserve"> PAGEREF _Toc9100266 \h </w:instrText>
        </w:r>
        <w:r>
          <w:fldChar w:fldCharType="separate"/>
        </w:r>
        <w:r>
          <w:t>20</w:t>
        </w:r>
        <w:r>
          <w:fldChar w:fldCharType="end"/>
        </w:r>
      </w:hyperlink>
    </w:p>
    <w:p>
      <w:pPr>
        <w:pStyle w:val="TOC1"/>
      </w:pPr>
      <w:hyperlink w:anchor="_Toc9100267" w:history="1">
        <w:r>
          <w:rPr>
            <w:rStyle w:val="Hyperlink"/>
          </w:rPr>
          <w:t>Part IX — Digital Communications and Misinformation Response</w:t>
        </w:r>
        <w:r>
          <w:tab/>
        </w:r>
        <w:r>
          <w:fldChar w:fldCharType="begin"/>
        </w:r>
        <w:r>
          <w:instrText xml:space="preserve"> PAGEREF _Toc9100267 \h </w:instrText>
        </w:r>
        <w:r>
          <w:fldChar w:fldCharType="separate"/>
        </w:r>
        <w:r>
          <w:t>21</w:t>
        </w:r>
        <w:r>
          <w:fldChar w:fldCharType="end"/>
        </w:r>
      </w:hyperlink>
    </w:p>
    <w:p>
      <w:pPr>
        <w:pStyle w:val="TOC2"/>
      </w:pPr>
      <w:hyperlink w:anchor="_Toc9100268" w:history="1">
        <w:r>
          <w:rPr>
            <w:rStyle w:val="Hyperlink"/>
          </w:rPr>
          <w:t>9.1 Digital Mission</w:t>
        </w:r>
        <w:r>
          <w:tab/>
        </w:r>
        <w:r>
          <w:fldChar w:fldCharType="begin"/>
        </w:r>
        <w:r>
          <w:instrText xml:space="preserve"> PAGEREF _Toc9100268 \h </w:instrText>
        </w:r>
        <w:r>
          <w:fldChar w:fldCharType="separate"/>
        </w:r>
        <w:r>
          <w:t>21</w:t>
        </w:r>
        <w:r>
          <w:fldChar w:fldCharType="end"/>
        </w:r>
      </w:hyperlink>
    </w:p>
    <w:p>
      <w:pPr>
        <w:pStyle w:val="TOC2"/>
      </w:pPr>
      <w:hyperlink w:anchor="_Toc9100269" w:history="1">
        <w:r>
          <w:rPr>
            <w:rStyle w:val="Hyperlink"/>
          </w:rPr>
          <w:t>9.2 Rapid Response Ladder</w:t>
        </w:r>
        <w:r>
          <w:tab/>
        </w:r>
        <w:r>
          <w:fldChar w:fldCharType="begin"/>
        </w:r>
        <w:r>
          <w:instrText xml:space="preserve"> PAGEREF _Toc9100269 \h </w:instrText>
        </w:r>
        <w:r>
          <w:fldChar w:fldCharType="separate"/>
        </w:r>
        <w:r>
          <w:t>21</w:t>
        </w:r>
        <w:r>
          <w:fldChar w:fldCharType="end"/>
        </w:r>
      </w:hyperlink>
    </w:p>
    <w:p>
      <w:pPr>
        <w:pStyle w:val="TOC2"/>
      </w:pPr>
      <w:hyperlink w:anchor="_Toc9100270" w:history="1">
        <w:r>
          <w:rPr>
            <w:rStyle w:val="Hyperlink"/>
          </w:rPr>
          <w:t>9.3 The No-Dunking Rule</w:t>
        </w:r>
        <w:r>
          <w:tab/>
        </w:r>
        <w:r>
          <w:fldChar w:fldCharType="begin"/>
        </w:r>
        <w:r>
          <w:instrText xml:space="preserve"> PAGEREF _Toc9100270 \h </w:instrText>
        </w:r>
        <w:r>
          <w:fldChar w:fldCharType="separate"/>
        </w:r>
        <w:r>
          <w:t>21</w:t>
        </w:r>
        <w:r>
          <w:fldChar w:fldCharType="end"/>
        </w:r>
      </w:hyperlink>
    </w:p>
    <w:p>
      <w:pPr>
        <w:pStyle w:val="TOC2"/>
      </w:pPr>
      <w:hyperlink w:anchor="_Toc9100271" w:history="1">
        <w:r>
          <w:rPr>
            <w:rStyle w:val="Hyperlink"/>
          </w:rPr>
          <w:t>9.4 Social Media Content Mix</w:t>
        </w:r>
        <w:r>
          <w:tab/>
        </w:r>
        <w:r>
          <w:fldChar w:fldCharType="begin"/>
        </w:r>
        <w:r>
          <w:instrText xml:space="preserve"> PAGEREF _Toc9100271 \h </w:instrText>
        </w:r>
        <w:r>
          <w:fldChar w:fldCharType="separate"/>
        </w:r>
        <w:r>
          <w:t>21</w:t>
        </w:r>
        <w:r>
          <w:fldChar w:fldCharType="end"/>
        </w:r>
      </w:hyperlink>
    </w:p>
    <w:p>
      <w:pPr>
        <w:pStyle w:val="TOC2"/>
      </w:pPr>
      <w:hyperlink w:anchor="_Toc9100272" w:history="1">
        <w:r>
          <w:rPr>
            <w:rStyle w:val="Hyperlink"/>
          </w:rPr>
          <w:t>9.5 AI and Synthetic Media Safeguards</w:t>
        </w:r>
        <w:r>
          <w:tab/>
        </w:r>
        <w:r>
          <w:fldChar w:fldCharType="begin"/>
        </w:r>
        <w:r>
          <w:instrText xml:space="preserve"> PAGEREF _Toc9100272 \h </w:instrText>
        </w:r>
        <w:r>
          <w:fldChar w:fldCharType="separate"/>
        </w:r>
        <w:r>
          <w:t>21</w:t>
        </w:r>
        <w:r>
          <w:fldChar w:fldCharType="end"/>
        </w:r>
      </w:hyperlink>
    </w:p>
    <w:p>
      <w:pPr>
        <w:pStyle w:val="TOC1"/>
      </w:pPr>
      <w:hyperlink w:anchor="_Toc9100273" w:history="1">
        <w:r>
          <w:rPr>
            <w:rStyle w:val="Hyperlink"/>
          </w:rPr>
          <w:t>Part X — Off-Ramps, Crisis Communications and Reconciliation</w:t>
        </w:r>
        <w:r>
          <w:tab/>
        </w:r>
        <w:r>
          <w:fldChar w:fldCharType="begin"/>
        </w:r>
        <w:r>
          <w:instrText xml:space="preserve"> PAGEREF _Toc9100273 \h </w:instrText>
        </w:r>
        <w:r>
          <w:fldChar w:fldCharType="separate"/>
        </w:r>
        <w:r>
          <w:t>22</w:t>
        </w:r>
        <w:r>
          <w:fldChar w:fldCharType="end"/>
        </w:r>
      </w:hyperlink>
    </w:p>
    <w:p>
      <w:pPr>
        <w:pStyle w:val="TOC2"/>
      </w:pPr>
      <w:hyperlink w:anchor="_Toc9100274" w:history="1">
        <w:r>
          <w:rPr>
            <w:rStyle w:val="Hyperlink"/>
          </w:rPr>
          <w:t>10.1 Every Measure Has a Door</w:t>
        </w:r>
        <w:r>
          <w:tab/>
        </w:r>
        <w:r>
          <w:fldChar w:fldCharType="begin"/>
        </w:r>
        <w:r>
          <w:instrText xml:space="preserve"> PAGEREF _Toc9100274 \h </w:instrText>
        </w:r>
        <w:r>
          <w:fldChar w:fldCharType="separate"/>
        </w:r>
        <w:r>
          <w:t>22</w:t>
        </w:r>
        <w:r>
          <w:fldChar w:fldCharType="end"/>
        </w:r>
      </w:hyperlink>
    </w:p>
    <w:p>
      <w:pPr>
        <w:pStyle w:val="TOC2"/>
      </w:pPr>
      <w:hyperlink w:anchor="_Toc9100275" w:history="1">
        <w:r>
          <w:rPr>
            <w:rStyle w:val="Hyperlink"/>
          </w:rPr>
          <w:t>10.2 Off-Ramp Card</w:t>
        </w:r>
        <w:r>
          <w:tab/>
        </w:r>
        <w:r>
          <w:fldChar w:fldCharType="begin"/>
        </w:r>
        <w:r>
          <w:instrText xml:space="preserve"> PAGEREF _Toc9100275 \h </w:instrText>
        </w:r>
        <w:r>
          <w:fldChar w:fldCharType="separate"/>
        </w:r>
        <w:r>
          <w:t>22</w:t>
        </w:r>
        <w:r>
          <w:fldChar w:fldCharType="end"/>
        </w:r>
      </w:hyperlink>
    </w:p>
    <w:p>
      <w:pPr>
        <w:pStyle w:val="TOC2"/>
      </w:pPr>
      <w:hyperlink w:anchor="_Toc9100276" w:history="1">
        <w:r>
          <w:rPr>
            <w:rStyle w:val="Hyperlink"/>
          </w:rPr>
          <w:t>10.3 Face-Saving</w:t>
        </w:r>
        <w:r>
          <w:tab/>
        </w:r>
        <w:r>
          <w:fldChar w:fldCharType="begin"/>
        </w:r>
        <w:r>
          <w:instrText xml:space="preserve"> PAGEREF _Toc9100276 \h </w:instrText>
        </w:r>
        <w:r>
          <w:fldChar w:fldCharType="separate"/>
        </w:r>
        <w:r>
          <w:t>22</w:t>
        </w:r>
        <w:r>
          <w:fldChar w:fldCharType="end"/>
        </w:r>
      </w:hyperlink>
    </w:p>
    <w:p>
      <w:pPr>
        <w:pStyle w:val="TOC2"/>
      </w:pPr>
      <w:hyperlink w:anchor="_Toc9100277" w:history="1">
        <w:r>
          <w:rPr>
            <w:rStyle w:val="Hyperlink"/>
          </w:rPr>
          <w:t>10.4 Reconciliation Activation</w:t>
        </w:r>
        <w:r>
          <w:tab/>
        </w:r>
        <w:r>
          <w:fldChar w:fldCharType="begin"/>
        </w:r>
        <w:r>
          <w:instrText xml:space="preserve"> PAGEREF _Toc9100277 \h </w:instrText>
        </w:r>
        <w:r>
          <w:fldChar w:fldCharType="separate"/>
        </w:r>
        <w:r>
          <w:t>22</w:t>
        </w:r>
        <w:r>
          <w:fldChar w:fldCharType="end"/>
        </w:r>
      </w:hyperlink>
    </w:p>
    <w:p>
      <w:pPr>
        <w:pStyle w:val="TOC2"/>
      </w:pPr>
      <w:hyperlink w:anchor="_Toc9100278" w:history="1">
        <w:r>
          <w:rPr>
            <w:rStyle w:val="Hyperlink"/>
          </w:rPr>
          <w:t>10.5 Reconciliation Package</w:t>
        </w:r>
        <w:r>
          <w:tab/>
        </w:r>
        <w:r>
          <w:fldChar w:fldCharType="begin"/>
        </w:r>
        <w:r>
          <w:instrText xml:space="preserve"> PAGEREF _Toc9100278 \h </w:instrText>
        </w:r>
        <w:r>
          <w:fldChar w:fldCharType="separate"/>
        </w:r>
        <w:r>
          <w:t>22</w:t>
        </w:r>
        <w:r>
          <w:fldChar w:fldCharType="end"/>
        </w:r>
      </w:hyperlink>
    </w:p>
    <w:p>
      <w:pPr>
        <w:pStyle w:val="TOC1"/>
      </w:pPr>
      <w:hyperlink w:anchor="_Toc9100279" w:history="1">
        <w:r>
          <w:rPr>
            <w:rStyle w:val="Hyperlink"/>
          </w:rPr>
          <w:t>Part XI — Measurement, Evaluation and Adaptive Management</w:t>
        </w:r>
        <w:r>
          <w:tab/>
        </w:r>
        <w:r>
          <w:fldChar w:fldCharType="begin"/>
        </w:r>
        <w:r>
          <w:instrText xml:space="preserve"> PAGEREF _Toc9100279 \h </w:instrText>
        </w:r>
        <w:r>
          <w:fldChar w:fldCharType="separate"/>
        </w:r>
        <w:r>
          <w:t>23</w:t>
        </w:r>
        <w:r>
          <w:fldChar w:fldCharType="end"/>
        </w:r>
      </w:hyperlink>
    </w:p>
    <w:p>
      <w:pPr>
        <w:pStyle w:val="TOC2"/>
      </w:pPr>
      <w:hyperlink w:anchor="_Toc9100280" w:history="1">
        <w:r>
          <w:rPr>
            <w:rStyle w:val="Hyperlink"/>
          </w:rPr>
          <w:t>11.1 What Success Is Not</w:t>
        </w:r>
        <w:r>
          <w:tab/>
        </w:r>
        <w:r>
          <w:fldChar w:fldCharType="begin"/>
        </w:r>
        <w:r>
          <w:instrText xml:space="preserve"> PAGEREF _Toc9100280 \h </w:instrText>
        </w:r>
        <w:r>
          <w:fldChar w:fldCharType="separate"/>
        </w:r>
        <w:r>
          <w:t>23</w:t>
        </w:r>
        <w:r>
          <w:fldChar w:fldCharType="end"/>
        </w:r>
      </w:hyperlink>
    </w:p>
    <w:p>
      <w:pPr>
        <w:pStyle w:val="TOC2"/>
      </w:pPr>
      <w:hyperlink w:anchor="_Toc9100281" w:history="1">
        <w:r>
          <w:rPr>
            <w:rStyle w:val="Hyperlink"/>
          </w:rPr>
          <w:t>11.2 Core Dashboard</w:t>
        </w:r>
        <w:r>
          <w:tab/>
        </w:r>
        <w:r>
          <w:fldChar w:fldCharType="begin"/>
        </w:r>
        <w:r>
          <w:instrText xml:space="preserve"> PAGEREF _Toc9100281 \h </w:instrText>
        </w:r>
        <w:r>
          <w:fldChar w:fldCharType="separate"/>
        </w:r>
        <w:r>
          <w:t>23</w:t>
        </w:r>
        <w:r>
          <w:fldChar w:fldCharType="end"/>
        </w:r>
      </w:hyperlink>
    </w:p>
    <w:p>
      <w:pPr>
        <w:pStyle w:val="TOC2"/>
      </w:pPr>
      <w:hyperlink w:anchor="_Toc9100282" w:history="1">
        <w:r>
          <w:rPr>
            <w:rStyle w:val="Hyperlink"/>
          </w:rPr>
          <w:t>11.3 Stop/Change Rules</w:t>
        </w:r>
        <w:r>
          <w:tab/>
        </w:r>
        <w:r>
          <w:fldChar w:fldCharType="begin"/>
        </w:r>
        <w:r>
          <w:instrText xml:space="preserve"> PAGEREF _Toc9100282 \h </w:instrText>
        </w:r>
        <w:r>
          <w:fldChar w:fldCharType="separate"/>
        </w:r>
        <w:r>
          <w:t>23</w:t>
        </w:r>
        <w:r>
          <w:fldChar w:fldCharType="end"/>
        </w:r>
      </w:hyperlink>
    </w:p>
    <w:p>
      <w:pPr>
        <w:pStyle w:val="TOC2"/>
      </w:pPr>
      <w:hyperlink w:anchor="_Toc9100283" w:history="1">
        <w:r>
          <w:rPr>
            <w:rStyle w:val="Hyperlink"/>
          </w:rPr>
          <w:t>11.4 Independent Review</w:t>
        </w:r>
        <w:r>
          <w:tab/>
        </w:r>
        <w:r>
          <w:fldChar w:fldCharType="begin"/>
        </w:r>
        <w:r>
          <w:instrText xml:space="preserve"> PAGEREF _Toc9100283 \h </w:instrText>
        </w:r>
        <w:r>
          <w:fldChar w:fldCharType="separate"/>
        </w:r>
        <w:r>
          <w:t>23</w:t>
        </w:r>
        <w:r>
          <w:fldChar w:fldCharType="end"/>
        </w:r>
      </w:hyperlink>
    </w:p>
    <w:p>
      <w:pPr>
        <w:pStyle w:val="TOC1"/>
      </w:pPr>
      <w:hyperlink w:anchor="_Toc9100284" w:history="1">
        <w:r>
          <w:rPr>
            <w:rStyle w:val="Hyperlink"/>
          </w:rPr>
          <w:t>Part XII — Risk, Legal, Ethical and Democratic Safeguards</w:t>
        </w:r>
        <w:r>
          <w:tab/>
        </w:r>
        <w:r>
          <w:fldChar w:fldCharType="begin"/>
        </w:r>
        <w:r>
          <w:instrText xml:space="preserve"> PAGEREF _Toc9100284 \h </w:instrText>
        </w:r>
        <w:r>
          <w:fldChar w:fldCharType="separate"/>
        </w:r>
        <w:r>
          <w:t>24</w:t>
        </w:r>
        <w:r>
          <w:fldChar w:fldCharType="end"/>
        </w:r>
      </w:hyperlink>
    </w:p>
    <w:p>
      <w:pPr>
        <w:pStyle w:val="TOC2"/>
      </w:pPr>
      <w:hyperlink w:anchor="_Toc9100285" w:history="1">
        <w:r>
          <w:rPr>
            <w:rStyle w:val="Hyperlink"/>
          </w:rPr>
          <w:t>12.2 Democratic Firewall</w:t>
        </w:r>
        <w:r>
          <w:tab/>
        </w:r>
        <w:r>
          <w:fldChar w:fldCharType="begin"/>
        </w:r>
        <w:r>
          <w:instrText xml:space="preserve"> PAGEREF _Toc9100285 \h </w:instrText>
        </w:r>
        <w:r>
          <w:fldChar w:fldCharType="separate"/>
        </w:r>
        <w:r>
          <w:t>24</w:t>
        </w:r>
        <w:r>
          <w:fldChar w:fldCharType="end"/>
        </w:r>
      </w:hyperlink>
    </w:p>
    <w:p>
      <w:pPr>
        <w:pStyle w:val="TOC2"/>
      </w:pPr>
      <w:hyperlink w:anchor="_Toc9100286" w:history="1">
        <w:r>
          <w:rPr>
            <w:rStyle w:val="Hyperlink"/>
          </w:rPr>
          <w:t>12.3 Transparency Standard</w:t>
        </w:r>
        <w:r>
          <w:tab/>
        </w:r>
        <w:r>
          <w:fldChar w:fldCharType="begin"/>
        </w:r>
        <w:r>
          <w:instrText xml:space="preserve"> PAGEREF _Toc9100286 \h </w:instrText>
        </w:r>
        <w:r>
          <w:fldChar w:fldCharType="separate"/>
        </w:r>
        <w:r>
          <w:t>24</w:t>
        </w:r>
        <w:r>
          <w:fldChar w:fldCharType="end"/>
        </w:r>
      </w:hyperlink>
    </w:p>
    <w:p>
      <w:pPr>
        <w:pStyle w:val="TOC2"/>
      </w:pPr>
      <w:hyperlink w:anchor="_Toc9100287" w:history="1">
        <w:r>
          <w:rPr>
            <w:rStyle w:val="Hyperlink"/>
          </w:rPr>
          <w:t>12.4 Evidence Standard</w:t>
        </w:r>
        <w:r>
          <w:tab/>
        </w:r>
        <w:r>
          <w:fldChar w:fldCharType="begin"/>
        </w:r>
        <w:r>
          <w:instrText xml:space="preserve"> PAGEREF _Toc9100287 \h </w:instrText>
        </w:r>
        <w:r>
          <w:fldChar w:fldCharType="separate"/>
        </w:r>
        <w:r>
          <w:t>24</w:t>
        </w:r>
        <w:r>
          <w:fldChar w:fldCharType="end"/>
        </w:r>
      </w:hyperlink>
    </w:p>
    <w:p>
      <w:pPr>
        <w:pStyle w:val="TOC1"/>
      </w:pPr>
      <w:hyperlink w:anchor="_Toc9100288" w:history="1">
        <w:r>
          <w:rPr>
            <w:rStyle w:val="Hyperlink"/>
          </w:rPr>
          <w:t>Annex A — 100-Day Launch Plan</w:t>
        </w:r>
        <w:r>
          <w:tab/>
        </w:r>
        <w:r>
          <w:fldChar w:fldCharType="begin"/>
        </w:r>
        <w:r>
          <w:instrText xml:space="preserve"> PAGEREF _Toc9100288 \h </w:instrText>
        </w:r>
        <w:r>
          <w:fldChar w:fldCharType="separate"/>
        </w:r>
        <w:r>
          <w:t>25</w:t>
        </w:r>
        <w:r>
          <w:fldChar w:fldCharType="end"/>
        </w:r>
      </w:hyperlink>
    </w:p>
    <w:p>
      <w:pPr>
        <w:pStyle w:val="TOC1"/>
      </w:pPr>
      <w:hyperlink w:anchor="_Toc9100289" w:history="1">
        <w:r>
          <w:rPr>
            <w:rStyle w:val="Hyperlink"/>
          </w:rPr>
          <w:t>Annex B — State and Regional Engagement Template</w:t>
        </w:r>
        <w:r>
          <w:tab/>
        </w:r>
        <w:r>
          <w:fldChar w:fldCharType="begin"/>
        </w:r>
        <w:r>
          <w:instrText xml:space="preserve"> PAGEREF _Toc9100289 \h </w:instrText>
        </w:r>
        <w:r>
          <w:fldChar w:fldCharType="separate"/>
        </w:r>
        <w:r>
          <w:t>26</w:t>
        </w:r>
        <w:r>
          <w:fldChar w:fldCharType="end"/>
        </w:r>
      </w:hyperlink>
    </w:p>
    <w:p>
      <w:pPr>
        <w:pStyle w:val="TOC2"/>
      </w:pPr>
      <w:hyperlink w:anchor="_Toc9100290" w:history="1">
        <w:r>
          <w:rPr>
            <w:rStyle w:val="Hyperlink"/>
          </w:rPr>
          <w:t>B.2 Suggested Regional Themes</w:t>
        </w:r>
        <w:r>
          <w:tab/>
        </w:r>
        <w:r>
          <w:fldChar w:fldCharType="begin"/>
        </w:r>
        <w:r>
          <w:instrText xml:space="preserve"> PAGEREF _Toc9100290 \h </w:instrText>
        </w:r>
        <w:r>
          <w:fldChar w:fldCharType="separate"/>
        </w:r>
        <w:r>
          <w:t>26</w:t>
        </w:r>
        <w:r>
          <w:fldChar w:fldCharType="end"/>
        </w:r>
      </w:hyperlink>
    </w:p>
    <w:p>
      <w:pPr>
        <w:pStyle w:val="TOC1"/>
      </w:pPr>
      <w:hyperlink w:anchor="_Toc9100291" w:history="1">
        <w:r>
          <w:rPr>
            <w:rStyle w:val="Hyperlink"/>
          </w:rPr>
          <w:t>Annex C — Message Library</w:t>
        </w:r>
        <w:r>
          <w:tab/>
        </w:r>
        <w:r>
          <w:fldChar w:fldCharType="begin"/>
        </w:r>
        <w:r>
          <w:instrText xml:space="preserve"> PAGEREF _Toc9100291 \h </w:instrText>
        </w:r>
        <w:r>
          <w:fldChar w:fldCharType="separate"/>
        </w:r>
        <w:r>
          <w:t>27</w:t>
        </w:r>
        <w:r>
          <w:fldChar w:fldCharType="end"/>
        </w:r>
      </w:hyperlink>
    </w:p>
    <w:p>
      <w:pPr>
        <w:pStyle w:val="TOC2"/>
      </w:pPr>
      <w:hyperlink w:anchor="_Toc9100292" w:history="1">
        <w:r>
          <w:rPr>
            <w:rStyle w:val="Hyperlink"/>
          </w:rPr>
          <w:t>C.2 Sample Ambassador Opening</w:t>
        </w:r>
        <w:r>
          <w:tab/>
        </w:r>
        <w:r>
          <w:fldChar w:fldCharType="begin"/>
        </w:r>
        <w:r>
          <w:instrText xml:space="preserve"> PAGEREF _Toc9100292 \h </w:instrText>
        </w:r>
        <w:r>
          <w:fldChar w:fldCharType="separate"/>
        </w:r>
        <w:r>
          <w:t>27</w:t>
        </w:r>
        <w:r>
          <w:fldChar w:fldCharType="end"/>
        </w:r>
      </w:hyperlink>
    </w:p>
    <w:p>
      <w:pPr>
        <w:pStyle w:val="TOC2"/>
      </w:pPr>
      <w:hyperlink w:anchor="_Toc9100293" w:history="1">
        <w:r>
          <w:rPr>
            <w:rStyle w:val="Hyperlink"/>
          </w:rPr>
          <w:t>C.3 Sample Countermeasure Preamble</w:t>
        </w:r>
        <w:r>
          <w:tab/>
        </w:r>
        <w:r>
          <w:fldChar w:fldCharType="begin"/>
        </w:r>
        <w:r>
          <w:instrText xml:space="preserve"> PAGEREF _Toc9100293 \h </w:instrText>
        </w:r>
        <w:r>
          <w:fldChar w:fldCharType="separate"/>
        </w:r>
        <w:r>
          <w:t>27</w:t>
        </w:r>
        <w:r>
          <w:fldChar w:fldCharType="end"/>
        </w:r>
      </w:hyperlink>
    </w:p>
    <w:p>
      <w:pPr>
        <w:pStyle w:val="TOC2"/>
      </w:pPr>
      <w:hyperlink w:anchor="_Toc9100294" w:history="1">
        <w:r>
          <w:rPr>
            <w:rStyle w:val="Hyperlink"/>
          </w:rPr>
          <w:t>C.4 Sample Misinformation Correction</w:t>
        </w:r>
        <w:r>
          <w:tab/>
        </w:r>
        <w:r>
          <w:fldChar w:fldCharType="begin"/>
        </w:r>
        <w:r>
          <w:instrText xml:space="preserve"> PAGEREF _Toc9100294 \h </w:instrText>
        </w:r>
        <w:r>
          <w:fldChar w:fldCharType="separate"/>
        </w:r>
        <w:r>
          <w:t>28</w:t>
        </w:r>
        <w:r>
          <w:fldChar w:fldCharType="end"/>
        </w:r>
      </w:hyperlink>
    </w:p>
    <w:p>
      <w:pPr>
        <w:pStyle w:val="TOC2"/>
      </w:pPr>
      <w:hyperlink w:anchor="_Toc9100295" w:history="1">
        <w:r>
          <w:rPr>
            <w:rStyle w:val="Hyperlink"/>
          </w:rPr>
          <w:t>C.5 Sovereignty / “51st State” Response</w:t>
        </w:r>
        <w:r>
          <w:tab/>
        </w:r>
        <w:r>
          <w:fldChar w:fldCharType="begin"/>
        </w:r>
        <w:r>
          <w:instrText xml:space="preserve"> PAGEREF _Toc9100295 \h </w:instrText>
        </w:r>
        <w:r>
          <w:fldChar w:fldCharType="separate"/>
        </w:r>
        <w:r>
          <w:t>28</w:t>
        </w:r>
        <w:r>
          <w:fldChar w:fldCharType="end"/>
        </w:r>
      </w:hyperlink>
    </w:p>
    <w:p>
      <w:pPr>
        <w:pStyle w:val="TOC1"/>
      </w:pPr>
      <w:hyperlink w:anchor="_Toc9100296" w:history="1">
        <w:r>
          <w:rPr>
            <w:rStyle w:val="Hyperlink"/>
          </w:rPr>
          <w:t>Annex D — Event and Partnership Playbooks</w:t>
        </w:r>
        <w:r>
          <w:tab/>
        </w:r>
        <w:r>
          <w:fldChar w:fldCharType="begin"/>
        </w:r>
        <w:r>
          <w:instrText xml:space="preserve"> PAGEREF _Toc9100296 \h </w:instrText>
        </w:r>
        <w:r>
          <w:fldChar w:fldCharType="separate"/>
        </w:r>
        <w:r>
          <w:t>29</w:t>
        </w:r>
        <w:r>
          <w:fldChar w:fldCharType="end"/>
        </w:r>
      </w:hyperlink>
    </w:p>
    <w:p>
      <w:pPr>
        <w:pStyle w:val="TOC1"/>
      </w:pPr>
      <w:hyperlink w:anchor="_Toc9100297" w:history="1">
        <w:r>
          <w:rPr>
            <w:rStyle w:val="Hyperlink"/>
          </w:rPr>
          <w:t>Annex E — Metrics Dashboard</w:t>
        </w:r>
        <w:r>
          <w:tab/>
        </w:r>
        <w:r>
          <w:fldChar w:fldCharType="begin"/>
        </w:r>
        <w:r>
          <w:instrText xml:space="preserve"> PAGEREF _Toc9100297 \h </w:instrText>
        </w:r>
        <w:r>
          <w:fldChar w:fldCharType="separate"/>
        </w:r>
        <w:r>
          <w:t>30</w:t>
        </w:r>
        <w:r>
          <w:fldChar w:fldCharType="end"/>
        </w:r>
      </w:hyperlink>
    </w:p>
    <w:p>
      <w:pPr>
        <w:pStyle w:val="TOC1"/>
      </w:pPr>
      <w:hyperlink w:anchor="_Toc9100298" w:history="1">
        <w:r>
          <w:rPr>
            <w:rStyle w:val="Hyperlink"/>
          </w:rPr>
          <w:t>Annex F — Crisis Response Cards</w:t>
        </w:r>
        <w:r>
          <w:tab/>
        </w:r>
        <w:r>
          <w:fldChar w:fldCharType="begin"/>
        </w:r>
        <w:r>
          <w:instrText xml:space="preserve"> PAGEREF _Toc9100298 \h </w:instrText>
        </w:r>
        <w:r>
          <w:fldChar w:fldCharType="separate"/>
        </w:r>
        <w:r>
          <w:t>31</w:t>
        </w:r>
        <w:r>
          <w:fldChar w:fldCharType="end"/>
        </w:r>
      </w:hyperlink>
    </w:p>
    <w:p>
      <w:pPr>
        <w:pStyle w:val="TOC2"/>
      </w:pPr>
      <w:hyperlink w:anchor="_Toc9100299" w:history="1">
        <w:r>
          <w:rPr>
            <w:rStyle w:val="Hyperlink"/>
          </w:rPr>
          <w:t>A U.S. leader insults Canada or Canadians</w:t>
        </w:r>
        <w:r>
          <w:tab/>
        </w:r>
        <w:r>
          <w:fldChar w:fldCharType="begin"/>
        </w:r>
        <w:r>
          <w:instrText xml:space="preserve"> PAGEREF _Toc9100299 \h </w:instrText>
        </w:r>
        <w:r>
          <w:fldChar w:fldCharType="separate"/>
        </w:r>
        <w:r>
          <w:t>31</w:t>
        </w:r>
        <w:r>
          <w:fldChar w:fldCharType="end"/>
        </w:r>
      </w:hyperlink>
    </w:p>
    <w:p>
      <w:pPr>
        <w:pStyle w:val="TOC2"/>
      </w:pPr>
      <w:hyperlink w:anchor="_Toc9100300" w:history="1">
        <w:r>
          <w:rPr>
            <w:rStyle w:val="Hyperlink"/>
          </w:rPr>
          <w:t>American Community Grief Protocol</w:t>
        </w:r>
        <w:r>
          <w:tab/>
        </w:r>
        <w:r>
          <w:fldChar w:fldCharType="begin"/>
        </w:r>
        <w:r>
          <w:instrText xml:space="preserve"> PAGEREF _Toc9100300 \h </w:instrText>
        </w:r>
        <w:r>
          <w:fldChar w:fldCharType="separate"/>
        </w:r>
        <w:r>
          <w:t>31</w:t>
        </w:r>
        <w:r>
          <w:fldChar w:fldCharType="end"/>
        </w:r>
      </w:hyperlink>
    </w:p>
    <w:p>
      <w:pPr>
        <w:pStyle w:val="TOC2"/>
      </w:pPr>
      <w:hyperlink w:anchor="_Toc9100301" w:history="1">
        <w:r>
          <w:rPr>
            <w:rStyle w:val="Hyperlink"/>
          </w:rPr>
          <w:t>A false claim says Canada has closed the border to Americans</w:t>
        </w:r>
        <w:r>
          <w:tab/>
        </w:r>
        <w:r>
          <w:fldChar w:fldCharType="begin"/>
        </w:r>
        <w:r>
          <w:instrText xml:space="preserve"> PAGEREF _Toc9100301 \h </w:instrText>
        </w:r>
        <w:r>
          <w:fldChar w:fldCharType="separate"/>
        </w:r>
        <w:r>
          <w:t>31</w:t>
        </w:r>
        <w:r>
          <w:fldChar w:fldCharType="end"/>
        </w:r>
      </w:hyperlink>
    </w:p>
    <w:p>
      <w:pPr>
        <w:pStyle w:val="TOC2"/>
      </w:pPr>
      <w:hyperlink w:anchor="_Toc9100302" w:history="1">
        <w:r>
          <w:rPr>
            <w:rStyle w:val="Hyperlink"/>
          </w:rPr>
          <w:t>Canadian counter-tariffs cause visible hardship in a U.S. community</w:t>
        </w:r>
        <w:r>
          <w:tab/>
        </w:r>
        <w:r>
          <w:fldChar w:fldCharType="begin"/>
        </w:r>
        <w:r>
          <w:instrText xml:space="preserve"> PAGEREF _Toc9100302 \h </w:instrText>
        </w:r>
        <w:r>
          <w:fldChar w:fldCharType="separate"/>
        </w:r>
        <w:r>
          <w:t>31</w:t>
        </w:r>
        <w:r>
          <w:fldChar w:fldCharType="end"/>
        </w:r>
      </w:hyperlink>
    </w:p>
    <w:p>
      <w:pPr>
        <w:pStyle w:val="TOC2"/>
      </w:pPr>
      <w:hyperlink w:anchor="_Toc9100303" w:history="1">
        <w:r>
          <w:rPr>
            <w:rStyle w:val="Hyperlink"/>
          </w:rPr>
          <w:t>Anti-American harassment rises in Canada</w:t>
        </w:r>
        <w:r>
          <w:tab/>
        </w:r>
        <w:r>
          <w:fldChar w:fldCharType="begin"/>
        </w:r>
        <w:r>
          <w:instrText xml:space="preserve"> PAGEREF _Toc9100303 \h </w:instrText>
        </w:r>
        <w:r>
          <w:fldChar w:fldCharType="separate"/>
        </w:r>
        <w:r>
          <w:t>31</w:t>
        </w:r>
        <w:r>
          <w:fldChar w:fldCharType="end"/>
        </w:r>
      </w:hyperlink>
    </w:p>
    <w:p>
      <w:pPr>
        <w:pStyle w:val="TOC2"/>
      </w:pPr>
      <w:hyperlink w:anchor="_Toc9100304" w:history="1">
        <w:r>
          <w:rPr>
            <w:rStyle w:val="Hyperlink"/>
          </w:rPr>
          <w:t>Anti-Canadian harassment rises in the U.S.</w:t>
        </w:r>
        <w:r>
          <w:tab/>
        </w:r>
        <w:r>
          <w:fldChar w:fldCharType="begin"/>
        </w:r>
        <w:r>
          <w:instrText xml:space="preserve"> PAGEREF _Toc9100304 \h </w:instrText>
        </w:r>
        <w:r>
          <w:fldChar w:fldCharType="separate"/>
        </w:r>
        <w:r>
          <w:t>31</w:t>
        </w:r>
        <w:r>
          <w:fldChar w:fldCharType="end"/>
        </w:r>
      </w:hyperlink>
    </w:p>
    <w:p>
      <w:pPr>
        <w:pStyle w:val="TOC2"/>
      </w:pPr>
      <w:hyperlink w:anchor="_Toc9100305" w:history="1">
        <w:r>
          <w:rPr>
            <w:rStyle w:val="Hyperlink"/>
          </w:rPr>
          <w:t>A settlement appears imminent</w:t>
        </w:r>
        <w:r>
          <w:tab/>
        </w:r>
        <w:r>
          <w:fldChar w:fldCharType="begin"/>
        </w:r>
        <w:r>
          <w:instrText xml:space="preserve"> PAGEREF _Toc9100305 \h </w:instrText>
        </w:r>
        <w:r>
          <w:fldChar w:fldCharType="separate"/>
        </w:r>
        <w:r>
          <w:t>31</w:t>
        </w:r>
        <w:r>
          <w:fldChar w:fldCharType="end"/>
        </w:r>
      </w:hyperlink>
    </w:p>
    <w:p>
      <w:pPr>
        <w:pStyle w:val="TOC2"/>
      </w:pPr>
      <w:hyperlink w:anchor="_Toc9100306" w:history="1">
        <w:r>
          <w:rPr>
            <w:rStyle w:val="Hyperlink"/>
          </w:rPr>
          <w:t>Negotiations collapse again</w:t>
        </w:r>
        <w:r>
          <w:tab/>
        </w:r>
        <w:r>
          <w:fldChar w:fldCharType="begin"/>
        </w:r>
        <w:r>
          <w:instrText xml:space="preserve"> PAGEREF _Toc9100306 \h </w:instrText>
        </w:r>
        <w:r>
          <w:fldChar w:fldCharType="separate"/>
        </w:r>
        <w:r>
          <w:t>31</w:t>
        </w:r>
        <w:r>
          <w:fldChar w:fldCharType="end"/>
        </w:r>
      </w:hyperlink>
    </w:p>
    <w:p>
      <w:pPr>
        <w:pStyle w:val="TOC2"/>
      </w:pPr>
      <w:hyperlink w:anchor="_Toc9100307" w:history="1">
        <w:r>
          <w:rPr>
            <w:rStyle w:val="Hyperlink"/>
          </w:rPr>
          <w:t>A bilateral security incident occurs during the trade war</w:t>
        </w:r>
        <w:r>
          <w:tab/>
        </w:r>
        <w:r>
          <w:fldChar w:fldCharType="begin"/>
        </w:r>
        <w:r>
          <w:instrText xml:space="preserve"> PAGEREF _Toc9100307 \h </w:instrText>
        </w:r>
        <w:r>
          <w:fldChar w:fldCharType="separate"/>
        </w:r>
        <w:r>
          <w:t>31</w:t>
        </w:r>
        <w:r>
          <w:fldChar w:fldCharType="end"/>
        </w:r>
      </w:hyperlink>
    </w:p>
    <w:p>
      <w:pPr>
        <w:pStyle w:val="TOC1"/>
      </w:pPr>
      <w:hyperlink w:anchor="_Toc9100308" w:history="1">
        <w:r>
          <w:rPr>
            <w:rStyle w:val="Hyperlink"/>
          </w:rPr>
          <w:t>Annex G — Source and Validation Notes</w:t>
        </w:r>
        <w:r>
          <w:tab/>
        </w:r>
        <w:r>
          <w:fldChar w:fldCharType="begin"/>
        </w:r>
        <w:r>
          <w:instrText xml:space="preserve"> PAGEREF _Toc9100308 \h </w:instrText>
        </w:r>
        <w:r>
          <w:fldChar w:fldCharType="separate"/>
        </w:r>
        <w:r>
          <w:t>32</w:t>
        </w:r>
        <w:r>
          <w:fldChar w:fldCharType="end"/>
        </w:r>
      </w:hyperlink>
    </w:p>
    <w:p>
      <w:pPr>
        <w:pStyle w:val="TOC2"/>
      </w:pPr>
      <w:hyperlink w:anchor="_Toc9100309" w:history="1">
        <w:r>
          <w:rPr>
            <w:rStyle w:val="Hyperlink"/>
          </w:rPr>
          <w:t>G.2 Current-Situation Findings Used</w:t>
        </w:r>
        <w:r>
          <w:tab/>
        </w:r>
        <w:r>
          <w:fldChar w:fldCharType="begin"/>
        </w:r>
        <w:r>
          <w:instrText xml:space="preserve"> PAGEREF _Toc9100309 \h </w:instrText>
        </w:r>
        <w:r>
          <w:fldChar w:fldCharType="separate"/>
        </w:r>
        <w:r>
          <w:t>32</w:t>
        </w:r>
        <w:r>
          <w:fldChar w:fldCharType="end"/>
        </w:r>
      </w:hyperlink>
    </w:p>
    <w:p>
      <w:pPr>
        <w:pStyle w:val="TOC2"/>
      </w:pPr>
      <w:hyperlink w:anchor="_Toc9100310" w:history="1">
        <w:r>
          <w:rPr>
            <w:rStyle w:val="Hyperlink"/>
          </w:rPr>
          <w:t>G.3 Validation Before Government Use</w:t>
        </w:r>
        <w:r>
          <w:tab/>
        </w:r>
        <w:r>
          <w:fldChar w:fldCharType="begin"/>
        </w:r>
        <w:r>
          <w:instrText xml:space="preserve"> PAGEREF _Toc9100310 \h </w:instrText>
        </w:r>
        <w:r>
          <w:fldChar w:fldCharType="separate"/>
        </w:r>
        <w:r>
          <w:t>32</w:t>
        </w:r>
        <w:r>
          <w:fldChar w:fldCharType="end"/>
        </w:r>
      </w:hyperlink>
    </w:p>
    <w:p>
      <w:pPr>
        <w:pStyle w:val="TOC1"/>
      </w:pPr>
      <w:hyperlink w:anchor="_Toc9100311" w:history="1">
        <w:r>
          <w:rPr>
            <w:rStyle w:val="Hyperlink"/>
          </w:rPr>
          <w:t>Closing Principle</w:t>
        </w:r>
        <w:r>
          <w:tab/>
        </w:r>
        <w:r>
          <w:fldChar w:fldCharType="begin"/>
        </w:r>
        <w:r>
          <w:instrText xml:space="preserve"> PAGEREF _Toc9100311 \h </w:instrText>
        </w:r>
        <w:r>
          <w:fldChar w:fldCharType="separate"/>
        </w:r>
        <w:r>
          <w:t>34</w:t>
        </w:r>
        <w:r>
          <w:fldChar w:fldCharType="end"/>
        </w:r>
      </w:hyperlink>
    </w:p>
    <w:p>
      <w:r>
        <w:fldChar w:fldCharType="end"/>
      </w:r>
    </w:p>
    <w:p>
      <w:pPr>
        <w:sectPr>
          <w:headerReference w:type="default" r:id="rId9"/>
          <w:footerReference w:type="default" r:id="rId10"/>
          <w:pgSz w:w="12240" w:h="15840"/>
          <w:pgMar w:top="1037" w:right="1123" w:bottom="979" w:left="1123" w:header="720" w:footer="720" w:gutter="0"/>
          <w:pgNumType w:start="1"/>
          <w:cols w:space="720"/>
          <w:docGrid w:linePitch="360"/>
        </w:sectPr>
      </w:pPr>
    </w:p>
    <w:p>
      <w:pPr>
        <w:pStyle w:val="Heading1"/>
        <w:keepNext/>
        <w:spacing w:before="200" w:after="80"/>
      </w:pPr>
      <w:bookmarkStart w:id="201" w:name="_Toc9100201"/>
      <w:r>
        <w:t>Executive Status Note</w:t>
      </w:r>
      <w:bookmarkEnd w:id="201"/>
    </w:p>
    <w:p>
      <w:r>
        <w:t>This strategy is a public-diplomacy and relationship-preservation framework for use during a serious Canada–United States trade conflict. It is designed to complement, not weaken, proportionate Canadian economic countermeasures. Its central premise is that Canada can defend its sovereignty, workers, industries, and negotiating position while deliberately protecting the people-to-people relationship with Americans.</w:t>
      </w:r>
    </w:p>
    <w:p>
      <w:r>
        <w:t>The framework is deliberately non-partisan. It is not an election-interference program, a covert influence operation, or a campaign to manipulate particular American political constituencies. Canadian outreach under this strategy is transparent, attributable, factual, and available to broad audiences. It does not purchase hidden political advocacy, impersonate American voices, exploit personal data for political targeting, or instruct Americans how to vote.</w:t>
      </w:r>
    </w:p>
    <w:p>
      <w:r>
        <w:t>The strategy builds out the loose doctrine supplied in kindness.txt: separate policy from people; publish off-ramps; maintain cultural, educational, scientific, security, tourism, business, and border relationships; respond to American hardship with empathy rather than celebration; and prepare reconciliation before the dispute ends.</w:t>
      </w:r>
    </w:p>
    <w:p>
      <w:r>
        <w:t>Current-situation baseline. As of late August 2026, Canada has suspended trade negotiations after last-minute U.S. terms were judged unfair and uneconomic. The United States imposed 50% tariffs on approximately C$27.6 billion of Canadian goods effective August 22. Canada has announced matching counter-tariffs, with 15%, 25%, and 50% rates on C$27.6 billion of U.S.-origin imports effective September 8, alongside C$7.5 billion in new and enhanced support for Canadian workers and businesses. Existing counter-tariffs, including on autos, remain in place. This strategy therefore assumes an active conflict, not a hypothetical dispute.</w:t>
      </w:r>
    </w:p>
    <w:p>
      <w:r>
        <w:t>At the same time, the bilateral relationship remains unusually dense. Global Affairs Canada describes Canada and the United States as bound by extensive trade, investment, supply-chain, energy, security, and people-to-people ties, with millions of jobs supported on both sides. Canada also already possesses a substantial U.S. diplomatic network, including the Embassy in Washington, consulates general across major U.S. regions, trade offices, and honorary consuls. The strategy uses that existing machinery rather than inventing an entirely new foreign-service structure.</w:t>
      </w:r>
    </w:p>
    <w:p>
      <w:pPr>
        <w:pStyle w:val="Heading2"/>
        <w:keepNext/>
        <w:spacing w:before="200" w:after="80"/>
      </w:pPr>
      <w:bookmarkStart w:id="202" w:name="_Toc9100202"/>
      <w:r>
        <w:t>Strategic Objective</w:t>
      </w:r>
      <w:bookmarkEnd w:id="202"/>
    </w:p>
    <w:p>
      <w:r>
        <w:t>Preserve the social legitimacy and practical infrastructure of Canadian-American friendship during an economic confrontation so that necessary state-to-state countermeasures do not metastasize into durable hostility between the two populations.</w:t>
      </w:r>
    </w:p>
    <w:p>
      <w:pPr>
        <w:pStyle w:val="Heading2"/>
        <w:keepNext/>
        <w:spacing w:before="200" w:after="80"/>
      </w:pPr>
      <w:bookmarkStart w:id="203" w:name="_Toc9100203"/>
      <w:r>
        <w:t>Desired End State</w:t>
      </w:r>
      <w:bookmarkEnd w:id="203"/>
    </w:p>
    <w:p>
      <w:pPr>
        <w:pStyle w:val="ListBullet"/>
      </w:pPr>
      <w:r>
        <w:t>Canada can enforce proportionate economic countermeasures without defining Americans as enemies.</w:t>
      </w:r>
    </w:p>
    <w:p>
      <w:pPr>
        <w:pStyle w:val="ListBullet"/>
      </w:pPr>
      <w:r>
        <w:t>American audiences can distinguish Canadian disagreement with U.S. federal policy from hostility toward the United States or its citizens.</w:t>
      </w:r>
    </w:p>
    <w:p>
      <w:pPr>
        <w:pStyle w:val="ListBullet"/>
      </w:pPr>
      <w:r>
        <w:t>Cross-border families, tourism, education, science, culture, business, municipal ties, and security cooperation remain as intact as practicable.</w:t>
      </w:r>
    </w:p>
    <w:p>
      <w:pPr>
        <w:pStyle w:val="ListBullet"/>
      </w:pPr>
      <w:r>
        <w:t>Canadian public discourse remains patriotic without becoming anti-American.</w:t>
      </w:r>
    </w:p>
    <w:p>
      <w:pPr>
        <w:pStyle w:val="ListBullet"/>
      </w:pPr>
      <w:r>
        <w:t>Every escalation is paired with a visible route to de-escalation.</w:t>
      </w:r>
    </w:p>
    <w:p>
      <w:pPr>
        <w:pStyle w:val="ListBullet"/>
      </w:pPr>
      <w:r>
        <w:t>When a trade settlement becomes possible, the relationship can normalize quickly because the social bridges were never deliberately burned.</w:t>
      </w:r>
    </w:p>
    <w:p>
      <w:pPr>
        <w:pStyle w:val="Heading2"/>
        <w:keepNext/>
        <w:spacing w:before="200" w:after="80"/>
      </w:pPr>
      <w:bookmarkStart w:id="204" w:name="_Toc9100204"/>
      <w:r>
        <w:t>Operating Formula</w:t>
      </w:r>
      <w:bookmarkEnd w:id="204"/>
    </w:p>
    <w:tbl>
      <w:tblPr>
        <w:tblStyle w:val="TableGrid"/>
        <w:tblW w:type="auto" w:w="0"/>
        <w:jc w:val="center"/>
        <w:tblLook w:firstColumn="1" w:firstRow="1" w:lastColumn="0" w:lastRow="0" w:noHBand="0" w:noVBand="1" w:val="04A0"/>
      </w:tblPr>
      <w:tblGrid>
        <w:gridCol w:w="3331"/>
        <w:gridCol w:w="3331"/>
        <w:gridCol w:w="3331"/>
      </w:tblGrid>
      <w:tr>
        <w:trPr>
          <w:tblHeader w:val="true"/>
        </w:trPr>
        <w:tc>
          <w:tcPr>
            <w:tcW w:type="dxa" w:w="2016"/>
            <w:shd w:fill="DCE6F1"/>
            <w:vAlign w:val="center"/>
          </w:tcPr>
          <w:p>
            <w:r>
              <w:rPr>
                <w:b/>
                <w:sz w:val="17"/>
              </w:rPr>
              <w:t>Function</w:t>
            </w:r>
          </w:p>
        </w:tc>
        <w:tc>
          <w:tcPr>
            <w:tcW w:type="dxa" w:w="4896"/>
            <w:shd w:fill="DCE6F1"/>
            <w:vAlign w:val="center"/>
          </w:tcPr>
          <w:p>
            <w:r>
              <w:rPr>
                <w:b/>
                <w:sz w:val="17"/>
              </w:rPr>
              <w:t>Purpose</w:t>
            </w:r>
          </w:p>
        </w:tc>
        <w:tc>
          <w:tcPr>
            <w:tcW w:type="dxa" w:w="2880"/>
            <w:shd w:fill="DCE6F1"/>
            <w:vAlign w:val="center"/>
          </w:tcPr>
          <w:p>
            <w:r>
              <w:rPr>
                <w:b/>
                <w:sz w:val="17"/>
              </w:rPr>
              <w:t>Default posture</w:t>
            </w:r>
          </w:p>
        </w:tc>
      </w:tr>
      <w:tr>
        <w:tc>
          <w:tcPr>
            <w:tcW w:type="dxa" w:w="2016"/>
            <w:vAlign w:val="top"/>
          </w:tcPr>
          <w:p>
            <w:pPr>
              <w:spacing w:after="20"/>
            </w:pPr>
            <w:r>
              <w:rPr>
                <w:sz w:val="17"/>
              </w:rPr>
              <w:t>Firm policy</w:t>
            </w:r>
          </w:p>
        </w:tc>
        <w:tc>
          <w:tcPr>
            <w:tcW w:type="dxa" w:w="4896"/>
            <w:vAlign w:val="top"/>
          </w:tcPr>
          <w:p>
            <w:pPr>
              <w:spacing w:after="20"/>
            </w:pPr>
            <w:r>
              <w:rPr>
                <w:sz w:val="17"/>
              </w:rPr>
              <w:t>Defend Canadian sovereignty, workers and industries</w:t>
            </w:r>
          </w:p>
        </w:tc>
        <w:tc>
          <w:tcPr>
            <w:tcW w:type="dxa" w:w="2880"/>
            <w:vAlign w:val="top"/>
          </w:tcPr>
          <w:p>
            <w:pPr>
              <w:spacing w:after="20"/>
            </w:pPr>
            <w:r>
              <w:rPr>
                <w:sz w:val="17"/>
              </w:rPr>
              <w:t>Proportionate, lawful, reversible</w:t>
            </w:r>
          </w:p>
        </w:tc>
      </w:tr>
      <w:tr>
        <w:tc>
          <w:tcPr>
            <w:tcW w:type="dxa" w:w="2016"/>
            <w:vAlign w:val="top"/>
          </w:tcPr>
          <w:p>
            <w:pPr>
              <w:spacing w:after="20"/>
            </w:pPr>
            <w:r>
              <w:rPr>
                <w:sz w:val="17"/>
              </w:rPr>
              <w:t>Open people track</w:t>
            </w:r>
          </w:p>
        </w:tc>
        <w:tc>
          <w:tcPr>
            <w:tcW w:type="dxa" w:w="4896"/>
            <w:vAlign w:val="top"/>
          </w:tcPr>
          <w:p>
            <w:pPr>
              <w:spacing w:after="20"/>
            </w:pPr>
            <w:r>
              <w:rPr>
                <w:sz w:val="17"/>
              </w:rPr>
              <w:t>Protect citizen-to-citizen ties</w:t>
            </w:r>
          </w:p>
        </w:tc>
        <w:tc>
          <w:tcPr>
            <w:tcW w:type="dxa" w:w="2880"/>
            <w:vAlign w:val="top"/>
          </w:tcPr>
          <w:p>
            <w:pPr>
              <w:spacing w:after="20"/>
            </w:pPr>
            <w:r>
              <w:rPr>
                <w:sz w:val="17"/>
              </w:rPr>
              <w:t>Warm, respectful, non-partisan</w:t>
            </w:r>
          </w:p>
        </w:tc>
      </w:tr>
      <w:tr>
        <w:tc>
          <w:tcPr>
            <w:tcW w:type="dxa" w:w="2016"/>
            <w:vAlign w:val="top"/>
          </w:tcPr>
          <w:p>
            <w:pPr>
              <w:spacing w:after="20"/>
            </w:pPr>
            <w:r>
              <w:rPr>
                <w:sz w:val="17"/>
              </w:rPr>
              <w:t>Truth layer</w:t>
            </w:r>
          </w:p>
        </w:tc>
        <w:tc>
          <w:tcPr>
            <w:tcW w:type="dxa" w:w="4896"/>
            <w:vAlign w:val="top"/>
          </w:tcPr>
          <w:p>
            <w:pPr>
              <w:spacing w:after="20"/>
            </w:pPr>
            <w:r>
              <w:rPr>
                <w:sz w:val="17"/>
              </w:rPr>
              <w:t>Correct false claims without escalating rhetoric</w:t>
            </w:r>
          </w:p>
        </w:tc>
        <w:tc>
          <w:tcPr>
            <w:tcW w:type="dxa" w:w="2880"/>
            <w:vAlign w:val="top"/>
          </w:tcPr>
          <w:p>
            <w:pPr>
              <w:spacing w:after="20"/>
            </w:pPr>
            <w:r>
              <w:rPr>
                <w:sz w:val="17"/>
              </w:rPr>
              <w:t>Fast, sourced, calm</w:t>
            </w:r>
          </w:p>
        </w:tc>
      </w:tr>
      <w:tr>
        <w:tc>
          <w:tcPr>
            <w:tcW w:type="dxa" w:w="2016"/>
            <w:vAlign w:val="top"/>
          </w:tcPr>
          <w:p>
            <w:pPr>
              <w:spacing w:after="20"/>
            </w:pPr>
            <w:r>
              <w:rPr>
                <w:sz w:val="17"/>
              </w:rPr>
              <w:t>Off-ramp layer</w:t>
            </w:r>
          </w:p>
        </w:tc>
        <w:tc>
          <w:tcPr>
            <w:tcW w:type="dxa" w:w="4896"/>
            <w:vAlign w:val="top"/>
          </w:tcPr>
          <w:p>
            <w:pPr>
              <w:spacing w:after="20"/>
            </w:pPr>
            <w:r>
              <w:rPr>
                <w:sz w:val="17"/>
              </w:rPr>
              <w:t>Make settlement continuously legible</w:t>
            </w:r>
          </w:p>
        </w:tc>
        <w:tc>
          <w:tcPr>
            <w:tcW w:type="dxa" w:w="2880"/>
            <w:vAlign w:val="top"/>
          </w:tcPr>
          <w:p>
            <w:pPr>
              <w:spacing w:after="20"/>
            </w:pPr>
            <w:r>
              <w:rPr>
                <w:sz w:val="17"/>
              </w:rPr>
              <w:t>Specific, reciprocal, public</w:t>
            </w:r>
          </w:p>
        </w:tc>
      </w:tr>
      <w:tr>
        <w:tc>
          <w:tcPr>
            <w:tcW w:type="dxa" w:w="2016"/>
            <w:vAlign w:val="top"/>
          </w:tcPr>
          <w:p>
            <w:pPr>
              <w:spacing w:after="20"/>
            </w:pPr>
            <w:r>
              <w:rPr>
                <w:sz w:val="17"/>
              </w:rPr>
              <w:t>Continuity layer</w:t>
            </w:r>
          </w:p>
        </w:tc>
        <w:tc>
          <w:tcPr>
            <w:tcW w:type="dxa" w:w="4896"/>
            <w:vAlign w:val="top"/>
          </w:tcPr>
          <w:p>
            <w:pPr>
              <w:spacing w:after="20"/>
            </w:pPr>
            <w:r>
              <w:rPr>
                <w:sz w:val="17"/>
              </w:rPr>
              <w:t>Keep useful cooperation alive</w:t>
            </w:r>
          </w:p>
        </w:tc>
        <w:tc>
          <w:tcPr>
            <w:tcW w:type="dxa" w:w="2880"/>
            <w:vAlign w:val="top"/>
          </w:tcPr>
          <w:p>
            <w:pPr>
              <w:spacing w:after="20"/>
            </w:pPr>
            <w:r>
              <w:rPr>
                <w:sz w:val="17"/>
              </w:rPr>
              <w:t>Practical, decentralized</w:t>
            </w:r>
          </w:p>
        </w:tc>
      </w:tr>
      <w:tr>
        <w:tc>
          <w:tcPr>
            <w:tcW w:type="dxa" w:w="2016"/>
            <w:vAlign w:val="top"/>
          </w:tcPr>
          <w:p>
            <w:pPr>
              <w:spacing w:after="20"/>
            </w:pPr>
            <w:r>
              <w:rPr>
                <w:sz w:val="17"/>
              </w:rPr>
              <w:t>Reconciliation layer</w:t>
            </w:r>
          </w:p>
        </w:tc>
        <w:tc>
          <w:tcPr>
            <w:tcW w:type="dxa" w:w="4896"/>
            <w:vAlign w:val="top"/>
          </w:tcPr>
          <w:p>
            <w:pPr>
              <w:spacing w:after="20"/>
            </w:pPr>
            <w:r>
              <w:rPr>
                <w:sz w:val="17"/>
              </w:rPr>
              <w:t>Prepare the day after the dispute</w:t>
            </w:r>
          </w:p>
        </w:tc>
        <w:tc>
          <w:tcPr>
            <w:tcW w:type="dxa" w:w="2880"/>
            <w:vAlign w:val="top"/>
          </w:tcPr>
          <w:p>
            <w:pPr>
              <w:spacing w:after="20"/>
            </w:pPr>
            <w:r>
              <w:rPr>
                <w:sz w:val="17"/>
              </w:rPr>
              <w:t>Pre-planned, generous, reciprocal</w:t>
            </w:r>
          </w:p>
        </w:tc>
      </w:tr>
    </w:tbl>
    <w:p/>
    <w:p>
      <w:r>
        <w:br w:type="page"/>
      </w:r>
    </w:p>
    <w:p>
      <w:r>
        <w:br w:type="page"/>
      </w:r>
    </w:p>
    <w:p>
      <w:pPr>
        <w:pStyle w:val="Heading1"/>
        <w:keepNext/>
        <w:spacing w:before="200" w:after="80"/>
      </w:pPr>
      <w:bookmarkStart w:id="205" w:name="_Toc9100205"/>
      <w:r>
        <w:t>Part I — Doctrine and Strategic Logic</w:t>
      </w:r>
      <w:bookmarkEnd w:id="205"/>
    </w:p>
    <w:p>
      <w:pPr>
        <w:pStyle w:val="Heading2"/>
        <w:keepNext/>
        <w:spacing w:before="200" w:after="80"/>
      </w:pPr>
      <w:bookmarkStart w:id="206" w:name="_Toc9100206"/>
      <w:r>
        <w:t>1.1 Core Doctrine</w:t>
      </w:r>
      <w:bookmarkEnd w:id="206"/>
    </w:p>
    <w:p>
      <w:r>
        <w:t>Canada fights the policy and keeps the friendship. This is not softness. It is strategic separation. A trade conflict is fought over rules, access, sovereignty, industrial policy, tariffs, and negotiating leverage. It does not require transforming a neighbouring population into a hostile out-group.</w:t>
      </w:r>
    </w:p>
    <w:p>
      <w:r>
        <w:t>Canada's disagreement attaches to decisions, measures, demands, and legal instruments, not identities. Canada distinguishes the American people from their government, individual officeholders from the institutions they temporarily serve, and a particular administration from the American constitutional and democratic system itself. A strong objection to a specific trade policy does not make the people, the officeholder, the institution, or the American political system an enemy.</w:t>
      </w:r>
    </w:p>
    <w:p>
      <w:pPr>
        <w:pStyle w:val="SmallNote"/>
      </w:pPr>
      <w:r>
        <w:t>Operating rule: describe the precise decision being opposed whenever practicable. Prefer the identified tariff, statute, proclamation, negotiating demand, or dated decision over generalized blame directed at "Washington," "America," or an undifferentiated administration.</w:t>
      </w:r>
    </w:p>
    <w:p>
      <w:r>
        <w:t>The doctrine therefore establishes two simultaneous tracks. The Policy Track remains firm: Canada may impose counter-tariffs, pursue legal remedies, diversify trade, support affected industries, and refuse unacceptable terms. The People Track remains open: Canada continues to welcome American visitors, students, researchers, investors, artists, athletes, families, and legitimate businesses except where a specific lawful countermeasure applies.</w:t>
      </w:r>
    </w:p>
    <w:p>
      <w:pPr>
        <w:pStyle w:val="Heading2"/>
        <w:keepNext/>
        <w:spacing w:before="200" w:after="80"/>
      </w:pPr>
      <w:bookmarkStart w:id="207" w:name="_Toc9100207"/>
      <w:r>
        <w:t>1.2 The Kindness Principle</w:t>
      </w:r>
      <w:bookmarkEnd w:id="207"/>
    </w:p>
    <w:p>
      <w:r>
        <w:t>The strategy's internal philosophy can be summarized as disciplined generosity under pressure. Canada should be conspicuously decent where decency does not compromise national interests. The point is not to flatter the United States or apologize for Canadian self-defence. The point is to deny polarizing rhetoric the emotional fuel it requires.</w:t>
      </w:r>
    </w:p>
    <w:p>
      <w:r>
        <w:t>The People Track is not conditional on reciprocal warmth. Hostile rhetoric, failed persuasion, or deteriorating American public opinion may justify stronger factual rebuttal, security precautions, economic countermeasures, or diversification, but they do not justify collective hostility toward Americans. Canada controls its own conduct even when it cannot control the conduct or rhetoric of others.</w:t>
      </w:r>
    </w:p>
    <w:p>
      <w:r>
        <w:t>Kindness is operationalized as conduct: no celebration of American layoffs or price increases; no collective blame; continued welcome for ordinary visitors; public recognition of American partners who preserve cooperation; rapid correction of misinformation without insults; visible concern for cross-border communities; and a standing willingness to remove countermeasures when the triggering U.S. measures are removed.</w:t>
      </w:r>
    </w:p>
    <w:p>
      <w:pPr>
        <w:pStyle w:val="Heading2"/>
        <w:keepNext/>
        <w:spacing w:before="200" w:after="80"/>
      </w:pPr>
      <w:bookmarkStart w:id="208" w:name="_Toc9100208"/>
      <w:r>
        <w:t>1.3 Strategic Theory of Change</w:t>
      </w:r>
      <w:bookmarkEnd w:id="208"/>
    </w:p>
    <w:tbl>
      <w:tblPr>
        <w:tblStyle w:val="TableGrid"/>
        <w:tblW w:type="auto" w:w="0"/>
        <w:jc w:val="center"/>
        <w:tblLook w:firstColumn="1" w:firstRow="1" w:lastColumn="0" w:lastRow="0" w:noHBand="0" w:noVBand="1" w:val="04A0"/>
      </w:tblPr>
      <w:tblGrid>
        <w:gridCol w:w="2498"/>
        <w:gridCol w:w="2498"/>
        <w:gridCol w:w="2498"/>
        <w:gridCol w:w="2498"/>
      </w:tblGrid>
      <w:tr>
        <w:trPr>
          <w:tblHeader w:val="true"/>
        </w:trPr>
        <w:tc>
          <w:tcPr>
            <w:tcW w:type="dxa" w:w="1728"/>
            <w:shd w:fill="DCE6F1"/>
            <w:vAlign w:val="center"/>
          </w:tcPr>
          <w:p>
            <w:r>
              <w:rPr>
                <w:b/>
                <w:sz w:val="15"/>
              </w:rPr>
              <w:t>Input</w:t>
            </w:r>
          </w:p>
        </w:tc>
        <w:tc>
          <w:tcPr>
            <w:tcW w:type="dxa" w:w="3168"/>
            <w:shd w:fill="DCE6F1"/>
            <w:vAlign w:val="center"/>
          </w:tcPr>
          <w:p>
            <w:r>
              <w:rPr>
                <w:b/>
                <w:sz w:val="15"/>
              </w:rPr>
              <w:t>Mechanism</w:t>
            </w:r>
          </w:p>
        </w:tc>
        <w:tc>
          <w:tcPr>
            <w:tcW w:type="dxa" w:w="3600"/>
            <w:shd w:fill="DCE6F1"/>
            <w:vAlign w:val="center"/>
          </w:tcPr>
          <w:p>
            <w:r>
              <w:rPr>
                <w:b/>
                <w:sz w:val="15"/>
              </w:rPr>
              <w:t>Intermediate effect</w:t>
            </w:r>
          </w:p>
        </w:tc>
        <w:tc>
          <w:tcPr>
            <w:tcW w:type="dxa" w:w="3456"/>
            <w:shd w:fill="DCE6F1"/>
            <w:vAlign w:val="center"/>
          </w:tcPr>
          <w:p>
            <w:r>
              <w:rPr>
                <w:b/>
                <w:sz w:val="15"/>
              </w:rPr>
              <w:t>Strategic effect</w:t>
            </w:r>
          </w:p>
        </w:tc>
      </w:tr>
      <w:tr>
        <w:tc>
          <w:tcPr>
            <w:tcW w:type="dxa" w:w="1728"/>
            <w:vAlign w:val="top"/>
          </w:tcPr>
          <w:p>
            <w:pPr>
              <w:spacing w:after="20"/>
            </w:pPr>
            <w:r>
              <w:rPr>
                <w:sz w:val="15"/>
              </w:rPr>
              <w:t>Transparent Canadian outreach</w:t>
            </w:r>
          </w:p>
        </w:tc>
        <w:tc>
          <w:tcPr>
            <w:tcW w:type="dxa" w:w="3168"/>
            <w:vAlign w:val="top"/>
          </w:tcPr>
          <w:p>
            <w:pPr>
              <w:spacing w:after="20"/>
            </w:pPr>
            <w:r>
              <w:rPr>
                <w:sz w:val="15"/>
              </w:rPr>
              <w:t>Repeated distinction between government policy and citizens</w:t>
            </w:r>
          </w:p>
        </w:tc>
        <w:tc>
          <w:tcPr>
            <w:tcW w:type="dxa" w:w="3600"/>
            <w:vAlign w:val="top"/>
          </w:tcPr>
          <w:p>
            <w:pPr>
              <w:spacing w:after="20"/>
            </w:pPr>
            <w:r>
              <w:rPr>
                <w:sz w:val="15"/>
              </w:rPr>
              <w:t>Lower social hostility</w:t>
            </w:r>
          </w:p>
        </w:tc>
        <w:tc>
          <w:tcPr>
            <w:tcW w:type="dxa" w:w="3456"/>
            <w:vAlign w:val="top"/>
          </w:tcPr>
          <w:p>
            <w:pPr>
              <w:spacing w:after="20"/>
            </w:pPr>
            <w:r>
              <w:rPr>
                <w:sz w:val="15"/>
              </w:rPr>
              <w:t>Relationship survives policy conflict</w:t>
            </w:r>
          </w:p>
        </w:tc>
      </w:tr>
      <w:tr>
        <w:tc>
          <w:tcPr>
            <w:tcW w:type="dxa" w:w="1728"/>
            <w:vAlign w:val="top"/>
          </w:tcPr>
          <w:p>
            <w:pPr>
              <w:spacing w:after="20"/>
            </w:pPr>
            <w:r>
              <w:rPr>
                <w:sz w:val="15"/>
              </w:rPr>
              <w:t>Visible off-ramps</w:t>
            </w:r>
          </w:p>
        </w:tc>
        <w:tc>
          <w:tcPr>
            <w:tcW w:type="dxa" w:w="3168"/>
            <w:vAlign w:val="top"/>
          </w:tcPr>
          <w:p>
            <w:pPr>
              <w:spacing w:after="20"/>
            </w:pPr>
            <w:r>
              <w:rPr>
                <w:sz w:val="15"/>
              </w:rPr>
              <w:t>Americans can see how measures end</w:t>
            </w:r>
          </w:p>
        </w:tc>
        <w:tc>
          <w:tcPr>
            <w:tcW w:type="dxa" w:w="3600"/>
            <w:vAlign w:val="top"/>
          </w:tcPr>
          <w:p>
            <w:pPr>
              <w:spacing w:after="20"/>
            </w:pPr>
            <w:r>
              <w:rPr>
                <w:sz w:val="15"/>
              </w:rPr>
              <w:t>Reduced fatalism and blame</w:t>
            </w:r>
          </w:p>
        </w:tc>
        <w:tc>
          <w:tcPr>
            <w:tcW w:type="dxa" w:w="3456"/>
            <w:vAlign w:val="top"/>
          </w:tcPr>
          <w:p>
            <w:pPr>
              <w:spacing w:after="20"/>
            </w:pPr>
            <w:r>
              <w:rPr>
                <w:sz w:val="15"/>
              </w:rPr>
              <w:t>More space for settlement</w:t>
            </w:r>
          </w:p>
        </w:tc>
      </w:tr>
      <w:tr>
        <w:tc>
          <w:tcPr>
            <w:tcW w:type="dxa" w:w="1728"/>
            <w:vAlign w:val="top"/>
          </w:tcPr>
          <w:p>
            <w:pPr>
              <w:spacing w:after="20"/>
            </w:pPr>
            <w:r>
              <w:rPr>
                <w:sz w:val="15"/>
              </w:rPr>
              <w:t>Local partnerships</w:t>
            </w:r>
          </w:p>
        </w:tc>
        <w:tc>
          <w:tcPr>
            <w:tcW w:type="dxa" w:w="3168"/>
            <w:vAlign w:val="top"/>
          </w:tcPr>
          <w:p>
            <w:pPr>
              <w:spacing w:after="20"/>
            </w:pPr>
            <w:r>
              <w:rPr>
                <w:sz w:val="15"/>
              </w:rPr>
              <w:t>Trusted American institutions carry factual bilateral information</w:t>
            </w:r>
          </w:p>
        </w:tc>
        <w:tc>
          <w:tcPr>
            <w:tcW w:type="dxa" w:w="3600"/>
            <w:vAlign w:val="top"/>
          </w:tcPr>
          <w:p>
            <w:pPr>
              <w:spacing w:after="20"/>
            </w:pPr>
            <w:r>
              <w:rPr>
                <w:sz w:val="15"/>
              </w:rPr>
              <w:t>Higher credibility than foreign-government assertion alone</w:t>
            </w:r>
          </w:p>
        </w:tc>
        <w:tc>
          <w:tcPr>
            <w:tcW w:type="dxa" w:w="3456"/>
            <w:vAlign w:val="top"/>
          </w:tcPr>
          <w:p>
            <w:pPr>
              <w:spacing w:after="20"/>
            </w:pPr>
            <w:r>
              <w:rPr>
                <w:sz w:val="15"/>
              </w:rPr>
              <w:t>Resilience against polarizing narratives</w:t>
            </w:r>
          </w:p>
        </w:tc>
      </w:tr>
      <w:tr>
        <w:tc>
          <w:tcPr>
            <w:tcW w:type="dxa" w:w="1728"/>
            <w:vAlign w:val="top"/>
          </w:tcPr>
          <w:p>
            <w:pPr>
              <w:spacing w:after="20"/>
            </w:pPr>
            <w:r>
              <w:rPr>
                <w:sz w:val="15"/>
              </w:rPr>
              <w:t>Continuity programs</w:t>
            </w:r>
          </w:p>
        </w:tc>
        <w:tc>
          <w:tcPr>
            <w:tcW w:type="dxa" w:w="3168"/>
            <w:vAlign w:val="top"/>
          </w:tcPr>
          <w:p>
            <w:pPr>
              <w:spacing w:after="20"/>
            </w:pPr>
            <w:r>
              <w:rPr>
                <w:sz w:val="15"/>
              </w:rPr>
              <w:t>Useful ties continue despite tariffs</w:t>
            </w:r>
          </w:p>
        </w:tc>
        <w:tc>
          <w:tcPr>
            <w:tcW w:type="dxa" w:w="3600"/>
            <w:vAlign w:val="top"/>
          </w:tcPr>
          <w:p>
            <w:pPr>
              <w:spacing w:after="20"/>
            </w:pPr>
            <w:r>
              <w:rPr>
                <w:sz w:val="15"/>
              </w:rPr>
              <w:t>Daily evidence relationship is larger than dispute</w:t>
            </w:r>
          </w:p>
        </w:tc>
        <w:tc>
          <w:tcPr>
            <w:tcW w:type="dxa" w:w="3456"/>
            <w:vAlign w:val="top"/>
          </w:tcPr>
          <w:p>
            <w:pPr>
              <w:spacing w:after="20"/>
            </w:pPr>
            <w:r>
              <w:rPr>
                <w:sz w:val="15"/>
              </w:rPr>
              <w:t>Lower cost of post-conflict normalization</w:t>
            </w:r>
          </w:p>
        </w:tc>
      </w:tr>
      <w:tr>
        <w:tc>
          <w:tcPr>
            <w:tcW w:type="dxa" w:w="1728"/>
            <w:vAlign w:val="top"/>
          </w:tcPr>
          <w:p>
            <w:pPr>
              <w:spacing w:after="20"/>
            </w:pPr>
            <w:r>
              <w:rPr>
                <w:sz w:val="15"/>
              </w:rPr>
              <w:t>Empathetic response to harm</w:t>
            </w:r>
          </w:p>
        </w:tc>
        <w:tc>
          <w:tcPr>
            <w:tcW w:type="dxa" w:w="3168"/>
            <w:vAlign w:val="top"/>
          </w:tcPr>
          <w:p>
            <w:pPr>
              <w:spacing w:after="20"/>
            </w:pPr>
            <w:r>
              <w:rPr>
                <w:sz w:val="15"/>
              </w:rPr>
              <w:t>Canada refuses triumphalism</w:t>
            </w:r>
          </w:p>
        </w:tc>
        <w:tc>
          <w:tcPr>
            <w:tcW w:type="dxa" w:w="3600"/>
            <w:vAlign w:val="top"/>
          </w:tcPr>
          <w:p>
            <w:pPr>
              <w:spacing w:after="20"/>
            </w:pPr>
            <w:r>
              <w:rPr>
                <w:sz w:val="15"/>
              </w:rPr>
              <w:t>Less reciprocal resentment</w:t>
            </w:r>
          </w:p>
        </w:tc>
        <w:tc>
          <w:tcPr>
            <w:tcW w:type="dxa" w:w="3456"/>
            <w:vAlign w:val="top"/>
          </w:tcPr>
          <w:p>
            <w:pPr>
              <w:spacing w:after="20"/>
            </w:pPr>
            <w:r>
              <w:rPr>
                <w:sz w:val="15"/>
              </w:rPr>
              <w:t>Countermeasures retain defensive legitimacy</w:t>
            </w:r>
          </w:p>
        </w:tc>
      </w:tr>
      <w:tr>
        <w:tc>
          <w:tcPr>
            <w:tcW w:type="dxa" w:w="1728"/>
            <w:vAlign w:val="top"/>
          </w:tcPr>
          <w:p>
            <w:pPr>
              <w:spacing w:after="20"/>
            </w:pPr>
            <w:r>
              <w:rPr>
                <w:sz w:val="15"/>
              </w:rPr>
              <w:t>Fast factual correction</w:t>
            </w:r>
          </w:p>
        </w:tc>
        <w:tc>
          <w:tcPr>
            <w:tcW w:type="dxa" w:w="3168"/>
            <w:vAlign w:val="top"/>
          </w:tcPr>
          <w:p>
            <w:pPr>
              <w:spacing w:after="20"/>
            </w:pPr>
            <w:r>
              <w:rPr>
                <w:sz w:val="15"/>
              </w:rPr>
              <w:t>False claims answered with primary sources</w:t>
            </w:r>
          </w:p>
        </w:tc>
        <w:tc>
          <w:tcPr>
            <w:tcW w:type="dxa" w:w="3600"/>
            <w:vAlign w:val="top"/>
          </w:tcPr>
          <w:p>
            <w:pPr>
              <w:spacing w:after="20"/>
            </w:pPr>
            <w:r>
              <w:rPr>
                <w:sz w:val="15"/>
              </w:rPr>
              <w:t>Narrative contamination limited</w:t>
            </w:r>
          </w:p>
        </w:tc>
        <w:tc>
          <w:tcPr>
            <w:tcW w:type="dxa" w:w="3456"/>
            <w:vAlign w:val="top"/>
          </w:tcPr>
          <w:p>
            <w:pPr>
              <w:spacing w:after="20"/>
            </w:pPr>
            <w:r>
              <w:rPr>
                <w:sz w:val="15"/>
              </w:rPr>
              <w:t>Reduced escalation from misinformation</w:t>
            </w:r>
          </w:p>
        </w:tc>
      </w:tr>
    </w:tbl>
    <w:p/>
    <w:p>
      <w:pPr>
        <w:pStyle w:val="Heading2"/>
        <w:keepNext/>
        <w:spacing w:before="200" w:after="80"/>
      </w:pPr>
      <w:bookmarkStart w:id="209" w:name="_Toc9100209"/>
      <w:r>
        <w:t>1.4 Non-Negotiable Principles</w:t>
      </w:r>
      <w:bookmarkEnd w:id="209"/>
    </w:p>
    <w:p>
      <w:pPr>
        <w:pStyle w:val="ListBullet"/>
      </w:pPr>
      <w:r>
        <w:t>Truth before virality. No falsehood is justified because it would be rhetorically useful.</w:t>
      </w:r>
    </w:p>
    <w:p>
      <w:pPr>
        <w:pStyle w:val="ListBullet"/>
      </w:pPr>
      <w:r>
        <w:t>Attribution before amplification. Official Canadian content is clearly identified as Canadian government communication.</w:t>
      </w:r>
    </w:p>
    <w:p>
      <w:pPr>
        <w:pStyle w:val="ListBullet"/>
      </w:pPr>
      <w:r>
        <w:t>No electoral instruction. Canada does not tell Americans whom to support, oppose, elect, defeat, donate to, or organize against.</w:t>
      </w:r>
    </w:p>
    <w:p>
      <w:pPr>
        <w:pStyle w:val="ListBullet"/>
      </w:pPr>
      <w:r>
        <w:t>No partisan demographic microtargeting. Outreach may be geographically relevant, but not secretly optimized around inferred political beliefs or protected personal characteristics.</w:t>
      </w:r>
    </w:p>
    <w:p>
      <w:pPr>
        <w:pStyle w:val="ListBullet"/>
      </w:pPr>
      <w:r>
        <w:t>No collective guilt. U.S. citizens are not held morally responsible for every action of their federal government.</w:t>
      </w:r>
    </w:p>
    <w:p>
      <w:pPr>
        <w:pStyle w:val="ListBullet"/>
      </w:pPr>
      <w:r>
        <w:t>No humiliation doctrine. Canadian success is not narrated as American humiliation.</w:t>
      </w:r>
    </w:p>
    <w:p>
      <w:pPr>
        <w:pStyle w:val="ListBullet"/>
      </w:pPr>
      <w:r>
        <w:t>No abandonment of Canadian interests. Warmth toward people does not require concessions on sovereignty or economically unsound terms.</w:t>
      </w:r>
    </w:p>
    <w:p>
      <w:pPr>
        <w:pStyle w:val="ListBullet"/>
      </w:pPr>
      <w:r>
        <w:t>Every coercive measure should have a describable purpose, review point, and exit condition.</w:t>
      </w:r>
    </w:p>
    <w:p>
      <w:pPr>
        <w:pStyle w:val="ListBullet"/>
      </w:pPr>
      <w:r>
        <w:t>Continuity is the default for science, education, family, emergency, defence, and legitimate civil-society relationships unless a concrete security or legal reason requires restriction.</w:t>
      </w:r>
    </w:p>
    <w:p>
      <w:pPr>
        <w:pStyle w:val="Heading2"/>
        <w:keepNext/>
        <w:spacing w:before="200" w:after="80"/>
      </w:pPr>
      <w:bookmarkStart w:id="210" w:name="_Toc9100210"/>
      <w:r>
        <w:t>1.5 Vocabulary Doctrine</w:t>
      </w:r>
      <w:bookmarkEnd w:id="210"/>
    </w:p>
    <w:tbl>
      <w:tblPr>
        <w:tblStyle w:val="TableGrid"/>
        <w:tblW w:type="auto" w:w="0"/>
        <w:jc w:val="center"/>
        <w:tblLook w:firstColumn="1" w:firstRow="1" w:lastColumn="0" w:lastRow="0" w:noHBand="0" w:noVBand="1" w:val="04A0"/>
      </w:tblPr>
      <w:tblGrid>
        <w:gridCol w:w="3331"/>
        <w:gridCol w:w="3331"/>
        <w:gridCol w:w="3331"/>
      </w:tblGrid>
      <w:tr>
        <w:trPr>
          <w:tblHeader w:val="true"/>
        </w:trPr>
        <w:tc>
          <w:tcPr>
            <w:tcW w:type="dxa" w:w="2304"/>
            <w:shd w:fill="DCE6F1"/>
            <w:vAlign w:val="center"/>
          </w:tcPr>
          <w:p>
            <w:r>
              <w:rPr>
                <w:b/>
                <w:sz w:val="16"/>
              </w:rPr>
              <w:t>Avoid</w:t>
            </w:r>
          </w:p>
        </w:tc>
        <w:tc>
          <w:tcPr>
            <w:tcW w:type="dxa" w:w="4032"/>
            <w:shd w:fill="DCE6F1"/>
            <w:vAlign w:val="center"/>
          </w:tcPr>
          <w:p>
            <w:r>
              <w:rPr>
                <w:b/>
                <w:sz w:val="16"/>
              </w:rPr>
              <w:t>Prefer</w:t>
            </w:r>
          </w:p>
        </w:tc>
        <w:tc>
          <w:tcPr>
            <w:tcW w:type="dxa" w:w="4032"/>
            <w:shd w:fill="DCE6F1"/>
            <w:vAlign w:val="center"/>
          </w:tcPr>
          <w:p>
            <w:r>
              <w:rPr>
                <w:b/>
                <w:sz w:val="16"/>
              </w:rPr>
              <w:t>Reason</w:t>
            </w:r>
          </w:p>
        </w:tc>
      </w:tr>
      <w:tr>
        <w:tc>
          <w:tcPr>
            <w:tcW w:type="dxa" w:w="2304"/>
            <w:vAlign w:val="top"/>
          </w:tcPr>
          <w:p>
            <w:pPr>
              <w:spacing w:after="20"/>
            </w:pPr>
            <w:r>
              <w:rPr>
                <w:sz w:val="16"/>
              </w:rPr>
              <w:t>Punish Americans</w:t>
            </w:r>
          </w:p>
        </w:tc>
        <w:tc>
          <w:tcPr>
            <w:tcW w:type="dxa" w:w="4032"/>
            <w:vAlign w:val="top"/>
          </w:tcPr>
          <w:p>
            <w:pPr>
              <w:spacing w:after="20"/>
            </w:pPr>
            <w:r>
              <w:rPr>
                <w:sz w:val="16"/>
              </w:rPr>
              <w:t>Defend Canadian workers / respond to the measure</w:t>
            </w:r>
          </w:p>
        </w:tc>
        <w:tc>
          <w:tcPr>
            <w:tcW w:type="dxa" w:w="4032"/>
            <w:vAlign w:val="top"/>
          </w:tcPr>
          <w:p>
            <w:pPr>
              <w:spacing w:after="20"/>
            </w:pPr>
            <w:r>
              <w:rPr>
                <w:sz w:val="16"/>
              </w:rPr>
              <w:t>Separates citizens from policy</w:t>
            </w:r>
          </w:p>
        </w:tc>
      </w:tr>
      <w:tr>
        <w:tc>
          <w:tcPr>
            <w:tcW w:type="dxa" w:w="2304"/>
            <w:vAlign w:val="top"/>
          </w:tcPr>
          <w:p>
            <w:pPr>
              <w:spacing w:after="20"/>
            </w:pPr>
            <w:r>
              <w:rPr>
                <w:sz w:val="16"/>
              </w:rPr>
              <w:t>Enemy country</w:t>
            </w:r>
          </w:p>
        </w:tc>
        <w:tc>
          <w:tcPr>
            <w:tcW w:type="dxa" w:w="4032"/>
            <w:vAlign w:val="top"/>
          </w:tcPr>
          <w:p>
            <w:pPr>
              <w:spacing w:after="20"/>
            </w:pPr>
            <w:r>
              <w:rPr>
                <w:sz w:val="16"/>
              </w:rPr>
              <w:t>Closest neighbour / ally in a serious dispute</w:t>
            </w:r>
          </w:p>
        </w:tc>
        <w:tc>
          <w:tcPr>
            <w:tcW w:type="dxa" w:w="4032"/>
            <w:vAlign w:val="top"/>
          </w:tcPr>
          <w:p>
            <w:pPr>
              <w:spacing w:after="20"/>
            </w:pPr>
            <w:r>
              <w:rPr>
                <w:sz w:val="16"/>
              </w:rPr>
              <w:t>Avoids permanent-hostility framing</w:t>
            </w:r>
          </w:p>
        </w:tc>
      </w:tr>
      <w:tr>
        <w:tc>
          <w:tcPr>
            <w:tcW w:type="dxa" w:w="2304"/>
            <w:vAlign w:val="top"/>
          </w:tcPr>
          <w:p>
            <w:pPr>
              <w:spacing w:after="20"/>
            </w:pPr>
            <w:r>
              <w:rPr>
                <w:sz w:val="16"/>
              </w:rPr>
              <w:t>Make them suffer</w:t>
            </w:r>
          </w:p>
        </w:tc>
        <w:tc>
          <w:tcPr>
            <w:tcW w:type="dxa" w:w="4032"/>
            <w:vAlign w:val="top"/>
          </w:tcPr>
          <w:p>
            <w:pPr>
              <w:spacing w:after="20"/>
            </w:pPr>
            <w:r>
              <w:rPr>
                <w:sz w:val="16"/>
              </w:rPr>
              <w:t>Create proportionate pressure for policy change</w:t>
            </w:r>
          </w:p>
        </w:tc>
        <w:tc>
          <w:tcPr>
            <w:tcW w:type="dxa" w:w="4032"/>
            <w:vAlign w:val="top"/>
          </w:tcPr>
          <w:p>
            <w:pPr>
              <w:spacing w:after="20"/>
            </w:pPr>
            <w:r>
              <w:rPr>
                <w:sz w:val="16"/>
              </w:rPr>
              <w:t>Keeps objective bounded</w:t>
            </w:r>
          </w:p>
        </w:tc>
      </w:tr>
      <w:tr>
        <w:tc>
          <w:tcPr>
            <w:tcW w:type="dxa" w:w="2304"/>
            <w:vAlign w:val="top"/>
          </w:tcPr>
          <w:p>
            <w:pPr>
              <w:spacing w:after="20"/>
            </w:pPr>
            <w:r>
              <w:rPr>
                <w:sz w:val="16"/>
              </w:rPr>
              <w:t>Red-state retaliation</w:t>
            </w:r>
          </w:p>
        </w:tc>
        <w:tc>
          <w:tcPr>
            <w:tcW w:type="dxa" w:w="4032"/>
            <w:vAlign w:val="top"/>
          </w:tcPr>
          <w:p>
            <w:pPr>
              <w:spacing w:after="20"/>
            </w:pPr>
            <w:r>
              <w:rPr>
                <w:sz w:val="16"/>
              </w:rPr>
              <w:t>Targeted, lawful countermeasures based on products and economic criteria</w:t>
            </w:r>
          </w:p>
        </w:tc>
        <w:tc>
          <w:tcPr>
            <w:tcW w:type="dxa" w:w="4032"/>
            <w:vAlign w:val="top"/>
          </w:tcPr>
          <w:p>
            <w:pPr>
              <w:spacing w:after="20"/>
            </w:pPr>
            <w:r>
              <w:rPr>
                <w:sz w:val="16"/>
              </w:rPr>
              <w:t>Avoids partisan framing</w:t>
            </w:r>
          </w:p>
        </w:tc>
      </w:tr>
      <w:tr>
        <w:tc>
          <w:tcPr>
            <w:tcW w:type="dxa" w:w="2304"/>
            <w:vAlign w:val="top"/>
          </w:tcPr>
          <w:p>
            <w:pPr>
              <w:spacing w:after="20"/>
            </w:pPr>
            <w:r>
              <w:rPr>
                <w:sz w:val="16"/>
              </w:rPr>
              <w:t>Victory over America</w:t>
            </w:r>
          </w:p>
        </w:tc>
        <w:tc>
          <w:tcPr>
            <w:tcW w:type="dxa" w:w="4032"/>
            <w:vAlign w:val="top"/>
          </w:tcPr>
          <w:p>
            <w:pPr>
              <w:spacing w:after="20"/>
            </w:pPr>
            <w:r>
              <w:rPr>
                <w:sz w:val="16"/>
              </w:rPr>
              <w:t>Fair resolution / restoration of stable trade</w:t>
            </w:r>
          </w:p>
        </w:tc>
        <w:tc>
          <w:tcPr>
            <w:tcW w:type="dxa" w:w="4032"/>
            <w:vAlign w:val="top"/>
          </w:tcPr>
          <w:p>
            <w:pPr>
              <w:spacing w:after="20"/>
            </w:pPr>
            <w:r>
              <w:rPr>
                <w:sz w:val="16"/>
              </w:rPr>
              <w:t>Makes settlement face-saving</w:t>
            </w:r>
          </w:p>
        </w:tc>
      </w:tr>
      <w:tr>
        <w:tc>
          <w:tcPr>
            <w:tcW w:type="dxa" w:w="2304"/>
            <w:vAlign w:val="top"/>
          </w:tcPr>
          <w:p>
            <w:pPr>
              <w:spacing w:after="20"/>
            </w:pPr>
            <w:r>
              <w:rPr>
                <w:sz w:val="16"/>
              </w:rPr>
              <w:t>Boycott Americans</w:t>
            </w:r>
          </w:p>
        </w:tc>
        <w:tc>
          <w:tcPr>
            <w:tcW w:type="dxa" w:w="4032"/>
            <w:vAlign w:val="top"/>
          </w:tcPr>
          <w:p>
            <w:pPr>
              <w:spacing w:after="20"/>
            </w:pPr>
            <w:r>
              <w:rPr>
                <w:sz w:val="16"/>
              </w:rPr>
              <w:t>Buy Canadian where practical / diversify responsibly</w:t>
            </w:r>
          </w:p>
        </w:tc>
        <w:tc>
          <w:tcPr>
            <w:tcW w:type="dxa" w:w="4032"/>
            <w:vAlign w:val="top"/>
          </w:tcPr>
          <w:p>
            <w:pPr>
              <w:spacing w:after="20"/>
            </w:pPr>
            <w:r>
              <w:rPr>
                <w:sz w:val="16"/>
              </w:rPr>
              <w:t>Avoids collective hostility</w:t>
            </w:r>
          </w:p>
        </w:tc>
      </w:tr>
      <w:tr>
        <w:tc>
          <w:tcPr>
            <w:tcW w:type="dxa" w:w="2304"/>
            <w:vAlign w:val="top"/>
          </w:tcPr>
          <w:p>
            <w:pPr>
              <w:spacing w:after="20"/>
            </w:pPr>
            <w:r>
              <w:rPr>
                <w:sz w:val="16"/>
              </w:rPr>
              <w:t>They hate us</w:t>
            </w:r>
          </w:p>
        </w:tc>
        <w:tc>
          <w:tcPr>
            <w:tcW w:type="dxa" w:w="4032"/>
            <w:vAlign w:val="top"/>
          </w:tcPr>
          <w:p>
            <w:pPr>
              <w:spacing w:after="20"/>
            </w:pPr>
            <w:r>
              <w:rPr>
                <w:sz w:val="16"/>
              </w:rPr>
              <w:t>Some political rhetoric is hostile; the bilateral relationship is broader</w:t>
            </w:r>
          </w:p>
        </w:tc>
        <w:tc>
          <w:tcPr>
            <w:tcW w:type="dxa" w:w="4032"/>
            <w:vAlign w:val="top"/>
          </w:tcPr>
          <w:p>
            <w:pPr>
              <w:spacing w:after="20"/>
            </w:pPr>
            <w:r>
              <w:rPr>
                <w:sz w:val="16"/>
              </w:rPr>
              <w:t>Prevents overgeneralization</w:t>
            </w:r>
          </w:p>
        </w:tc>
      </w:tr>
    </w:tbl>
    <w:p/>
    <w:p>
      <w:r>
        <w:br w:type="page"/>
      </w:r>
    </w:p>
    <w:p>
      <w:pPr>
        <w:pStyle w:val="Heading1"/>
        <w:keepNext/>
        <w:spacing w:before="200" w:after="80"/>
      </w:pPr>
      <w:bookmarkStart w:id="211" w:name="_Toc9100211"/>
      <w:r>
        <w:t>Part II — Current Conflict Baseline</w:t>
      </w:r>
      <w:bookmarkEnd w:id="211"/>
    </w:p>
    <w:p>
      <w:pPr>
        <w:pStyle w:val="Heading2"/>
        <w:keepNext/>
        <w:spacing w:before="200" w:after="80"/>
      </w:pPr>
      <w:bookmarkStart w:id="212" w:name="_Toc9100212"/>
      <w:r>
        <w:t>2.1 Situation as of 28 August 2026</w:t>
      </w:r>
      <w:bookmarkEnd w:id="212"/>
    </w:p>
    <w:p>
      <w:r>
        <w:t>The strategy is tailored to a deteriorated but still recoverable bilateral environment. Canada suspended negotiations on August 21 after concluding that late U.S. proposals were unfair, uneconomic, and called the reliability of a deal into question. U.S. 50% tariffs on roughly C$27.6 billion of Canadian goods took effect August 22. Canada announced a dollar-for-dollar, rate-for-rate response, with new Canadian tariffs effective September 8.</w:t>
      </w:r>
    </w:p>
    <w:p>
      <w:r>
        <w:t>North American frame. Although this document is intentionally bilateral, Canada's relationship with the United States exists within a broader North American partnership. Canada remains committed to constructive cooperation with both the United States and Mexico and to a strong, prosperous, rules-based, and sovereign North America. Bilateral public diplomacy should not imply that Mexico is peripheral to continental prosperity or to the future of CUSMA.</w:t>
      </w:r>
    </w:p>
    <w:p>
      <w:r>
        <w:t>The conflict is accompanied by unusually personalized rhetoric. Recent public statements have revived claims that Canada wants the benefits of U.S. statehood without being a state, described Canada as exceptionally difficult to deal with, and continued the broader '51st state' theme. Canadian public diplomacy should not answer such rhetoric with mirrored contempt. Its task is to make the contrast visible: Canada rejects coercive policy and sovereignty rhetoric while continuing to treat Americans as neighbours.</w:t>
      </w:r>
    </w:p>
    <w:p>
      <w:pPr>
        <w:pStyle w:val="Heading2"/>
        <w:keepNext/>
        <w:spacing w:before="200" w:after="80"/>
      </w:pPr>
      <w:bookmarkStart w:id="213" w:name="_Toc9100213"/>
      <w:r>
        <w:t>2.2 Existing Canadian Posture to Preserve</w:t>
      </w:r>
      <w:bookmarkEnd w:id="213"/>
    </w:p>
    <w:p>
      <w:r>
        <w:t>Prime Minister Carney's current public posture already contains useful foundations for this strategy: Canada says it negotiated intensively and in good faith; refuses a deal at any price; emphasizes sovereignty; pairs retaliation with worker and business support; and places diversification alongside defence of U.S. market access. The public-diplomacy layer should not contradict that posture. It should add a people-to-people continuity message.</w:t>
      </w:r>
    </w:p>
    <w:p>
      <w:pPr>
        <w:pStyle w:val="Heading2"/>
        <w:keepNext/>
        <w:spacing w:before="200" w:after="80"/>
      </w:pPr>
      <w:bookmarkStart w:id="214" w:name="_Toc9100214"/>
      <w:r>
        <w:t>2.3 Bilateral Assets That Still Exist</w:t>
      </w:r>
      <w:bookmarkEnd w:id="214"/>
    </w:p>
    <w:p>
      <w:pPr>
        <w:pStyle w:val="ListBullet"/>
      </w:pPr>
      <w:r>
        <w:t>An embassy in Washington and a wide consular network spanning major U.S. regions.</w:t>
      </w:r>
    </w:p>
    <w:p>
      <w:pPr>
        <w:pStyle w:val="ListBullet"/>
      </w:pPr>
      <w:r>
        <w:t>Trade Commissioner Service offices capable of business-facing outreach.</w:t>
      </w:r>
    </w:p>
    <w:p>
      <w:pPr>
        <w:pStyle w:val="ListBullet"/>
      </w:pPr>
      <w:r>
        <w:t>Established congressional and intergovernmental engagement capacity.</w:t>
      </w:r>
    </w:p>
    <w:p>
      <w:pPr>
        <w:pStyle w:val="ListBullet"/>
      </w:pPr>
      <w:r>
        <w:t>State, district, and sector economic fact sheets already produced by Canadian diplomatic channels.</w:t>
      </w:r>
    </w:p>
    <w:p>
      <w:pPr>
        <w:pStyle w:val="ListBullet"/>
      </w:pPr>
      <w:r>
        <w:t>Deep provincial-state, municipal, university, research, business, labour, cultural, tourism, and family ties.</w:t>
      </w:r>
    </w:p>
    <w:p>
      <w:pPr>
        <w:pStyle w:val="ListBullet"/>
      </w:pPr>
      <w:r>
        <w:t>NORAD, NATO, Five Eyes, border, law-enforcement, and continental-security relationships that should not be rhetorically fused with a tariff dispute.</w:t>
      </w:r>
    </w:p>
    <w:p>
      <w:pPr>
        <w:pStyle w:val="ListBullet"/>
      </w:pPr>
      <w:r>
        <w:t>Existing bilateral educational infrastructure, including the Canada-U.S. Fulbright Program.</w:t>
      </w:r>
    </w:p>
    <w:p>
      <w:pPr>
        <w:pStyle w:val="Heading2"/>
        <w:keepNext/>
        <w:spacing w:before="200" w:after="80"/>
      </w:pPr>
      <w:bookmarkStart w:id="215" w:name="_Toc9100215"/>
      <w:r>
        <w:t>2.4 Strategic Problem</w:t>
      </w:r>
      <w:bookmarkEnd w:id="215"/>
    </w:p>
    <w:p>
      <w:r>
        <w:t>The immediate danger is not only tariffs. It is narrative fusion: the idea that disagreement with a Canadian government policy means hostility toward Canadians, or that Canadian resistance to U.S. trade measures proves anti-Americanism. Once that fusion becomes socially normalized, every later dispute becomes harder to solve. This strategy is a firewall against that process.</w:t>
      </w:r>
    </w:p>
    <w:p>
      <w:r>
        <w:br w:type="page"/>
      </w:r>
    </w:p>
    <w:p>
      <w:pPr>
        <w:pStyle w:val="Heading1"/>
        <w:keepNext/>
        <w:spacing w:before="200" w:after="80"/>
      </w:pPr>
      <w:bookmarkStart w:id="216" w:name="_Toc9100216"/>
      <w:r>
        <w:t>Part III — Governance and Command Architecture</w:t>
      </w:r>
      <w:bookmarkEnd w:id="216"/>
    </w:p>
    <w:p>
      <w:pPr>
        <w:pStyle w:val="Heading2"/>
        <w:keepNext/>
        <w:spacing w:before="200" w:after="80"/>
      </w:pPr>
      <w:bookmarkStart w:id="217" w:name="_Toc9100217"/>
      <w:r>
        <w:t>3.1 Lead Structure</w:t>
      </w:r>
      <w:bookmarkEnd w:id="217"/>
    </w:p>
    <w:p>
      <w:r>
        <w:t>Create a time-limited Canadian-American Friendship Coordination Cell within Global Affairs Canada for the duration of the acute trade conflict and the first twelve months after settlement. It should be small, operational, and networked rather than a new permanent bureaucracy.</w:t>
      </w:r>
    </w:p>
    <w:tbl>
      <w:tblPr>
        <w:tblStyle w:val="TableGrid"/>
        <w:tblW w:type="auto" w:w="0"/>
        <w:jc w:val="center"/>
        <w:tblLook w:firstColumn="1" w:firstRow="1" w:lastColumn="0" w:lastRow="0" w:noHBand="0" w:noVBand="1" w:val="04A0"/>
      </w:tblPr>
      <w:tblGrid>
        <w:gridCol w:w="3331"/>
        <w:gridCol w:w="3331"/>
        <w:gridCol w:w="3331"/>
      </w:tblGrid>
      <w:tr>
        <w:trPr>
          <w:tblHeader w:val="true"/>
        </w:trPr>
        <w:tc>
          <w:tcPr>
            <w:tcW w:type="dxa" w:w="2448"/>
            <w:shd w:fill="DCE6F1"/>
            <w:vAlign w:val="center"/>
          </w:tcPr>
          <w:p>
            <w:r>
              <w:rPr>
                <w:b/>
                <w:sz w:val="16"/>
              </w:rPr>
              <w:t>Role</w:t>
            </w:r>
          </w:p>
        </w:tc>
        <w:tc>
          <w:tcPr>
            <w:tcW w:type="dxa" w:w="5760"/>
            <w:shd w:fill="DCE6F1"/>
            <w:vAlign w:val="center"/>
          </w:tcPr>
          <w:p>
            <w:r>
              <w:rPr>
                <w:b/>
                <w:sz w:val="16"/>
              </w:rPr>
              <w:t>Core responsibility</w:t>
            </w:r>
          </w:p>
        </w:tc>
        <w:tc>
          <w:tcPr>
            <w:tcW w:type="dxa" w:w="2016"/>
            <w:shd w:fill="DCE6F1"/>
            <w:vAlign w:val="center"/>
          </w:tcPr>
          <w:p>
            <w:r>
              <w:rPr>
                <w:b/>
                <w:sz w:val="16"/>
              </w:rPr>
              <w:t>Cadence</w:t>
            </w:r>
          </w:p>
        </w:tc>
      </w:tr>
      <w:tr>
        <w:tc>
          <w:tcPr>
            <w:tcW w:type="dxa" w:w="2448"/>
            <w:vAlign w:val="top"/>
          </w:tcPr>
          <w:p>
            <w:pPr>
              <w:spacing w:after="20"/>
            </w:pPr>
            <w:r>
              <w:rPr>
                <w:sz w:val="16"/>
              </w:rPr>
              <w:t>Senior Responsible Official</w:t>
            </w:r>
          </w:p>
        </w:tc>
        <w:tc>
          <w:tcPr>
            <w:tcW w:type="dxa" w:w="5760"/>
            <w:vAlign w:val="top"/>
          </w:tcPr>
          <w:p>
            <w:pPr>
              <w:spacing w:after="20"/>
            </w:pPr>
            <w:r>
              <w:rPr>
                <w:sz w:val="16"/>
              </w:rPr>
              <w:t>Strategic direction; Cabinet/PMO interface; approves red lines</w:t>
            </w:r>
          </w:p>
        </w:tc>
        <w:tc>
          <w:tcPr>
            <w:tcW w:type="dxa" w:w="2016"/>
            <w:vAlign w:val="top"/>
          </w:tcPr>
          <w:p>
            <w:pPr>
              <w:spacing w:after="20"/>
            </w:pPr>
            <w:r>
              <w:rPr>
                <w:sz w:val="16"/>
              </w:rPr>
              <w:t>Daily during acute phase</w:t>
            </w:r>
          </w:p>
        </w:tc>
      </w:tr>
      <w:tr>
        <w:tc>
          <w:tcPr>
            <w:tcW w:type="dxa" w:w="2448"/>
            <w:vAlign w:val="top"/>
          </w:tcPr>
          <w:p>
            <w:pPr>
              <w:spacing w:after="20"/>
            </w:pPr>
            <w:r>
              <w:rPr>
                <w:sz w:val="16"/>
              </w:rPr>
              <w:t>U.S. Network Operations Lead</w:t>
            </w:r>
          </w:p>
        </w:tc>
        <w:tc>
          <w:tcPr>
            <w:tcW w:type="dxa" w:w="5760"/>
            <w:vAlign w:val="top"/>
          </w:tcPr>
          <w:p>
            <w:pPr>
              <w:spacing w:after="20"/>
            </w:pPr>
            <w:r>
              <w:rPr>
                <w:sz w:val="16"/>
              </w:rPr>
              <w:t>Coordinates embassy, consulates, trade offices and honorary consuls</w:t>
            </w:r>
          </w:p>
        </w:tc>
        <w:tc>
          <w:tcPr>
            <w:tcW w:type="dxa" w:w="2016"/>
            <w:vAlign w:val="top"/>
          </w:tcPr>
          <w:p>
            <w:pPr>
              <w:spacing w:after="20"/>
            </w:pPr>
            <w:r>
              <w:rPr>
                <w:sz w:val="16"/>
              </w:rPr>
              <w:t>Daily</w:t>
            </w:r>
          </w:p>
        </w:tc>
      </w:tr>
      <w:tr>
        <w:tc>
          <w:tcPr>
            <w:tcW w:type="dxa" w:w="2448"/>
            <w:vAlign w:val="top"/>
          </w:tcPr>
          <w:p>
            <w:pPr>
              <w:spacing w:after="20"/>
            </w:pPr>
            <w:r>
              <w:rPr>
                <w:sz w:val="16"/>
              </w:rPr>
              <w:t>Domestic Communications Lead</w:t>
            </w:r>
          </w:p>
        </w:tc>
        <w:tc>
          <w:tcPr>
            <w:tcW w:type="dxa" w:w="5760"/>
            <w:vAlign w:val="top"/>
          </w:tcPr>
          <w:p>
            <w:pPr>
              <w:spacing w:after="20"/>
            </w:pPr>
            <w:r>
              <w:rPr>
                <w:sz w:val="16"/>
              </w:rPr>
              <w:t>Aligns federal messaging and provincial liaison</w:t>
            </w:r>
          </w:p>
        </w:tc>
        <w:tc>
          <w:tcPr>
            <w:tcW w:type="dxa" w:w="2016"/>
            <w:vAlign w:val="top"/>
          </w:tcPr>
          <w:p>
            <w:pPr>
              <w:spacing w:after="20"/>
            </w:pPr>
            <w:r>
              <w:rPr>
                <w:sz w:val="16"/>
              </w:rPr>
              <w:t>Daily</w:t>
            </w:r>
          </w:p>
        </w:tc>
      </w:tr>
      <w:tr>
        <w:tc>
          <w:tcPr>
            <w:tcW w:type="dxa" w:w="2448"/>
            <w:vAlign w:val="top"/>
          </w:tcPr>
          <w:p>
            <w:pPr>
              <w:spacing w:after="20"/>
            </w:pPr>
            <w:r>
              <w:rPr>
                <w:sz w:val="16"/>
              </w:rPr>
              <w:t>Evidence and Data Lead</w:t>
            </w:r>
          </w:p>
        </w:tc>
        <w:tc>
          <w:tcPr>
            <w:tcW w:type="dxa" w:w="5760"/>
            <w:vAlign w:val="top"/>
          </w:tcPr>
          <w:p>
            <w:pPr>
              <w:spacing w:after="20"/>
            </w:pPr>
            <w:r>
              <w:rPr>
                <w:sz w:val="16"/>
              </w:rPr>
              <w:t>Maintains claims register, state fact sheets, source verification</w:t>
            </w:r>
          </w:p>
        </w:tc>
        <w:tc>
          <w:tcPr>
            <w:tcW w:type="dxa" w:w="2016"/>
            <w:vAlign w:val="top"/>
          </w:tcPr>
          <w:p>
            <w:pPr>
              <w:spacing w:after="20"/>
            </w:pPr>
            <w:r>
              <w:rPr>
                <w:sz w:val="16"/>
              </w:rPr>
              <w:t>Continuous</w:t>
            </w:r>
          </w:p>
        </w:tc>
      </w:tr>
      <w:tr>
        <w:tc>
          <w:tcPr>
            <w:tcW w:type="dxa" w:w="2448"/>
            <w:vAlign w:val="top"/>
          </w:tcPr>
          <w:p>
            <w:pPr>
              <w:spacing w:after="20"/>
            </w:pPr>
            <w:r>
              <w:rPr>
                <w:sz w:val="16"/>
              </w:rPr>
              <w:t>Digital Response Lead</w:t>
            </w:r>
          </w:p>
        </w:tc>
        <w:tc>
          <w:tcPr>
            <w:tcW w:type="dxa" w:w="5760"/>
            <w:vAlign w:val="top"/>
          </w:tcPr>
          <w:p>
            <w:pPr>
              <w:spacing w:after="20"/>
            </w:pPr>
            <w:r>
              <w:rPr>
                <w:sz w:val="16"/>
              </w:rPr>
              <w:t>Rapid factual correction and content distribution</w:t>
            </w:r>
          </w:p>
        </w:tc>
        <w:tc>
          <w:tcPr>
            <w:tcW w:type="dxa" w:w="2016"/>
            <w:vAlign w:val="top"/>
          </w:tcPr>
          <w:p>
            <w:pPr>
              <w:spacing w:after="20"/>
            </w:pPr>
            <w:r>
              <w:rPr>
                <w:sz w:val="16"/>
              </w:rPr>
              <w:t>Continuous</w:t>
            </w:r>
          </w:p>
        </w:tc>
      </w:tr>
      <w:tr>
        <w:tc>
          <w:tcPr>
            <w:tcW w:type="dxa" w:w="2448"/>
            <w:vAlign w:val="top"/>
          </w:tcPr>
          <w:p>
            <w:pPr>
              <w:spacing w:after="20"/>
            </w:pPr>
            <w:r>
              <w:rPr>
                <w:sz w:val="16"/>
              </w:rPr>
              <w:t>Civil Society / Education Lead</w:t>
            </w:r>
          </w:p>
        </w:tc>
        <w:tc>
          <w:tcPr>
            <w:tcW w:type="dxa" w:w="5760"/>
            <w:vAlign w:val="top"/>
          </w:tcPr>
          <w:p>
            <w:pPr>
              <w:spacing w:after="20"/>
            </w:pPr>
            <w:r>
              <w:rPr>
                <w:sz w:val="16"/>
              </w:rPr>
              <w:t>Universities, cultural institutions, labour, professional associations</w:t>
            </w:r>
          </w:p>
        </w:tc>
        <w:tc>
          <w:tcPr>
            <w:tcW w:type="dxa" w:w="2016"/>
            <w:vAlign w:val="top"/>
          </w:tcPr>
          <w:p>
            <w:pPr>
              <w:spacing w:after="20"/>
            </w:pPr>
            <w:r>
              <w:rPr>
                <w:sz w:val="16"/>
              </w:rPr>
              <w:t>Weekly</w:t>
            </w:r>
          </w:p>
        </w:tc>
      </w:tr>
      <w:tr>
        <w:tc>
          <w:tcPr>
            <w:tcW w:type="dxa" w:w="2448"/>
            <w:vAlign w:val="top"/>
          </w:tcPr>
          <w:p>
            <w:pPr>
              <w:spacing w:after="20"/>
            </w:pPr>
            <w:r>
              <w:rPr>
                <w:sz w:val="16"/>
              </w:rPr>
              <w:t>Border Communities Lead</w:t>
            </w:r>
          </w:p>
        </w:tc>
        <w:tc>
          <w:tcPr>
            <w:tcW w:type="dxa" w:w="5760"/>
            <w:vAlign w:val="top"/>
          </w:tcPr>
          <w:p>
            <w:pPr>
              <w:spacing w:after="20"/>
            </w:pPr>
            <w:r>
              <w:rPr>
                <w:sz w:val="16"/>
              </w:rPr>
              <w:t>Municipalities, chambers, cross-border families, tourism corridors</w:t>
            </w:r>
          </w:p>
        </w:tc>
        <w:tc>
          <w:tcPr>
            <w:tcW w:type="dxa" w:w="2016"/>
            <w:vAlign w:val="top"/>
          </w:tcPr>
          <w:p>
            <w:pPr>
              <w:spacing w:after="20"/>
            </w:pPr>
            <w:r>
              <w:rPr>
                <w:sz w:val="16"/>
              </w:rPr>
              <w:t>Weekly</w:t>
            </w:r>
          </w:p>
        </w:tc>
      </w:tr>
      <w:tr>
        <w:tc>
          <w:tcPr>
            <w:tcW w:type="dxa" w:w="2448"/>
            <w:vAlign w:val="top"/>
          </w:tcPr>
          <w:p>
            <w:pPr>
              <w:spacing w:after="20"/>
            </w:pPr>
            <w:r>
              <w:rPr>
                <w:sz w:val="16"/>
              </w:rPr>
              <w:t>Legal / Ethics Counsel</w:t>
            </w:r>
          </w:p>
        </w:tc>
        <w:tc>
          <w:tcPr>
            <w:tcW w:type="dxa" w:w="5760"/>
            <w:vAlign w:val="top"/>
          </w:tcPr>
          <w:p>
            <w:pPr>
              <w:spacing w:after="20"/>
            </w:pPr>
            <w:r>
              <w:rPr>
                <w:sz w:val="16"/>
              </w:rPr>
              <w:t>Election-law, privacy, lobbying, diplomatic, procurement and attribution review</w:t>
            </w:r>
          </w:p>
        </w:tc>
        <w:tc>
          <w:tcPr>
            <w:tcW w:type="dxa" w:w="2016"/>
            <w:vAlign w:val="top"/>
          </w:tcPr>
          <w:p>
            <w:pPr>
              <w:spacing w:after="20"/>
            </w:pPr>
            <w:r>
              <w:rPr>
                <w:sz w:val="16"/>
              </w:rPr>
              <w:t>Embedded</w:t>
            </w:r>
          </w:p>
        </w:tc>
      </w:tr>
      <w:tr>
        <w:tc>
          <w:tcPr>
            <w:tcW w:type="dxa" w:w="2448"/>
            <w:vAlign w:val="top"/>
          </w:tcPr>
          <w:p>
            <w:pPr>
              <w:spacing w:after="20"/>
            </w:pPr>
            <w:r>
              <w:rPr>
                <w:sz w:val="16"/>
              </w:rPr>
              <w:t>Evaluation Lead</w:t>
            </w:r>
          </w:p>
        </w:tc>
        <w:tc>
          <w:tcPr>
            <w:tcW w:type="dxa" w:w="5760"/>
            <w:vAlign w:val="top"/>
          </w:tcPr>
          <w:p>
            <w:pPr>
              <w:spacing w:after="20"/>
            </w:pPr>
            <w:r>
              <w:rPr>
                <w:sz w:val="16"/>
              </w:rPr>
              <w:t>Metrics, polling, event feedback, correction effectiveness</w:t>
            </w:r>
          </w:p>
        </w:tc>
        <w:tc>
          <w:tcPr>
            <w:tcW w:type="dxa" w:w="2016"/>
            <w:vAlign w:val="top"/>
          </w:tcPr>
          <w:p>
            <w:pPr>
              <w:spacing w:after="20"/>
            </w:pPr>
            <w:r>
              <w:rPr>
                <w:sz w:val="16"/>
              </w:rPr>
              <w:t>Weekly dashboard</w:t>
            </w:r>
          </w:p>
        </w:tc>
      </w:tr>
    </w:tbl>
    <w:p/>
    <w:p>
      <w:pPr>
        <w:pStyle w:val="Heading2"/>
        <w:keepNext/>
        <w:spacing w:before="200" w:after="80"/>
      </w:pPr>
      <w:bookmarkStart w:id="218" w:name="_Toc9100218"/>
      <w:r>
        <w:t>3.2 Federal-Provincial Coordination</w:t>
      </w:r>
      <w:bookmarkEnd w:id="218"/>
    </w:p>
    <w:p>
      <w:r>
        <w:t>Use the existing Team Canada habit rather than impose a single federal script. Provinces and territories retain their own voices and relationships. The federal role is to provide verified data, common red lines, rapid rebuttal material, event support, and a shared message spine. Premiers may be more credible with particular governors or regional audiences than federal ministers.</w:t>
      </w:r>
    </w:p>
    <w:p>
      <w:pPr>
        <w:pStyle w:val="Heading2"/>
        <w:keepNext/>
        <w:spacing w:before="200" w:after="80"/>
      </w:pPr>
      <w:bookmarkStart w:id="219" w:name="_Toc9100219"/>
      <w:r>
        <w:t>3.3 Message Clearance</w:t>
      </w:r>
      <w:bookmarkEnd w:id="219"/>
    </w:p>
    <w:p>
      <w:r>
        <w:t>Establish three clearance lanes. Green content uses pre-cleared facts and relationship messages and may be issued rapidly by posts. Amber content addresses disputed facts, active negotiations, sanctions, tariffs, or sovereignty claims and requires central factual/legal review. Red content concerns election periods, military incidents, intelligence, threats, personal attacks on leaders, or claims that could move markets and requires senior approval.</w:t>
      </w:r>
    </w:p>
    <w:p>
      <w:pPr>
        <w:pStyle w:val="Heading2"/>
        <w:keepNext/>
        <w:spacing w:before="200" w:after="80"/>
      </w:pPr>
      <w:bookmarkStart w:id="220" w:name="_Toc9100220"/>
      <w:r>
        <w:t>3.4 Claims Register</w:t>
      </w:r>
      <w:bookmarkEnd w:id="220"/>
    </w:p>
    <w:p>
      <w:r>
        <w:t>Maintain a live, source-linked register of every quantitative claim used publicly: trade values, jobs, investment, energy flows, state exports, tariff rates, tourism, company employment, research partnerships, and border statistics. Each entry records source, date, owner, expiry/revalidation date, and permitted wording. Posts should never improvise stale numbers.</w:t>
      </w:r>
    </w:p>
    <w:p>
      <w:pPr>
        <w:pStyle w:val="Heading2"/>
        <w:keepNext/>
        <w:spacing w:before="200" w:after="80"/>
      </w:pPr>
      <w:bookmarkStart w:id="221" w:name="_Toc9100221"/>
      <w:r>
        <w:t>3.5 Coordination Without Message Monoculture</w:t>
      </w:r>
      <w:bookmarkEnd w:id="221"/>
    </w:p>
    <w:p>
      <w:r>
        <w:t>The strategy should sound coherent, not robotic. A governor's roundtable, a university speech, a hockey event, and a steel-worker town hall should not receive identical scripts. They should share the same doctrine and verified facts while allowing regional language, local stories, and authentic speakers.</w:t>
      </w:r>
    </w:p>
    <w:p>
      <w:r>
        <w:br w:type="page"/>
      </w:r>
    </w:p>
    <w:p>
      <w:pPr>
        <w:pStyle w:val="Heading1"/>
        <w:keepNext/>
        <w:spacing w:before="200" w:after="80"/>
      </w:pPr>
      <w:bookmarkStart w:id="222" w:name="_Toc9100222"/>
      <w:r>
        <w:t>Part IV — Audience and Channel Architecture</w:t>
      </w:r>
      <w:bookmarkEnd w:id="222"/>
    </w:p>
    <w:p>
      <w:pPr>
        <w:pStyle w:val="Heading2"/>
        <w:keepNext/>
        <w:spacing w:before="200" w:after="80"/>
      </w:pPr>
      <w:bookmarkStart w:id="223" w:name="_Toc9100223"/>
      <w:r>
        <w:t>4.1 Audience Principle</w:t>
      </w:r>
      <w:bookmarkEnd w:id="223"/>
    </w:p>
    <w:p>
      <w:r>
        <w:t>Public diplomacy is broad public communication, not partisan persuasion. Audiences are selected because they have legitimate bilateral relationships with Canada, not because data suggests they are electorally persuadable.</w:t>
      </w:r>
    </w:p>
    <w:tbl>
      <w:tblPr>
        <w:tblStyle w:val="TableGrid"/>
        <w:tblW w:type="auto" w:w="0"/>
        <w:jc w:val="center"/>
        <w:tblLook w:firstColumn="1" w:firstRow="1" w:lastColumn="0" w:lastRow="0" w:noHBand="0" w:noVBand="1" w:val="04A0"/>
      </w:tblPr>
      <w:tblGrid>
        <w:gridCol w:w="3331"/>
        <w:gridCol w:w="3331"/>
        <w:gridCol w:w="3331"/>
      </w:tblGrid>
      <w:tr>
        <w:trPr>
          <w:tblHeader w:val="true"/>
        </w:trPr>
        <w:tc>
          <w:tcPr>
            <w:tcW w:type="dxa" w:w="2304"/>
            <w:shd w:fill="DCE6F1"/>
            <w:vAlign w:val="center"/>
          </w:tcPr>
          <w:p>
            <w:r>
              <w:rPr>
                <w:b/>
                <w:sz w:val="15"/>
              </w:rPr>
              <w:t>Audience</w:t>
            </w:r>
          </w:p>
        </w:tc>
        <w:tc>
          <w:tcPr>
            <w:tcW w:type="dxa" w:w="4608"/>
            <w:shd w:fill="DCE6F1"/>
            <w:vAlign w:val="center"/>
          </w:tcPr>
          <w:p>
            <w:r>
              <w:rPr>
                <w:b/>
                <w:sz w:val="15"/>
              </w:rPr>
              <w:t>What Canada should communicate</w:t>
            </w:r>
          </w:p>
        </w:tc>
        <w:tc>
          <w:tcPr>
            <w:tcW w:type="dxa" w:w="3600"/>
            <w:shd w:fill="DCE6F1"/>
            <w:vAlign w:val="center"/>
          </w:tcPr>
          <w:p>
            <w:r>
              <w:rPr>
                <w:b/>
                <w:sz w:val="15"/>
              </w:rPr>
              <w:t>Best channels</w:t>
            </w:r>
          </w:p>
        </w:tc>
      </w:tr>
      <w:tr>
        <w:tc>
          <w:tcPr>
            <w:tcW w:type="dxa" w:w="2304"/>
            <w:vAlign w:val="top"/>
          </w:tcPr>
          <w:p>
            <w:pPr>
              <w:spacing w:after="20"/>
            </w:pPr>
            <w:r>
              <w:rPr>
                <w:sz w:val="15"/>
              </w:rPr>
              <w:t>General U.S. public</w:t>
            </w:r>
          </w:p>
        </w:tc>
        <w:tc>
          <w:tcPr>
            <w:tcW w:type="dxa" w:w="4608"/>
            <w:vAlign w:val="top"/>
          </w:tcPr>
          <w:p>
            <w:pPr>
              <w:spacing w:after="20"/>
            </w:pPr>
            <w:r>
              <w:rPr>
                <w:sz w:val="15"/>
              </w:rPr>
              <w:t>Canada is defending itself, not rejecting Americans</w:t>
            </w:r>
          </w:p>
        </w:tc>
        <w:tc>
          <w:tcPr>
            <w:tcW w:type="dxa" w:w="3600"/>
            <w:vAlign w:val="top"/>
          </w:tcPr>
          <w:p>
            <w:pPr>
              <w:spacing w:after="20"/>
            </w:pPr>
            <w:r>
              <w:rPr>
                <w:sz w:val="15"/>
              </w:rPr>
              <w:t>Earned media, embassy channels, public events, cultural content</w:t>
            </w:r>
          </w:p>
        </w:tc>
      </w:tr>
      <w:tr>
        <w:tc>
          <w:tcPr>
            <w:tcW w:type="dxa" w:w="2304"/>
            <w:vAlign w:val="top"/>
          </w:tcPr>
          <w:p>
            <w:pPr>
              <w:spacing w:after="20"/>
            </w:pPr>
            <w:r>
              <w:rPr>
                <w:sz w:val="15"/>
              </w:rPr>
              <w:t>Border communities</w:t>
            </w:r>
          </w:p>
        </w:tc>
        <w:tc>
          <w:tcPr>
            <w:tcW w:type="dxa" w:w="4608"/>
            <w:vAlign w:val="top"/>
          </w:tcPr>
          <w:p>
            <w:pPr>
              <w:spacing w:after="20"/>
            </w:pPr>
            <w:r>
              <w:rPr>
                <w:sz w:val="15"/>
              </w:rPr>
              <w:t>Keep movement, family, tourism and essential commerce functioning</w:t>
            </w:r>
          </w:p>
        </w:tc>
        <w:tc>
          <w:tcPr>
            <w:tcW w:type="dxa" w:w="3600"/>
            <w:vAlign w:val="top"/>
          </w:tcPr>
          <w:p>
            <w:pPr>
              <w:spacing w:after="20"/>
            </w:pPr>
            <w:r>
              <w:rPr>
                <w:sz w:val="15"/>
              </w:rPr>
              <w:t>Mayors, chambers, consulates, local media</w:t>
            </w:r>
          </w:p>
        </w:tc>
      </w:tr>
      <w:tr>
        <w:tc>
          <w:tcPr>
            <w:tcW w:type="dxa" w:w="2304"/>
            <w:vAlign w:val="top"/>
          </w:tcPr>
          <w:p>
            <w:pPr>
              <w:spacing w:after="20"/>
            </w:pPr>
            <w:r>
              <w:rPr>
                <w:sz w:val="15"/>
              </w:rPr>
              <w:t>Workers and unions</w:t>
            </w:r>
          </w:p>
        </w:tc>
        <w:tc>
          <w:tcPr>
            <w:tcW w:type="dxa" w:w="4608"/>
            <w:vAlign w:val="top"/>
          </w:tcPr>
          <w:p>
            <w:pPr>
              <w:spacing w:after="20"/>
            </w:pPr>
            <w:r>
              <w:rPr>
                <w:sz w:val="15"/>
              </w:rPr>
              <w:t>Integrated industries create jobs on both sides; Canada regrets collateral harm</w:t>
            </w:r>
          </w:p>
        </w:tc>
        <w:tc>
          <w:tcPr>
            <w:tcW w:type="dxa" w:w="3600"/>
            <w:vAlign w:val="top"/>
          </w:tcPr>
          <w:p>
            <w:pPr>
              <w:spacing w:after="20"/>
            </w:pPr>
            <w:r>
              <w:rPr>
                <w:sz w:val="15"/>
              </w:rPr>
              <w:t>Labour dialogues, plant/community visits</w:t>
            </w:r>
          </w:p>
        </w:tc>
      </w:tr>
      <w:tr>
        <w:tc>
          <w:tcPr>
            <w:tcW w:type="dxa" w:w="2304"/>
            <w:vAlign w:val="top"/>
          </w:tcPr>
          <w:p>
            <w:pPr>
              <w:spacing w:after="20"/>
            </w:pPr>
            <w:r>
              <w:rPr>
                <w:sz w:val="15"/>
              </w:rPr>
              <w:t>Businesses and chambers</w:t>
            </w:r>
          </w:p>
        </w:tc>
        <w:tc>
          <w:tcPr>
            <w:tcW w:type="dxa" w:w="4608"/>
            <w:vAlign w:val="top"/>
          </w:tcPr>
          <w:p>
            <w:pPr>
              <w:spacing w:after="20"/>
            </w:pPr>
            <w:r>
              <w:rPr>
                <w:sz w:val="15"/>
              </w:rPr>
              <w:t>Countermeasures are specific and reversible; continuity remains possible</w:t>
            </w:r>
          </w:p>
        </w:tc>
        <w:tc>
          <w:tcPr>
            <w:tcW w:type="dxa" w:w="3600"/>
            <w:vAlign w:val="top"/>
          </w:tcPr>
          <w:p>
            <w:pPr>
              <w:spacing w:after="20"/>
            </w:pPr>
            <w:r>
              <w:rPr>
                <w:sz w:val="15"/>
              </w:rPr>
              <w:t>Trade offices, chambers, webinars, sector briefings</w:t>
            </w:r>
          </w:p>
        </w:tc>
      </w:tr>
      <w:tr>
        <w:tc>
          <w:tcPr>
            <w:tcW w:type="dxa" w:w="2304"/>
            <w:vAlign w:val="top"/>
          </w:tcPr>
          <w:p>
            <w:pPr>
              <w:spacing w:after="20"/>
            </w:pPr>
            <w:r>
              <w:rPr>
                <w:sz w:val="15"/>
              </w:rPr>
              <w:t>Farm and rural communities</w:t>
            </w:r>
          </w:p>
        </w:tc>
        <w:tc>
          <w:tcPr>
            <w:tcW w:type="dxa" w:w="4608"/>
            <w:vAlign w:val="top"/>
          </w:tcPr>
          <w:p>
            <w:pPr>
              <w:spacing w:after="20"/>
            </w:pPr>
            <w:r>
              <w:rPr>
                <w:sz w:val="15"/>
              </w:rPr>
              <w:t>Canada remains a major customer; trade conflict is policy-driven</w:t>
            </w:r>
          </w:p>
        </w:tc>
        <w:tc>
          <w:tcPr>
            <w:tcW w:type="dxa" w:w="3600"/>
            <w:vAlign w:val="top"/>
          </w:tcPr>
          <w:p>
            <w:pPr>
              <w:spacing w:after="20"/>
            </w:pPr>
            <w:r>
              <w:rPr>
                <w:sz w:val="15"/>
              </w:rPr>
              <w:t>Agricultural associations, state fairs, local radio, extension networks</w:t>
            </w:r>
          </w:p>
        </w:tc>
      </w:tr>
      <w:tr>
        <w:tc>
          <w:tcPr>
            <w:tcW w:type="dxa" w:w="2304"/>
            <w:vAlign w:val="top"/>
          </w:tcPr>
          <w:p>
            <w:pPr>
              <w:spacing w:after="20"/>
            </w:pPr>
            <w:r>
              <w:rPr>
                <w:sz w:val="15"/>
              </w:rPr>
              <w:t>Universities and researchers</w:t>
            </w:r>
          </w:p>
        </w:tc>
        <w:tc>
          <w:tcPr>
            <w:tcW w:type="dxa" w:w="4608"/>
            <w:vAlign w:val="top"/>
          </w:tcPr>
          <w:p>
            <w:pPr>
              <w:spacing w:after="20"/>
            </w:pPr>
            <w:r>
              <w:rPr>
                <w:sz w:val="15"/>
              </w:rPr>
              <w:t>Scientific and educational ties should remain protected</w:t>
            </w:r>
          </w:p>
        </w:tc>
        <w:tc>
          <w:tcPr>
            <w:tcW w:type="dxa" w:w="3600"/>
            <w:vAlign w:val="top"/>
          </w:tcPr>
          <w:p>
            <w:pPr>
              <w:spacing w:after="20"/>
            </w:pPr>
            <w:r>
              <w:rPr>
                <w:sz w:val="15"/>
              </w:rPr>
              <w:t>Universities, Fulbright, research consortia</w:t>
            </w:r>
          </w:p>
        </w:tc>
      </w:tr>
      <w:tr>
        <w:tc>
          <w:tcPr>
            <w:tcW w:type="dxa" w:w="2304"/>
            <w:vAlign w:val="top"/>
          </w:tcPr>
          <w:p>
            <w:pPr>
              <w:spacing w:after="20"/>
            </w:pPr>
            <w:r>
              <w:rPr>
                <w:sz w:val="15"/>
              </w:rPr>
              <w:t>Students and young adults</w:t>
            </w:r>
          </w:p>
        </w:tc>
        <w:tc>
          <w:tcPr>
            <w:tcW w:type="dxa" w:w="4608"/>
            <w:vAlign w:val="top"/>
          </w:tcPr>
          <w:p>
            <w:pPr>
              <w:spacing w:after="20"/>
            </w:pPr>
            <w:r>
              <w:rPr>
                <w:sz w:val="15"/>
              </w:rPr>
              <w:t>The countries remain socially connected despite government dispute</w:t>
            </w:r>
          </w:p>
        </w:tc>
        <w:tc>
          <w:tcPr>
            <w:tcW w:type="dxa" w:w="3600"/>
            <w:vAlign w:val="top"/>
          </w:tcPr>
          <w:p>
            <w:pPr>
              <w:spacing w:after="20"/>
            </w:pPr>
            <w:r>
              <w:rPr>
                <w:sz w:val="15"/>
              </w:rPr>
              <w:t>Campus events, exchanges, digital storytelling</w:t>
            </w:r>
          </w:p>
        </w:tc>
      </w:tr>
      <w:tr>
        <w:tc>
          <w:tcPr>
            <w:tcW w:type="dxa" w:w="2304"/>
            <w:vAlign w:val="top"/>
          </w:tcPr>
          <w:p>
            <w:pPr>
              <w:spacing w:after="20"/>
            </w:pPr>
            <w:r>
              <w:rPr>
                <w:sz w:val="15"/>
              </w:rPr>
              <w:t>State/local officials</w:t>
            </w:r>
          </w:p>
        </w:tc>
        <w:tc>
          <w:tcPr>
            <w:tcW w:type="dxa" w:w="4608"/>
            <w:vAlign w:val="top"/>
          </w:tcPr>
          <w:p>
            <w:pPr>
              <w:spacing w:after="20"/>
            </w:pPr>
            <w:r>
              <w:rPr>
                <w:sz w:val="15"/>
              </w:rPr>
              <w:t>Canada values subnational partnerships irrespective of Washington disputes</w:t>
            </w:r>
          </w:p>
        </w:tc>
        <w:tc>
          <w:tcPr>
            <w:tcW w:type="dxa" w:w="3600"/>
            <w:vAlign w:val="top"/>
          </w:tcPr>
          <w:p>
            <w:pPr>
              <w:spacing w:after="20"/>
            </w:pPr>
            <w:r>
              <w:rPr>
                <w:sz w:val="15"/>
              </w:rPr>
              <w:t>Governors, mayors, state legislatures, associations</w:t>
            </w:r>
          </w:p>
        </w:tc>
      </w:tr>
      <w:tr>
        <w:tc>
          <w:tcPr>
            <w:tcW w:type="dxa" w:w="2304"/>
            <w:vAlign w:val="top"/>
          </w:tcPr>
          <w:p>
            <w:pPr>
              <w:spacing w:after="20"/>
            </w:pPr>
            <w:r>
              <w:rPr>
                <w:sz w:val="15"/>
              </w:rPr>
              <w:t>Media and fact-checkers</w:t>
            </w:r>
          </w:p>
        </w:tc>
        <w:tc>
          <w:tcPr>
            <w:tcW w:type="dxa" w:w="4608"/>
            <w:vAlign w:val="top"/>
          </w:tcPr>
          <w:p>
            <w:pPr>
              <w:spacing w:after="20"/>
            </w:pPr>
            <w:r>
              <w:rPr>
                <w:sz w:val="15"/>
              </w:rPr>
              <w:t>Fast access to primary documents and Canadian subject experts</w:t>
            </w:r>
          </w:p>
        </w:tc>
        <w:tc>
          <w:tcPr>
            <w:tcW w:type="dxa" w:w="3600"/>
            <w:vAlign w:val="top"/>
          </w:tcPr>
          <w:p>
            <w:pPr>
              <w:spacing w:after="20"/>
            </w:pPr>
            <w:r>
              <w:rPr>
                <w:sz w:val="15"/>
              </w:rPr>
              <w:t>Press briefings, source packets, rapid response desk</w:t>
            </w:r>
          </w:p>
        </w:tc>
      </w:tr>
      <w:tr>
        <w:tc>
          <w:tcPr>
            <w:tcW w:type="dxa" w:w="2304"/>
            <w:vAlign w:val="top"/>
          </w:tcPr>
          <w:p>
            <w:pPr>
              <w:spacing w:after="20"/>
            </w:pPr>
            <w:r>
              <w:rPr>
                <w:sz w:val="15"/>
              </w:rPr>
              <w:t>Diaspora / cross-border families</w:t>
            </w:r>
          </w:p>
        </w:tc>
        <w:tc>
          <w:tcPr>
            <w:tcW w:type="dxa" w:w="4608"/>
            <w:vAlign w:val="top"/>
          </w:tcPr>
          <w:p>
            <w:pPr>
              <w:spacing w:after="20"/>
            </w:pPr>
            <w:r>
              <w:rPr>
                <w:sz w:val="15"/>
              </w:rPr>
              <w:t>People-to-people ties are not bargaining chips</w:t>
            </w:r>
          </w:p>
        </w:tc>
        <w:tc>
          <w:tcPr>
            <w:tcW w:type="dxa" w:w="3600"/>
            <w:vAlign w:val="top"/>
          </w:tcPr>
          <w:p>
            <w:pPr>
              <w:spacing w:after="20"/>
            </w:pPr>
            <w:r>
              <w:rPr>
                <w:sz w:val="15"/>
              </w:rPr>
              <w:t>Community organizations, consular outreach</w:t>
            </w:r>
          </w:p>
        </w:tc>
      </w:tr>
    </w:tbl>
    <w:p/>
    <w:p>
      <w:pPr>
        <w:pStyle w:val="Heading2"/>
        <w:keepNext/>
        <w:spacing w:before="200" w:after="80"/>
      </w:pPr>
      <w:bookmarkStart w:id="224" w:name="_Toc9100224"/>
      <w:r>
        <w:t>4.2 Credibility Hierarchy</w:t>
      </w:r>
      <w:bookmarkEnd w:id="224"/>
    </w:p>
    <w:p>
      <w:r>
        <w:t>Priority independent relationship holders include agricultural organizations and state farm bureaus, universities, chambers, labour organizations, veterans' and service organizations, former officials with durable cross-partisan credibility, professional associations, Indigenous and Tribal partners, tourism bodies, cultural institutions, and local governments. Their value comes from authentic bilateral experience, not from willingness to repeat a Canadian script.</w:t>
      </w:r>
    </w:p>
    <w:p>
      <w:r>
        <w:t>The Canadian government should not insist on being the speaker for every message. For many facts, the most credible messenger is an American who can truthfully describe a real bilateral relationship: a mayor discussing a shared border economy, a university president describing a joint laboratory, a manufacturer describing Canadian inputs, or a family discussing cross-border life. Canada may facilitate access to public data and events, but independent speakers retain editorial independence and must never be covertly scripted.</w:t>
      </w:r>
    </w:p>
    <w:p>
      <w:pPr>
        <w:pStyle w:val="Heading2"/>
        <w:keepNext/>
        <w:spacing w:before="200" w:after="80"/>
      </w:pPr>
      <w:bookmarkStart w:id="225" w:name="_Toc9100225"/>
      <w:r>
        <w:t>4.3 Regionalization</w:t>
      </w:r>
      <w:bookmarkEnd w:id="225"/>
    </w:p>
    <w:p>
      <w:r>
        <w:t>Each Canadian mission in the United States should maintain a regional relationship map covering states in its territory: major trade corridors, Canadian-owned employers, key universities, tourism links, energy connections, border crossings where applicable, Indigenous cross-border ties, cultural institutions, professional associations, and recurring civic events. The map is a relationship-management tool, not a partisan targeting file.</w:t>
      </w:r>
    </w:p>
    <w:p>
      <w:r>
        <w:br w:type="page"/>
      </w:r>
    </w:p>
    <w:p>
      <w:pPr>
        <w:pStyle w:val="Heading1"/>
        <w:keepNext/>
        <w:spacing w:before="200" w:after="80"/>
      </w:pPr>
      <w:bookmarkStart w:id="226" w:name="_Toc9100226"/>
      <w:r>
        <w:t>Part V — Staged Implementation Plan</w:t>
      </w:r>
      <w:bookmarkEnd w:id="226"/>
    </w:p>
    <w:tbl>
      <w:tblPr>
        <w:tblStyle w:val="TableGrid"/>
        <w:tblW w:type="auto" w:w="0"/>
        <w:jc w:val="center"/>
        <w:tblLook w:firstColumn="1" w:firstRow="1" w:lastColumn="0" w:lastRow="0" w:noHBand="0" w:noVBand="1" w:val="04A0"/>
      </w:tblPr>
      <w:tblGrid>
        <w:gridCol w:w="3331"/>
        <w:gridCol w:w="3331"/>
        <w:gridCol w:w="3331"/>
      </w:tblGrid>
      <w:tr>
        <w:trPr>
          <w:tblHeader w:val="true"/>
        </w:trPr>
        <w:tc>
          <w:tcPr>
            <w:tcW w:type="dxa" w:w="2160"/>
            <w:shd w:fill="DCE6F1"/>
            <w:vAlign w:val="center"/>
          </w:tcPr>
          <w:p>
            <w:r>
              <w:rPr>
                <w:b/>
                <w:sz w:val="16"/>
              </w:rPr>
              <w:t>Stage</w:t>
            </w:r>
          </w:p>
        </w:tc>
        <w:tc>
          <w:tcPr>
            <w:tcW w:type="dxa" w:w="1728"/>
            <w:shd w:fill="DCE6F1"/>
            <w:vAlign w:val="center"/>
          </w:tcPr>
          <w:p>
            <w:r>
              <w:rPr>
                <w:b/>
                <w:sz w:val="16"/>
              </w:rPr>
              <w:t>Timing</w:t>
            </w:r>
          </w:p>
        </w:tc>
        <w:tc>
          <w:tcPr>
            <w:tcW w:type="dxa" w:w="6912"/>
            <w:shd w:fill="DCE6F1"/>
            <w:vAlign w:val="center"/>
          </w:tcPr>
          <w:p>
            <w:r>
              <w:rPr>
                <w:b/>
                <w:sz w:val="16"/>
              </w:rPr>
              <w:t>Primary actions</w:t>
            </w:r>
          </w:p>
        </w:tc>
      </w:tr>
      <w:tr>
        <w:tc>
          <w:tcPr>
            <w:tcW w:type="dxa" w:w="2160"/>
            <w:vAlign w:val="top"/>
          </w:tcPr>
          <w:p>
            <w:pPr>
              <w:spacing w:after="20"/>
            </w:pPr>
            <w:r>
              <w:rPr>
                <w:sz w:val="16"/>
              </w:rPr>
              <w:t>Stage 0 — Prepare</w:t>
            </w:r>
          </w:p>
        </w:tc>
        <w:tc>
          <w:tcPr>
            <w:tcW w:type="dxa" w:w="1728"/>
            <w:vAlign w:val="top"/>
          </w:tcPr>
          <w:p>
            <w:pPr>
              <w:spacing w:after="20"/>
            </w:pPr>
            <w:r>
              <w:rPr>
                <w:sz w:val="16"/>
              </w:rPr>
              <w:t>0–72 hours</w:t>
            </w:r>
          </w:p>
        </w:tc>
        <w:tc>
          <w:tcPr>
            <w:tcW w:type="dxa" w:w="6912"/>
            <w:vAlign w:val="top"/>
          </w:tcPr>
          <w:p>
            <w:pPr>
              <w:spacing w:after="20"/>
            </w:pPr>
            <w:r>
              <w:rPr>
                <w:sz w:val="16"/>
              </w:rPr>
              <w:t>Stand up coordination cell; freeze inflammatory draft language; validate facts; issue doctrine; identify spokespeople; prepare first off-ramp explainer.</w:t>
            </w:r>
          </w:p>
        </w:tc>
      </w:tr>
      <w:tr>
        <w:tc>
          <w:tcPr>
            <w:tcW w:type="dxa" w:w="2160"/>
            <w:vAlign w:val="top"/>
          </w:tcPr>
          <w:p>
            <w:pPr>
              <w:spacing w:after="20"/>
            </w:pPr>
            <w:r>
              <w:rPr>
                <w:sz w:val="16"/>
              </w:rPr>
              <w:t>Stage 1 — Reassure</w:t>
            </w:r>
          </w:p>
        </w:tc>
        <w:tc>
          <w:tcPr>
            <w:tcW w:type="dxa" w:w="1728"/>
            <w:vAlign w:val="top"/>
          </w:tcPr>
          <w:p>
            <w:pPr>
              <w:spacing w:after="20"/>
            </w:pPr>
            <w:r>
              <w:rPr>
                <w:sz w:val="16"/>
              </w:rPr>
              <w:t>Days 3–14</w:t>
            </w:r>
          </w:p>
        </w:tc>
        <w:tc>
          <w:tcPr>
            <w:tcW w:type="dxa" w:w="6912"/>
            <w:vAlign w:val="top"/>
          </w:tcPr>
          <w:p>
            <w:pPr>
              <w:spacing w:after="20"/>
            </w:pPr>
            <w:r>
              <w:rPr>
                <w:sz w:val="16"/>
              </w:rPr>
              <w:t>Flood the zone with calm continuity signals: Americans remain welcome; people ties continue; countermeasures are specific and reversible.</w:t>
            </w:r>
          </w:p>
        </w:tc>
      </w:tr>
      <w:tr>
        <w:tc>
          <w:tcPr>
            <w:tcW w:type="dxa" w:w="2160"/>
            <w:vAlign w:val="top"/>
          </w:tcPr>
          <w:p>
            <w:pPr>
              <w:spacing w:after="20"/>
            </w:pPr>
            <w:r>
              <w:rPr>
                <w:sz w:val="16"/>
              </w:rPr>
              <w:t>Stage 2 — Localize</w:t>
            </w:r>
          </w:p>
        </w:tc>
        <w:tc>
          <w:tcPr>
            <w:tcW w:type="dxa" w:w="1728"/>
            <w:vAlign w:val="top"/>
          </w:tcPr>
          <w:p>
            <w:pPr>
              <w:spacing w:after="20"/>
            </w:pPr>
            <w:r>
              <w:rPr>
                <w:sz w:val="16"/>
              </w:rPr>
              <w:t>Weeks 2–6</w:t>
            </w:r>
          </w:p>
        </w:tc>
        <w:tc>
          <w:tcPr>
            <w:tcW w:type="dxa" w:w="6912"/>
            <w:vAlign w:val="top"/>
          </w:tcPr>
          <w:p>
            <w:pPr>
              <w:spacing w:after="20"/>
            </w:pPr>
            <w:r>
              <w:rPr>
                <w:sz w:val="16"/>
              </w:rPr>
              <w:t>Move from Ottawa/Washington messaging into states, cities, universities, chambers, border communities, farms, unions, and cultural venues.</w:t>
            </w:r>
          </w:p>
        </w:tc>
      </w:tr>
      <w:tr>
        <w:tc>
          <w:tcPr>
            <w:tcW w:type="dxa" w:w="2160"/>
            <w:vAlign w:val="top"/>
          </w:tcPr>
          <w:p>
            <w:pPr>
              <w:spacing w:after="20"/>
            </w:pPr>
            <w:r>
              <w:rPr>
                <w:sz w:val="16"/>
              </w:rPr>
              <w:t>Stage 3 — Demonstrate</w:t>
            </w:r>
          </w:p>
        </w:tc>
        <w:tc>
          <w:tcPr>
            <w:tcW w:type="dxa" w:w="1728"/>
            <w:vAlign w:val="top"/>
          </w:tcPr>
          <w:p>
            <w:pPr>
              <w:spacing w:after="20"/>
            </w:pPr>
            <w:r>
              <w:rPr>
                <w:sz w:val="16"/>
              </w:rPr>
              <w:t>Months 2–4</w:t>
            </w:r>
          </w:p>
        </w:tc>
        <w:tc>
          <w:tcPr>
            <w:tcW w:type="dxa" w:w="6912"/>
            <w:vAlign w:val="top"/>
          </w:tcPr>
          <w:p>
            <w:pPr>
              <w:spacing w:after="20"/>
            </w:pPr>
            <w:r>
              <w:rPr>
                <w:sz w:val="16"/>
              </w:rPr>
              <w:t>Show cooperation still happening through visible joint projects, research, tourism, business, emergency, cultural and sporting activity.</w:t>
            </w:r>
          </w:p>
        </w:tc>
      </w:tr>
      <w:tr>
        <w:tc>
          <w:tcPr>
            <w:tcW w:type="dxa" w:w="2160"/>
            <w:vAlign w:val="top"/>
          </w:tcPr>
          <w:p>
            <w:pPr>
              <w:spacing w:after="20"/>
            </w:pPr>
            <w:r>
              <w:rPr>
                <w:sz w:val="16"/>
              </w:rPr>
              <w:t>Stage 4 — Sustain</w:t>
            </w:r>
          </w:p>
        </w:tc>
        <w:tc>
          <w:tcPr>
            <w:tcW w:type="dxa" w:w="1728"/>
            <w:vAlign w:val="top"/>
          </w:tcPr>
          <w:p>
            <w:pPr>
              <w:spacing w:after="20"/>
            </w:pPr>
            <w:r>
              <w:rPr>
                <w:sz w:val="16"/>
              </w:rPr>
              <w:t>Months 4–12</w:t>
            </w:r>
          </w:p>
        </w:tc>
        <w:tc>
          <w:tcPr>
            <w:tcW w:type="dxa" w:w="6912"/>
            <w:vAlign w:val="top"/>
          </w:tcPr>
          <w:p>
            <w:pPr>
              <w:spacing w:after="20"/>
            </w:pPr>
            <w:r>
              <w:rPr>
                <w:sz w:val="16"/>
              </w:rPr>
              <w:t>Prevent fatigue; refresh stories and facts; protect channels during further escalation; continuously publish exit conditions.</w:t>
            </w:r>
          </w:p>
        </w:tc>
      </w:tr>
      <w:tr>
        <w:tc>
          <w:tcPr>
            <w:tcW w:type="dxa" w:w="2160"/>
            <w:vAlign w:val="top"/>
          </w:tcPr>
          <w:p>
            <w:pPr>
              <w:spacing w:after="20"/>
            </w:pPr>
            <w:r>
              <w:rPr>
                <w:sz w:val="16"/>
              </w:rPr>
              <w:t>Stage 5 — Reconcile</w:t>
            </w:r>
          </w:p>
        </w:tc>
        <w:tc>
          <w:tcPr>
            <w:tcW w:type="dxa" w:w="1728"/>
            <w:vAlign w:val="top"/>
          </w:tcPr>
          <w:p>
            <w:pPr>
              <w:spacing w:after="20"/>
            </w:pPr>
            <w:r>
              <w:rPr>
                <w:sz w:val="16"/>
              </w:rPr>
              <w:t>Settlement through +12 months</w:t>
            </w:r>
          </w:p>
        </w:tc>
        <w:tc>
          <w:tcPr>
            <w:tcW w:type="dxa" w:w="6912"/>
            <w:vAlign w:val="top"/>
          </w:tcPr>
          <w:p>
            <w:pPr>
              <w:spacing w:after="20"/>
            </w:pPr>
            <w:r>
              <w:rPr>
                <w:sz w:val="16"/>
              </w:rPr>
              <w:t>Rapidly convert preserved relationships into normalization events, restored trade, joint projects, and a narrative of durable friendship.</w:t>
            </w:r>
          </w:p>
        </w:tc>
      </w:tr>
    </w:tbl>
    <w:p/>
    <w:p>
      <w:pPr>
        <w:pStyle w:val="Heading2"/>
        <w:keepNext/>
        <w:spacing w:before="200" w:after="80"/>
      </w:pPr>
      <w:bookmarkStart w:id="227" w:name="_Toc9100227"/>
      <w:r>
        <w:t>5.1 Stage 0 — Prepare</w:t>
      </w:r>
      <w:bookmarkEnd w:id="227"/>
    </w:p>
    <w:p>
      <w:r>
        <w:t>Timing: 0–72 hours. Stand up coordination cell; freeze inflammatory draft language; validate facts; issue doctrine; identify spokespeople; prepare first off-ramp explainer.</w:t>
      </w:r>
    </w:p>
    <w:p>
      <w:pPr>
        <w:pStyle w:val="ListBullet"/>
      </w:pPr>
      <w:r>
        <w:t>Issue a one-page doctrine card to every mission and ministerial office.</w:t>
      </w:r>
    </w:p>
    <w:p>
      <w:pPr>
        <w:pStyle w:val="ListBullet"/>
      </w:pPr>
      <w:r>
        <w:t>Create a single verified timeline of the dispute and a separate list of unresolved claims.</w:t>
      </w:r>
    </w:p>
    <w:p>
      <w:pPr>
        <w:pStyle w:val="ListBullet"/>
      </w:pPr>
      <w:r>
        <w:t>Prepare Q&amp;A for the five most inflammatory narratives currently circulating.</w:t>
      </w:r>
    </w:p>
    <w:p>
      <w:pPr>
        <w:pStyle w:val="ListBullet"/>
      </w:pPr>
      <w:r>
        <w:t>Inventory existing U.S. state and congressional-district fact sheets and flag stale data.</w:t>
      </w:r>
    </w:p>
    <w:p>
      <w:pPr>
        <w:pStyle w:val="ListBullet"/>
      </w:pPr>
      <w:r>
        <w:t>Identify activities that must be protected from tariff spillover: research, education, emergency response, defence, cross-border families.</w:t>
      </w:r>
    </w:p>
    <w:p>
      <w:pPr>
        <w:pStyle w:val="ListBullet"/>
      </w:pPr>
      <w:r>
        <w:t>Establish the red/amber/green communications clearance lanes.</w:t>
      </w:r>
    </w:p>
    <w:p>
      <w:pPr>
        <w:pStyle w:val="Heading2"/>
        <w:keepNext/>
        <w:spacing w:before="200" w:after="80"/>
      </w:pPr>
      <w:bookmarkStart w:id="228" w:name="_Toc9100228"/>
      <w:r>
        <w:t>5.2 Stage 1 — Reassure</w:t>
      </w:r>
      <w:bookmarkEnd w:id="228"/>
    </w:p>
    <w:p>
      <w:r>
        <w:t>Timing: Days 3–14. Flood the zone with calm continuity signals: Americans remain welcome; people ties continue; countermeasures are specific and reversible.</w:t>
      </w:r>
    </w:p>
    <w:p>
      <w:pPr>
        <w:pStyle w:val="ListBullet"/>
      </w:pPr>
      <w:r>
        <w:t>Ambassador and consuls general deliver coordinated but locally adapted 'friendship continues' remarks.</w:t>
      </w:r>
    </w:p>
    <w:p>
      <w:pPr>
        <w:pStyle w:val="ListBullet"/>
      </w:pPr>
      <w:r>
        <w:t>Every countermeasure announcement contains a people-not-policy paragraph and a plain-language off-ramp.</w:t>
      </w:r>
    </w:p>
    <w:p>
      <w:pPr>
        <w:pStyle w:val="ListBullet"/>
      </w:pPr>
      <w:r>
        <w:t>Launch a public webpage showing what remains open: travel, study, research, most ordinary contact, and unaffected commerce.</w:t>
      </w:r>
    </w:p>
    <w:p>
      <w:pPr>
        <w:pStyle w:val="ListBullet"/>
      </w:pPr>
      <w:r>
        <w:t>Invite questions from American local media and chambers; answer with sourced materials rather than slogans.</w:t>
      </w:r>
    </w:p>
    <w:p>
      <w:pPr>
        <w:pStyle w:val="ListBullet"/>
      </w:pPr>
      <w:r>
        <w:t>Begin weekly 'Canada-U.S. relationship still working' stories.</w:t>
      </w:r>
    </w:p>
    <w:p>
      <w:pPr>
        <w:pStyle w:val="Heading2"/>
        <w:keepNext/>
        <w:spacing w:before="200" w:after="80"/>
      </w:pPr>
      <w:bookmarkStart w:id="229" w:name="_Toc9100229"/>
      <w:r>
        <w:t>5.3 Stage 2 — Localize</w:t>
      </w:r>
      <w:bookmarkEnd w:id="229"/>
    </w:p>
    <w:p>
      <w:r>
        <w:t>Timing: Weeks 2–6. Move from Ottawa/Washington messaging into states, cities, universities, chambers, border communities, farms, unions, and cultural venues.</w:t>
      </w:r>
    </w:p>
    <w:p>
      <w:pPr>
        <w:pStyle w:val="ListBullet"/>
      </w:pPr>
      <w:r>
        <w:t>Minimum one public-facing community engagement per consular region per week during the acute phase.</w:t>
      </w:r>
    </w:p>
    <w:p>
      <w:pPr>
        <w:pStyle w:val="ListBullet"/>
      </w:pPr>
      <w:r>
        <w:t>Prioritize border and highly integrated industrial regions because consequences are easiest to explain concretely.</w:t>
      </w:r>
    </w:p>
    <w:p>
      <w:pPr>
        <w:pStyle w:val="ListBullet"/>
      </w:pPr>
      <w:r>
        <w:t>Use universities, chambers, trade associations, labour organizations, mayors, tourism bodies, Indigenous organizations, and cultural institutions as conveners.</w:t>
      </w:r>
    </w:p>
    <w:p>
      <w:pPr>
        <w:pStyle w:val="ListBullet"/>
      </w:pPr>
      <w:r>
        <w:t>Create region-specific briefings showing both benefits of the relationship and the actual path to tariff removal.</w:t>
      </w:r>
    </w:p>
    <w:p>
      <w:pPr>
        <w:pStyle w:val="ListBullet"/>
      </w:pPr>
      <w:r>
        <w:t>Avoid campaign events, party fundraisers, candidate appearances, or events whose primary purpose is electoral mobilization.</w:t>
      </w:r>
    </w:p>
    <w:p>
      <w:pPr>
        <w:pStyle w:val="Heading2"/>
        <w:keepNext/>
        <w:spacing w:before="200" w:after="80"/>
      </w:pPr>
      <w:bookmarkStart w:id="230" w:name="_Toc9100230"/>
      <w:r>
        <w:t>5.4 Stage 3 — Demonstrate</w:t>
      </w:r>
      <w:bookmarkEnd w:id="230"/>
    </w:p>
    <w:p>
      <w:r>
        <w:t>Timing: Months 2–4. Show cooperation still happening through visible joint projects, research, tourism, business, emergency, cultural and sporting activity.</w:t>
      </w:r>
    </w:p>
    <w:p>
      <w:pPr>
        <w:pStyle w:val="ListBullet"/>
      </w:pPr>
      <w:r>
        <w:t>Create a rolling calendar of visible joint achievements that continue despite the dispute.</w:t>
      </w:r>
    </w:p>
    <w:p>
      <w:pPr>
        <w:pStyle w:val="ListBullet"/>
      </w:pPr>
      <w:r>
        <w:t>Pair economic stories with human stories: researchers, firefighters, nurses, students, athletes, border families, manufacturers.</w:t>
      </w:r>
    </w:p>
    <w:p>
      <w:pPr>
        <w:pStyle w:val="ListBullet"/>
      </w:pPr>
      <w:r>
        <w:t>Offer small, transparent grants or cost-sharing only through ordinary public programs with published criteria and no political-content conditions.</w:t>
      </w:r>
    </w:p>
    <w:p>
      <w:pPr>
        <w:pStyle w:val="ListBullet"/>
      </w:pPr>
      <w:r>
        <w:t>Encourage Canadian institutions to keep U.S. partnerships alive where lawful and practical.</w:t>
      </w:r>
    </w:p>
    <w:p>
      <w:pPr>
        <w:pStyle w:val="ListBullet"/>
      </w:pPr>
      <w:r>
        <w:t>Use sporting and cultural events as relationship reminders, not as platforms for trade-war speeches.</w:t>
      </w:r>
    </w:p>
    <w:p>
      <w:pPr>
        <w:pStyle w:val="Heading2"/>
        <w:keepNext/>
        <w:spacing w:before="200" w:after="80"/>
      </w:pPr>
      <w:bookmarkStart w:id="231" w:name="_Toc9100231"/>
      <w:r>
        <w:t>5.5 Stage 4 — Sustain</w:t>
      </w:r>
      <w:bookmarkEnd w:id="231"/>
    </w:p>
    <w:p>
      <w:r>
        <w:t>Timing: Months 4–12. Prevent fatigue; refresh stories and facts; protect channels during further escalation; continuously publish exit conditions.</w:t>
      </w:r>
    </w:p>
    <w:p>
      <w:pPr>
        <w:pStyle w:val="ListBullet"/>
      </w:pPr>
      <w:r>
        <w:t>Rescore narrative risks monthly and retire messages that no longer work.</w:t>
      </w:r>
    </w:p>
    <w:p>
      <w:pPr>
        <w:pStyle w:val="ListBullet"/>
      </w:pPr>
      <w:r>
        <w:t>Publish a quarterly relationship-continuity report with verified metrics.</w:t>
      </w:r>
    </w:p>
    <w:p>
      <w:pPr>
        <w:pStyle w:val="ListBullet"/>
      </w:pPr>
      <w:r>
        <w:t>Maintain surge capacity for sudden rhetorical escalations or new tariff rounds.</w:t>
      </w:r>
    </w:p>
    <w:p>
      <w:pPr>
        <w:pStyle w:val="ListBullet"/>
      </w:pPr>
      <w:r>
        <w:t>Rotate spokespeople to prevent the campaign from becoming personality-dependent.</w:t>
      </w:r>
    </w:p>
    <w:p>
      <w:pPr>
        <w:pStyle w:val="ListBullet"/>
      </w:pPr>
      <w:r>
        <w:t>Keep reconciliation plans updated even if settlement appears distant.</w:t>
      </w:r>
    </w:p>
    <w:p>
      <w:pPr>
        <w:pStyle w:val="Heading2"/>
        <w:keepNext/>
        <w:spacing w:before="200" w:after="80"/>
      </w:pPr>
      <w:bookmarkStart w:id="232" w:name="_Toc9100232"/>
      <w:r>
        <w:t>5.6 Stage 5 — Reconcile</w:t>
      </w:r>
      <w:bookmarkEnd w:id="232"/>
    </w:p>
    <w:p>
      <w:r>
        <w:t>Timing: Settlement through +12 months. Rapidly convert preserved relationships into normalization events, restored trade, joint projects, and a narrative of durable friendship.</w:t>
      </w:r>
    </w:p>
    <w:p>
      <w:pPr>
        <w:pStyle w:val="ListBullet"/>
      </w:pPr>
      <w:r>
        <w:t>Within 24 hours of a settlement, switch from confrontation language to restoration language.</w:t>
      </w:r>
    </w:p>
    <w:p>
      <w:pPr>
        <w:pStyle w:val="ListBullet"/>
      </w:pPr>
      <w:r>
        <w:t>Within 7 days, publish a joint or parallel timeline for removing reciprocal measures.</w:t>
      </w:r>
    </w:p>
    <w:p>
      <w:pPr>
        <w:pStyle w:val="ListBullet"/>
      </w:pPr>
      <w:r>
        <w:t>Within 30 days, hold cross-border community and business normalization events.</w:t>
      </w:r>
    </w:p>
    <w:p>
      <w:pPr>
        <w:pStyle w:val="ListBullet"/>
      </w:pPr>
      <w:r>
        <w:t>Within 90 days, announce a package of future-oriented bilateral projects where mutually agreed.</w:t>
      </w:r>
    </w:p>
    <w:p>
      <w:pPr>
        <w:pStyle w:val="ListBullet"/>
      </w:pPr>
      <w:r>
        <w:t>Conduct an after-action review identifying which relationships held, which degraded, and what should become permanent resilience infrastructure.</w:t>
      </w:r>
    </w:p>
    <w:p>
      <w:pPr>
        <w:pStyle w:val="Heading2"/>
      </w:pPr>
      <w:bookmarkStart w:id="233" w:name="_Toc9100233"/>
      <w:r>
        <w:t>5.7 Persuade-to-Preserve Transition Rule</w:t>
      </w:r>
      <w:bookmarkEnd w:id="233"/>
    </w:p>
    <w:p>
      <w:r>
        <w:t>The strategy must not depend on a favourable movement in American public opinion. During the first phases, Canadian outreach may seek greater understanding and support for de-escalation. If, after sustained effort, opinion does not move materially in Canada's favour, or moves against Canada, the objective changes from persuasion to preservation.</w:t>
      </w:r>
    </w:p>
    <w:p>
      <w:r>
        <w:t>Under the preserve posture, immediate public pressure on Washington ceases to be an operational success condition. Resources shift toward maintaining trusted institutional relationships, protecting cross-border families and communities, preserving educational, scientific, security, business and cultural links, documenting the factual record, and keeping channels usable for a future administration or later negotiating window. Kindness becomes strategic continuity rather than an expectation of reciprocity.</w:t>
      </w:r>
    </w:p>
    <w:p>
      <w:r>
        <w:br w:type="page"/>
      </w:r>
    </w:p>
    <w:p>
      <w:pPr>
        <w:pStyle w:val="Heading1"/>
        <w:keepNext/>
        <w:spacing w:before="200" w:after="80"/>
      </w:pPr>
      <w:bookmarkStart w:id="234" w:name="_Toc9100234"/>
      <w:r>
        <w:t>Part VI — American Outreach Operations</w:t>
      </w:r>
      <w:bookmarkEnd w:id="234"/>
    </w:p>
    <w:p>
      <w:pPr>
        <w:pStyle w:val="Heading2"/>
        <w:keepNext/>
        <w:spacing w:before="200" w:after="80"/>
      </w:pPr>
      <w:bookmarkStart w:id="235" w:name="_Toc9100235"/>
      <w:r>
        <w:t>6.1 Embassy and Consular Roadshow</w:t>
      </w:r>
      <w:bookmarkEnd w:id="235"/>
    </w:p>
    <w:p>
      <w:r>
        <w:t>Use the existing U.S. mission network for town halls, chambers, universities, civic forums, labour dialogues, local editorial boards, and regional media. Events should be explanatory and two-way. At least one-third of programmed time should be reserved for questions.</w:t>
      </w:r>
    </w:p>
    <w:p>
      <w:pPr>
        <w:pStyle w:val="SmallNote"/>
      </w:pPr>
      <w:r>
        <w:t>Minimum operating standard: identify the local relationship, state the Canadian policy position accurately, acknowledge legitimate American concerns, explain the off-ramp, invite questions, and leave participants with source material rather than political instructions.</w:t>
      </w:r>
    </w:p>
    <w:p>
      <w:pPr>
        <w:pStyle w:val="Heading2"/>
        <w:keepNext/>
        <w:spacing w:before="200" w:after="80"/>
      </w:pPr>
      <w:bookmarkStart w:id="236" w:name="_Toc9100236"/>
      <w:r>
        <w:t>6.2 State and District Fact Sheets</w:t>
      </w:r>
      <w:bookmarkEnd w:id="236"/>
    </w:p>
    <w:p>
      <w:r>
        <w:t>Modernize the existing Canadian practice of state and congressional-district fact sheets. Each sheet should show Canadian trade, investment, jobs, energy or supply-chain ties, major Canadian-owned employers, and local bilateral institutions. Every number receives a source and date.</w:t>
      </w:r>
    </w:p>
    <w:p>
      <w:pPr>
        <w:pStyle w:val="SmallNote"/>
      </w:pPr>
      <w:r>
        <w:t>Minimum operating standard: identify the local relationship, state the Canadian policy position accurately, acknowledge legitimate American concerns, explain the off-ramp, invite questions, and leave participants with source material rather than political instructions.</w:t>
      </w:r>
    </w:p>
    <w:p>
      <w:pPr>
        <w:pStyle w:val="Heading2"/>
        <w:keepNext/>
        <w:spacing w:before="200" w:after="80"/>
      </w:pPr>
      <w:bookmarkStart w:id="237" w:name="_Toc9100237"/>
      <w:r>
        <w:t>6.3 Governors, Mayors and Legislatures</w:t>
      </w:r>
      <w:bookmarkEnd w:id="237"/>
    </w:p>
    <w:p>
      <w:r>
        <w:t>Continue subnational engagement regardless of federal tensions. Use the National Governors Association, U.S. Conference of Mayors, Council of State Governments and regional associations where appropriate. Engagement is institutional, not partisan.</w:t>
      </w:r>
    </w:p>
    <w:p>
      <w:pPr>
        <w:pStyle w:val="SmallNote"/>
      </w:pPr>
      <w:r>
        <w:t>Minimum operating standard: identify the local relationship, state the Canadian policy position accurately, acknowledge legitimate American concerns, explain the off-ramp, invite questions, and leave participants with source material rather than political instructions.</w:t>
      </w:r>
    </w:p>
    <w:p>
      <w:pPr>
        <w:pStyle w:val="Heading2"/>
        <w:keepNext/>
        <w:spacing w:before="200" w:after="80"/>
      </w:pPr>
      <w:bookmarkStart w:id="238" w:name="_Toc9100238"/>
      <w:r>
        <w:t>6.4 Chambers and Business Networks</w:t>
      </w:r>
      <w:bookmarkEnd w:id="238"/>
    </w:p>
    <w:p>
      <w:r>
        <w:t>Provide plain-language tariff explainers, remission information where relevant, Canadian sourcing contacts, and settlement scenarios. Ask businesses what friction they are experiencing and feed operational problems back to policy teams.</w:t>
      </w:r>
    </w:p>
    <w:p>
      <w:pPr>
        <w:pStyle w:val="SmallNote"/>
      </w:pPr>
      <w:r>
        <w:t>Minimum operating standard: identify the local relationship, state the Canadian policy position accurately, acknowledge legitimate American concerns, explain the off-ramp, invite questions, and leave participants with source material rather than political instructions.</w:t>
      </w:r>
    </w:p>
    <w:p>
      <w:pPr>
        <w:pStyle w:val="Heading2"/>
        <w:keepNext/>
        <w:spacing w:before="200" w:after="80"/>
      </w:pPr>
      <w:bookmarkStart w:id="239" w:name="_Toc9100239"/>
      <w:r>
        <w:t>6.5 Labour and Worker Dialogue</w:t>
      </w:r>
      <w:bookmarkEnd w:id="239"/>
    </w:p>
    <w:p>
      <w:r>
        <w:t>Meet unions and worker organizations in integrated sectors. Explain Canadian measures without asking workers to campaign politically. Emphasize shared exposure to unstable trade rules and the value of predictable continental supply chains.</w:t>
      </w:r>
    </w:p>
    <w:p>
      <w:pPr>
        <w:pStyle w:val="SmallNote"/>
      </w:pPr>
      <w:r>
        <w:t>Minimum operating standard: identify the local relationship, state the Canadian policy position accurately, acknowledge legitimate American concerns, explain the off-ramp, invite questions, and leave participants with source material rather than political instructions.</w:t>
      </w:r>
    </w:p>
    <w:p>
      <w:pPr>
        <w:pStyle w:val="Heading2"/>
        <w:keepNext/>
        <w:spacing w:before="200" w:after="80"/>
      </w:pPr>
      <w:bookmarkStart w:id="240" w:name="_Toc9100240"/>
      <w:r>
        <w:t>6.6 Agricultural and Rural Outreach</w:t>
      </w:r>
      <w:bookmarkEnd w:id="240"/>
    </w:p>
    <w:p>
      <w:r>
        <w:t>Use farm organizations, agricultural universities, commodity associations and rural media to explain Canada's continuing role as customer and supplier. Avoid patronizing claims that rural Americans are merely leverage.</w:t>
      </w:r>
    </w:p>
    <w:p>
      <w:pPr>
        <w:pStyle w:val="SmallNote"/>
      </w:pPr>
      <w:r>
        <w:t>Minimum operating standard: identify the local relationship, state the Canadian policy position accurately, acknowledge legitimate American concerns, explain the off-ramp, invite questions, and leave participants with source material rather than political instructions.</w:t>
      </w:r>
    </w:p>
    <w:p>
      <w:pPr>
        <w:pStyle w:val="Heading2"/>
        <w:keepNext/>
        <w:spacing w:before="200" w:after="80"/>
      </w:pPr>
      <w:bookmarkStart w:id="241" w:name="_Toc9100241"/>
      <w:r>
        <w:t>6.7 Tourism Welcome Track</w:t>
      </w:r>
      <w:bookmarkEnd w:id="241"/>
    </w:p>
    <w:p>
      <w:r>
        <w:t>Maintain an explicit welcome to American visitors. Canadian tourism bodies can emphasize that Americans are welcome even when governments disagree. Any travel advisories remain strictly safety-based.</w:t>
      </w:r>
    </w:p>
    <w:p>
      <w:pPr>
        <w:pStyle w:val="SmallNote"/>
      </w:pPr>
      <w:r>
        <w:t>Minimum operating standard: identify the local relationship, state the Canadian policy position accurately, acknowledge legitimate American concerns, explain the off-ramp, invite questions, and leave participants with source material rather than political instructions.</w:t>
      </w:r>
    </w:p>
    <w:p>
      <w:pPr>
        <w:pStyle w:val="Heading2"/>
        <w:keepNext/>
        <w:spacing w:before="200" w:after="80"/>
      </w:pPr>
      <w:bookmarkStart w:id="242" w:name="_Toc9100242"/>
      <w:r>
        <w:t>6.8 Cross-Border Family Track</w:t>
      </w:r>
      <w:bookmarkEnd w:id="242"/>
    </w:p>
    <w:p>
      <w:r>
        <w:t>Create clear guidance that ordinary family ties, visits, weddings, funerals, study and lawful work are not targets of trade retaliation. Consular messaging should be reassuring and practical.</w:t>
      </w:r>
    </w:p>
    <w:p>
      <w:pPr>
        <w:pStyle w:val="SmallNote"/>
      </w:pPr>
      <w:r>
        <w:t>Minimum operating standard: identify the local relationship, state the Canadian policy position accurately, acknowledge legitimate American concerns, explain the off-ramp, invite questions, and leave participants with source material rather than political instructions.</w:t>
      </w:r>
    </w:p>
    <w:p>
      <w:pPr>
        <w:pStyle w:val="Heading2"/>
        <w:keepNext/>
        <w:spacing w:before="200" w:after="80"/>
      </w:pPr>
      <w:bookmarkStart w:id="243" w:name="_Toc9100243"/>
      <w:r>
        <w:t>6.9 Indigenous and Tribal Relationships</w:t>
      </w:r>
      <w:bookmarkEnd w:id="243"/>
    </w:p>
    <w:p>
      <w:r>
        <w:t>Consult Indigenous governments and organizations whose communities, lands, waters, families and economic relationships cross the border. Do not subsume these relationships into a generic national friendship narrative without consent.</w:t>
      </w:r>
    </w:p>
    <w:p>
      <w:pPr>
        <w:pStyle w:val="SmallNote"/>
      </w:pPr>
      <w:r>
        <w:t>Minimum operating standard: identify the local relationship, state the Canadian policy position accurately, acknowledge legitimate American concerns, explain the off-ramp, invite questions, and leave participants with source material rather than political instructions.</w:t>
      </w:r>
    </w:p>
    <w:p>
      <w:pPr>
        <w:pStyle w:val="Heading2"/>
        <w:keepNext/>
        <w:spacing w:before="200" w:after="80"/>
      </w:pPr>
      <w:bookmarkStart w:id="244" w:name="_Toc9100244"/>
      <w:r>
        <w:t>6.10 Faith, Civic and Service Organizations</w:t>
      </w:r>
      <w:bookmarkEnd w:id="244"/>
    </w:p>
    <w:p>
      <w:pPr>
        <w:pStyle w:val="Heading2"/>
      </w:pPr>
      <w:bookmarkStart w:id="245" w:name="_Toc9100245"/>
      <w:r>
        <w:t>6.11 Congressional Engagement</w:t>
      </w:r>
      <w:bookmarkEnd w:id="245"/>
    </w:p>
    <w:p>
      <w:r>
        <w:t>The Ambassador, Embassy congressional team, Consuls General, ministers, and appropriate provincial representatives should maintain regular, transparent engagement with members of Congress and their staff from both parties. Briefings should provide verified state- and district-level economic data, explain Canadian countermeasures and safeguards, identify concrete bilateral consequences, and make the Canadian off-ramp legible.</w:t>
      </w:r>
    </w:p>
    <w:p>
      <w:r>
        <w:t>This is normal diplomatic advocacy, but it must remain institutionally focused and non-electoral. Canadian representatives may advocate Canada's policy interests to legislators; they must not coordinate campaign activity, fundraising, voter persuasion, or partisan electoral strategy.</w:t>
      </w:r>
    </w:p>
    <w:p>
      <w:pPr>
        <w:pStyle w:val="Heading2"/>
      </w:pPr>
      <w:bookmarkStart w:id="246" w:name="_Toc9100246"/>
      <w:r>
        <w:t>6.12 Agricultural Partnership Track</w:t>
      </w:r>
      <w:bookmarkEnd w:id="246"/>
    </w:p>
    <w:p>
      <w:r>
        <w:t>Agriculture warrants a dedicated channel because continental food, fertilizer, feed, machinery, livestock, and commodity markets are deeply integrated. Canadian missions should maintain relationships with national and state agricultural organizations, commodity associations, cooperatives, agricultural universities, extension networks, farm media, and organizations such as the American Farm Bureau Federation and state farm bureaus.</w:t>
      </w:r>
    </w:p>
    <w:p>
      <w:r>
        <w:t>Outreach should focus on verifiable local exposure: Canadian demand for U.S. agricultural products, U.S. dependence on Canadian inputs such as potash where relevant, transportation corridors, seasonal supply chains, and the consequences of unstable trade rules. Farmers and ranchers are partners with their own interests, not instruments to be activated against an administration.</w:t>
      </w:r>
    </w:p>
    <w:p>
      <w:pPr>
        <w:pStyle w:val="Heading2"/>
      </w:pPr>
      <w:bookmarkStart w:id="247" w:name="_Toc9100247"/>
      <w:r>
        <w:t>6.13 Former Officials and Institutional Elders</w:t>
      </w:r>
      <w:bookmarkEnd w:id="247"/>
    </w:p>
    <w:p>
      <w:r>
        <w:t>Maintain open relationships with respected former American officials, diplomats, retired military leaders, former governors and legislators, and other figures with durable cross-partisan credibility. Canada may provide factual materials, invitations to public discussions, and opportunities for dialogue, but should preserve their complete independence.</w:t>
      </w:r>
    </w:p>
    <w:p>
      <w:r>
        <w:t>No former official should be covertly recruited, paid, scripted, or represented as an organic American validator of Canadian policy. Independent support for the bilateral relationship is most credible precisely when it remains independent.</w:t>
      </w:r>
    </w:p>
    <w:p>
      <w:r>
        <w:t>Where invited, engage non-partisan civic networks, service clubs, museums, libraries, professional bodies and community foundations. The purpose is dialogue and factual relationship maintenance.</w:t>
      </w:r>
    </w:p>
    <w:p>
      <w:pPr>
        <w:pStyle w:val="SmallNote"/>
      </w:pPr>
      <w:r>
        <w:t>Minimum operating standard: identify the local relationship, state the Canadian policy position accurately, acknowledge legitimate American concerns, explain the off-ramp, invite questions, and leave participants with source material rather than political instructions.</w:t>
      </w:r>
    </w:p>
    <w:p>
      <w:pPr>
        <w:pStyle w:val="Heading2"/>
        <w:keepNext/>
        <w:spacing w:before="200" w:after="80"/>
      </w:pPr>
      <w:bookmarkStart w:id="248" w:name="_Toc9100248"/>
      <w:r>
        <w:t>6.14 Outreach Event Template</w:t>
      </w:r>
      <w:bookmarkEnd w:id="248"/>
    </w:p>
    <w:tbl>
      <w:tblPr>
        <w:tblStyle w:val="TableGrid"/>
        <w:tblW w:type="auto" w:w="0"/>
        <w:jc w:val="center"/>
        <w:tblLook w:firstColumn="1" w:firstRow="1" w:lastColumn="0" w:lastRow="0" w:noHBand="0" w:noVBand="1" w:val="04A0"/>
      </w:tblPr>
      <w:tblGrid>
        <w:gridCol w:w="4997"/>
        <w:gridCol w:w="4997"/>
      </w:tblGrid>
      <w:tr>
        <w:trPr>
          <w:tblHeader w:val="true"/>
        </w:trPr>
        <w:tc>
          <w:tcPr>
            <w:tcW w:type="dxa" w:w="2160"/>
            <w:shd w:fill="DCE6F1"/>
            <w:vAlign w:val="center"/>
          </w:tcPr>
          <w:p>
            <w:r>
              <w:rPr>
                <w:b/>
                <w:sz w:val="16"/>
              </w:rPr>
              <w:t>Element</w:t>
            </w:r>
          </w:p>
        </w:tc>
        <w:tc>
          <w:tcPr>
            <w:tcW w:type="dxa" w:w="7920"/>
            <w:shd w:fill="DCE6F1"/>
            <w:vAlign w:val="center"/>
          </w:tcPr>
          <w:p>
            <w:r>
              <w:rPr>
                <w:b/>
                <w:sz w:val="16"/>
              </w:rPr>
              <w:t>Standard</w:t>
            </w:r>
          </w:p>
        </w:tc>
      </w:tr>
      <w:tr>
        <w:tc>
          <w:tcPr>
            <w:tcW w:type="dxa" w:w="2160"/>
            <w:vAlign w:val="top"/>
          </w:tcPr>
          <w:p>
            <w:pPr>
              <w:spacing w:after="20"/>
            </w:pPr>
            <w:r>
              <w:rPr>
                <w:sz w:val="16"/>
              </w:rPr>
              <w:t>Host</w:t>
            </w:r>
          </w:p>
        </w:tc>
        <w:tc>
          <w:tcPr>
            <w:tcW w:type="dxa" w:w="7920"/>
            <w:vAlign w:val="top"/>
          </w:tcPr>
          <w:p>
            <w:pPr>
              <w:spacing w:after="20"/>
            </w:pPr>
            <w:r>
              <w:rPr>
                <w:sz w:val="16"/>
              </w:rPr>
              <w:t>Prefer a credible local institution with a genuine bilateral connection</w:t>
            </w:r>
          </w:p>
        </w:tc>
      </w:tr>
      <w:tr>
        <w:tc>
          <w:tcPr>
            <w:tcW w:type="dxa" w:w="2160"/>
            <w:vAlign w:val="top"/>
          </w:tcPr>
          <w:p>
            <w:pPr>
              <w:spacing w:after="20"/>
            </w:pPr>
            <w:r>
              <w:rPr>
                <w:sz w:val="16"/>
              </w:rPr>
              <w:t>Canadian speaker</w:t>
            </w:r>
          </w:p>
        </w:tc>
        <w:tc>
          <w:tcPr>
            <w:tcW w:type="dxa" w:w="7920"/>
            <w:vAlign w:val="top"/>
          </w:tcPr>
          <w:p>
            <w:pPr>
              <w:spacing w:after="20"/>
            </w:pPr>
            <w:r>
              <w:rPr>
                <w:sz w:val="16"/>
              </w:rPr>
              <w:t>Diplomat, minister, provincial representative, expert, or practitioner suited to topic</w:t>
            </w:r>
          </w:p>
        </w:tc>
      </w:tr>
      <w:tr>
        <w:tc>
          <w:tcPr>
            <w:tcW w:type="dxa" w:w="2160"/>
            <w:vAlign w:val="top"/>
          </w:tcPr>
          <w:p>
            <w:pPr>
              <w:spacing w:after="20"/>
            </w:pPr>
            <w:r>
              <w:rPr>
                <w:sz w:val="16"/>
              </w:rPr>
              <w:t>Opening</w:t>
            </w:r>
          </w:p>
        </w:tc>
        <w:tc>
          <w:tcPr>
            <w:tcW w:type="dxa" w:w="7920"/>
            <w:vAlign w:val="top"/>
          </w:tcPr>
          <w:p>
            <w:pPr>
              <w:spacing w:after="20"/>
            </w:pPr>
            <w:r>
              <w:rPr>
                <w:sz w:val="16"/>
              </w:rPr>
              <w:t>Relationship first; acknowledge dispute without melodrama</w:t>
            </w:r>
          </w:p>
        </w:tc>
      </w:tr>
      <w:tr>
        <w:tc>
          <w:tcPr>
            <w:tcW w:type="dxa" w:w="2160"/>
            <w:vAlign w:val="top"/>
          </w:tcPr>
          <w:p>
            <w:pPr>
              <w:spacing w:after="20"/>
            </w:pPr>
            <w:r>
              <w:rPr>
                <w:sz w:val="16"/>
              </w:rPr>
              <w:t>Evidence</w:t>
            </w:r>
          </w:p>
        </w:tc>
        <w:tc>
          <w:tcPr>
            <w:tcW w:type="dxa" w:w="7920"/>
            <w:vAlign w:val="top"/>
          </w:tcPr>
          <w:p>
            <w:pPr>
              <w:spacing w:after="20"/>
            </w:pPr>
            <w:r>
              <w:rPr>
                <w:sz w:val="16"/>
              </w:rPr>
              <w:t>3–5 locally relevant verified facts, each sourceable</w:t>
            </w:r>
          </w:p>
        </w:tc>
      </w:tr>
      <w:tr>
        <w:tc>
          <w:tcPr>
            <w:tcW w:type="dxa" w:w="2160"/>
            <w:vAlign w:val="top"/>
          </w:tcPr>
          <w:p>
            <w:pPr>
              <w:spacing w:after="20"/>
            </w:pPr>
            <w:r>
              <w:rPr>
                <w:sz w:val="16"/>
              </w:rPr>
              <w:t>Policy explanation</w:t>
            </w:r>
          </w:p>
        </w:tc>
        <w:tc>
          <w:tcPr>
            <w:tcW w:type="dxa" w:w="7920"/>
            <w:vAlign w:val="top"/>
          </w:tcPr>
          <w:p>
            <w:pPr>
              <w:spacing w:after="20"/>
            </w:pPr>
            <w:r>
              <w:rPr>
                <w:sz w:val="16"/>
              </w:rPr>
              <w:t>What Canada did, why, and what ends it</w:t>
            </w:r>
          </w:p>
        </w:tc>
      </w:tr>
      <w:tr>
        <w:tc>
          <w:tcPr>
            <w:tcW w:type="dxa" w:w="2160"/>
            <w:vAlign w:val="top"/>
          </w:tcPr>
          <w:p>
            <w:pPr>
              <w:spacing w:after="20"/>
            </w:pPr>
            <w:r>
              <w:rPr>
                <w:sz w:val="16"/>
              </w:rPr>
              <w:t>Human impact</w:t>
            </w:r>
          </w:p>
        </w:tc>
        <w:tc>
          <w:tcPr>
            <w:tcW w:type="dxa" w:w="7920"/>
            <w:vAlign w:val="top"/>
          </w:tcPr>
          <w:p>
            <w:pPr>
              <w:spacing w:after="20"/>
            </w:pPr>
            <w:r>
              <w:rPr>
                <w:sz w:val="16"/>
              </w:rPr>
              <w:t>Acknowledge harm on both sides; never gloat</w:t>
            </w:r>
          </w:p>
        </w:tc>
      </w:tr>
      <w:tr>
        <w:tc>
          <w:tcPr>
            <w:tcW w:type="dxa" w:w="2160"/>
            <w:vAlign w:val="top"/>
          </w:tcPr>
          <w:p>
            <w:pPr>
              <w:spacing w:after="20"/>
            </w:pPr>
            <w:r>
              <w:rPr>
                <w:sz w:val="16"/>
              </w:rPr>
              <w:t>Q&amp;A</w:t>
            </w:r>
          </w:p>
        </w:tc>
        <w:tc>
          <w:tcPr>
            <w:tcW w:type="dxa" w:w="7920"/>
            <w:vAlign w:val="top"/>
          </w:tcPr>
          <w:p>
            <w:pPr>
              <w:spacing w:after="20"/>
            </w:pPr>
            <w:r>
              <w:rPr>
                <w:sz w:val="16"/>
              </w:rPr>
              <w:t>Substantial, unscripted, respectful</w:t>
            </w:r>
          </w:p>
        </w:tc>
      </w:tr>
      <w:tr>
        <w:tc>
          <w:tcPr>
            <w:tcW w:type="dxa" w:w="2160"/>
            <w:vAlign w:val="top"/>
          </w:tcPr>
          <w:p>
            <w:pPr>
              <w:spacing w:after="20"/>
            </w:pPr>
            <w:r>
              <w:rPr>
                <w:sz w:val="16"/>
              </w:rPr>
              <w:t>Close</w:t>
            </w:r>
          </w:p>
        </w:tc>
        <w:tc>
          <w:tcPr>
            <w:tcW w:type="dxa" w:w="7920"/>
            <w:vAlign w:val="top"/>
          </w:tcPr>
          <w:p>
            <w:pPr>
              <w:spacing w:after="20"/>
            </w:pPr>
            <w:r>
              <w:rPr>
                <w:sz w:val="16"/>
              </w:rPr>
              <w:t>Friendship and off-ramp; no electoral call to action</w:t>
            </w:r>
          </w:p>
        </w:tc>
      </w:tr>
      <w:tr>
        <w:tc>
          <w:tcPr>
            <w:tcW w:type="dxa" w:w="2160"/>
            <w:vAlign w:val="top"/>
          </w:tcPr>
          <w:p>
            <w:pPr>
              <w:spacing w:after="20"/>
            </w:pPr>
            <w:r>
              <w:rPr>
                <w:sz w:val="16"/>
              </w:rPr>
              <w:t>Follow-up</w:t>
            </w:r>
          </w:p>
        </w:tc>
        <w:tc>
          <w:tcPr>
            <w:tcW w:type="dxa" w:w="7920"/>
            <w:vAlign w:val="top"/>
          </w:tcPr>
          <w:p>
            <w:pPr>
              <w:spacing w:after="20"/>
            </w:pPr>
            <w:r>
              <w:rPr>
                <w:sz w:val="16"/>
              </w:rPr>
              <w:t>Sources, contact point, unresolved questions, correction channel</w:t>
            </w:r>
          </w:p>
        </w:tc>
      </w:tr>
    </w:tbl>
    <w:p/>
    <w:p>
      <w:r>
        <w:br w:type="page"/>
      </w:r>
    </w:p>
    <w:p>
      <w:pPr>
        <w:pStyle w:val="Heading1"/>
        <w:keepNext/>
        <w:spacing w:before="200" w:after="80"/>
      </w:pPr>
      <w:bookmarkStart w:id="249" w:name="_Toc9100249"/>
      <w:r>
        <w:t>Part VII — Canadian Domestic Relationship Protection</w:t>
      </w:r>
      <w:bookmarkEnd w:id="249"/>
    </w:p>
    <w:p>
      <w:pPr>
        <w:pStyle w:val="Heading2"/>
        <w:keepNext/>
        <w:spacing w:before="200" w:after="80"/>
      </w:pPr>
      <w:bookmarkStart w:id="250" w:name="_Toc9100250"/>
      <w:r>
        <w:t>7.1 Objective</w:t>
      </w:r>
      <w:bookmarkEnd w:id="250"/>
    </w:p>
    <w:p>
      <w:r>
        <w:t>A Canadian public-diplomacy strategy aimed only southward will fail if Canadian domestic discourse simultaneously turns ordinary Americans into villains. The domestic track protects Canada's own capacity for eventual reconciliation.</w:t>
      </w:r>
    </w:p>
    <w:p>
      <w:pPr>
        <w:pStyle w:val="Heading2"/>
        <w:keepNext/>
        <w:spacing w:before="200" w:after="80"/>
      </w:pPr>
      <w:bookmarkStart w:id="251" w:name="_Toc9100251"/>
      <w:r>
        <w:t>7.2 'Firm With Washington, Open to America'</w:t>
      </w:r>
      <w:bookmarkEnd w:id="251"/>
    </w:p>
    <w:p>
      <w:r>
        <w:t>Major federal announcements concerning U.S. countermeasures should include a consistent distinction: Canada will defend its interests against specific U.S. government measures; Americans remain neighbours, friends, relatives, colleagues, visitors, customers, and partners.</w:t>
      </w:r>
    </w:p>
    <w:p>
      <w:pPr>
        <w:pStyle w:val="Heading2"/>
        <w:keepNext/>
        <w:spacing w:before="200" w:after="80"/>
      </w:pPr>
      <w:bookmarkStart w:id="252" w:name="_Toc9100252"/>
      <w:r>
        <w:t>7.3 Buy Canadian Without Anti-Americanism</w:t>
      </w:r>
      <w:bookmarkEnd w:id="252"/>
    </w:p>
    <w:p>
      <w:r>
        <w:t>Government may encourage Canadian purchasing and diversification, but should frame this positively: strengthen Canadian businesses, build resilience, and choose alternatives where practical. Avoid shaming individual consumers for lawful U.S. purchases or encouraging harassment of American-owned local businesses employing Canadians.</w:t>
      </w:r>
    </w:p>
    <w:p>
      <w:pPr>
        <w:pStyle w:val="Heading2"/>
        <w:keepNext/>
        <w:spacing w:before="200" w:after="80"/>
      </w:pPr>
      <w:bookmarkStart w:id="253" w:name="_Toc9100253"/>
      <w:r>
        <w:t>7.4 Political Rhetoric Standard</w:t>
      </w:r>
      <w:bookmarkEnd w:id="253"/>
    </w:p>
    <w:p>
      <w:pPr>
        <w:pStyle w:val="ListBullet"/>
      </w:pPr>
      <w:r>
        <w:t>Criticize decisions, legal authorities, tariffs, negotiating demands, and statements specifically.</w:t>
      </w:r>
    </w:p>
    <w:p>
      <w:pPr>
        <w:pStyle w:val="ListBullet"/>
      </w:pPr>
      <w:r>
        <w:t>Do not generalize a leader's rhetoric to Americans as a people.</w:t>
      </w:r>
    </w:p>
    <w:p>
      <w:pPr>
        <w:pStyle w:val="ListBullet"/>
      </w:pPr>
      <w:r>
        <w:t>Do not celebrate American job losses, bankruptcies, shortages, disasters, or household hardship.</w:t>
      </w:r>
    </w:p>
    <w:p>
      <w:pPr>
        <w:pStyle w:val="ListBullet"/>
      </w:pPr>
      <w:r>
        <w:t>Do not describe reconciliation as surrender by the other side.</w:t>
      </w:r>
    </w:p>
    <w:p>
      <w:pPr>
        <w:pStyle w:val="ListBullet"/>
      </w:pPr>
      <w:r>
        <w:t>Do not use annexation rhetoric jokingly in official Canadian messaging when doing so would normalize the premise.</w:t>
      </w:r>
    </w:p>
    <w:p>
      <w:pPr>
        <w:pStyle w:val="ListBullet"/>
      </w:pPr>
      <w:r>
        <w:t>Do not pressure Canadian cultural, educational, or family institutions to sever benign U.S. ties for symbolic purposes.</w:t>
      </w:r>
    </w:p>
    <w:p>
      <w:pPr>
        <w:pStyle w:val="Heading2"/>
        <w:keepNext/>
        <w:spacing w:before="200" w:after="80"/>
      </w:pPr>
      <w:bookmarkStart w:id="254" w:name="_Toc9100254"/>
      <w:r>
        <w:t>7.5 Canadian Public Education</w:t>
      </w:r>
      <w:bookmarkEnd w:id="254"/>
    </w:p>
    <w:p>
      <w:r>
        <w:t>Publish accessible explainers on how tariffs work, who legally pays them at the border, how retaliation is selected, why remission exists, and what the off-ramp is. Better economic literacy reduces the temptation to interpret every price movement as evidence of betrayal or every American company as an enemy actor.</w:t>
      </w:r>
    </w:p>
    <w:p>
      <w:r>
        <w:br w:type="page"/>
      </w:r>
    </w:p>
    <w:p>
      <w:pPr>
        <w:pStyle w:val="Heading1"/>
        <w:keepNext/>
        <w:spacing w:before="200" w:after="80"/>
      </w:pPr>
      <w:bookmarkStart w:id="255" w:name="_Toc9100255"/>
      <w:r>
        <w:t>Part VIII — Continuity Tracks</w:t>
      </w:r>
      <w:bookmarkEnd w:id="255"/>
    </w:p>
    <w:p>
      <w:pPr>
        <w:pStyle w:val="Heading2"/>
        <w:keepNext/>
        <w:spacing w:before="200" w:after="80"/>
      </w:pPr>
      <w:bookmarkStart w:id="256" w:name="_Toc9100256"/>
      <w:r>
        <w:t>8.1 Border Communities</w:t>
      </w:r>
      <w:bookmarkEnd w:id="256"/>
    </w:p>
    <w:p>
      <w:r>
        <w:t>Create a Border Communities Continuity Forum linking federal agencies, provinces, municipalities, chambers, emergency services, Indigenous governments, ports and bridge authorities. Maintain a rapid issue log for unintended disruptions.</w:t>
      </w:r>
    </w:p>
    <w:p>
      <w:pPr>
        <w:pStyle w:val="Heading2"/>
        <w:keepNext/>
        <w:spacing w:before="200" w:after="80"/>
      </w:pPr>
      <w:bookmarkStart w:id="257" w:name="_Toc9100257"/>
      <w:r>
        <w:t>8.2 Scientific Cooperation</w:t>
      </w:r>
      <w:bookmarkEnd w:id="257"/>
    </w:p>
    <w:p>
      <w:r>
        <w:t>Protect joint research, data sharing and laboratory partnerships unless a specific national-security concern applies. Scientific goods caught unintentionally by tariffs should receive a fast remission review where law permits.</w:t>
      </w:r>
    </w:p>
    <w:p>
      <w:pPr>
        <w:pStyle w:val="Heading2"/>
        <w:keepNext/>
        <w:spacing w:before="200" w:after="80"/>
      </w:pPr>
      <w:bookmarkStart w:id="258" w:name="_Toc9100258"/>
      <w:r>
        <w:t>8.3 Education</w:t>
      </w:r>
      <w:bookmarkEnd w:id="258"/>
    </w:p>
    <w:p>
      <w:r>
        <w:t>Support continued student and scholar mobility, joint degrees, visiting appointments, Fulbright exchanges and institutional partnerships. Universities remain autonomous; government facilitates rather than commands.</w:t>
      </w:r>
    </w:p>
    <w:p>
      <w:pPr>
        <w:pStyle w:val="Heading2"/>
        <w:keepNext/>
        <w:spacing w:before="200" w:after="80"/>
      </w:pPr>
      <w:bookmarkStart w:id="259" w:name="_Toc9100259"/>
      <w:r>
        <w:t>8.4 Health and Emergency Cooperation</w:t>
      </w:r>
      <w:bookmarkEnd w:id="259"/>
    </w:p>
    <w:p>
      <w:r>
        <w:t>Preserve emergency-management, disease surveillance, firefighting, disaster assistance and other life-safety channels. These should be publicly identified as relationship firebreaks.</w:t>
      </w:r>
    </w:p>
    <w:p>
      <w:pPr>
        <w:pStyle w:val="Heading2"/>
        <w:keepNext/>
        <w:spacing w:before="200" w:after="80"/>
      </w:pPr>
      <w:bookmarkStart w:id="260" w:name="_Toc9100260"/>
      <w:r>
        <w:t>8.5 Security and Defence</w:t>
      </w:r>
      <w:bookmarkEnd w:id="260"/>
    </w:p>
    <w:p>
      <w:r>
        <w:t>Maintain a clear rhetorical firewall between the trade dispute and NORAD, NATO, Five Eyes and legitimate continental defence cooperation unless the government deliberately changes security policy for separate reasons.</w:t>
      </w:r>
    </w:p>
    <w:p>
      <w:pPr>
        <w:pStyle w:val="Heading2"/>
        <w:keepNext/>
        <w:spacing w:before="200" w:after="80"/>
      </w:pPr>
      <w:bookmarkStart w:id="261" w:name="_Toc9100261"/>
      <w:r>
        <w:t>8.6 Culture and Sport</w:t>
      </w:r>
      <w:bookmarkEnd w:id="261"/>
    </w:p>
    <w:p>
      <w:r>
        <w:t>Shared Service and Remembrance Program. In cooperation with willing veterans' organizations, museums, municipalities, serving personnel where appropriate, and retired military communities, Canada should support paired commemorations of shared service and sacrifice. Suitable themes include major wars and peace-support operations, NORAD milestones, joint continental defence, disaster response, search and rescue, and other episodes in which Canadians and Americans served alongside one another.</w:t>
      </w:r>
    </w:p>
    <w:p>
      <w:r>
        <w:t>The program is commemorative rather than militarized public relations. Veterans and serving members are not political props, and participation is voluntary. Its purpose is to remind both societies that the relationship has been tested by events far more consequential than a tariff dispute.</w:t>
      </w:r>
    </w:p>
    <w:p>
      <w:r>
        <w:t>Use joint cultural programming, museums, festivals, film, music and sports to remind both publics that bilateral identity is thicker than tariff schedules. Keep events celebratory rather than propagandistic.</w:t>
      </w:r>
    </w:p>
    <w:p>
      <w:pPr>
        <w:pStyle w:val="Heading2"/>
        <w:keepNext/>
        <w:spacing w:before="200" w:after="80"/>
      </w:pPr>
      <w:bookmarkStart w:id="262" w:name="_Toc9100262"/>
      <w:r>
        <w:t>8.7 Business Continuity</w:t>
      </w:r>
      <w:bookmarkEnd w:id="262"/>
    </w:p>
    <w:p>
      <w:r>
        <w:t>Maintain information channels for firms whose trade remains lawful and unaffected. Publicize successful adaptation and cross-border cooperation without pretending the conflict has no costs.</w:t>
      </w:r>
    </w:p>
    <w:p>
      <w:pPr>
        <w:pStyle w:val="Heading2"/>
        <w:keepNext/>
        <w:spacing w:before="200" w:after="80"/>
      </w:pPr>
      <w:bookmarkStart w:id="263" w:name="_Toc9100263"/>
      <w:r>
        <w:t>8.8 Energy and Infrastructure</w:t>
      </w:r>
      <w:bookmarkEnd w:id="263"/>
    </w:p>
    <w:p>
      <w:r>
        <w:t>Where energy and infrastructure continue to flow, communicate reliability. Where policy changes are necessary, explain them in technical rather than punitive language.</w:t>
      </w:r>
    </w:p>
    <w:p>
      <w:pPr>
        <w:pStyle w:val="Heading2"/>
        <w:keepNext/>
        <w:spacing w:before="200" w:after="80"/>
      </w:pPr>
      <w:bookmarkStart w:id="264" w:name="_Toc9100264"/>
      <w:r>
        <w:t>8.9 Labour Mobility and Professional Networks</w:t>
      </w:r>
      <w:bookmarkEnd w:id="264"/>
    </w:p>
    <w:p>
      <w:r>
        <w:t>Keep lawful professional, academic, technical and business travel functioning. Professional associations can be important relationship custodians.</w:t>
      </w:r>
    </w:p>
    <w:p>
      <w:pPr>
        <w:pStyle w:val="Heading2"/>
        <w:keepNext/>
        <w:spacing w:before="200" w:after="80"/>
      </w:pPr>
      <w:bookmarkStart w:id="265" w:name="_Toc9100265"/>
      <w:r>
        <w:t>8.10 Local Government and Sister-City Links</w:t>
      </w:r>
      <w:bookmarkEnd w:id="265"/>
    </w:p>
    <w:p>
      <w:r>
        <w:t>Encourage municipalities to continue sister-city, emergency, cultural and economic ties. Local relationships can survive federal turbulence and become early platforms for reconciliation.</w:t>
      </w:r>
    </w:p>
    <w:p>
      <w:pPr>
        <w:pStyle w:val="Heading2"/>
        <w:keepNext/>
        <w:spacing w:before="200" w:after="80"/>
      </w:pPr>
      <w:bookmarkStart w:id="266" w:name="_Toc9100266"/>
      <w:r>
        <w:t>8.11 Continuity Protection Test</w:t>
      </w:r>
      <w:bookmarkEnd w:id="266"/>
    </w:p>
    <w:tbl>
      <w:tblPr>
        <w:tblStyle w:val="TableGrid"/>
        <w:tblW w:type="auto" w:w="0"/>
        <w:jc w:val="center"/>
        <w:tblLook w:firstColumn="1" w:firstRow="1" w:lastColumn="0" w:lastRow="0" w:noHBand="0" w:noVBand="1" w:val="04A0"/>
      </w:tblPr>
      <w:tblGrid>
        <w:gridCol w:w="3331"/>
        <w:gridCol w:w="3331"/>
        <w:gridCol w:w="3331"/>
      </w:tblGrid>
      <w:tr>
        <w:trPr>
          <w:tblHeader w:val="true"/>
        </w:trPr>
        <w:tc>
          <w:tcPr>
            <w:tcW w:type="dxa" w:w="5472"/>
            <w:shd w:fill="DCE6F1"/>
            <w:vAlign w:val="center"/>
          </w:tcPr>
          <w:p>
            <w:r>
              <w:rPr>
                <w:b/>
                <w:sz w:val="16"/>
              </w:rPr>
              <w:t>Question</w:t>
            </w:r>
          </w:p>
        </w:tc>
        <w:tc>
          <w:tcPr>
            <w:tcW w:type="dxa" w:w="2160"/>
            <w:shd w:fill="DCE6F1"/>
            <w:vAlign w:val="center"/>
          </w:tcPr>
          <w:p>
            <w:r>
              <w:rPr>
                <w:b/>
                <w:sz w:val="16"/>
              </w:rPr>
              <w:t>If yes</w:t>
            </w:r>
          </w:p>
        </w:tc>
        <w:tc>
          <w:tcPr>
            <w:tcW w:type="dxa" w:w="2160"/>
            <w:shd w:fill="DCE6F1"/>
            <w:vAlign w:val="center"/>
          </w:tcPr>
          <w:p>
            <w:r>
              <w:rPr>
                <w:b/>
                <w:sz w:val="16"/>
              </w:rPr>
              <w:t>If no</w:t>
            </w:r>
          </w:p>
        </w:tc>
      </w:tr>
      <w:tr>
        <w:tc>
          <w:tcPr>
            <w:tcW w:type="dxa" w:w="5472"/>
            <w:vAlign w:val="top"/>
          </w:tcPr>
          <w:p>
            <w:pPr>
              <w:spacing w:after="20"/>
            </w:pPr>
            <w:r>
              <w:rPr>
                <w:sz w:val="16"/>
              </w:rPr>
              <w:t>Does the activity materially strengthen coercive capacity against Canada?</w:t>
            </w:r>
          </w:p>
        </w:tc>
        <w:tc>
          <w:tcPr>
            <w:tcW w:type="dxa" w:w="2160"/>
            <w:vAlign w:val="top"/>
          </w:tcPr>
          <w:p>
            <w:pPr>
              <w:spacing w:after="20"/>
            </w:pPr>
            <w:r>
              <w:rPr>
                <w:sz w:val="16"/>
              </w:rPr>
              <w:t>Consider restriction or enhanced review</w:t>
            </w:r>
          </w:p>
        </w:tc>
        <w:tc>
          <w:tcPr>
            <w:tcW w:type="dxa" w:w="2160"/>
            <w:vAlign w:val="top"/>
          </w:tcPr>
          <w:p>
            <w:pPr>
              <w:spacing w:after="20"/>
            </w:pPr>
            <w:r>
              <w:rPr>
                <w:sz w:val="16"/>
              </w:rPr>
              <w:t>Continue</w:t>
            </w:r>
          </w:p>
        </w:tc>
      </w:tr>
      <w:tr>
        <w:tc>
          <w:tcPr>
            <w:tcW w:type="dxa" w:w="5472"/>
            <w:vAlign w:val="top"/>
          </w:tcPr>
          <w:p>
            <w:pPr>
              <w:spacing w:after="20"/>
            </w:pPr>
            <w:r>
              <w:rPr>
                <w:sz w:val="16"/>
              </w:rPr>
              <w:t>Does it involve national-security, sanctions, export-control or intelligence risk?</w:t>
            </w:r>
          </w:p>
        </w:tc>
        <w:tc>
          <w:tcPr>
            <w:tcW w:type="dxa" w:w="2160"/>
            <w:vAlign w:val="top"/>
          </w:tcPr>
          <w:p>
            <w:pPr>
              <w:spacing w:after="20"/>
            </w:pPr>
            <w:r>
              <w:rPr>
                <w:sz w:val="16"/>
              </w:rPr>
              <w:t>Refer to competent authority</w:t>
            </w:r>
          </w:p>
        </w:tc>
        <w:tc>
          <w:tcPr>
            <w:tcW w:type="dxa" w:w="2160"/>
            <w:vAlign w:val="top"/>
          </w:tcPr>
          <w:p>
            <w:pPr>
              <w:spacing w:after="20"/>
            </w:pPr>
            <w:r>
              <w:rPr>
                <w:sz w:val="16"/>
              </w:rPr>
              <w:t>Continue</w:t>
            </w:r>
          </w:p>
        </w:tc>
      </w:tr>
      <w:tr>
        <w:tc>
          <w:tcPr>
            <w:tcW w:type="dxa" w:w="5472"/>
            <w:vAlign w:val="top"/>
          </w:tcPr>
          <w:p>
            <w:pPr>
              <w:spacing w:after="20"/>
            </w:pPr>
            <w:r>
              <w:rPr>
                <w:sz w:val="16"/>
              </w:rPr>
              <w:t>Would interruption harm civilians, emergency response, health, research or families disproportionately?</w:t>
            </w:r>
          </w:p>
        </w:tc>
        <w:tc>
          <w:tcPr>
            <w:tcW w:type="dxa" w:w="2160"/>
            <w:vAlign w:val="top"/>
          </w:tcPr>
          <w:p>
            <w:pPr>
              <w:spacing w:after="20"/>
            </w:pPr>
            <w:r>
              <w:rPr>
                <w:sz w:val="16"/>
              </w:rPr>
              <w:t>Presume protection / remission where lawful</w:t>
            </w:r>
          </w:p>
        </w:tc>
        <w:tc>
          <w:tcPr>
            <w:tcW w:type="dxa" w:w="2160"/>
            <w:vAlign w:val="top"/>
          </w:tcPr>
          <w:p>
            <w:pPr>
              <w:spacing w:after="20"/>
            </w:pPr>
            <w:r>
              <w:rPr>
                <w:sz w:val="16"/>
              </w:rPr>
              <w:t>Proceed to next test</w:t>
            </w:r>
          </w:p>
        </w:tc>
      </w:tr>
      <w:tr>
        <w:tc>
          <w:tcPr>
            <w:tcW w:type="dxa" w:w="5472"/>
            <w:vAlign w:val="top"/>
          </w:tcPr>
          <w:p>
            <w:pPr>
              <w:spacing w:after="20"/>
            </w:pPr>
            <w:r>
              <w:rPr>
                <w:sz w:val="16"/>
              </w:rPr>
              <w:t>Is the proposed restriction mainly symbolic?</w:t>
            </w:r>
          </w:p>
        </w:tc>
        <w:tc>
          <w:tcPr>
            <w:tcW w:type="dxa" w:w="2160"/>
            <w:vAlign w:val="top"/>
          </w:tcPr>
          <w:p>
            <w:pPr>
              <w:spacing w:after="20"/>
            </w:pPr>
            <w:r>
              <w:rPr>
                <w:sz w:val="16"/>
              </w:rPr>
              <w:t>Strong presumption against</w:t>
            </w:r>
          </w:p>
        </w:tc>
        <w:tc>
          <w:tcPr>
            <w:tcW w:type="dxa" w:w="2160"/>
            <w:vAlign w:val="top"/>
          </w:tcPr>
          <w:p>
            <w:pPr>
              <w:spacing w:after="20"/>
            </w:pPr>
            <w:r>
              <w:rPr>
                <w:sz w:val="16"/>
              </w:rPr>
              <w:t>Proceed if policy rationale is concrete</w:t>
            </w:r>
          </w:p>
        </w:tc>
      </w:tr>
      <w:tr>
        <w:tc>
          <w:tcPr>
            <w:tcW w:type="dxa" w:w="5472"/>
            <w:vAlign w:val="top"/>
          </w:tcPr>
          <w:p>
            <w:pPr>
              <w:spacing w:after="20"/>
            </w:pPr>
            <w:r>
              <w:rPr>
                <w:sz w:val="16"/>
              </w:rPr>
              <w:t>Can the objective be achieved with a narrower measure?</w:t>
            </w:r>
          </w:p>
        </w:tc>
        <w:tc>
          <w:tcPr>
            <w:tcW w:type="dxa" w:w="2160"/>
            <w:vAlign w:val="top"/>
          </w:tcPr>
          <w:p>
            <w:pPr>
              <w:spacing w:after="20"/>
            </w:pPr>
            <w:r>
              <w:rPr>
                <w:sz w:val="16"/>
              </w:rPr>
              <w:t>Use narrower measure</w:t>
            </w:r>
          </w:p>
        </w:tc>
        <w:tc>
          <w:tcPr>
            <w:tcW w:type="dxa" w:w="2160"/>
            <w:vAlign w:val="top"/>
          </w:tcPr>
          <w:p>
            <w:pPr>
              <w:spacing w:after="20"/>
            </w:pPr>
            <w:r>
              <w:rPr>
                <w:sz w:val="16"/>
              </w:rPr>
              <w:t>Document necessity</w:t>
            </w:r>
          </w:p>
        </w:tc>
      </w:tr>
    </w:tbl>
    <w:p/>
    <w:p>
      <w:r>
        <w:br w:type="page"/>
      </w:r>
    </w:p>
    <w:p>
      <w:pPr>
        <w:pStyle w:val="Heading1"/>
        <w:keepNext/>
        <w:spacing w:before="200" w:after="80"/>
      </w:pPr>
      <w:bookmarkStart w:id="267" w:name="_Toc9100267"/>
      <w:r>
        <w:t>Part IX — Digital Communications and Misinformation Response</w:t>
      </w:r>
      <w:bookmarkEnd w:id="267"/>
    </w:p>
    <w:p>
      <w:pPr>
        <w:pStyle w:val="Heading2"/>
        <w:keepNext/>
        <w:spacing w:before="200" w:after="80"/>
      </w:pPr>
      <w:bookmarkStart w:id="268" w:name="_Toc9100268"/>
      <w:r>
        <w:t>9.1 Digital Mission</w:t>
      </w:r>
      <w:bookmarkEnd w:id="268"/>
    </w:p>
    <w:p>
      <w:r>
        <w:t>Digital operations should make accurate Canadian information easy to find and easy to verify. The goal is not to dominate American political conversation. It is to ensure that false claims about Canada, Canadian countermeasures, or the bilateral relationship do not go unanswered when they could materially damage public understanding or safety.</w:t>
      </w:r>
    </w:p>
    <w:p>
      <w:pPr>
        <w:pStyle w:val="Heading2"/>
        <w:keepNext/>
        <w:spacing w:before="200" w:after="80"/>
      </w:pPr>
      <w:bookmarkStart w:id="269" w:name="_Toc9100269"/>
      <w:r>
        <w:t>9.2 Rapid Response Ladder</w:t>
      </w:r>
      <w:bookmarkEnd w:id="269"/>
    </w:p>
    <w:tbl>
      <w:tblPr>
        <w:tblStyle w:val="TableGrid"/>
        <w:tblW w:type="auto" w:w="0"/>
        <w:jc w:val="center"/>
        <w:tblLook w:firstColumn="1" w:firstRow="1" w:lastColumn="0" w:lastRow="0" w:noHBand="0" w:noVBand="1" w:val="04A0"/>
      </w:tblPr>
      <w:tblGrid>
        <w:gridCol w:w="3331"/>
        <w:gridCol w:w="3331"/>
        <w:gridCol w:w="3331"/>
      </w:tblGrid>
      <w:tr>
        <w:trPr>
          <w:tblHeader w:val="true"/>
        </w:trPr>
        <w:tc>
          <w:tcPr>
            <w:tcW w:type="dxa" w:w="1440"/>
            <w:shd w:fill="DCE6F1"/>
            <w:vAlign w:val="center"/>
          </w:tcPr>
          <w:p>
            <w:r>
              <w:rPr>
                <w:b/>
                <w:sz w:val="16"/>
              </w:rPr>
              <w:t>Level</w:t>
            </w:r>
          </w:p>
        </w:tc>
        <w:tc>
          <w:tcPr>
            <w:tcW w:type="dxa" w:w="3744"/>
            <w:shd w:fill="DCE6F1"/>
            <w:vAlign w:val="center"/>
          </w:tcPr>
          <w:p>
            <w:r>
              <w:rPr>
                <w:b/>
                <w:sz w:val="16"/>
              </w:rPr>
              <w:t>Trigger</w:t>
            </w:r>
          </w:p>
        </w:tc>
        <w:tc>
          <w:tcPr>
            <w:tcW w:type="dxa" w:w="4752"/>
            <w:shd w:fill="DCE6F1"/>
            <w:vAlign w:val="center"/>
          </w:tcPr>
          <w:p>
            <w:r>
              <w:rPr>
                <w:b/>
                <w:sz w:val="16"/>
              </w:rPr>
              <w:t>Response</w:t>
            </w:r>
          </w:p>
        </w:tc>
      </w:tr>
      <w:tr>
        <w:tc>
          <w:tcPr>
            <w:tcW w:type="dxa" w:w="1440"/>
            <w:vAlign w:val="top"/>
          </w:tcPr>
          <w:p>
            <w:pPr>
              <w:spacing w:after="20"/>
            </w:pPr>
            <w:r>
              <w:rPr>
                <w:sz w:val="16"/>
              </w:rPr>
              <w:t>0 Observe</w:t>
            </w:r>
          </w:p>
        </w:tc>
        <w:tc>
          <w:tcPr>
            <w:tcW w:type="dxa" w:w="3744"/>
            <w:vAlign w:val="top"/>
          </w:tcPr>
          <w:p>
            <w:pPr>
              <w:spacing w:after="20"/>
            </w:pPr>
            <w:r>
              <w:rPr>
                <w:sz w:val="16"/>
              </w:rPr>
              <w:t>Low-reach opinion or satire</w:t>
            </w:r>
          </w:p>
        </w:tc>
        <w:tc>
          <w:tcPr>
            <w:tcW w:type="dxa" w:w="4752"/>
            <w:vAlign w:val="top"/>
          </w:tcPr>
          <w:p>
            <w:pPr>
              <w:spacing w:after="20"/>
            </w:pPr>
            <w:r>
              <w:rPr>
                <w:sz w:val="16"/>
              </w:rPr>
              <w:t>No official response</w:t>
            </w:r>
          </w:p>
        </w:tc>
      </w:tr>
      <w:tr>
        <w:tc>
          <w:tcPr>
            <w:tcW w:type="dxa" w:w="1440"/>
            <w:vAlign w:val="top"/>
          </w:tcPr>
          <w:p>
            <w:pPr>
              <w:spacing w:after="20"/>
            </w:pPr>
            <w:r>
              <w:rPr>
                <w:sz w:val="16"/>
              </w:rPr>
              <w:t>1 Clarify</w:t>
            </w:r>
          </w:p>
        </w:tc>
        <w:tc>
          <w:tcPr>
            <w:tcW w:type="dxa" w:w="3744"/>
            <w:vAlign w:val="top"/>
          </w:tcPr>
          <w:p>
            <w:pPr>
              <w:spacing w:after="20"/>
            </w:pPr>
            <w:r>
              <w:rPr>
                <w:sz w:val="16"/>
              </w:rPr>
              <w:t>Routine factual error gaining attention</w:t>
            </w:r>
          </w:p>
        </w:tc>
        <w:tc>
          <w:tcPr>
            <w:tcW w:type="dxa" w:w="4752"/>
            <w:vAlign w:val="top"/>
          </w:tcPr>
          <w:p>
            <w:pPr>
              <w:spacing w:after="20"/>
            </w:pPr>
            <w:r>
              <w:rPr>
                <w:sz w:val="16"/>
              </w:rPr>
              <w:t>Short sourced correction</w:t>
            </w:r>
          </w:p>
        </w:tc>
      </w:tr>
      <w:tr>
        <w:tc>
          <w:tcPr>
            <w:tcW w:type="dxa" w:w="1440"/>
            <w:vAlign w:val="top"/>
          </w:tcPr>
          <w:p>
            <w:pPr>
              <w:spacing w:after="20"/>
            </w:pPr>
            <w:r>
              <w:rPr>
                <w:sz w:val="16"/>
              </w:rPr>
              <w:t>2 Explain</w:t>
            </w:r>
          </w:p>
        </w:tc>
        <w:tc>
          <w:tcPr>
            <w:tcW w:type="dxa" w:w="3744"/>
            <w:vAlign w:val="top"/>
          </w:tcPr>
          <w:p>
            <w:pPr>
              <w:spacing w:after="20"/>
            </w:pPr>
            <w:r>
              <w:rPr>
                <w:sz w:val="16"/>
              </w:rPr>
              <w:t>Misleading claim with policy significance</w:t>
            </w:r>
          </w:p>
        </w:tc>
        <w:tc>
          <w:tcPr>
            <w:tcW w:type="dxa" w:w="4752"/>
            <w:vAlign w:val="top"/>
          </w:tcPr>
          <w:p>
            <w:pPr>
              <w:spacing w:after="20"/>
            </w:pPr>
            <w:r>
              <w:rPr>
                <w:sz w:val="16"/>
              </w:rPr>
              <w:t>Fact sheet / spokesperson / FAQ</w:t>
            </w:r>
          </w:p>
        </w:tc>
      </w:tr>
      <w:tr>
        <w:tc>
          <w:tcPr>
            <w:tcW w:type="dxa" w:w="1440"/>
            <w:vAlign w:val="top"/>
          </w:tcPr>
          <w:p>
            <w:pPr>
              <w:spacing w:after="20"/>
            </w:pPr>
            <w:r>
              <w:rPr>
                <w:sz w:val="16"/>
              </w:rPr>
              <w:t>3 Surge</w:t>
            </w:r>
          </w:p>
        </w:tc>
        <w:tc>
          <w:tcPr>
            <w:tcW w:type="dxa" w:w="3744"/>
            <w:vAlign w:val="top"/>
          </w:tcPr>
          <w:p>
            <w:pPr>
              <w:spacing w:after="20"/>
            </w:pPr>
            <w:r>
              <w:rPr>
                <w:sz w:val="16"/>
              </w:rPr>
              <w:t>High-reach falsehood causing economic or diplomatic harm</w:t>
            </w:r>
          </w:p>
        </w:tc>
        <w:tc>
          <w:tcPr>
            <w:tcW w:type="dxa" w:w="4752"/>
            <w:vAlign w:val="top"/>
          </w:tcPr>
          <w:p>
            <w:pPr>
              <w:spacing w:after="20"/>
            </w:pPr>
            <w:r>
              <w:rPr>
                <w:sz w:val="16"/>
              </w:rPr>
              <w:t>Coordinated embassy-GAC response; primary documents; expert availability</w:t>
            </w:r>
          </w:p>
        </w:tc>
      </w:tr>
      <w:tr>
        <w:tc>
          <w:tcPr>
            <w:tcW w:type="dxa" w:w="1440"/>
            <w:vAlign w:val="top"/>
          </w:tcPr>
          <w:p>
            <w:pPr>
              <w:spacing w:after="20"/>
            </w:pPr>
            <w:r>
              <w:rPr>
                <w:sz w:val="16"/>
              </w:rPr>
              <w:t>4 Crisis</w:t>
            </w:r>
          </w:p>
        </w:tc>
        <w:tc>
          <w:tcPr>
            <w:tcW w:type="dxa" w:w="3744"/>
            <w:vAlign w:val="top"/>
          </w:tcPr>
          <w:p>
            <w:pPr>
              <w:spacing w:after="20"/>
            </w:pPr>
            <w:r>
              <w:rPr>
                <w:sz w:val="16"/>
              </w:rPr>
              <w:t>False claim linked to threats, violence, border panic, markets or security</w:t>
            </w:r>
          </w:p>
        </w:tc>
        <w:tc>
          <w:tcPr>
            <w:tcW w:type="dxa" w:w="4752"/>
            <w:vAlign w:val="top"/>
          </w:tcPr>
          <w:p>
            <w:pPr>
              <w:spacing w:after="20"/>
            </w:pPr>
            <w:r>
              <w:rPr>
                <w:sz w:val="16"/>
              </w:rPr>
              <w:t>Whole-of-government crisis communications; law-enforcement/security coordination as appropriate</w:t>
            </w:r>
          </w:p>
        </w:tc>
      </w:tr>
    </w:tbl>
    <w:p/>
    <w:p>
      <w:pPr>
        <w:pStyle w:val="Heading2"/>
        <w:keepNext/>
        <w:spacing w:before="200" w:after="80"/>
      </w:pPr>
      <w:bookmarkStart w:id="270" w:name="_Toc9100270"/>
      <w:r>
        <w:t>9.3 The No-Dunking Rule</w:t>
      </w:r>
      <w:bookmarkEnd w:id="270"/>
    </w:p>
    <w:p>
      <w:r>
        <w:t>Official accounts should not optimize for humiliating an American politician or influencer. A clever rebuttal that earns applause in Canada but deepens hostility in the United States may be strategically counterproductive. Correct the record, show the source, state Canada's position, and move on.</w:t>
      </w:r>
    </w:p>
    <w:p>
      <w:pPr>
        <w:pStyle w:val="Heading2"/>
        <w:keepNext/>
        <w:spacing w:before="200" w:after="80"/>
      </w:pPr>
      <w:bookmarkStart w:id="271" w:name="_Toc9100271"/>
      <w:r>
        <w:t>9.4 Social Media Content Mix</w:t>
      </w:r>
      <w:bookmarkEnd w:id="271"/>
    </w:p>
    <w:tbl>
      <w:tblPr>
        <w:tblStyle w:val="TableGrid"/>
        <w:tblW w:type="auto" w:w="0"/>
        <w:jc w:val="center"/>
        <w:tblLook w:firstColumn="1" w:firstRow="1" w:lastColumn="0" w:lastRow="0" w:noHBand="0" w:noVBand="1" w:val="04A0"/>
      </w:tblPr>
      <w:tblGrid>
        <w:gridCol w:w="3331"/>
        <w:gridCol w:w="3331"/>
        <w:gridCol w:w="3331"/>
      </w:tblGrid>
      <w:tr>
        <w:trPr>
          <w:tblHeader w:val="true"/>
        </w:trPr>
        <w:tc>
          <w:tcPr>
            <w:tcW w:type="dxa" w:w="3456"/>
            <w:shd w:fill="DCE6F1"/>
            <w:vAlign w:val="center"/>
          </w:tcPr>
          <w:p>
            <w:r>
              <w:rPr>
                <w:b/>
                <w:sz w:val="16"/>
              </w:rPr>
              <w:t>Content family</w:t>
            </w:r>
          </w:p>
        </w:tc>
        <w:tc>
          <w:tcPr>
            <w:tcW w:type="dxa" w:w="2016"/>
            <w:shd w:fill="DCE6F1"/>
            <w:vAlign w:val="center"/>
          </w:tcPr>
          <w:p>
            <w:r>
              <w:rPr>
                <w:b/>
                <w:sz w:val="16"/>
              </w:rPr>
              <w:t>Illustrative share</w:t>
            </w:r>
          </w:p>
        </w:tc>
        <w:tc>
          <w:tcPr>
            <w:tcW w:type="dxa" w:w="4320"/>
            <w:shd w:fill="DCE6F1"/>
            <w:vAlign w:val="center"/>
          </w:tcPr>
          <w:p>
            <w:r>
              <w:rPr>
                <w:b/>
                <w:sz w:val="16"/>
              </w:rPr>
              <w:t>Purpose</w:t>
            </w:r>
          </w:p>
        </w:tc>
      </w:tr>
      <w:tr>
        <w:tc>
          <w:tcPr>
            <w:tcW w:type="dxa" w:w="3456"/>
            <w:vAlign w:val="top"/>
          </w:tcPr>
          <w:p>
            <w:pPr>
              <w:spacing w:after="20"/>
            </w:pPr>
            <w:r>
              <w:rPr>
                <w:sz w:val="16"/>
              </w:rPr>
              <w:t>Relationship continuity</w:t>
            </w:r>
          </w:p>
        </w:tc>
        <w:tc>
          <w:tcPr>
            <w:tcW w:type="dxa" w:w="2016"/>
            <w:vAlign w:val="top"/>
          </w:tcPr>
          <w:p>
            <w:pPr>
              <w:spacing w:after="20"/>
            </w:pPr>
            <w:r>
              <w:rPr>
                <w:sz w:val="16"/>
              </w:rPr>
              <w:t>30%</w:t>
            </w:r>
          </w:p>
        </w:tc>
        <w:tc>
          <w:tcPr>
            <w:tcW w:type="dxa" w:w="4320"/>
            <w:vAlign w:val="top"/>
          </w:tcPr>
          <w:p>
            <w:pPr>
              <w:spacing w:after="20"/>
            </w:pPr>
            <w:r>
              <w:rPr>
                <w:sz w:val="16"/>
              </w:rPr>
              <w:t>Human stories, joint institutions, families, science, culture</w:t>
            </w:r>
          </w:p>
        </w:tc>
      </w:tr>
      <w:tr>
        <w:tc>
          <w:tcPr>
            <w:tcW w:type="dxa" w:w="3456"/>
            <w:vAlign w:val="top"/>
          </w:tcPr>
          <w:p>
            <w:pPr>
              <w:spacing w:after="20"/>
            </w:pPr>
            <w:r>
              <w:rPr>
                <w:sz w:val="16"/>
              </w:rPr>
              <w:t>Factual trade explanation</w:t>
            </w:r>
          </w:p>
        </w:tc>
        <w:tc>
          <w:tcPr>
            <w:tcW w:type="dxa" w:w="2016"/>
            <w:vAlign w:val="top"/>
          </w:tcPr>
          <w:p>
            <w:pPr>
              <w:spacing w:after="20"/>
            </w:pPr>
            <w:r>
              <w:rPr>
                <w:sz w:val="16"/>
              </w:rPr>
              <w:t>25%</w:t>
            </w:r>
          </w:p>
        </w:tc>
        <w:tc>
          <w:tcPr>
            <w:tcW w:type="dxa" w:w="4320"/>
            <w:vAlign w:val="top"/>
          </w:tcPr>
          <w:p>
            <w:pPr>
              <w:spacing w:after="20"/>
            </w:pPr>
            <w:r>
              <w:rPr>
                <w:sz w:val="16"/>
              </w:rPr>
              <w:t>Tariffs, data, off-ramps, what remains unaffected</w:t>
            </w:r>
          </w:p>
        </w:tc>
      </w:tr>
      <w:tr>
        <w:tc>
          <w:tcPr>
            <w:tcW w:type="dxa" w:w="3456"/>
            <w:vAlign w:val="top"/>
          </w:tcPr>
          <w:p>
            <w:pPr>
              <w:spacing w:after="20"/>
            </w:pPr>
            <w:r>
              <w:rPr>
                <w:sz w:val="16"/>
              </w:rPr>
              <w:t>Local U.S. relationships</w:t>
            </w:r>
          </w:p>
        </w:tc>
        <w:tc>
          <w:tcPr>
            <w:tcW w:type="dxa" w:w="2016"/>
            <w:vAlign w:val="top"/>
          </w:tcPr>
          <w:p>
            <w:pPr>
              <w:spacing w:after="20"/>
            </w:pPr>
            <w:r>
              <w:rPr>
                <w:sz w:val="16"/>
              </w:rPr>
              <w:t>20%</w:t>
            </w:r>
          </w:p>
        </w:tc>
        <w:tc>
          <w:tcPr>
            <w:tcW w:type="dxa" w:w="4320"/>
            <w:vAlign w:val="top"/>
          </w:tcPr>
          <w:p>
            <w:pPr>
              <w:spacing w:after="20"/>
            </w:pPr>
            <w:r>
              <w:rPr>
                <w:sz w:val="16"/>
              </w:rPr>
              <w:t>State/community stories and Canadian investment</w:t>
            </w:r>
          </w:p>
        </w:tc>
      </w:tr>
      <w:tr>
        <w:tc>
          <w:tcPr>
            <w:tcW w:type="dxa" w:w="3456"/>
            <w:vAlign w:val="top"/>
          </w:tcPr>
          <w:p>
            <w:pPr>
              <w:spacing w:after="20"/>
            </w:pPr>
            <w:r>
              <w:rPr>
                <w:sz w:val="16"/>
              </w:rPr>
              <w:t>Canadian policy explanation</w:t>
            </w:r>
          </w:p>
        </w:tc>
        <w:tc>
          <w:tcPr>
            <w:tcW w:type="dxa" w:w="2016"/>
            <w:vAlign w:val="top"/>
          </w:tcPr>
          <w:p>
            <w:pPr>
              <w:spacing w:after="20"/>
            </w:pPr>
            <w:r>
              <w:rPr>
                <w:sz w:val="16"/>
              </w:rPr>
              <w:t>15%</w:t>
            </w:r>
          </w:p>
        </w:tc>
        <w:tc>
          <w:tcPr>
            <w:tcW w:type="dxa" w:w="4320"/>
            <w:vAlign w:val="top"/>
          </w:tcPr>
          <w:p>
            <w:pPr>
              <w:spacing w:after="20"/>
            </w:pPr>
            <w:r>
              <w:rPr>
                <w:sz w:val="16"/>
              </w:rPr>
              <w:t>Why Canada is acting and safeguards used</w:t>
            </w:r>
          </w:p>
        </w:tc>
      </w:tr>
      <w:tr>
        <w:tc>
          <w:tcPr>
            <w:tcW w:type="dxa" w:w="3456"/>
            <w:vAlign w:val="top"/>
          </w:tcPr>
          <w:p>
            <w:pPr>
              <w:spacing w:after="20"/>
            </w:pPr>
            <w:r>
              <w:rPr>
                <w:sz w:val="16"/>
              </w:rPr>
              <w:t>Rebuttal / correction</w:t>
            </w:r>
          </w:p>
        </w:tc>
        <w:tc>
          <w:tcPr>
            <w:tcW w:type="dxa" w:w="2016"/>
            <w:vAlign w:val="top"/>
          </w:tcPr>
          <w:p>
            <w:pPr>
              <w:spacing w:after="20"/>
            </w:pPr>
            <w:r>
              <w:rPr>
                <w:sz w:val="16"/>
              </w:rPr>
              <w:t>10%</w:t>
            </w:r>
          </w:p>
        </w:tc>
        <w:tc>
          <w:tcPr>
            <w:tcW w:type="dxa" w:w="4320"/>
            <w:vAlign w:val="top"/>
          </w:tcPr>
          <w:p>
            <w:pPr>
              <w:spacing w:after="20"/>
            </w:pPr>
            <w:r>
              <w:rPr>
                <w:sz w:val="16"/>
              </w:rPr>
              <w:t>Only when misinformation is materially consequential</w:t>
            </w:r>
          </w:p>
        </w:tc>
      </w:tr>
    </w:tbl>
    <w:p/>
    <w:p>
      <w:pPr>
        <w:pStyle w:val="Heading2"/>
        <w:keepNext/>
        <w:spacing w:before="200" w:after="80"/>
      </w:pPr>
      <w:bookmarkStart w:id="272" w:name="_Toc9100272"/>
      <w:r>
        <w:t>9.5 AI and Synthetic Media Safeguards</w:t>
      </w:r>
      <w:bookmarkEnd w:id="272"/>
    </w:p>
    <w:p>
      <w:r>
        <w:t>Do not use synthetic personas, fabricated testimonials, cloned voices, undisclosed deepfakes, fake grassroots accounts, or automated mass-reply systems. AI may assist translation, drafting, accessibility, monitoring, and summarization subject to government rules, but public-facing synthetic content must be clearly attributable and must not impersonate real Americans.</w:t>
      </w:r>
    </w:p>
    <w:p>
      <w:r>
        <w:br w:type="page"/>
      </w:r>
    </w:p>
    <w:p>
      <w:pPr>
        <w:pStyle w:val="Heading1"/>
        <w:keepNext/>
        <w:spacing w:before="200" w:after="80"/>
      </w:pPr>
      <w:bookmarkStart w:id="273" w:name="_Toc9100273"/>
      <w:r>
        <w:t>Part X — Off-Ramps, Crisis Communications and Reconciliation</w:t>
      </w:r>
      <w:bookmarkEnd w:id="273"/>
    </w:p>
    <w:p>
      <w:pPr>
        <w:pStyle w:val="Heading2"/>
        <w:keepNext/>
        <w:spacing w:before="200" w:after="80"/>
      </w:pPr>
      <w:bookmarkStart w:id="274" w:name="_Toc9100274"/>
      <w:r>
        <w:t>10.1 Every Measure Has a Door</w:t>
      </w:r>
      <w:bookmarkEnd w:id="274"/>
    </w:p>
    <w:p>
      <w:r>
        <w:t>Whenever Canada announces an economic countermeasure, the public-diplomacy package should state, in plain language, what U.S. action would permit suspension, reduction, or removal. Where exact reciprocity is not legally or economically appropriate, the government should describe the governing principle and review mechanism rather than promise a mechanical formula it cannot honour.</w:t>
      </w:r>
    </w:p>
    <w:p>
      <w:pPr>
        <w:pStyle w:val="Heading2"/>
        <w:keepNext/>
        <w:spacing w:before="200" w:after="80"/>
      </w:pPr>
      <w:bookmarkStart w:id="275" w:name="_Toc9100275"/>
      <w:r>
        <w:t>10.2 Off-Ramp Card</w:t>
      </w:r>
      <w:bookmarkEnd w:id="275"/>
    </w:p>
    <w:tbl>
      <w:tblPr>
        <w:tblStyle w:val="TableGrid"/>
        <w:tblW w:type="auto" w:w="0"/>
        <w:jc w:val="center"/>
        <w:tblLook w:firstColumn="1" w:firstRow="1" w:lastColumn="0" w:lastRow="0" w:noHBand="0" w:noVBand="1" w:val="04A0"/>
      </w:tblPr>
      <w:tblGrid>
        <w:gridCol w:w="4997"/>
        <w:gridCol w:w="4997"/>
      </w:tblGrid>
      <w:tr>
        <w:trPr>
          <w:tblHeader w:val="true"/>
        </w:trPr>
        <w:tc>
          <w:tcPr>
            <w:tcW w:type="dxa" w:w="2880"/>
            <w:shd w:fill="DCE6F1"/>
            <w:vAlign w:val="center"/>
          </w:tcPr>
          <w:p>
            <w:r>
              <w:rPr>
                <w:b/>
                <w:sz w:val="16"/>
              </w:rPr>
              <w:t>Field</w:t>
            </w:r>
          </w:p>
        </w:tc>
        <w:tc>
          <w:tcPr>
            <w:tcW w:type="dxa" w:w="7200"/>
            <w:shd w:fill="DCE6F1"/>
            <w:vAlign w:val="center"/>
          </w:tcPr>
          <w:p>
            <w:r>
              <w:rPr>
                <w:b/>
                <w:sz w:val="16"/>
              </w:rPr>
              <w:t>Required content</w:t>
            </w:r>
          </w:p>
        </w:tc>
      </w:tr>
      <w:tr>
        <w:tc>
          <w:tcPr>
            <w:tcW w:type="dxa" w:w="2880"/>
            <w:vAlign w:val="top"/>
          </w:tcPr>
          <w:p>
            <w:pPr>
              <w:spacing w:after="20"/>
            </w:pPr>
            <w:r>
              <w:rPr>
                <w:sz w:val="16"/>
              </w:rPr>
              <w:t>Triggering U.S. action</w:t>
            </w:r>
          </w:p>
        </w:tc>
        <w:tc>
          <w:tcPr>
            <w:tcW w:type="dxa" w:w="7200"/>
            <w:vAlign w:val="top"/>
          </w:tcPr>
          <w:p>
            <w:pPr>
              <w:spacing w:after="20"/>
            </w:pPr>
            <w:r>
              <w:rPr>
                <w:sz w:val="16"/>
              </w:rPr>
              <w:t>Specific tariff, restriction, or policy being answered</w:t>
            </w:r>
          </w:p>
        </w:tc>
      </w:tr>
      <w:tr>
        <w:tc>
          <w:tcPr>
            <w:tcW w:type="dxa" w:w="2880"/>
            <w:vAlign w:val="top"/>
          </w:tcPr>
          <w:p>
            <w:pPr>
              <w:spacing w:after="20"/>
            </w:pPr>
            <w:r>
              <w:rPr>
                <w:sz w:val="16"/>
              </w:rPr>
              <w:t>Canadian response</w:t>
            </w:r>
          </w:p>
        </w:tc>
        <w:tc>
          <w:tcPr>
            <w:tcW w:type="dxa" w:w="7200"/>
            <w:vAlign w:val="top"/>
          </w:tcPr>
          <w:p>
            <w:pPr>
              <w:spacing w:after="20"/>
            </w:pPr>
            <w:r>
              <w:rPr>
                <w:sz w:val="16"/>
              </w:rPr>
              <w:t>Measure, rate, scope, effective date</w:t>
            </w:r>
          </w:p>
        </w:tc>
      </w:tr>
      <w:tr>
        <w:tc>
          <w:tcPr>
            <w:tcW w:type="dxa" w:w="2880"/>
            <w:vAlign w:val="top"/>
          </w:tcPr>
          <w:p>
            <w:pPr>
              <w:spacing w:after="20"/>
            </w:pPr>
            <w:r>
              <w:rPr>
                <w:sz w:val="16"/>
              </w:rPr>
              <w:t>Purpose</w:t>
            </w:r>
          </w:p>
        </w:tc>
        <w:tc>
          <w:tcPr>
            <w:tcW w:type="dxa" w:w="7200"/>
            <w:vAlign w:val="top"/>
          </w:tcPr>
          <w:p>
            <w:pPr>
              <w:spacing w:after="20"/>
            </w:pPr>
            <w:r>
              <w:rPr>
                <w:sz w:val="16"/>
              </w:rPr>
              <w:t>Defensive objective</w:t>
            </w:r>
          </w:p>
        </w:tc>
      </w:tr>
      <w:tr>
        <w:tc>
          <w:tcPr>
            <w:tcW w:type="dxa" w:w="2880"/>
            <w:vAlign w:val="top"/>
          </w:tcPr>
          <w:p>
            <w:pPr>
              <w:spacing w:after="20"/>
            </w:pPr>
            <w:r>
              <w:rPr>
                <w:sz w:val="16"/>
              </w:rPr>
              <w:t>Review date</w:t>
            </w:r>
          </w:p>
        </w:tc>
        <w:tc>
          <w:tcPr>
            <w:tcW w:type="dxa" w:w="7200"/>
            <w:vAlign w:val="top"/>
          </w:tcPr>
          <w:p>
            <w:pPr>
              <w:spacing w:after="20"/>
            </w:pPr>
            <w:r>
              <w:rPr>
                <w:sz w:val="16"/>
              </w:rPr>
              <w:t>Next formal review</w:t>
            </w:r>
          </w:p>
        </w:tc>
      </w:tr>
      <w:tr>
        <w:tc>
          <w:tcPr>
            <w:tcW w:type="dxa" w:w="2880"/>
            <w:vAlign w:val="top"/>
          </w:tcPr>
          <w:p>
            <w:pPr>
              <w:spacing w:after="20"/>
            </w:pPr>
            <w:r>
              <w:rPr>
                <w:sz w:val="16"/>
              </w:rPr>
              <w:t>Suspension condition</w:t>
            </w:r>
          </w:p>
        </w:tc>
        <w:tc>
          <w:tcPr>
            <w:tcW w:type="dxa" w:w="7200"/>
            <w:vAlign w:val="top"/>
          </w:tcPr>
          <w:p>
            <w:pPr>
              <w:spacing w:after="20"/>
            </w:pPr>
            <w:r>
              <w:rPr>
                <w:sz w:val="16"/>
              </w:rPr>
              <w:t>What verified change permits pause</w:t>
            </w:r>
          </w:p>
        </w:tc>
      </w:tr>
      <w:tr>
        <w:tc>
          <w:tcPr>
            <w:tcW w:type="dxa" w:w="2880"/>
            <w:vAlign w:val="top"/>
          </w:tcPr>
          <w:p>
            <w:pPr>
              <w:spacing w:after="20"/>
            </w:pPr>
            <w:r>
              <w:rPr>
                <w:sz w:val="16"/>
              </w:rPr>
              <w:t>Removal condition</w:t>
            </w:r>
          </w:p>
        </w:tc>
        <w:tc>
          <w:tcPr>
            <w:tcW w:type="dxa" w:w="7200"/>
            <w:vAlign w:val="top"/>
          </w:tcPr>
          <w:p>
            <w:pPr>
              <w:spacing w:after="20"/>
            </w:pPr>
            <w:r>
              <w:rPr>
                <w:sz w:val="16"/>
              </w:rPr>
              <w:t>What verified change permits termination</w:t>
            </w:r>
          </w:p>
        </w:tc>
      </w:tr>
      <w:tr>
        <w:tc>
          <w:tcPr>
            <w:tcW w:type="dxa" w:w="2880"/>
            <w:vAlign w:val="top"/>
          </w:tcPr>
          <w:p>
            <w:pPr>
              <w:spacing w:after="20"/>
            </w:pPr>
            <w:r>
              <w:rPr>
                <w:sz w:val="16"/>
              </w:rPr>
              <w:t>Safeguards</w:t>
            </w:r>
          </w:p>
        </w:tc>
        <w:tc>
          <w:tcPr>
            <w:tcW w:type="dxa" w:w="7200"/>
            <w:vAlign w:val="top"/>
          </w:tcPr>
          <w:p>
            <w:pPr>
              <w:spacing w:after="20"/>
            </w:pPr>
            <w:r>
              <w:rPr>
                <w:sz w:val="16"/>
              </w:rPr>
              <w:t>Remission, essential-goods, in-transit or other protections</w:t>
            </w:r>
          </w:p>
        </w:tc>
      </w:tr>
      <w:tr>
        <w:tc>
          <w:tcPr>
            <w:tcW w:type="dxa" w:w="2880"/>
            <w:vAlign w:val="top"/>
          </w:tcPr>
          <w:p>
            <w:pPr>
              <w:spacing w:after="20"/>
            </w:pPr>
            <w:r>
              <w:rPr>
                <w:sz w:val="16"/>
              </w:rPr>
              <w:t>Contact / source</w:t>
            </w:r>
          </w:p>
        </w:tc>
        <w:tc>
          <w:tcPr>
            <w:tcW w:type="dxa" w:w="7200"/>
            <w:vAlign w:val="top"/>
          </w:tcPr>
          <w:p>
            <w:pPr>
              <w:spacing w:after="20"/>
            </w:pPr>
            <w:r>
              <w:rPr>
                <w:sz w:val="16"/>
              </w:rPr>
              <w:t>Authoritative public page</w:t>
            </w:r>
          </w:p>
        </w:tc>
      </w:tr>
    </w:tbl>
    <w:p/>
    <w:p>
      <w:pPr>
        <w:pStyle w:val="Heading2"/>
        <w:keepNext/>
        <w:spacing w:before="200" w:after="80"/>
      </w:pPr>
      <w:bookmarkStart w:id="276" w:name="_Toc9100276"/>
      <w:r>
        <w:t>10.3 Face-Saving</w:t>
      </w:r>
      <w:bookmarkEnd w:id="276"/>
    </w:p>
    <w:p>
      <w:r>
        <w:t>A settlement is easier when neither population is told that the other must be humiliated first. Canadian communications should describe reciprocal de-escalation as practical statecraft, not capitulation. Where possible, both governments should be able to tell their publics that they protected core interests and restored stability.</w:t>
      </w:r>
    </w:p>
    <w:p>
      <w:pPr>
        <w:pStyle w:val="Heading2"/>
        <w:keepNext/>
        <w:spacing w:before="200" w:after="80"/>
      </w:pPr>
      <w:bookmarkStart w:id="277" w:name="_Toc9100277"/>
      <w:r>
        <w:t>10.4 Reconciliation Activation</w:t>
      </w:r>
      <w:bookmarkEnd w:id="277"/>
    </w:p>
    <w:p>
      <w:r>
        <w:t>The reconciliation plan should be drafted before it is needed. Within hours of a credible settlement, Canadian channels should stop recycling conflict-era attack lines. Within days, the government should highlight restored predictability and thank American institutions and individuals that maintained constructive ties. Within weeks, visible bilateral events should demonstrate that normalization is real.</w:t>
      </w:r>
    </w:p>
    <w:p>
      <w:pPr>
        <w:pStyle w:val="Heading2"/>
        <w:keepNext/>
        <w:spacing w:before="200" w:after="80"/>
      </w:pPr>
      <w:bookmarkStart w:id="278" w:name="_Toc9100278"/>
      <w:r>
        <w:t>10.5 Reconciliation Package</w:t>
      </w:r>
      <w:bookmarkEnd w:id="278"/>
    </w:p>
    <w:p>
      <w:pPr>
        <w:pStyle w:val="ListBullet"/>
      </w:pPr>
      <w:r>
        <w:t>A Prime Ministerial statement separating the resolved policy dispute from the enduring relationship.</w:t>
      </w:r>
    </w:p>
    <w:p>
      <w:pPr>
        <w:pStyle w:val="ListBullet"/>
      </w:pPr>
      <w:r>
        <w:t>Parallel or joint ministerial statements explaining the removal schedule for countermeasures.</w:t>
      </w:r>
    </w:p>
    <w:p>
      <w:pPr>
        <w:pStyle w:val="ListBullet"/>
      </w:pPr>
      <w:r>
        <w:t>Border-community events focused on workers, families and local commerce.</w:t>
      </w:r>
    </w:p>
    <w:p>
      <w:pPr>
        <w:pStyle w:val="ListBullet"/>
      </w:pPr>
      <w:r>
        <w:t>Renewed business and tourism promotion where appropriate.</w:t>
      </w:r>
    </w:p>
    <w:p>
      <w:pPr>
        <w:pStyle w:val="ListBullet"/>
      </w:pPr>
      <w:r>
        <w:t>A Canada-U.S. science, education or infrastructure announcement that points forward rather than relitigating the conflict.</w:t>
      </w:r>
    </w:p>
    <w:p>
      <w:pPr>
        <w:pStyle w:val="ListBullet"/>
      </w:pPr>
      <w:r>
        <w:t>A public after-action report on Canadian resilience and relationship preservation, avoiding triumphalist language.</w:t>
      </w:r>
    </w:p>
    <w:p>
      <w:pPr>
        <w:pStyle w:val="ListBullet"/>
      </w:pPr>
      <w:r>
        <w:t>Archival preservation of the dispute timeline and source material so future governments can learn from it without perpetuating grievance.</w:t>
      </w:r>
    </w:p>
    <w:p>
      <w:r>
        <w:br w:type="page"/>
      </w:r>
    </w:p>
    <w:p>
      <w:pPr>
        <w:pStyle w:val="Heading1"/>
        <w:keepNext/>
        <w:spacing w:before="200" w:after="80"/>
      </w:pPr>
      <w:bookmarkStart w:id="279" w:name="_Toc9100279"/>
      <w:r>
        <w:t>Part XI — Measurement, Evaluation and Adaptive Management</w:t>
      </w:r>
      <w:bookmarkEnd w:id="279"/>
    </w:p>
    <w:p>
      <w:pPr>
        <w:pStyle w:val="Heading2"/>
        <w:keepNext/>
        <w:spacing w:before="200" w:after="80"/>
      </w:pPr>
      <w:bookmarkStart w:id="280" w:name="_Toc9100280"/>
      <w:r>
        <w:t>11.1 What Success Is Not</w:t>
      </w:r>
      <w:bookmarkEnd w:id="280"/>
    </w:p>
    <w:p>
      <w:r>
        <w:t>Success is not measured by social-media impressions alone, favourable comments, or whether Americans agree with every Canadian policy. A serious public-diplomacy program measures whether audiences understand Canada's position, whether trusted relationships remain functional, whether false claims are corrected, and whether post-conflict normalization remains possible.</w:t>
      </w:r>
    </w:p>
    <w:p>
      <w:pPr>
        <w:pStyle w:val="Heading2"/>
        <w:keepNext/>
        <w:spacing w:before="200" w:after="80"/>
      </w:pPr>
      <w:bookmarkStart w:id="281" w:name="_Toc9100281"/>
      <w:r>
        <w:t>11.2 Core Dashboard</w:t>
      </w:r>
      <w:bookmarkEnd w:id="281"/>
    </w:p>
    <w:tbl>
      <w:tblPr>
        <w:tblStyle w:val="TableGrid"/>
        <w:tblW w:type="auto" w:w="0"/>
        <w:jc w:val="center"/>
        <w:tblLook w:firstColumn="1" w:firstRow="1" w:lastColumn="0" w:lastRow="0" w:noHBand="0" w:noVBand="1" w:val="04A0"/>
      </w:tblPr>
      <w:tblGrid>
        <w:gridCol w:w="3331"/>
        <w:gridCol w:w="3331"/>
        <w:gridCol w:w="3331"/>
      </w:tblGrid>
      <w:tr>
        <w:trPr>
          <w:tblHeader w:val="true"/>
        </w:trPr>
        <w:tc>
          <w:tcPr>
            <w:tcW w:type="dxa" w:w="2016"/>
            <w:shd w:fill="DCE6F1"/>
            <w:vAlign w:val="center"/>
          </w:tcPr>
          <w:p>
            <w:r>
              <w:rPr>
                <w:b/>
                <w:sz w:val="15"/>
              </w:rPr>
              <w:t>Metric</w:t>
            </w:r>
          </w:p>
        </w:tc>
        <w:tc>
          <w:tcPr>
            <w:tcW w:type="dxa" w:w="6624"/>
            <w:shd w:fill="DCE6F1"/>
            <w:vAlign w:val="center"/>
          </w:tcPr>
          <w:p>
            <w:r>
              <w:rPr>
                <w:b/>
                <w:sz w:val="15"/>
              </w:rPr>
              <w:t>Definition</w:t>
            </w:r>
          </w:p>
        </w:tc>
        <w:tc>
          <w:tcPr>
            <w:tcW w:type="dxa" w:w="1584"/>
            <w:shd w:fill="DCE6F1"/>
            <w:vAlign w:val="center"/>
          </w:tcPr>
          <w:p>
            <w:r>
              <w:rPr>
                <w:b/>
                <w:sz w:val="15"/>
              </w:rPr>
              <w:t>Cadence</w:t>
            </w:r>
          </w:p>
        </w:tc>
      </w:tr>
      <w:tr>
        <w:tc>
          <w:tcPr>
            <w:tcW w:type="dxa" w:w="2016"/>
            <w:vAlign w:val="top"/>
          </w:tcPr>
          <w:p>
            <w:pPr>
              <w:spacing w:after="20"/>
            </w:pPr>
            <w:r>
              <w:rPr>
                <w:sz w:val="15"/>
              </w:rPr>
              <w:t>Understanding</w:t>
            </w:r>
          </w:p>
        </w:tc>
        <w:tc>
          <w:tcPr>
            <w:tcW w:type="dxa" w:w="6624"/>
            <w:vAlign w:val="top"/>
          </w:tcPr>
          <w:p>
            <w:pPr>
              <w:spacing w:after="20"/>
            </w:pPr>
            <w:r>
              <w:rPr>
                <w:sz w:val="15"/>
              </w:rPr>
              <w:t>Share of surveyed U.S. respondents who correctly identify that Canadian countermeasures respond to specified U.S. measures</w:t>
            </w:r>
          </w:p>
        </w:tc>
        <w:tc>
          <w:tcPr>
            <w:tcW w:type="dxa" w:w="1584"/>
            <w:vAlign w:val="top"/>
          </w:tcPr>
          <w:p>
            <w:pPr>
              <w:spacing w:after="20"/>
            </w:pPr>
            <w:r>
              <w:rPr>
                <w:sz w:val="15"/>
              </w:rPr>
              <w:t>Monthly/quarterly</w:t>
            </w:r>
          </w:p>
        </w:tc>
      </w:tr>
      <w:tr>
        <w:tc>
          <w:tcPr>
            <w:tcW w:type="dxa" w:w="2016"/>
            <w:vAlign w:val="top"/>
          </w:tcPr>
          <w:p>
            <w:pPr>
              <w:spacing w:after="20"/>
            </w:pPr>
            <w:r>
              <w:rPr>
                <w:sz w:val="15"/>
              </w:rPr>
              <w:t>People-policy separation</w:t>
            </w:r>
          </w:p>
        </w:tc>
        <w:tc>
          <w:tcPr>
            <w:tcW w:type="dxa" w:w="6624"/>
            <w:vAlign w:val="top"/>
          </w:tcPr>
          <w:p>
            <w:pPr>
              <w:spacing w:after="20"/>
            </w:pPr>
            <w:r>
              <w:rPr>
                <w:sz w:val="15"/>
              </w:rPr>
              <w:t>Share agreeing that Canada's dispute is primarily with U.S. policy rather than Americans generally</w:t>
            </w:r>
          </w:p>
        </w:tc>
        <w:tc>
          <w:tcPr>
            <w:tcW w:type="dxa" w:w="1584"/>
            <w:vAlign w:val="top"/>
          </w:tcPr>
          <w:p>
            <w:pPr>
              <w:spacing w:after="20"/>
            </w:pPr>
            <w:r>
              <w:rPr>
                <w:sz w:val="15"/>
              </w:rPr>
              <w:t>Quarterly</w:t>
            </w:r>
          </w:p>
        </w:tc>
      </w:tr>
      <w:tr>
        <w:tc>
          <w:tcPr>
            <w:tcW w:type="dxa" w:w="2016"/>
            <w:vAlign w:val="top"/>
          </w:tcPr>
          <w:p>
            <w:pPr>
              <w:spacing w:after="20"/>
            </w:pPr>
            <w:r>
              <w:rPr>
                <w:sz w:val="15"/>
              </w:rPr>
              <w:t>Relationship warmth</w:t>
            </w:r>
          </w:p>
        </w:tc>
        <w:tc>
          <w:tcPr>
            <w:tcW w:type="dxa" w:w="6624"/>
            <w:vAlign w:val="top"/>
          </w:tcPr>
          <w:p>
            <w:pPr>
              <w:spacing w:after="20"/>
            </w:pPr>
            <w:r>
              <w:rPr>
                <w:sz w:val="15"/>
              </w:rPr>
              <w:t>Favourability / trust indicators toward Canada and Canadians</w:t>
            </w:r>
          </w:p>
        </w:tc>
        <w:tc>
          <w:tcPr>
            <w:tcW w:type="dxa" w:w="1584"/>
            <w:vAlign w:val="top"/>
          </w:tcPr>
          <w:p>
            <w:pPr>
              <w:spacing w:after="20"/>
            </w:pPr>
            <w:r>
              <w:rPr>
                <w:sz w:val="15"/>
              </w:rPr>
              <w:t>Quarterly</w:t>
            </w:r>
          </w:p>
        </w:tc>
      </w:tr>
      <w:tr>
        <w:tc>
          <w:tcPr>
            <w:tcW w:type="dxa" w:w="2016"/>
            <w:vAlign w:val="top"/>
          </w:tcPr>
          <w:p>
            <w:pPr>
              <w:spacing w:after="20"/>
            </w:pPr>
            <w:r>
              <w:rPr>
                <w:sz w:val="15"/>
              </w:rPr>
              <w:t>Continuity</w:t>
            </w:r>
          </w:p>
        </w:tc>
        <w:tc>
          <w:tcPr>
            <w:tcW w:type="dxa" w:w="6624"/>
            <w:vAlign w:val="top"/>
          </w:tcPr>
          <w:p>
            <w:pPr>
              <w:spacing w:after="20"/>
            </w:pPr>
            <w:r>
              <w:rPr>
                <w:sz w:val="15"/>
              </w:rPr>
              <w:t>Number and quality of active bilateral institutional partnerships</w:t>
            </w:r>
          </w:p>
        </w:tc>
        <w:tc>
          <w:tcPr>
            <w:tcW w:type="dxa" w:w="1584"/>
            <w:vAlign w:val="top"/>
          </w:tcPr>
          <w:p>
            <w:pPr>
              <w:spacing w:after="20"/>
            </w:pPr>
            <w:r>
              <w:rPr>
                <w:sz w:val="15"/>
              </w:rPr>
              <w:t>Monthly</w:t>
            </w:r>
          </w:p>
        </w:tc>
      </w:tr>
      <w:tr>
        <w:tc>
          <w:tcPr>
            <w:tcW w:type="dxa" w:w="2016"/>
            <w:vAlign w:val="top"/>
          </w:tcPr>
          <w:p>
            <w:pPr>
              <w:spacing w:after="20"/>
            </w:pPr>
            <w:r>
              <w:rPr>
                <w:sz w:val="15"/>
              </w:rPr>
              <w:t>Local reach</w:t>
            </w:r>
          </w:p>
        </w:tc>
        <w:tc>
          <w:tcPr>
            <w:tcW w:type="dxa" w:w="6624"/>
            <w:vAlign w:val="top"/>
          </w:tcPr>
          <w:p>
            <w:pPr>
              <w:spacing w:after="20"/>
            </w:pPr>
            <w:r>
              <w:rPr>
                <w:sz w:val="15"/>
              </w:rPr>
              <w:t>Meaningful engagements by consular region, not raw impressions</w:t>
            </w:r>
          </w:p>
        </w:tc>
        <w:tc>
          <w:tcPr>
            <w:tcW w:type="dxa" w:w="1584"/>
            <w:vAlign w:val="top"/>
          </w:tcPr>
          <w:p>
            <w:pPr>
              <w:spacing w:after="20"/>
            </w:pPr>
            <w:r>
              <w:rPr>
                <w:sz w:val="15"/>
              </w:rPr>
              <w:t>Weekly</w:t>
            </w:r>
          </w:p>
        </w:tc>
      </w:tr>
      <w:tr>
        <w:tc>
          <w:tcPr>
            <w:tcW w:type="dxa" w:w="2016"/>
            <w:vAlign w:val="top"/>
          </w:tcPr>
          <w:p>
            <w:pPr>
              <w:spacing w:after="20"/>
            </w:pPr>
            <w:r>
              <w:rPr>
                <w:sz w:val="15"/>
              </w:rPr>
              <w:t>Correction speed</w:t>
            </w:r>
          </w:p>
        </w:tc>
        <w:tc>
          <w:tcPr>
            <w:tcW w:type="dxa" w:w="6624"/>
            <w:vAlign w:val="top"/>
          </w:tcPr>
          <w:p>
            <w:pPr>
              <w:spacing w:after="20"/>
            </w:pPr>
            <w:r>
              <w:rPr>
                <w:sz w:val="15"/>
              </w:rPr>
              <w:t>Median time to respond to high-impact factual errors</w:t>
            </w:r>
          </w:p>
        </w:tc>
        <w:tc>
          <w:tcPr>
            <w:tcW w:type="dxa" w:w="1584"/>
            <w:vAlign w:val="top"/>
          </w:tcPr>
          <w:p>
            <w:pPr>
              <w:spacing w:after="20"/>
            </w:pPr>
            <w:r>
              <w:rPr>
                <w:sz w:val="15"/>
              </w:rPr>
              <w:t>Weekly</w:t>
            </w:r>
          </w:p>
        </w:tc>
      </w:tr>
      <w:tr>
        <w:tc>
          <w:tcPr>
            <w:tcW w:type="dxa" w:w="2016"/>
            <w:vAlign w:val="top"/>
          </w:tcPr>
          <w:p>
            <w:pPr>
              <w:spacing w:after="20"/>
            </w:pPr>
            <w:r>
              <w:rPr>
                <w:sz w:val="15"/>
              </w:rPr>
              <w:t>Correction quality</w:t>
            </w:r>
          </w:p>
        </w:tc>
        <w:tc>
          <w:tcPr>
            <w:tcW w:type="dxa" w:w="6624"/>
            <w:vAlign w:val="top"/>
          </w:tcPr>
          <w:p>
            <w:pPr>
              <w:spacing w:after="20"/>
            </w:pPr>
            <w:r>
              <w:rPr>
                <w:sz w:val="15"/>
              </w:rPr>
              <w:t>Percentage of corrections with primary-source link and no later retraction</w:t>
            </w:r>
          </w:p>
        </w:tc>
        <w:tc>
          <w:tcPr>
            <w:tcW w:type="dxa" w:w="1584"/>
            <w:vAlign w:val="top"/>
          </w:tcPr>
          <w:p>
            <w:pPr>
              <w:spacing w:after="20"/>
            </w:pPr>
            <w:r>
              <w:rPr>
                <w:sz w:val="15"/>
              </w:rPr>
              <w:t>Monthly</w:t>
            </w:r>
          </w:p>
        </w:tc>
      </w:tr>
      <w:tr>
        <w:tc>
          <w:tcPr>
            <w:tcW w:type="dxa" w:w="2016"/>
            <w:vAlign w:val="top"/>
          </w:tcPr>
          <w:p>
            <w:pPr>
              <w:spacing w:after="20"/>
            </w:pPr>
            <w:r>
              <w:rPr>
                <w:sz w:val="15"/>
              </w:rPr>
              <w:t>Off-ramp awareness</w:t>
            </w:r>
          </w:p>
        </w:tc>
        <w:tc>
          <w:tcPr>
            <w:tcW w:type="dxa" w:w="6624"/>
            <w:vAlign w:val="top"/>
          </w:tcPr>
          <w:p>
            <w:pPr>
              <w:spacing w:after="20"/>
            </w:pPr>
            <w:r>
              <w:rPr>
                <w:sz w:val="15"/>
              </w:rPr>
              <w:t>Share of relevant stakeholders who can describe how measures could end</w:t>
            </w:r>
          </w:p>
        </w:tc>
        <w:tc>
          <w:tcPr>
            <w:tcW w:type="dxa" w:w="1584"/>
            <w:vAlign w:val="top"/>
          </w:tcPr>
          <w:p>
            <w:pPr>
              <w:spacing w:after="20"/>
            </w:pPr>
            <w:r>
              <w:rPr>
                <w:sz w:val="15"/>
              </w:rPr>
              <w:t>Quarterly</w:t>
            </w:r>
          </w:p>
        </w:tc>
      </w:tr>
      <w:tr>
        <w:tc>
          <w:tcPr>
            <w:tcW w:type="dxa" w:w="2016"/>
            <w:vAlign w:val="top"/>
          </w:tcPr>
          <w:p>
            <w:pPr>
              <w:spacing w:after="20"/>
            </w:pPr>
            <w:r>
              <w:rPr>
                <w:sz w:val="15"/>
              </w:rPr>
              <w:t>Border friction</w:t>
            </w:r>
          </w:p>
        </w:tc>
        <w:tc>
          <w:tcPr>
            <w:tcW w:type="dxa" w:w="6624"/>
            <w:vAlign w:val="top"/>
          </w:tcPr>
          <w:p>
            <w:pPr>
              <w:spacing w:after="20"/>
            </w:pPr>
            <w:r>
              <w:rPr>
                <w:sz w:val="15"/>
              </w:rPr>
              <w:t>Unintended operational problems attributable to communications/policy confusion</w:t>
            </w:r>
          </w:p>
        </w:tc>
        <w:tc>
          <w:tcPr>
            <w:tcW w:type="dxa" w:w="1584"/>
            <w:vAlign w:val="top"/>
          </w:tcPr>
          <w:p>
            <w:pPr>
              <w:spacing w:after="20"/>
            </w:pPr>
            <w:r>
              <w:rPr>
                <w:sz w:val="15"/>
              </w:rPr>
              <w:t>Weekly</w:t>
            </w:r>
          </w:p>
        </w:tc>
      </w:tr>
      <w:tr>
        <w:tc>
          <w:tcPr>
            <w:tcW w:type="dxa" w:w="2016"/>
            <w:vAlign w:val="top"/>
          </w:tcPr>
          <w:p>
            <w:pPr>
              <w:spacing w:after="20"/>
            </w:pPr>
            <w:r>
              <w:rPr>
                <w:sz w:val="15"/>
              </w:rPr>
              <w:t>Reconciliation readiness</w:t>
            </w:r>
          </w:p>
        </w:tc>
        <w:tc>
          <w:tcPr>
            <w:tcW w:type="dxa" w:w="6624"/>
            <w:vAlign w:val="top"/>
          </w:tcPr>
          <w:p>
            <w:pPr>
              <w:spacing w:after="20"/>
            </w:pPr>
            <w:r>
              <w:rPr>
                <w:sz w:val="15"/>
              </w:rPr>
              <w:t>Percentage of posts and departments with current normalization plan</w:t>
            </w:r>
          </w:p>
        </w:tc>
        <w:tc>
          <w:tcPr>
            <w:tcW w:type="dxa" w:w="1584"/>
            <w:vAlign w:val="top"/>
          </w:tcPr>
          <w:p>
            <w:pPr>
              <w:spacing w:after="20"/>
            </w:pPr>
            <w:r>
              <w:rPr>
                <w:sz w:val="15"/>
              </w:rPr>
              <w:t>Monthly</w:t>
            </w:r>
          </w:p>
        </w:tc>
      </w:tr>
    </w:tbl>
    <w:p/>
    <w:p>
      <w:pPr>
        <w:pStyle w:val="Heading2"/>
        <w:keepNext/>
        <w:spacing w:before="200" w:after="80"/>
      </w:pPr>
      <w:bookmarkStart w:id="282" w:name="_Toc9100282"/>
      <w:r>
        <w:t>11.3 Stop/Change Rules</w:t>
      </w:r>
      <w:bookmarkEnd w:id="282"/>
    </w:p>
    <w:p>
      <w:r>
        <w:t>If a tactic produces high attention but also measurable hostility, misinformation, threats, or accusations of covert interference, pause it. If a message is consistently misunderstood, rewrite it. If a local partner reports that Canadian participation is making an event more partisan, withdraw or redesign. If an economic claim becomes stale, remove it until revalidated.</w:t>
      </w:r>
    </w:p>
    <w:p>
      <w:pPr>
        <w:pStyle w:val="Heading2"/>
        <w:keepNext/>
        <w:spacing w:before="200" w:after="80"/>
      </w:pPr>
      <w:bookmarkStart w:id="283" w:name="_Toc9100283"/>
      <w:r>
        <w:t>11.4 Independent Review</w:t>
      </w:r>
      <w:bookmarkEnd w:id="283"/>
    </w:p>
    <w:p>
      <w:r>
        <w:t>For a program lasting more than six months, commission an external review by a mixed panel of public-diplomacy practitioners, communications researchers, trade experts, privacy/election-law specialists, and civil-society representatives. The review should examine effectiveness, democratic safeguards, factual accuracy, and unintended polarization.</w:t>
      </w:r>
    </w:p>
    <w:p>
      <w:r>
        <w:br w:type="page"/>
      </w:r>
    </w:p>
    <w:p>
      <w:pPr>
        <w:pStyle w:val="Heading1"/>
        <w:keepNext/>
        <w:spacing w:before="200" w:after="80"/>
      </w:pPr>
      <w:bookmarkStart w:id="284" w:name="_Toc9100284"/>
      <w:r>
        <w:t>Part XII — Risk, Legal, Ethical and Democratic Safeguards</w:t>
      </w:r>
      <w:bookmarkEnd w:id="284"/>
    </w:p>
    <w:tbl>
      <w:tblPr>
        <w:tblStyle w:val="TableGrid"/>
        <w:tblW w:type="auto" w:w="0"/>
        <w:jc w:val="center"/>
        <w:tblLook w:firstColumn="1" w:firstRow="1" w:lastColumn="0" w:lastRow="0" w:noHBand="0" w:noVBand="1" w:val="04A0"/>
      </w:tblPr>
      <w:tblGrid>
        <w:gridCol w:w="4997"/>
        <w:gridCol w:w="4997"/>
      </w:tblGrid>
      <w:tr>
        <w:trPr>
          <w:tblHeader w:val="true"/>
        </w:trPr>
        <w:tc>
          <w:tcPr>
            <w:tcW w:type="dxa" w:w="2880"/>
            <w:shd w:fill="DCE6F1"/>
            <w:vAlign w:val="center"/>
          </w:tcPr>
          <w:p>
            <w:r>
              <w:rPr>
                <w:b/>
                <w:sz w:val="15"/>
              </w:rPr>
              <w:t>Risk</w:t>
            </w:r>
          </w:p>
        </w:tc>
        <w:tc>
          <w:tcPr>
            <w:tcW w:type="dxa" w:w="7488"/>
            <w:shd w:fill="DCE6F1"/>
            <w:vAlign w:val="center"/>
          </w:tcPr>
          <w:p>
            <w:r>
              <w:rPr>
                <w:b/>
                <w:sz w:val="15"/>
              </w:rPr>
              <w:t>Mitigation</w:t>
            </w:r>
          </w:p>
        </w:tc>
      </w:tr>
      <w:tr>
        <w:tc>
          <w:tcPr>
            <w:tcW w:type="dxa" w:w="2880"/>
            <w:vAlign w:val="top"/>
          </w:tcPr>
          <w:p>
            <w:pPr>
              <w:spacing w:after="20"/>
            </w:pPr>
            <w:r>
              <w:rPr>
                <w:sz w:val="15"/>
              </w:rPr>
              <w:t>Perceived propaganda</w:t>
            </w:r>
          </w:p>
        </w:tc>
        <w:tc>
          <w:tcPr>
            <w:tcW w:type="dxa" w:w="7488"/>
            <w:vAlign w:val="top"/>
          </w:tcPr>
          <w:p>
            <w:pPr>
              <w:spacing w:after="20"/>
            </w:pPr>
            <w:r>
              <w:rPr>
                <w:sz w:val="15"/>
              </w:rPr>
              <w:t>Use transparent attribution, source links, open Q&amp;A, correction policy, and independent voices with editorial autonomy.</w:t>
            </w:r>
          </w:p>
        </w:tc>
      </w:tr>
      <w:tr>
        <w:tc>
          <w:tcPr>
            <w:tcW w:type="dxa" w:w="2880"/>
            <w:vAlign w:val="top"/>
          </w:tcPr>
          <w:p>
            <w:pPr>
              <w:spacing w:after="20"/>
            </w:pPr>
            <w:r>
              <w:rPr>
                <w:sz w:val="15"/>
              </w:rPr>
              <w:t>Election interference</w:t>
            </w:r>
          </w:p>
        </w:tc>
        <w:tc>
          <w:tcPr>
            <w:tcW w:type="dxa" w:w="7488"/>
            <w:vAlign w:val="top"/>
          </w:tcPr>
          <w:p>
            <w:pPr>
              <w:spacing w:after="20"/>
            </w:pPr>
            <w:r>
              <w:rPr>
                <w:sz w:val="15"/>
              </w:rPr>
              <w:t>No candidate advocacy, partisan fundraising, voter targeting, campaign coordination, or election-timed persuasion designed to change vote choice.</w:t>
            </w:r>
          </w:p>
        </w:tc>
      </w:tr>
      <w:tr>
        <w:tc>
          <w:tcPr>
            <w:tcW w:type="dxa" w:w="2880"/>
            <w:vAlign w:val="top"/>
          </w:tcPr>
          <w:p>
            <w:pPr>
              <w:spacing w:after="20"/>
            </w:pPr>
            <w:r>
              <w:rPr>
                <w:sz w:val="15"/>
              </w:rPr>
              <w:t>Microtargeting controversy</w:t>
            </w:r>
          </w:p>
        </w:tc>
        <w:tc>
          <w:tcPr>
            <w:tcW w:type="dxa" w:w="7488"/>
            <w:vAlign w:val="top"/>
          </w:tcPr>
          <w:p>
            <w:pPr>
              <w:spacing w:after="20"/>
            </w:pPr>
            <w:r>
              <w:rPr>
                <w:sz w:val="15"/>
              </w:rPr>
              <w:t>No use of inferred ideology, sensitive traits, or commercial psychographic profiles for political persuasion.</w:t>
            </w:r>
          </w:p>
        </w:tc>
      </w:tr>
      <w:tr>
        <w:tc>
          <w:tcPr>
            <w:tcW w:type="dxa" w:w="2880"/>
            <w:vAlign w:val="top"/>
          </w:tcPr>
          <w:p>
            <w:pPr>
              <w:spacing w:after="20"/>
            </w:pPr>
            <w:r>
              <w:rPr>
                <w:sz w:val="15"/>
              </w:rPr>
              <w:t>Retaliatory U.S. restrictions</w:t>
            </w:r>
          </w:p>
        </w:tc>
        <w:tc>
          <w:tcPr>
            <w:tcW w:type="dxa" w:w="7488"/>
            <w:vAlign w:val="top"/>
          </w:tcPr>
          <w:p>
            <w:pPr>
              <w:spacing w:after="20"/>
            </w:pPr>
            <w:r>
              <w:rPr>
                <w:sz w:val="15"/>
              </w:rPr>
              <w:t>Keep activities within ordinary diplomatic/public-diplomacy practice; maintain legal review and contingency channels.</w:t>
            </w:r>
          </w:p>
        </w:tc>
      </w:tr>
      <w:tr>
        <w:tc>
          <w:tcPr>
            <w:tcW w:type="dxa" w:w="2880"/>
            <w:vAlign w:val="top"/>
          </w:tcPr>
          <w:p>
            <w:pPr>
              <w:spacing w:after="20"/>
            </w:pPr>
            <w:r>
              <w:rPr>
                <w:sz w:val="15"/>
              </w:rPr>
              <w:t>Canadian backlash</w:t>
            </w:r>
          </w:p>
        </w:tc>
        <w:tc>
          <w:tcPr>
            <w:tcW w:type="dxa" w:w="7488"/>
            <w:vAlign w:val="top"/>
          </w:tcPr>
          <w:p>
            <w:pPr>
              <w:spacing w:after="20"/>
            </w:pPr>
            <w:r>
              <w:rPr>
                <w:sz w:val="15"/>
              </w:rPr>
              <w:t>Explain that warmth toward Americans coexists with firm Canadian self-defence.</w:t>
            </w:r>
          </w:p>
        </w:tc>
      </w:tr>
      <w:tr>
        <w:tc>
          <w:tcPr>
            <w:tcW w:type="dxa" w:w="2880"/>
            <w:vAlign w:val="top"/>
          </w:tcPr>
          <w:p>
            <w:pPr>
              <w:spacing w:after="20"/>
            </w:pPr>
            <w:r>
              <w:rPr>
                <w:sz w:val="15"/>
              </w:rPr>
              <w:t>American disbelief</w:t>
            </w:r>
          </w:p>
        </w:tc>
        <w:tc>
          <w:tcPr>
            <w:tcW w:type="dxa" w:w="7488"/>
            <w:vAlign w:val="top"/>
          </w:tcPr>
          <w:p>
            <w:pPr>
              <w:spacing w:after="20"/>
            </w:pPr>
            <w:r>
              <w:rPr>
                <w:sz w:val="15"/>
              </w:rPr>
              <w:t>Use local facts, independent validators, humility, and acknowledgement of legitimate disagreements.</w:t>
            </w:r>
          </w:p>
        </w:tc>
      </w:tr>
      <w:tr>
        <w:tc>
          <w:tcPr>
            <w:tcW w:type="dxa" w:w="2880"/>
            <w:vAlign w:val="top"/>
          </w:tcPr>
          <w:p>
            <w:pPr>
              <w:spacing w:after="20"/>
            </w:pPr>
            <w:r>
              <w:rPr>
                <w:sz w:val="15"/>
              </w:rPr>
              <w:t>Message contradiction</w:t>
            </w:r>
          </w:p>
        </w:tc>
        <w:tc>
          <w:tcPr>
            <w:tcW w:type="dxa" w:w="7488"/>
            <w:vAlign w:val="top"/>
          </w:tcPr>
          <w:p>
            <w:pPr>
              <w:spacing w:after="20"/>
            </w:pPr>
            <w:r>
              <w:rPr>
                <w:sz w:val="15"/>
              </w:rPr>
              <w:t>Maintain claims register and daily coordination during acute phases.</w:t>
            </w:r>
          </w:p>
        </w:tc>
      </w:tr>
      <w:tr>
        <w:tc>
          <w:tcPr>
            <w:tcW w:type="dxa" w:w="2880"/>
            <w:vAlign w:val="top"/>
          </w:tcPr>
          <w:p>
            <w:pPr>
              <w:spacing w:after="20"/>
            </w:pPr>
            <w:r>
              <w:rPr>
                <w:sz w:val="15"/>
              </w:rPr>
              <w:t>Gloating by unofficial allies</w:t>
            </w:r>
          </w:p>
        </w:tc>
        <w:tc>
          <w:tcPr>
            <w:tcW w:type="dxa" w:w="7488"/>
            <w:vAlign w:val="top"/>
          </w:tcPr>
          <w:p>
            <w:pPr>
              <w:spacing w:after="20"/>
            </w:pPr>
            <w:r>
              <w:rPr>
                <w:sz w:val="15"/>
              </w:rPr>
              <w:t>Do not amplify triumphalist content merely because it supports Canada's position.</w:t>
            </w:r>
          </w:p>
        </w:tc>
      </w:tr>
      <w:tr>
        <w:tc>
          <w:tcPr>
            <w:tcW w:type="dxa" w:w="2880"/>
            <w:vAlign w:val="top"/>
          </w:tcPr>
          <w:p>
            <w:pPr>
              <w:spacing w:after="20"/>
            </w:pPr>
            <w:r>
              <w:rPr>
                <w:sz w:val="15"/>
              </w:rPr>
              <w:t>Misinformation spiral</w:t>
            </w:r>
          </w:p>
        </w:tc>
        <w:tc>
          <w:tcPr>
            <w:tcW w:type="dxa" w:w="7488"/>
            <w:vAlign w:val="top"/>
          </w:tcPr>
          <w:p>
            <w:pPr>
              <w:spacing w:after="20"/>
            </w:pPr>
            <w:r>
              <w:rPr>
                <w:sz w:val="15"/>
              </w:rPr>
              <w:t>Respond only to consequential claims; avoid giving fringe narratives national reach.</w:t>
            </w:r>
          </w:p>
        </w:tc>
      </w:tr>
      <w:tr>
        <w:tc>
          <w:tcPr>
            <w:tcW w:type="dxa" w:w="2880"/>
            <w:vAlign w:val="top"/>
          </w:tcPr>
          <w:p>
            <w:pPr>
              <w:spacing w:after="20"/>
            </w:pPr>
            <w:r>
              <w:rPr>
                <w:sz w:val="15"/>
              </w:rPr>
              <w:t>Security spillover</w:t>
            </w:r>
          </w:p>
        </w:tc>
        <w:tc>
          <w:tcPr>
            <w:tcW w:type="dxa" w:w="7488"/>
            <w:vAlign w:val="top"/>
          </w:tcPr>
          <w:p>
            <w:pPr>
              <w:spacing w:after="20"/>
            </w:pPr>
            <w:r>
              <w:rPr>
                <w:sz w:val="15"/>
              </w:rPr>
              <w:t>Maintain separate command channels for defence, intelligence, law enforcement and emergency issues.</w:t>
            </w:r>
          </w:p>
        </w:tc>
      </w:tr>
      <w:tr>
        <w:tc>
          <w:tcPr>
            <w:tcW w:type="dxa" w:w="2880"/>
            <w:vAlign w:val="top"/>
          </w:tcPr>
          <w:p>
            <w:pPr>
              <w:spacing w:after="20"/>
            </w:pPr>
            <w:r>
              <w:rPr>
                <w:sz w:val="15"/>
              </w:rPr>
              <w:t>Privacy breach</w:t>
            </w:r>
          </w:p>
        </w:tc>
        <w:tc>
          <w:tcPr>
            <w:tcW w:type="dxa" w:w="7488"/>
            <w:vAlign w:val="top"/>
          </w:tcPr>
          <w:p>
            <w:pPr>
              <w:spacing w:after="20"/>
            </w:pPr>
            <w:r>
              <w:rPr>
                <w:sz w:val="15"/>
              </w:rPr>
              <w:t>Minimize personal data; use aggregate public information; comply with Canadian and applicable U.S. law.</w:t>
            </w:r>
          </w:p>
        </w:tc>
      </w:tr>
      <w:tr>
        <w:tc>
          <w:tcPr>
            <w:tcW w:type="dxa" w:w="2880"/>
            <w:vAlign w:val="top"/>
          </w:tcPr>
          <w:p>
            <w:pPr>
              <w:spacing w:after="20"/>
            </w:pPr>
            <w:r>
              <w:rPr>
                <w:sz w:val="15"/>
              </w:rPr>
              <w:t>Partner capture</w:t>
            </w:r>
          </w:p>
        </w:tc>
        <w:tc>
          <w:tcPr>
            <w:tcW w:type="dxa" w:w="7488"/>
            <w:vAlign w:val="top"/>
          </w:tcPr>
          <w:p>
            <w:pPr>
              <w:spacing w:after="20"/>
            </w:pPr>
            <w:r>
              <w:rPr>
                <w:sz w:val="15"/>
              </w:rPr>
              <w:t>Do not condition grants, contracts or access on parroting government political messages.</w:t>
            </w:r>
          </w:p>
        </w:tc>
      </w:tr>
      <w:tr>
        <w:tc>
          <w:tcPr>
            <w:tcW w:type="dxa" w:w="2880"/>
            <w:vAlign w:val="top"/>
          </w:tcPr>
          <w:p>
            <w:pPr>
              <w:spacing w:after="20"/>
            </w:pPr>
            <w:r>
              <w:rPr>
                <w:sz w:val="15"/>
              </w:rPr>
              <w:t>Mission fatigue</w:t>
            </w:r>
          </w:p>
        </w:tc>
        <w:tc>
          <w:tcPr>
            <w:tcW w:type="dxa" w:w="7488"/>
            <w:vAlign w:val="top"/>
          </w:tcPr>
          <w:p>
            <w:pPr>
              <w:spacing w:after="20"/>
            </w:pPr>
            <w:r>
              <w:rPr>
                <w:sz w:val="15"/>
              </w:rPr>
              <w:t>Rotate personnel, simplify reporting, and prioritize quality over event-count quotas.</w:t>
            </w:r>
          </w:p>
        </w:tc>
      </w:tr>
      <w:tr>
        <w:tc>
          <w:tcPr>
            <w:tcW w:type="dxa" w:w="2880"/>
            <w:vAlign w:val="top"/>
          </w:tcPr>
          <w:p>
            <w:pPr>
              <w:spacing w:after="20"/>
            </w:pPr>
            <w:r>
              <w:rPr>
                <w:sz w:val="15"/>
              </w:rPr>
              <w:t>Overpromising off-ramps</w:t>
            </w:r>
          </w:p>
        </w:tc>
        <w:tc>
          <w:tcPr>
            <w:tcW w:type="dxa" w:w="7488"/>
            <w:vAlign w:val="top"/>
          </w:tcPr>
          <w:p>
            <w:pPr>
              <w:spacing w:after="20"/>
            </w:pPr>
            <w:r>
              <w:rPr>
                <w:sz w:val="15"/>
              </w:rPr>
              <w:t>Have policy owners validate every public exit condition before publication.</w:t>
            </w:r>
          </w:p>
        </w:tc>
      </w:tr>
      <w:tr>
        <w:tc>
          <w:tcPr>
            <w:tcW w:type="dxa" w:w="2880"/>
            <w:vAlign w:val="top"/>
          </w:tcPr>
          <w:p>
            <w:pPr>
              <w:spacing w:after="20"/>
            </w:pPr>
            <w:r>
              <w:rPr>
                <w:sz w:val="15"/>
              </w:rPr>
              <w:t>Relationship asymmetry</w:t>
            </w:r>
          </w:p>
        </w:tc>
        <w:tc>
          <w:tcPr>
            <w:tcW w:type="dxa" w:w="7488"/>
            <w:vAlign w:val="top"/>
          </w:tcPr>
          <w:p>
            <w:pPr>
              <w:spacing w:after="20"/>
            </w:pPr>
            <w:r>
              <w:rPr>
                <w:sz w:val="15"/>
              </w:rPr>
              <w:t>Accept that Canada cannot control U.S. rhetoric; measure preservation, not perfect reciprocity.</w:t>
            </w:r>
          </w:p>
        </w:tc>
      </w:tr>
    </w:tbl>
    <w:p/>
    <w:p>
      <w:pPr>
        <w:pStyle w:val="Heading2"/>
        <w:keepNext/>
        <w:spacing w:before="200" w:after="80"/>
      </w:pPr>
      <w:bookmarkStart w:id="285" w:name="_Toc9100285"/>
      <w:r>
        <w:t>12.2 Democratic Firewall</w:t>
      </w:r>
      <w:bookmarkEnd w:id="285"/>
    </w:p>
    <w:p>
      <w:r>
        <w:t>The strategy must remain on the safe side of a bright democratic line. Canada may explain its policies, correct falsehoods, advocate for bilateral cooperation, and engage American institutions. It should not covertly manipulate U.S. political participation or attempt to engineer electoral outcomes. The strongest version of this strategy is one Canada would be comfortable seeing another democratic ally use transparently in Canada.</w:t>
      </w:r>
    </w:p>
    <w:p>
      <w:pPr>
        <w:pStyle w:val="Heading2"/>
        <w:keepNext/>
        <w:spacing w:before="200" w:after="80"/>
      </w:pPr>
      <w:bookmarkStart w:id="286" w:name="_Toc9100286"/>
      <w:r>
        <w:t>12.3 Transparency Standard</w:t>
      </w:r>
      <w:bookmarkEnd w:id="286"/>
    </w:p>
    <w:p>
      <w:r>
        <w:t>Paid placements, sponsored events, commissioned research, and government-funded content should be disclosed as such. Partnerships should identify Canadian government support where material. Contractors must not create fake grassroots activity. Influencers, if ever used for ordinary cultural or tourism promotion, must disclose sponsorship and should not be paid to deliver partisan political messages.</w:t>
      </w:r>
    </w:p>
    <w:p>
      <w:pPr>
        <w:pStyle w:val="Heading2"/>
        <w:keepNext/>
        <w:spacing w:before="200" w:after="80"/>
      </w:pPr>
      <w:bookmarkStart w:id="287" w:name="_Toc9100287"/>
      <w:r>
        <w:t>12.4 Evidence Standard</w:t>
      </w:r>
      <w:bookmarkEnd w:id="287"/>
    </w:p>
    <w:p>
      <w:r>
        <w:t>Distinguish fact, estimate, interpretation, and negotiating position. Do not present a modelled job-loss estimate as an observed fact. Do not use old trade values without dates. Do not claim a U.S. policy has a motive that cannot be evidenced. Where uncertainty is material, say so.</w:t>
      </w:r>
    </w:p>
    <w:p>
      <w:r>
        <w:br w:type="page"/>
      </w:r>
    </w:p>
    <w:p>
      <w:pPr>
        <w:pStyle w:val="Heading1"/>
        <w:keepNext/>
        <w:spacing w:before="200" w:after="80"/>
      </w:pPr>
      <w:bookmarkStart w:id="288" w:name="_Toc9100288"/>
      <w:r>
        <w:t>Annex A — 100-Day Launch Plan</w:t>
      </w:r>
      <w:bookmarkEnd w:id="288"/>
    </w:p>
    <w:tbl>
      <w:tblPr>
        <w:tblStyle w:val="TableGrid"/>
        <w:tblW w:type="auto" w:w="0"/>
        <w:jc w:val="center"/>
        <w:tblLook w:firstColumn="1" w:firstRow="1" w:lastColumn="0" w:lastRow="0" w:noHBand="0" w:noVBand="1" w:val="04A0"/>
      </w:tblPr>
      <w:tblGrid>
        <w:gridCol w:w="2498"/>
        <w:gridCol w:w="2498"/>
        <w:gridCol w:w="2498"/>
        <w:gridCol w:w="2498"/>
      </w:tblGrid>
      <w:tr>
        <w:trPr>
          <w:tblHeader w:val="true"/>
        </w:trPr>
        <w:tc>
          <w:tcPr>
            <w:tcW w:type="dxa" w:w="1440"/>
            <w:shd w:fill="DCE6F1"/>
            <w:vAlign w:val="center"/>
          </w:tcPr>
          <w:p>
            <w:r>
              <w:rPr>
                <w:b/>
                <w:sz w:val="15"/>
              </w:rPr>
              <w:t>Timing</w:t>
            </w:r>
          </w:p>
        </w:tc>
        <w:tc>
          <w:tcPr>
            <w:tcW w:type="dxa" w:w="4752"/>
            <w:shd w:fill="DCE6F1"/>
            <w:vAlign w:val="center"/>
          </w:tcPr>
          <w:p>
            <w:r>
              <w:rPr>
                <w:b/>
                <w:sz w:val="15"/>
              </w:rPr>
              <w:t>Action</w:t>
            </w:r>
          </w:p>
        </w:tc>
        <w:tc>
          <w:tcPr>
            <w:tcW w:type="dxa" w:w="2160"/>
            <w:shd w:fill="DCE6F1"/>
            <w:vAlign w:val="center"/>
          </w:tcPr>
          <w:p>
            <w:r>
              <w:rPr>
                <w:b/>
                <w:sz w:val="15"/>
              </w:rPr>
              <w:t>Lead</w:t>
            </w:r>
          </w:p>
        </w:tc>
        <w:tc>
          <w:tcPr>
            <w:tcW w:type="dxa" w:w="3024"/>
            <w:shd w:fill="DCE6F1"/>
            <w:vAlign w:val="center"/>
          </w:tcPr>
          <w:p>
            <w:r>
              <w:rPr>
                <w:b/>
                <w:sz w:val="15"/>
              </w:rPr>
              <w:t>Deliverable</w:t>
            </w:r>
          </w:p>
        </w:tc>
      </w:tr>
      <w:tr>
        <w:tc>
          <w:tcPr>
            <w:tcW w:type="dxa" w:w="1440"/>
            <w:vAlign w:val="top"/>
          </w:tcPr>
          <w:p>
            <w:pPr>
              <w:spacing w:after="20"/>
            </w:pPr>
            <w:r>
              <w:rPr>
                <w:sz w:val="15"/>
              </w:rPr>
              <w:t>Day 1</w:t>
            </w:r>
          </w:p>
        </w:tc>
        <w:tc>
          <w:tcPr>
            <w:tcW w:type="dxa" w:w="4752"/>
            <w:vAlign w:val="top"/>
          </w:tcPr>
          <w:p>
            <w:pPr>
              <w:spacing w:after="20"/>
            </w:pPr>
            <w:r>
              <w:rPr>
                <w:sz w:val="15"/>
              </w:rPr>
              <w:t>Issue doctrine, governance order, and democratic firewall</w:t>
            </w:r>
          </w:p>
        </w:tc>
        <w:tc>
          <w:tcPr>
            <w:tcW w:type="dxa" w:w="2160"/>
            <w:vAlign w:val="top"/>
          </w:tcPr>
          <w:p>
            <w:pPr>
              <w:spacing w:after="20"/>
            </w:pPr>
            <w:r>
              <w:rPr>
                <w:sz w:val="15"/>
              </w:rPr>
              <w:t>GAC / PMO</w:t>
            </w:r>
          </w:p>
        </w:tc>
        <w:tc>
          <w:tcPr>
            <w:tcW w:type="dxa" w:w="3024"/>
            <w:vAlign w:val="top"/>
          </w:tcPr>
          <w:p>
            <w:pPr>
              <w:spacing w:after="20"/>
            </w:pPr>
            <w:r>
              <w:rPr>
                <w:sz w:val="15"/>
              </w:rPr>
              <w:t>Common operating rules</w:t>
            </w:r>
          </w:p>
        </w:tc>
      </w:tr>
      <w:tr>
        <w:tc>
          <w:tcPr>
            <w:tcW w:type="dxa" w:w="1440"/>
            <w:vAlign w:val="top"/>
          </w:tcPr>
          <w:p>
            <w:pPr>
              <w:spacing w:after="20"/>
            </w:pPr>
            <w:r>
              <w:rPr>
                <w:sz w:val="15"/>
              </w:rPr>
              <w:t>Day 2</w:t>
            </w:r>
          </w:p>
        </w:tc>
        <w:tc>
          <w:tcPr>
            <w:tcW w:type="dxa" w:w="4752"/>
            <w:vAlign w:val="top"/>
          </w:tcPr>
          <w:p>
            <w:pPr>
              <w:spacing w:after="20"/>
            </w:pPr>
            <w:r>
              <w:rPr>
                <w:sz w:val="15"/>
              </w:rPr>
              <w:t>Activate claims register and source-validation desk</w:t>
            </w:r>
          </w:p>
        </w:tc>
        <w:tc>
          <w:tcPr>
            <w:tcW w:type="dxa" w:w="2160"/>
            <w:vAlign w:val="top"/>
          </w:tcPr>
          <w:p>
            <w:pPr>
              <w:spacing w:after="20"/>
            </w:pPr>
            <w:r>
              <w:rPr>
                <w:sz w:val="15"/>
              </w:rPr>
              <w:t>GAC evidence lead</w:t>
            </w:r>
          </w:p>
        </w:tc>
        <w:tc>
          <w:tcPr>
            <w:tcW w:type="dxa" w:w="3024"/>
            <w:vAlign w:val="top"/>
          </w:tcPr>
          <w:p>
            <w:pPr>
              <w:spacing w:after="20"/>
            </w:pPr>
            <w:r>
              <w:rPr>
                <w:sz w:val="15"/>
              </w:rPr>
              <w:t>Single factual baseline</w:t>
            </w:r>
          </w:p>
        </w:tc>
      </w:tr>
      <w:tr>
        <w:tc>
          <w:tcPr>
            <w:tcW w:type="dxa" w:w="1440"/>
            <w:vAlign w:val="top"/>
          </w:tcPr>
          <w:p>
            <w:pPr>
              <w:spacing w:after="20"/>
            </w:pPr>
            <w:r>
              <w:rPr>
                <w:sz w:val="15"/>
              </w:rPr>
              <w:t>Day 3</w:t>
            </w:r>
          </w:p>
        </w:tc>
        <w:tc>
          <w:tcPr>
            <w:tcW w:type="dxa" w:w="4752"/>
            <w:vAlign w:val="top"/>
          </w:tcPr>
          <w:p>
            <w:pPr>
              <w:spacing w:after="20"/>
            </w:pPr>
            <w:r>
              <w:rPr>
                <w:sz w:val="15"/>
              </w:rPr>
              <w:t>Distribute mission-level message and Q&amp;A kit</w:t>
            </w:r>
          </w:p>
        </w:tc>
        <w:tc>
          <w:tcPr>
            <w:tcW w:type="dxa" w:w="2160"/>
            <w:vAlign w:val="top"/>
          </w:tcPr>
          <w:p>
            <w:pPr>
              <w:spacing w:after="20"/>
            </w:pPr>
            <w:r>
              <w:rPr>
                <w:sz w:val="15"/>
              </w:rPr>
              <w:t>U.S. network lead</w:t>
            </w:r>
          </w:p>
        </w:tc>
        <w:tc>
          <w:tcPr>
            <w:tcW w:type="dxa" w:w="3024"/>
            <w:vAlign w:val="top"/>
          </w:tcPr>
          <w:p>
            <w:pPr>
              <w:spacing w:after="20"/>
            </w:pPr>
            <w:r>
              <w:rPr>
                <w:sz w:val="15"/>
              </w:rPr>
              <w:t>Rapid consistency</w:t>
            </w:r>
          </w:p>
        </w:tc>
      </w:tr>
      <w:tr>
        <w:tc>
          <w:tcPr>
            <w:tcW w:type="dxa" w:w="1440"/>
            <w:vAlign w:val="top"/>
          </w:tcPr>
          <w:p>
            <w:pPr>
              <w:spacing w:after="20"/>
            </w:pPr>
            <w:r>
              <w:rPr>
                <w:sz w:val="15"/>
              </w:rPr>
              <w:t>Days 4–7</w:t>
            </w:r>
          </w:p>
        </w:tc>
        <w:tc>
          <w:tcPr>
            <w:tcW w:type="dxa" w:w="4752"/>
            <w:vAlign w:val="top"/>
          </w:tcPr>
          <w:p>
            <w:pPr>
              <w:spacing w:after="20"/>
            </w:pPr>
            <w:r>
              <w:rPr>
                <w:sz w:val="15"/>
              </w:rPr>
              <w:t>Ambassador and consuls launch reassurance appearances</w:t>
            </w:r>
          </w:p>
        </w:tc>
        <w:tc>
          <w:tcPr>
            <w:tcW w:type="dxa" w:w="2160"/>
            <w:vAlign w:val="top"/>
          </w:tcPr>
          <w:p>
            <w:pPr>
              <w:spacing w:after="20"/>
            </w:pPr>
            <w:r>
              <w:rPr>
                <w:sz w:val="15"/>
              </w:rPr>
              <w:t>Embassy / consulates</w:t>
            </w:r>
          </w:p>
        </w:tc>
        <w:tc>
          <w:tcPr>
            <w:tcW w:type="dxa" w:w="3024"/>
            <w:vAlign w:val="top"/>
          </w:tcPr>
          <w:p>
            <w:pPr>
              <w:spacing w:after="20"/>
            </w:pPr>
            <w:r>
              <w:rPr>
                <w:sz w:val="15"/>
              </w:rPr>
              <w:t>Visible people-policy separation</w:t>
            </w:r>
          </w:p>
        </w:tc>
      </w:tr>
      <w:tr>
        <w:tc>
          <w:tcPr>
            <w:tcW w:type="dxa" w:w="1440"/>
            <w:vAlign w:val="top"/>
          </w:tcPr>
          <w:p>
            <w:pPr>
              <w:spacing w:after="20"/>
            </w:pPr>
            <w:r>
              <w:rPr>
                <w:sz w:val="15"/>
              </w:rPr>
              <w:t>Week 2</w:t>
            </w:r>
          </w:p>
        </w:tc>
        <w:tc>
          <w:tcPr>
            <w:tcW w:type="dxa" w:w="4752"/>
            <w:vAlign w:val="top"/>
          </w:tcPr>
          <w:p>
            <w:pPr>
              <w:spacing w:after="20"/>
            </w:pPr>
            <w:r>
              <w:rPr>
                <w:sz w:val="15"/>
              </w:rPr>
              <w:t>Publish public off-ramp explainer and relationship-continuity page</w:t>
            </w:r>
          </w:p>
        </w:tc>
        <w:tc>
          <w:tcPr>
            <w:tcW w:type="dxa" w:w="2160"/>
            <w:vAlign w:val="top"/>
          </w:tcPr>
          <w:p>
            <w:pPr>
              <w:spacing w:after="20"/>
            </w:pPr>
            <w:r>
              <w:rPr>
                <w:sz w:val="15"/>
              </w:rPr>
              <w:t>GAC / Finance</w:t>
            </w:r>
          </w:p>
        </w:tc>
        <w:tc>
          <w:tcPr>
            <w:tcW w:type="dxa" w:w="3024"/>
            <w:vAlign w:val="top"/>
          </w:tcPr>
          <w:p>
            <w:pPr>
              <w:spacing w:after="20"/>
            </w:pPr>
            <w:r>
              <w:rPr>
                <w:sz w:val="15"/>
              </w:rPr>
              <w:t>Clarity on how conflict ends</w:t>
            </w:r>
          </w:p>
        </w:tc>
      </w:tr>
      <w:tr>
        <w:tc>
          <w:tcPr>
            <w:tcW w:type="dxa" w:w="1440"/>
            <w:vAlign w:val="top"/>
          </w:tcPr>
          <w:p>
            <w:pPr>
              <w:spacing w:after="20"/>
            </w:pPr>
            <w:r>
              <w:rPr>
                <w:sz w:val="15"/>
              </w:rPr>
              <w:t>Week 2</w:t>
            </w:r>
          </w:p>
        </w:tc>
        <w:tc>
          <w:tcPr>
            <w:tcW w:type="dxa" w:w="4752"/>
            <w:vAlign w:val="top"/>
          </w:tcPr>
          <w:p>
            <w:pPr>
              <w:spacing w:after="20"/>
            </w:pPr>
            <w:r>
              <w:rPr>
                <w:sz w:val="15"/>
              </w:rPr>
              <w:t>Complete state/region relationship maps</w:t>
            </w:r>
          </w:p>
        </w:tc>
        <w:tc>
          <w:tcPr>
            <w:tcW w:type="dxa" w:w="2160"/>
            <w:vAlign w:val="top"/>
          </w:tcPr>
          <w:p>
            <w:pPr>
              <w:spacing w:after="20"/>
            </w:pPr>
            <w:r>
              <w:rPr>
                <w:sz w:val="15"/>
              </w:rPr>
              <w:t>Consulates</w:t>
            </w:r>
          </w:p>
        </w:tc>
        <w:tc>
          <w:tcPr>
            <w:tcW w:type="dxa" w:w="3024"/>
            <w:vAlign w:val="top"/>
          </w:tcPr>
          <w:p>
            <w:pPr>
              <w:spacing w:after="20"/>
            </w:pPr>
            <w:r>
              <w:rPr>
                <w:sz w:val="15"/>
              </w:rPr>
              <w:t>Localized outreach plan</w:t>
            </w:r>
          </w:p>
        </w:tc>
      </w:tr>
      <w:tr>
        <w:tc>
          <w:tcPr>
            <w:tcW w:type="dxa" w:w="1440"/>
            <w:vAlign w:val="top"/>
          </w:tcPr>
          <w:p>
            <w:pPr>
              <w:spacing w:after="20"/>
            </w:pPr>
            <w:r>
              <w:rPr>
                <w:sz w:val="15"/>
              </w:rPr>
              <w:t>Weeks 2–3</w:t>
            </w:r>
          </w:p>
        </w:tc>
        <w:tc>
          <w:tcPr>
            <w:tcW w:type="dxa" w:w="4752"/>
            <w:vAlign w:val="top"/>
          </w:tcPr>
          <w:p>
            <w:pPr>
              <w:spacing w:after="20"/>
            </w:pPr>
            <w:r>
              <w:rPr>
                <w:sz w:val="15"/>
              </w:rPr>
              <w:t>Begin chamber, university, labour and border roundtables</w:t>
            </w:r>
          </w:p>
        </w:tc>
        <w:tc>
          <w:tcPr>
            <w:tcW w:type="dxa" w:w="2160"/>
            <w:vAlign w:val="top"/>
          </w:tcPr>
          <w:p>
            <w:pPr>
              <w:spacing w:after="20"/>
            </w:pPr>
            <w:r>
              <w:rPr>
                <w:sz w:val="15"/>
              </w:rPr>
              <w:t>Posts / provinces</w:t>
            </w:r>
          </w:p>
        </w:tc>
        <w:tc>
          <w:tcPr>
            <w:tcW w:type="dxa" w:w="3024"/>
            <w:vAlign w:val="top"/>
          </w:tcPr>
          <w:p>
            <w:pPr>
              <w:spacing w:after="20"/>
            </w:pPr>
            <w:r>
              <w:rPr>
                <w:sz w:val="15"/>
              </w:rPr>
              <w:t>Trusted local channels</w:t>
            </w:r>
          </w:p>
        </w:tc>
      </w:tr>
      <w:tr>
        <w:tc>
          <w:tcPr>
            <w:tcW w:type="dxa" w:w="1440"/>
            <w:vAlign w:val="top"/>
          </w:tcPr>
          <w:p>
            <w:pPr>
              <w:spacing w:after="20"/>
            </w:pPr>
            <w:r>
              <w:rPr>
                <w:sz w:val="15"/>
              </w:rPr>
              <w:t>Week 3</w:t>
            </w:r>
          </w:p>
        </w:tc>
        <w:tc>
          <w:tcPr>
            <w:tcW w:type="dxa" w:w="4752"/>
            <w:vAlign w:val="top"/>
          </w:tcPr>
          <w:p>
            <w:pPr>
              <w:spacing w:after="20"/>
            </w:pPr>
            <w:r>
              <w:rPr>
                <w:sz w:val="15"/>
              </w:rPr>
              <w:t>Launch weekly continuity-story cadence</w:t>
            </w:r>
          </w:p>
        </w:tc>
        <w:tc>
          <w:tcPr>
            <w:tcW w:type="dxa" w:w="2160"/>
            <w:vAlign w:val="top"/>
          </w:tcPr>
          <w:p>
            <w:pPr>
              <w:spacing w:after="20"/>
            </w:pPr>
            <w:r>
              <w:rPr>
                <w:sz w:val="15"/>
              </w:rPr>
              <w:t>Digital lead</w:t>
            </w:r>
          </w:p>
        </w:tc>
        <w:tc>
          <w:tcPr>
            <w:tcW w:type="dxa" w:w="3024"/>
            <w:vAlign w:val="top"/>
          </w:tcPr>
          <w:p>
            <w:pPr>
              <w:spacing w:after="20"/>
            </w:pPr>
            <w:r>
              <w:rPr>
                <w:sz w:val="15"/>
              </w:rPr>
              <w:t>Counter-polarization content</w:t>
            </w:r>
          </w:p>
        </w:tc>
      </w:tr>
      <w:tr>
        <w:tc>
          <w:tcPr>
            <w:tcW w:type="dxa" w:w="1440"/>
            <w:vAlign w:val="top"/>
          </w:tcPr>
          <w:p>
            <w:pPr>
              <w:spacing w:after="20"/>
            </w:pPr>
            <w:r>
              <w:rPr>
                <w:sz w:val="15"/>
              </w:rPr>
              <w:t>Week 4</w:t>
            </w:r>
          </w:p>
        </w:tc>
        <w:tc>
          <w:tcPr>
            <w:tcW w:type="dxa" w:w="4752"/>
            <w:vAlign w:val="top"/>
          </w:tcPr>
          <w:p>
            <w:pPr>
              <w:spacing w:after="20"/>
            </w:pPr>
            <w:r>
              <w:rPr>
                <w:sz w:val="15"/>
              </w:rPr>
              <w:t>First metrics dashboard and narrative-risk review</w:t>
            </w:r>
          </w:p>
        </w:tc>
        <w:tc>
          <w:tcPr>
            <w:tcW w:type="dxa" w:w="2160"/>
            <w:vAlign w:val="top"/>
          </w:tcPr>
          <w:p>
            <w:pPr>
              <w:spacing w:after="20"/>
            </w:pPr>
            <w:r>
              <w:rPr>
                <w:sz w:val="15"/>
              </w:rPr>
              <w:t>Evaluation lead</w:t>
            </w:r>
          </w:p>
        </w:tc>
        <w:tc>
          <w:tcPr>
            <w:tcW w:type="dxa" w:w="3024"/>
            <w:vAlign w:val="top"/>
          </w:tcPr>
          <w:p>
            <w:pPr>
              <w:spacing w:after="20"/>
            </w:pPr>
            <w:r>
              <w:rPr>
                <w:sz w:val="15"/>
              </w:rPr>
              <w:t>Adaptive management</w:t>
            </w:r>
          </w:p>
        </w:tc>
      </w:tr>
      <w:tr>
        <w:tc>
          <w:tcPr>
            <w:tcW w:type="dxa" w:w="1440"/>
            <w:vAlign w:val="top"/>
          </w:tcPr>
          <w:p>
            <w:pPr>
              <w:spacing w:after="20"/>
            </w:pPr>
            <w:r>
              <w:rPr>
                <w:sz w:val="15"/>
              </w:rPr>
              <w:t>Days 31–45</w:t>
            </w:r>
          </w:p>
        </w:tc>
        <w:tc>
          <w:tcPr>
            <w:tcW w:type="dxa" w:w="4752"/>
            <w:vAlign w:val="top"/>
          </w:tcPr>
          <w:p>
            <w:pPr>
              <w:spacing w:after="20"/>
            </w:pPr>
            <w:r>
              <w:rPr>
                <w:sz w:val="15"/>
              </w:rPr>
              <w:t>Regional ministerial/provincial outreach wave</w:t>
            </w:r>
          </w:p>
        </w:tc>
        <w:tc>
          <w:tcPr>
            <w:tcW w:type="dxa" w:w="2160"/>
            <w:vAlign w:val="top"/>
          </w:tcPr>
          <w:p>
            <w:pPr>
              <w:spacing w:after="20"/>
            </w:pPr>
            <w:r>
              <w:rPr>
                <w:sz w:val="15"/>
              </w:rPr>
              <w:t>Federal/provincial</w:t>
            </w:r>
          </w:p>
        </w:tc>
        <w:tc>
          <w:tcPr>
            <w:tcW w:type="dxa" w:w="3024"/>
            <w:vAlign w:val="top"/>
          </w:tcPr>
          <w:p>
            <w:pPr>
              <w:spacing w:after="20"/>
            </w:pPr>
            <w:r>
              <w:rPr>
                <w:sz w:val="15"/>
              </w:rPr>
              <w:t>Broader reach</w:t>
            </w:r>
          </w:p>
        </w:tc>
      </w:tr>
      <w:tr>
        <w:tc>
          <w:tcPr>
            <w:tcW w:type="dxa" w:w="1440"/>
            <w:vAlign w:val="top"/>
          </w:tcPr>
          <w:p>
            <w:pPr>
              <w:spacing w:after="20"/>
            </w:pPr>
            <w:r>
              <w:rPr>
                <w:sz w:val="15"/>
              </w:rPr>
              <w:t>Days 46–60</w:t>
            </w:r>
          </w:p>
        </w:tc>
        <w:tc>
          <w:tcPr>
            <w:tcW w:type="dxa" w:w="4752"/>
            <w:vAlign w:val="top"/>
          </w:tcPr>
          <w:p>
            <w:pPr>
              <w:spacing w:after="20"/>
            </w:pPr>
            <w:r>
              <w:rPr>
                <w:sz w:val="15"/>
              </w:rPr>
              <w:t>Joint science/culture/education continuity showcase</w:t>
            </w:r>
          </w:p>
        </w:tc>
        <w:tc>
          <w:tcPr>
            <w:tcW w:type="dxa" w:w="2160"/>
            <w:vAlign w:val="top"/>
          </w:tcPr>
          <w:p>
            <w:pPr>
              <w:spacing w:after="20"/>
            </w:pPr>
            <w:r>
              <w:rPr>
                <w:sz w:val="15"/>
              </w:rPr>
              <w:t>GAC / partners</w:t>
            </w:r>
          </w:p>
        </w:tc>
        <w:tc>
          <w:tcPr>
            <w:tcW w:type="dxa" w:w="3024"/>
            <w:vAlign w:val="top"/>
          </w:tcPr>
          <w:p>
            <w:pPr>
              <w:spacing w:after="20"/>
            </w:pPr>
            <w:r>
              <w:rPr>
                <w:sz w:val="15"/>
              </w:rPr>
              <w:t>Demonstrate relationship still works</w:t>
            </w:r>
          </w:p>
        </w:tc>
      </w:tr>
      <w:tr>
        <w:tc>
          <w:tcPr>
            <w:tcW w:type="dxa" w:w="1440"/>
            <w:vAlign w:val="top"/>
          </w:tcPr>
          <w:p>
            <w:pPr>
              <w:spacing w:after="20"/>
            </w:pPr>
            <w:r>
              <w:rPr>
                <w:sz w:val="15"/>
              </w:rPr>
              <w:t>Day 60</w:t>
            </w:r>
          </w:p>
        </w:tc>
        <w:tc>
          <w:tcPr>
            <w:tcW w:type="dxa" w:w="4752"/>
            <w:vAlign w:val="top"/>
          </w:tcPr>
          <w:p>
            <w:pPr>
              <w:spacing w:after="20"/>
            </w:pPr>
            <w:r>
              <w:rPr>
                <w:sz w:val="15"/>
              </w:rPr>
              <w:t>Independent legal/ethics compliance check</w:t>
            </w:r>
          </w:p>
        </w:tc>
        <w:tc>
          <w:tcPr>
            <w:tcW w:type="dxa" w:w="2160"/>
            <w:vAlign w:val="top"/>
          </w:tcPr>
          <w:p>
            <w:pPr>
              <w:spacing w:after="20"/>
            </w:pPr>
            <w:r>
              <w:rPr>
                <w:sz w:val="15"/>
              </w:rPr>
              <w:t>Counsel</w:t>
            </w:r>
          </w:p>
        </w:tc>
        <w:tc>
          <w:tcPr>
            <w:tcW w:type="dxa" w:w="3024"/>
            <w:vAlign w:val="top"/>
          </w:tcPr>
          <w:p>
            <w:pPr>
              <w:spacing w:after="20"/>
            </w:pPr>
            <w:r>
              <w:rPr>
                <w:sz w:val="15"/>
              </w:rPr>
              <w:t>Safeguard validation</w:t>
            </w:r>
          </w:p>
        </w:tc>
      </w:tr>
      <w:tr>
        <w:tc>
          <w:tcPr>
            <w:tcW w:type="dxa" w:w="1440"/>
            <w:vAlign w:val="top"/>
          </w:tcPr>
          <w:p>
            <w:pPr>
              <w:spacing w:after="20"/>
            </w:pPr>
            <w:r>
              <w:rPr>
                <w:sz w:val="15"/>
              </w:rPr>
              <w:t>Days 61–75</w:t>
            </w:r>
          </w:p>
        </w:tc>
        <w:tc>
          <w:tcPr>
            <w:tcW w:type="dxa" w:w="4752"/>
            <w:vAlign w:val="top"/>
          </w:tcPr>
          <w:p>
            <w:pPr>
              <w:spacing w:after="20"/>
            </w:pPr>
            <w:r>
              <w:rPr>
                <w:sz w:val="15"/>
              </w:rPr>
              <w:t>Refresh fact sheets with current trade-war impacts</w:t>
            </w:r>
          </w:p>
        </w:tc>
        <w:tc>
          <w:tcPr>
            <w:tcW w:type="dxa" w:w="2160"/>
            <w:vAlign w:val="top"/>
          </w:tcPr>
          <w:p>
            <w:pPr>
              <w:spacing w:after="20"/>
            </w:pPr>
            <w:r>
              <w:rPr>
                <w:sz w:val="15"/>
              </w:rPr>
              <w:t>Evidence lead</w:t>
            </w:r>
          </w:p>
        </w:tc>
        <w:tc>
          <w:tcPr>
            <w:tcW w:type="dxa" w:w="3024"/>
            <w:vAlign w:val="top"/>
          </w:tcPr>
          <w:p>
            <w:pPr>
              <w:spacing w:after="20"/>
            </w:pPr>
            <w:r>
              <w:rPr>
                <w:sz w:val="15"/>
              </w:rPr>
              <w:t>Current local evidence</w:t>
            </w:r>
          </w:p>
        </w:tc>
      </w:tr>
      <w:tr>
        <w:tc>
          <w:tcPr>
            <w:tcW w:type="dxa" w:w="1440"/>
            <w:vAlign w:val="top"/>
          </w:tcPr>
          <w:p>
            <w:pPr>
              <w:spacing w:after="20"/>
            </w:pPr>
            <w:r>
              <w:rPr>
                <w:sz w:val="15"/>
              </w:rPr>
              <w:t>Days 76–90</w:t>
            </w:r>
          </w:p>
        </w:tc>
        <w:tc>
          <w:tcPr>
            <w:tcW w:type="dxa" w:w="4752"/>
            <w:vAlign w:val="top"/>
          </w:tcPr>
          <w:p>
            <w:pPr>
              <w:spacing w:after="20"/>
            </w:pPr>
            <w:r>
              <w:rPr>
                <w:sz w:val="15"/>
              </w:rPr>
              <w:t>Reconciliation tabletop exercise</w:t>
            </w:r>
          </w:p>
        </w:tc>
        <w:tc>
          <w:tcPr>
            <w:tcW w:type="dxa" w:w="2160"/>
            <w:vAlign w:val="top"/>
          </w:tcPr>
          <w:p>
            <w:pPr>
              <w:spacing w:after="20"/>
            </w:pPr>
            <w:r>
              <w:rPr>
                <w:sz w:val="15"/>
              </w:rPr>
              <w:t>Coordination cell</w:t>
            </w:r>
          </w:p>
        </w:tc>
        <w:tc>
          <w:tcPr>
            <w:tcW w:type="dxa" w:w="3024"/>
            <w:vAlign w:val="top"/>
          </w:tcPr>
          <w:p>
            <w:pPr>
              <w:spacing w:after="20"/>
            </w:pPr>
            <w:r>
              <w:rPr>
                <w:sz w:val="15"/>
              </w:rPr>
              <w:t>Settlement readiness</w:t>
            </w:r>
          </w:p>
        </w:tc>
      </w:tr>
      <w:tr>
        <w:tc>
          <w:tcPr>
            <w:tcW w:type="dxa" w:w="1440"/>
            <w:vAlign w:val="top"/>
          </w:tcPr>
          <w:p>
            <w:pPr>
              <w:spacing w:after="20"/>
            </w:pPr>
            <w:r>
              <w:rPr>
                <w:sz w:val="15"/>
              </w:rPr>
              <w:t>Day 100</w:t>
            </w:r>
          </w:p>
        </w:tc>
        <w:tc>
          <w:tcPr>
            <w:tcW w:type="dxa" w:w="4752"/>
            <w:vAlign w:val="top"/>
          </w:tcPr>
          <w:p>
            <w:pPr>
              <w:spacing w:after="20"/>
            </w:pPr>
            <w:r>
              <w:rPr>
                <w:sz w:val="15"/>
              </w:rPr>
              <w:t>Public continuity report and internal after-action update</w:t>
            </w:r>
          </w:p>
        </w:tc>
        <w:tc>
          <w:tcPr>
            <w:tcW w:type="dxa" w:w="2160"/>
            <w:vAlign w:val="top"/>
          </w:tcPr>
          <w:p>
            <w:pPr>
              <w:spacing w:after="20"/>
            </w:pPr>
            <w:r>
              <w:rPr>
                <w:sz w:val="15"/>
              </w:rPr>
              <w:t>SRO / evaluation</w:t>
            </w:r>
          </w:p>
        </w:tc>
        <w:tc>
          <w:tcPr>
            <w:tcW w:type="dxa" w:w="3024"/>
            <w:vAlign w:val="top"/>
          </w:tcPr>
          <w:p>
            <w:pPr>
              <w:spacing w:after="20"/>
            </w:pPr>
            <w:r>
              <w:rPr>
                <w:sz w:val="15"/>
              </w:rPr>
              <w:t>Accountability and next-phase decision</w:t>
            </w:r>
          </w:p>
        </w:tc>
      </w:tr>
    </w:tbl>
    <w:p/>
    <w:p>
      <w:r>
        <w:br w:type="page"/>
      </w:r>
    </w:p>
    <w:p>
      <w:pPr>
        <w:pStyle w:val="Heading1"/>
        <w:keepNext/>
        <w:spacing w:before="200" w:after="80"/>
      </w:pPr>
      <w:bookmarkStart w:id="289" w:name="_Toc9100289"/>
      <w:r>
        <w:t>Annex B — State and Regional Engagement Template</w:t>
      </w:r>
      <w:bookmarkEnd w:id="289"/>
    </w:p>
    <w:p>
      <w:r>
        <w:t>Each mission should prepare a short regional playbook using the following fields. The template intentionally excludes party-registration data, voter files, psychographic segmentation, and electoral persuasion objectives.</w:t>
      </w:r>
    </w:p>
    <w:tbl>
      <w:tblPr>
        <w:tblStyle w:val="TableGrid"/>
        <w:tblW w:type="auto" w:w="0"/>
        <w:jc w:val="center"/>
        <w:tblLook w:firstColumn="1" w:firstRow="1" w:lastColumn="0" w:lastRow="0" w:noHBand="0" w:noVBand="1" w:val="04A0"/>
      </w:tblPr>
      <w:tblGrid>
        <w:gridCol w:w="4997"/>
        <w:gridCol w:w="4997"/>
      </w:tblGrid>
      <w:tr>
        <w:trPr>
          <w:tblHeader w:val="true"/>
        </w:trPr>
        <w:tc>
          <w:tcPr>
            <w:tcW w:type="dxa" w:w="2448"/>
            <w:shd w:fill="DCE6F1"/>
            <w:vAlign w:val="center"/>
          </w:tcPr>
          <w:p>
            <w:r>
              <w:rPr>
                <w:b/>
                <w:sz w:val="16"/>
              </w:rPr>
              <w:t>Field</w:t>
            </w:r>
          </w:p>
        </w:tc>
        <w:tc>
          <w:tcPr>
            <w:tcW w:type="dxa" w:w="7920"/>
            <w:shd w:fill="DCE6F1"/>
            <w:vAlign w:val="center"/>
          </w:tcPr>
          <w:p>
            <w:r>
              <w:rPr>
                <w:b/>
                <w:sz w:val="16"/>
              </w:rPr>
              <w:t>Required content</w:t>
            </w:r>
          </w:p>
        </w:tc>
      </w:tr>
      <w:tr>
        <w:tc>
          <w:tcPr>
            <w:tcW w:type="dxa" w:w="2448"/>
            <w:vAlign w:val="top"/>
          </w:tcPr>
          <w:p>
            <w:pPr>
              <w:spacing w:after="20"/>
            </w:pPr>
            <w:r>
              <w:rPr>
                <w:sz w:val="16"/>
              </w:rPr>
              <w:t>Jurisdiction</w:t>
            </w:r>
          </w:p>
        </w:tc>
        <w:tc>
          <w:tcPr>
            <w:tcW w:type="dxa" w:w="7920"/>
            <w:vAlign w:val="top"/>
          </w:tcPr>
          <w:p>
            <w:pPr>
              <w:spacing w:after="20"/>
            </w:pPr>
            <w:r>
              <w:rPr>
                <w:sz w:val="16"/>
              </w:rPr>
              <w:t>State(s), metropolitan areas, border corridors</w:t>
            </w:r>
          </w:p>
        </w:tc>
      </w:tr>
      <w:tr>
        <w:tc>
          <w:tcPr>
            <w:tcW w:type="dxa" w:w="2448"/>
            <w:vAlign w:val="top"/>
          </w:tcPr>
          <w:p>
            <w:pPr>
              <w:spacing w:after="20"/>
            </w:pPr>
            <w:r>
              <w:rPr>
                <w:sz w:val="16"/>
              </w:rPr>
              <w:t>Canadian presence</w:t>
            </w:r>
          </w:p>
        </w:tc>
        <w:tc>
          <w:tcPr>
            <w:tcW w:type="dxa" w:w="7920"/>
            <w:vAlign w:val="top"/>
          </w:tcPr>
          <w:p>
            <w:pPr>
              <w:spacing w:after="20"/>
            </w:pPr>
            <w:r>
              <w:rPr>
                <w:sz w:val="16"/>
              </w:rPr>
              <w:t>Canadian-owned employers, investment, pension/infrastructure presence</w:t>
            </w:r>
          </w:p>
        </w:tc>
      </w:tr>
      <w:tr>
        <w:tc>
          <w:tcPr>
            <w:tcW w:type="dxa" w:w="2448"/>
            <w:vAlign w:val="top"/>
          </w:tcPr>
          <w:p>
            <w:pPr>
              <w:spacing w:after="20"/>
            </w:pPr>
            <w:r>
              <w:rPr>
                <w:sz w:val="16"/>
              </w:rPr>
              <w:t>Trade relationship</w:t>
            </w:r>
          </w:p>
        </w:tc>
        <w:tc>
          <w:tcPr>
            <w:tcW w:type="dxa" w:w="7920"/>
            <w:vAlign w:val="top"/>
          </w:tcPr>
          <w:p>
            <w:pPr>
              <w:spacing w:after="20"/>
            </w:pPr>
            <w:r>
              <w:rPr>
                <w:sz w:val="16"/>
              </w:rPr>
              <w:t>Current goods/services trade and top integrated sectors</w:t>
            </w:r>
          </w:p>
        </w:tc>
      </w:tr>
      <w:tr>
        <w:tc>
          <w:tcPr>
            <w:tcW w:type="dxa" w:w="2448"/>
            <w:vAlign w:val="top"/>
          </w:tcPr>
          <w:p>
            <w:pPr>
              <w:spacing w:after="20"/>
            </w:pPr>
            <w:r>
              <w:rPr>
                <w:sz w:val="16"/>
              </w:rPr>
              <w:t>People ties</w:t>
            </w:r>
          </w:p>
        </w:tc>
        <w:tc>
          <w:tcPr>
            <w:tcW w:type="dxa" w:w="7920"/>
            <w:vAlign w:val="top"/>
          </w:tcPr>
          <w:p>
            <w:pPr>
              <w:spacing w:after="20"/>
            </w:pPr>
            <w:r>
              <w:rPr>
                <w:sz w:val="16"/>
              </w:rPr>
              <w:t>Tourism, students, families, migration, cultural institutions</w:t>
            </w:r>
          </w:p>
        </w:tc>
      </w:tr>
      <w:tr>
        <w:tc>
          <w:tcPr>
            <w:tcW w:type="dxa" w:w="2448"/>
            <w:vAlign w:val="top"/>
          </w:tcPr>
          <w:p>
            <w:pPr>
              <w:spacing w:after="20"/>
            </w:pPr>
            <w:r>
              <w:rPr>
                <w:sz w:val="16"/>
              </w:rPr>
              <w:t>Science/education</w:t>
            </w:r>
          </w:p>
        </w:tc>
        <w:tc>
          <w:tcPr>
            <w:tcW w:type="dxa" w:w="7920"/>
            <w:vAlign w:val="top"/>
          </w:tcPr>
          <w:p>
            <w:pPr>
              <w:spacing w:after="20"/>
            </w:pPr>
            <w:r>
              <w:rPr>
                <w:sz w:val="16"/>
              </w:rPr>
              <w:t>Universities, labs, Fulbright or other exchange links</w:t>
            </w:r>
          </w:p>
        </w:tc>
      </w:tr>
      <w:tr>
        <w:tc>
          <w:tcPr>
            <w:tcW w:type="dxa" w:w="2448"/>
            <w:vAlign w:val="top"/>
          </w:tcPr>
          <w:p>
            <w:pPr>
              <w:spacing w:after="20"/>
            </w:pPr>
            <w:r>
              <w:rPr>
                <w:sz w:val="16"/>
              </w:rPr>
              <w:t>Security/emergency</w:t>
            </w:r>
          </w:p>
        </w:tc>
        <w:tc>
          <w:tcPr>
            <w:tcW w:type="dxa" w:w="7920"/>
            <w:vAlign w:val="top"/>
          </w:tcPr>
          <w:p>
            <w:pPr>
              <w:spacing w:after="20"/>
            </w:pPr>
            <w:r>
              <w:rPr>
                <w:sz w:val="16"/>
              </w:rPr>
              <w:t>Relevant defence, emergency, wildfire, Great Lakes, Arctic or border cooperation</w:t>
            </w:r>
          </w:p>
        </w:tc>
      </w:tr>
      <w:tr>
        <w:tc>
          <w:tcPr>
            <w:tcW w:type="dxa" w:w="2448"/>
            <w:vAlign w:val="top"/>
          </w:tcPr>
          <w:p>
            <w:pPr>
              <w:spacing w:after="20"/>
            </w:pPr>
            <w:r>
              <w:rPr>
                <w:sz w:val="16"/>
              </w:rPr>
              <w:t>Local institutions</w:t>
            </w:r>
          </w:p>
        </w:tc>
        <w:tc>
          <w:tcPr>
            <w:tcW w:type="dxa" w:w="7920"/>
            <w:vAlign w:val="top"/>
          </w:tcPr>
          <w:p>
            <w:pPr>
              <w:spacing w:after="20"/>
            </w:pPr>
            <w:r>
              <w:rPr>
                <w:sz w:val="16"/>
              </w:rPr>
              <w:t>Chambers, unions, farm groups, professional bodies, civic organizations</w:t>
            </w:r>
          </w:p>
        </w:tc>
      </w:tr>
      <w:tr>
        <w:tc>
          <w:tcPr>
            <w:tcW w:type="dxa" w:w="2448"/>
            <w:vAlign w:val="top"/>
          </w:tcPr>
          <w:p>
            <w:pPr>
              <w:spacing w:after="20"/>
            </w:pPr>
            <w:r>
              <w:rPr>
                <w:sz w:val="16"/>
              </w:rPr>
              <w:t>Current friction</w:t>
            </w:r>
          </w:p>
        </w:tc>
        <w:tc>
          <w:tcPr>
            <w:tcW w:type="dxa" w:w="7920"/>
            <w:vAlign w:val="top"/>
          </w:tcPr>
          <w:p>
            <w:pPr>
              <w:spacing w:after="20"/>
            </w:pPr>
            <w:r>
              <w:rPr>
                <w:sz w:val="16"/>
              </w:rPr>
              <w:t>Tariff exposure, border problems, misinformation themes</w:t>
            </w:r>
          </w:p>
        </w:tc>
      </w:tr>
      <w:tr>
        <w:tc>
          <w:tcPr>
            <w:tcW w:type="dxa" w:w="2448"/>
            <w:vAlign w:val="top"/>
          </w:tcPr>
          <w:p>
            <w:pPr>
              <w:spacing w:after="20"/>
            </w:pPr>
            <w:r>
              <w:rPr>
                <w:sz w:val="16"/>
              </w:rPr>
              <w:t>Continuity opportunities</w:t>
            </w:r>
          </w:p>
        </w:tc>
        <w:tc>
          <w:tcPr>
            <w:tcW w:type="dxa" w:w="7920"/>
            <w:vAlign w:val="top"/>
          </w:tcPr>
          <w:p>
            <w:pPr>
              <w:spacing w:after="20"/>
            </w:pPr>
            <w:r>
              <w:rPr>
                <w:sz w:val="16"/>
              </w:rPr>
              <w:t>Events or projects that can proceed despite conflict</w:t>
            </w:r>
          </w:p>
        </w:tc>
      </w:tr>
      <w:tr>
        <w:tc>
          <w:tcPr>
            <w:tcW w:type="dxa" w:w="2448"/>
            <w:vAlign w:val="top"/>
          </w:tcPr>
          <w:p>
            <w:pPr>
              <w:spacing w:after="20"/>
            </w:pPr>
            <w:r>
              <w:rPr>
                <w:sz w:val="16"/>
              </w:rPr>
              <w:t>Off-ramp relevance</w:t>
            </w:r>
          </w:p>
        </w:tc>
        <w:tc>
          <w:tcPr>
            <w:tcW w:type="dxa" w:w="7920"/>
            <w:vAlign w:val="top"/>
          </w:tcPr>
          <w:p>
            <w:pPr>
              <w:spacing w:after="20"/>
            </w:pPr>
            <w:r>
              <w:rPr>
                <w:sz w:val="16"/>
              </w:rPr>
              <w:t>How resolution would concretely benefit the region</w:t>
            </w:r>
          </w:p>
        </w:tc>
      </w:tr>
      <w:tr>
        <w:tc>
          <w:tcPr>
            <w:tcW w:type="dxa" w:w="2448"/>
            <w:vAlign w:val="top"/>
          </w:tcPr>
          <w:p>
            <w:pPr>
              <w:spacing w:after="20"/>
            </w:pPr>
            <w:r>
              <w:rPr>
                <w:sz w:val="16"/>
              </w:rPr>
              <w:t>Red lines</w:t>
            </w:r>
          </w:p>
        </w:tc>
        <w:tc>
          <w:tcPr>
            <w:tcW w:type="dxa" w:w="7920"/>
            <w:vAlign w:val="top"/>
          </w:tcPr>
          <w:p>
            <w:pPr>
              <w:spacing w:after="20"/>
            </w:pPr>
            <w:r>
              <w:rPr>
                <w:sz w:val="16"/>
              </w:rPr>
              <w:t>Election events, partisan fundraising, covert advocacy, unverified claims</w:t>
            </w:r>
          </w:p>
        </w:tc>
      </w:tr>
      <w:tr>
        <w:tc>
          <w:tcPr>
            <w:tcW w:type="dxa" w:w="2448"/>
            <w:vAlign w:val="top"/>
          </w:tcPr>
          <w:p>
            <w:pPr>
              <w:spacing w:after="20"/>
            </w:pPr>
            <w:r>
              <w:rPr>
                <w:sz w:val="16"/>
              </w:rPr>
              <w:t>90-day plan</w:t>
            </w:r>
          </w:p>
        </w:tc>
        <w:tc>
          <w:tcPr>
            <w:tcW w:type="dxa" w:w="7920"/>
            <w:vAlign w:val="top"/>
          </w:tcPr>
          <w:p>
            <w:pPr>
              <w:spacing w:after="20"/>
            </w:pPr>
            <w:r>
              <w:rPr>
                <w:sz w:val="16"/>
              </w:rPr>
              <w:t>Three to five high-value engagements and responsible officer</w:t>
            </w:r>
          </w:p>
        </w:tc>
      </w:tr>
    </w:tbl>
    <w:p/>
    <w:p>
      <w:pPr>
        <w:pStyle w:val="Heading2"/>
        <w:keepNext/>
        <w:spacing w:before="200" w:after="80"/>
      </w:pPr>
      <w:bookmarkStart w:id="290" w:name="_Toc9100290"/>
      <w:r>
        <w:t>B.2 Suggested Regional Themes</w:t>
      </w:r>
      <w:bookmarkEnd w:id="290"/>
    </w:p>
    <w:tbl>
      <w:tblPr>
        <w:tblStyle w:val="TableGrid"/>
        <w:tblW w:type="auto" w:w="0"/>
        <w:jc w:val="center"/>
        <w:tblLook w:firstColumn="1" w:firstRow="1" w:lastColumn="0" w:lastRow="0" w:noHBand="0" w:noVBand="1" w:val="04A0"/>
      </w:tblPr>
      <w:tblGrid>
        <w:gridCol w:w="4997"/>
        <w:gridCol w:w="4997"/>
      </w:tblGrid>
      <w:tr>
        <w:trPr>
          <w:tblHeader w:val="true"/>
        </w:trPr>
        <w:tc>
          <w:tcPr>
            <w:tcW w:type="dxa" w:w="3024"/>
            <w:shd w:fill="DCE6F1"/>
            <w:vAlign w:val="center"/>
          </w:tcPr>
          <w:p>
            <w:r>
              <w:rPr>
                <w:b/>
                <w:sz w:val="16"/>
              </w:rPr>
              <w:t>Region</w:t>
            </w:r>
          </w:p>
        </w:tc>
        <w:tc>
          <w:tcPr>
            <w:tcW w:type="dxa" w:w="7488"/>
            <w:shd w:fill="DCE6F1"/>
            <w:vAlign w:val="center"/>
          </w:tcPr>
          <w:p>
            <w:r>
              <w:rPr>
                <w:b/>
                <w:sz w:val="16"/>
              </w:rPr>
              <w:t>Illustrative relationship themes</w:t>
            </w:r>
          </w:p>
        </w:tc>
      </w:tr>
      <w:tr>
        <w:tc>
          <w:tcPr>
            <w:tcW w:type="dxa" w:w="3024"/>
            <w:vAlign w:val="top"/>
          </w:tcPr>
          <w:p>
            <w:pPr>
              <w:spacing w:after="20"/>
            </w:pPr>
            <w:r>
              <w:rPr>
                <w:sz w:val="16"/>
              </w:rPr>
              <w:t>Great Lakes / Midwest</w:t>
            </w:r>
          </w:p>
        </w:tc>
        <w:tc>
          <w:tcPr>
            <w:tcW w:type="dxa" w:w="7488"/>
            <w:vAlign w:val="top"/>
          </w:tcPr>
          <w:p>
            <w:pPr>
              <w:spacing w:after="20"/>
            </w:pPr>
            <w:r>
              <w:rPr>
                <w:sz w:val="16"/>
              </w:rPr>
              <w:t>Autos, steel, manufacturing, agriculture, Great Lakes stewardship, border communities, universities</w:t>
            </w:r>
          </w:p>
        </w:tc>
      </w:tr>
      <w:tr>
        <w:tc>
          <w:tcPr>
            <w:tcW w:type="dxa" w:w="3024"/>
            <w:vAlign w:val="top"/>
          </w:tcPr>
          <w:p>
            <w:pPr>
              <w:spacing w:after="20"/>
            </w:pPr>
            <w:r>
              <w:rPr>
                <w:sz w:val="16"/>
              </w:rPr>
              <w:t>Northeast / New England</w:t>
            </w:r>
          </w:p>
        </w:tc>
        <w:tc>
          <w:tcPr>
            <w:tcW w:type="dxa" w:w="7488"/>
            <w:vAlign w:val="top"/>
          </w:tcPr>
          <w:p>
            <w:pPr>
              <w:spacing w:after="20"/>
            </w:pPr>
            <w:r>
              <w:rPr>
                <w:sz w:val="16"/>
              </w:rPr>
              <w:t>Energy, electricity, forestry, universities, tourism, fisheries, border communities</w:t>
            </w:r>
          </w:p>
        </w:tc>
      </w:tr>
      <w:tr>
        <w:tc>
          <w:tcPr>
            <w:tcW w:type="dxa" w:w="3024"/>
            <w:vAlign w:val="top"/>
          </w:tcPr>
          <w:p>
            <w:pPr>
              <w:spacing w:after="20"/>
            </w:pPr>
            <w:r>
              <w:rPr>
                <w:sz w:val="16"/>
              </w:rPr>
              <w:t>Southeast</w:t>
            </w:r>
          </w:p>
        </w:tc>
        <w:tc>
          <w:tcPr>
            <w:tcW w:type="dxa" w:w="7488"/>
            <w:vAlign w:val="top"/>
          </w:tcPr>
          <w:p>
            <w:pPr>
              <w:spacing w:after="20"/>
            </w:pPr>
            <w:r>
              <w:rPr>
                <w:sz w:val="16"/>
              </w:rPr>
              <w:t>Aerospace, agriculture, manufacturing investment, tourism, logistics</w:t>
            </w:r>
          </w:p>
        </w:tc>
      </w:tr>
      <w:tr>
        <w:tc>
          <w:tcPr>
            <w:tcW w:type="dxa" w:w="3024"/>
            <w:vAlign w:val="top"/>
          </w:tcPr>
          <w:p>
            <w:pPr>
              <w:spacing w:after="20"/>
            </w:pPr>
            <w:r>
              <w:rPr>
                <w:sz w:val="16"/>
              </w:rPr>
              <w:t>Texas / Gulf</w:t>
            </w:r>
          </w:p>
        </w:tc>
        <w:tc>
          <w:tcPr>
            <w:tcW w:type="dxa" w:w="7488"/>
            <w:vAlign w:val="top"/>
          </w:tcPr>
          <w:p>
            <w:pPr>
              <w:spacing w:after="20"/>
            </w:pPr>
            <w:r>
              <w:rPr>
                <w:sz w:val="16"/>
              </w:rPr>
              <w:t>Energy, petrochemicals, agriculture, investment, technology, disaster response</w:t>
            </w:r>
          </w:p>
        </w:tc>
      </w:tr>
      <w:tr>
        <w:tc>
          <w:tcPr>
            <w:tcW w:type="dxa" w:w="3024"/>
            <w:vAlign w:val="top"/>
          </w:tcPr>
          <w:p>
            <w:pPr>
              <w:spacing w:after="20"/>
            </w:pPr>
            <w:r>
              <w:rPr>
                <w:sz w:val="16"/>
              </w:rPr>
              <w:t>Mountain West / Plains</w:t>
            </w:r>
          </w:p>
        </w:tc>
        <w:tc>
          <w:tcPr>
            <w:tcW w:type="dxa" w:w="7488"/>
            <w:vAlign w:val="top"/>
          </w:tcPr>
          <w:p>
            <w:pPr>
              <w:spacing w:after="20"/>
            </w:pPr>
            <w:r>
              <w:rPr>
                <w:sz w:val="16"/>
              </w:rPr>
              <w:t>Energy, agriculture, critical minerals, wildfire cooperation, tourism</w:t>
            </w:r>
          </w:p>
        </w:tc>
      </w:tr>
      <w:tr>
        <w:tc>
          <w:tcPr>
            <w:tcW w:type="dxa" w:w="3024"/>
            <w:vAlign w:val="top"/>
          </w:tcPr>
          <w:p>
            <w:pPr>
              <w:spacing w:after="20"/>
            </w:pPr>
            <w:r>
              <w:rPr>
                <w:sz w:val="16"/>
              </w:rPr>
              <w:t>Pacific Northwest</w:t>
            </w:r>
          </w:p>
        </w:tc>
        <w:tc>
          <w:tcPr>
            <w:tcW w:type="dxa" w:w="7488"/>
            <w:vAlign w:val="top"/>
          </w:tcPr>
          <w:p>
            <w:pPr>
              <w:spacing w:after="20"/>
            </w:pPr>
            <w:r>
              <w:rPr>
                <w:sz w:val="16"/>
              </w:rPr>
              <w:t>Energy, ports, forestry, aerospace, technology, fisheries, wildfire response</w:t>
            </w:r>
          </w:p>
        </w:tc>
      </w:tr>
      <w:tr>
        <w:tc>
          <w:tcPr>
            <w:tcW w:type="dxa" w:w="3024"/>
            <w:vAlign w:val="top"/>
          </w:tcPr>
          <w:p>
            <w:pPr>
              <w:spacing w:after="20"/>
            </w:pPr>
            <w:r>
              <w:rPr>
                <w:sz w:val="16"/>
              </w:rPr>
              <w:t>California / Southwest</w:t>
            </w:r>
          </w:p>
        </w:tc>
        <w:tc>
          <w:tcPr>
            <w:tcW w:type="dxa" w:w="7488"/>
            <w:vAlign w:val="top"/>
          </w:tcPr>
          <w:p>
            <w:pPr>
              <w:spacing w:after="20"/>
            </w:pPr>
            <w:r>
              <w:rPr>
                <w:sz w:val="16"/>
              </w:rPr>
              <w:t>Technology, film/culture, clean energy, agriculture, tourism, research</w:t>
            </w:r>
          </w:p>
        </w:tc>
      </w:tr>
      <w:tr>
        <w:tc>
          <w:tcPr>
            <w:tcW w:type="dxa" w:w="3024"/>
            <w:vAlign w:val="top"/>
          </w:tcPr>
          <w:p>
            <w:pPr>
              <w:spacing w:after="20"/>
            </w:pPr>
            <w:r>
              <w:rPr>
                <w:sz w:val="16"/>
              </w:rPr>
              <w:t>Florida / Caribbean jurisdictions</w:t>
            </w:r>
          </w:p>
        </w:tc>
        <w:tc>
          <w:tcPr>
            <w:tcW w:type="dxa" w:w="7488"/>
            <w:vAlign w:val="top"/>
          </w:tcPr>
          <w:p>
            <w:pPr>
              <w:spacing w:after="20"/>
            </w:pPr>
            <w:r>
              <w:rPr>
                <w:sz w:val="16"/>
              </w:rPr>
              <w:t>Tourism, snowbird/family ties, aerospace, finance, disaster response</w:t>
            </w:r>
          </w:p>
        </w:tc>
      </w:tr>
    </w:tbl>
    <w:p/>
    <w:p>
      <w:r>
        <w:br w:type="page"/>
      </w:r>
    </w:p>
    <w:p>
      <w:pPr>
        <w:pStyle w:val="Heading1"/>
        <w:keepNext/>
        <w:spacing w:before="200" w:after="80"/>
      </w:pPr>
      <w:bookmarkStart w:id="291" w:name="_Toc9100291"/>
      <w:r>
        <w:t>Annex C — Message Library</w:t>
      </w:r>
      <w:bookmarkEnd w:id="291"/>
    </w:p>
    <w:tbl>
      <w:tblPr>
        <w:tblStyle w:val="TableGrid"/>
        <w:tblW w:type="auto" w:w="0"/>
        <w:jc w:val="center"/>
        <w:tblLook w:firstColumn="1" w:firstRow="1" w:lastColumn="0" w:lastRow="0" w:noHBand="0" w:noVBand="1" w:val="04A0"/>
      </w:tblPr>
      <w:tblGrid>
        <w:gridCol w:w="4997"/>
        <w:gridCol w:w="4997"/>
      </w:tblGrid>
      <w:tr>
        <w:trPr>
          <w:tblHeader w:val="true"/>
        </w:trPr>
        <w:tc>
          <w:tcPr>
            <w:tcW w:type="dxa" w:w="2304"/>
            <w:shd w:fill="DCE6F1"/>
            <w:vAlign w:val="center"/>
          </w:tcPr>
          <w:p>
            <w:r>
              <w:rPr>
                <w:b/>
                <w:sz w:val="16"/>
              </w:rPr>
              <w:t>Context</w:t>
            </w:r>
          </w:p>
        </w:tc>
        <w:tc>
          <w:tcPr>
            <w:tcW w:type="dxa" w:w="8208"/>
            <w:shd w:fill="DCE6F1"/>
            <w:vAlign w:val="center"/>
          </w:tcPr>
          <w:p>
            <w:r>
              <w:rPr>
                <w:b/>
                <w:sz w:val="16"/>
              </w:rPr>
              <w:t>Approved message concept</w:t>
            </w:r>
          </w:p>
        </w:tc>
      </w:tr>
      <w:tr>
        <w:tc>
          <w:tcPr>
            <w:tcW w:type="dxa" w:w="2304"/>
            <w:vAlign w:val="top"/>
          </w:tcPr>
          <w:p>
            <w:pPr>
              <w:spacing w:after="20"/>
            </w:pPr>
            <w:r>
              <w:rPr>
                <w:sz w:val="16"/>
              </w:rPr>
              <w:t>Core</w:t>
            </w:r>
          </w:p>
        </w:tc>
        <w:tc>
          <w:tcPr>
            <w:tcW w:type="dxa" w:w="8208"/>
            <w:vAlign w:val="top"/>
          </w:tcPr>
          <w:p>
            <w:pPr>
              <w:spacing w:after="20"/>
            </w:pPr>
            <w:r>
              <w:rPr>
                <w:sz w:val="16"/>
              </w:rPr>
              <w:t>Canada will defend Canadian workers and sovereignty. We will also keep faith with the millions of Americans who remain our neighbours, friends, colleagues, customers and family.</w:t>
            </w:r>
          </w:p>
        </w:tc>
      </w:tr>
      <w:tr>
        <w:tc>
          <w:tcPr>
            <w:tcW w:type="dxa" w:w="2304"/>
            <w:vAlign w:val="top"/>
          </w:tcPr>
          <w:p>
            <w:pPr>
              <w:spacing w:after="20"/>
            </w:pPr>
            <w:r>
              <w:rPr>
                <w:sz w:val="16"/>
              </w:rPr>
              <w:t>Policy/people</w:t>
            </w:r>
          </w:p>
        </w:tc>
        <w:tc>
          <w:tcPr>
            <w:tcW w:type="dxa" w:w="8208"/>
            <w:vAlign w:val="top"/>
          </w:tcPr>
          <w:p>
            <w:pPr>
              <w:spacing w:after="20"/>
            </w:pPr>
            <w:r>
              <w:rPr>
                <w:sz w:val="16"/>
              </w:rPr>
              <w:t>Our dispute is with specific trade policies, not with the American people.</w:t>
            </w:r>
          </w:p>
        </w:tc>
      </w:tr>
      <w:tr>
        <w:tc>
          <w:tcPr>
            <w:tcW w:type="dxa" w:w="2304"/>
            <w:vAlign w:val="top"/>
          </w:tcPr>
          <w:p>
            <w:pPr>
              <w:spacing w:after="20"/>
            </w:pPr>
            <w:r>
              <w:rPr>
                <w:sz w:val="16"/>
              </w:rPr>
              <w:t>Off-ramp</w:t>
            </w:r>
          </w:p>
        </w:tc>
        <w:tc>
          <w:tcPr>
            <w:tcW w:type="dxa" w:w="8208"/>
            <w:vAlign w:val="top"/>
          </w:tcPr>
          <w:p>
            <w:pPr>
              <w:spacing w:after="20"/>
            </w:pPr>
            <w:r>
              <w:rPr>
                <w:sz w:val="16"/>
              </w:rPr>
              <w:t>Canada's measures are designed to be reversible. When the measures that triggered them are removed or satisfactorily resolved, Canada should be ready to de-escalate.</w:t>
            </w:r>
          </w:p>
        </w:tc>
      </w:tr>
      <w:tr>
        <w:tc>
          <w:tcPr>
            <w:tcW w:type="dxa" w:w="2304"/>
            <w:vAlign w:val="top"/>
          </w:tcPr>
          <w:p>
            <w:pPr>
              <w:spacing w:after="20"/>
            </w:pPr>
            <w:r>
              <w:rPr>
                <w:sz w:val="16"/>
              </w:rPr>
              <w:t>American hardship</w:t>
            </w:r>
          </w:p>
        </w:tc>
        <w:tc>
          <w:tcPr>
            <w:tcW w:type="dxa" w:w="8208"/>
            <w:vAlign w:val="top"/>
          </w:tcPr>
          <w:p>
            <w:pPr>
              <w:spacing w:after="20"/>
            </w:pPr>
            <w:r>
              <w:rPr>
                <w:sz w:val="16"/>
              </w:rPr>
              <w:t>We take no satisfaction in higher costs or lost opportunities for American families. A trade war creates damage on both sides; our goal is a fair resolution.</w:t>
            </w:r>
          </w:p>
        </w:tc>
      </w:tr>
      <w:tr>
        <w:tc>
          <w:tcPr>
            <w:tcW w:type="dxa" w:w="2304"/>
            <w:vAlign w:val="top"/>
          </w:tcPr>
          <w:p>
            <w:pPr>
              <w:spacing w:after="20"/>
            </w:pPr>
            <w:r>
              <w:rPr>
                <w:sz w:val="16"/>
              </w:rPr>
              <w:t>Canadian hardship</w:t>
            </w:r>
          </w:p>
        </w:tc>
        <w:tc>
          <w:tcPr>
            <w:tcW w:type="dxa" w:w="8208"/>
            <w:vAlign w:val="top"/>
          </w:tcPr>
          <w:p>
            <w:pPr>
              <w:spacing w:after="20"/>
            </w:pPr>
            <w:r>
              <w:rPr>
                <w:sz w:val="16"/>
              </w:rPr>
              <w:t>Canada will support workers and businesses affected by U.S. tariffs while continuing to pursue a stable and fair trading relationship.</w:t>
            </w:r>
          </w:p>
        </w:tc>
      </w:tr>
      <w:tr>
        <w:tc>
          <w:tcPr>
            <w:tcW w:type="dxa" w:w="2304"/>
            <w:vAlign w:val="top"/>
          </w:tcPr>
          <w:p>
            <w:pPr>
              <w:spacing w:after="20"/>
            </w:pPr>
            <w:r>
              <w:rPr>
                <w:sz w:val="16"/>
              </w:rPr>
              <w:t>Sovereignty rhetoric</w:t>
            </w:r>
          </w:p>
        </w:tc>
        <w:tc>
          <w:tcPr>
            <w:tcW w:type="dxa" w:w="8208"/>
            <w:vAlign w:val="top"/>
          </w:tcPr>
          <w:p>
            <w:pPr>
              <w:spacing w:after="20"/>
            </w:pPr>
            <w:r>
              <w:rPr>
                <w:sz w:val="16"/>
              </w:rPr>
              <w:t>Canada is a sovereign country and will remain one. We can state that firmly without treating Americans as enemies.</w:t>
            </w:r>
          </w:p>
        </w:tc>
      </w:tr>
      <w:tr>
        <w:tc>
          <w:tcPr>
            <w:tcW w:type="dxa" w:w="2304"/>
            <w:vAlign w:val="top"/>
          </w:tcPr>
          <w:p>
            <w:pPr>
              <w:spacing w:after="20"/>
            </w:pPr>
            <w:r>
              <w:rPr>
                <w:sz w:val="16"/>
              </w:rPr>
              <w:t>Tourism</w:t>
            </w:r>
          </w:p>
        </w:tc>
        <w:tc>
          <w:tcPr>
            <w:tcW w:type="dxa" w:w="8208"/>
            <w:vAlign w:val="top"/>
          </w:tcPr>
          <w:p>
            <w:pPr>
              <w:spacing w:after="20"/>
            </w:pPr>
            <w:r>
              <w:rPr>
                <w:sz w:val="16"/>
              </w:rPr>
              <w:t>Americans remain welcome in Canada. Government disagreements do not erase neighbourliness.</w:t>
            </w:r>
          </w:p>
        </w:tc>
      </w:tr>
      <w:tr>
        <w:tc>
          <w:tcPr>
            <w:tcW w:type="dxa" w:w="2304"/>
            <w:vAlign w:val="top"/>
          </w:tcPr>
          <w:p>
            <w:pPr>
              <w:spacing w:after="20"/>
            </w:pPr>
            <w:r>
              <w:rPr>
                <w:sz w:val="16"/>
              </w:rPr>
              <w:t>Science</w:t>
            </w:r>
          </w:p>
        </w:tc>
        <w:tc>
          <w:tcPr>
            <w:tcW w:type="dxa" w:w="8208"/>
            <w:vAlign w:val="top"/>
          </w:tcPr>
          <w:p>
            <w:pPr>
              <w:spacing w:after="20"/>
            </w:pPr>
            <w:r>
              <w:rPr>
                <w:sz w:val="16"/>
              </w:rPr>
              <w:t>Research partnerships should not become collateral damage in a tariff dispute.</w:t>
            </w:r>
          </w:p>
        </w:tc>
      </w:tr>
      <w:tr>
        <w:tc>
          <w:tcPr>
            <w:tcW w:type="dxa" w:w="2304"/>
            <w:vAlign w:val="top"/>
          </w:tcPr>
          <w:p>
            <w:pPr>
              <w:spacing w:after="20"/>
            </w:pPr>
            <w:r>
              <w:rPr>
                <w:sz w:val="16"/>
              </w:rPr>
              <w:t>Border</w:t>
            </w:r>
          </w:p>
        </w:tc>
        <w:tc>
          <w:tcPr>
            <w:tcW w:type="dxa" w:w="8208"/>
            <w:vAlign w:val="top"/>
          </w:tcPr>
          <w:p>
            <w:pPr>
              <w:spacing w:after="20"/>
            </w:pPr>
            <w:r>
              <w:rPr>
                <w:sz w:val="16"/>
              </w:rPr>
              <w:t>The border is a line between two sovereign countries and also a meeting place for families, workers, communities and shared systems.</w:t>
            </w:r>
          </w:p>
        </w:tc>
      </w:tr>
      <w:tr>
        <w:tc>
          <w:tcPr>
            <w:tcW w:type="dxa" w:w="2304"/>
            <w:vAlign w:val="top"/>
          </w:tcPr>
          <w:p>
            <w:pPr>
              <w:spacing w:after="20"/>
            </w:pPr>
            <w:r>
              <w:rPr>
                <w:sz w:val="16"/>
              </w:rPr>
              <w:t>Security</w:t>
            </w:r>
          </w:p>
        </w:tc>
        <w:tc>
          <w:tcPr>
            <w:tcW w:type="dxa" w:w="8208"/>
            <w:vAlign w:val="top"/>
          </w:tcPr>
          <w:p>
            <w:pPr>
              <w:spacing w:after="20"/>
            </w:pPr>
            <w:r>
              <w:rPr>
                <w:sz w:val="16"/>
              </w:rPr>
              <w:t>Trade disputes do not automatically negate the deep institutions that help defend and protect North America.</w:t>
            </w:r>
          </w:p>
        </w:tc>
      </w:tr>
      <w:tr>
        <w:tc>
          <w:tcPr>
            <w:tcW w:type="dxa" w:w="2304"/>
            <w:vAlign w:val="top"/>
          </w:tcPr>
          <w:p>
            <w:pPr>
              <w:spacing w:after="20"/>
            </w:pPr>
            <w:r>
              <w:rPr>
                <w:sz w:val="16"/>
              </w:rPr>
              <w:t>Settlement</w:t>
            </w:r>
          </w:p>
        </w:tc>
        <w:tc>
          <w:tcPr>
            <w:tcW w:type="dxa" w:w="8208"/>
            <w:vAlign w:val="top"/>
          </w:tcPr>
          <w:p>
            <w:pPr>
              <w:spacing w:after="20"/>
            </w:pPr>
            <w:r>
              <w:rPr>
                <w:sz w:val="16"/>
              </w:rPr>
              <w:t>A fair settlement is not a victory of one people over another. It is governments doing their job and restoring predictability.</w:t>
            </w:r>
          </w:p>
        </w:tc>
      </w:tr>
      <w:tr>
        <w:tc>
          <w:tcPr>
            <w:tcW w:type="dxa" w:w="2304"/>
            <w:vAlign w:val="top"/>
          </w:tcPr>
          <w:p>
            <w:pPr>
              <w:spacing w:after="20"/>
            </w:pPr>
            <w:r>
              <w:rPr>
                <w:sz w:val="16"/>
              </w:rPr>
              <w:t>After settlement</w:t>
            </w:r>
          </w:p>
        </w:tc>
        <w:tc>
          <w:tcPr>
            <w:tcW w:type="dxa" w:w="8208"/>
            <w:vAlign w:val="top"/>
          </w:tcPr>
          <w:p>
            <w:pPr>
              <w:spacing w:after="20"/>
            </w:pPr>
            <w:r>
              <w:rPr>
                <w:sz w:val="16"/>
              </w:rPr>
              <w:t>The dispute ended. The relationship endured. Now the work is to rebuild confidence and make the next disagreement easier to manage.</w:t>
            </w:r>
          </w:p>
        </w:tc>
      </w:tr>
    </w:tbl>
    <w:p/>
    <w:p>
      <w:pPr>
        <w:pStyle w:val="Heading2"/>
        <w:keepNext/>
        <w:spacing w:before="200" w:after="80"/>
      </w:pPr>
      <w:bookmarkStart w:id="292" w:name="_Toc9100292"/>
      <w:r>
        <w:t>C.2 Sample Ambassador Opening</w:t>
      </w:r>
      <w:bookmarkEnd w:id="292"/>
    </w:p>
    <w:p>
      <w:r>
        <w:t>Thank you for having me. Canada and the United States are in a serious trade dispute, and I will not pretend otherwise. Canada is defending its workers, industries, and sovereignty, and we will continue to do so. But I want to make another point just as clearly: Canadians do not regard the American people as our enemy. We share families, businesses, universities, rivers, lakes, sports, security institutions, and generations of friendship. We can disagree firmly with decisions made in Washington without turning that disagreement into hostility between neighbours. My purpose today is to explain Canada's position, hear your concerns, and make clear that there remains a path back to stable and fair trade.</w:t>
      </w:r>
    </w:p>
    <w:p>
      <w:pPr>
        <w:pStyle w:val="Heading2"/>
        <w:keepNext/>
        <w:spacing w:before="200" w:after="80"/>
      </w:pPr>
      <w:bookmarkStart w:id="293" w:name="_Toc9100293"/>
      <w:r>
        <w:t>C.3 Sample Countermeasure Preamble</w:t>
      </w:r>
      <w:bookmarkEnd w:id="293"/>
    </w:p>
    <w:p>
      <w:r>
        <w:t>Today's measure responds to a specific U.S. trade action and is intended to defend Canadian workers and businesses. It is not a judgment on American citizens or communities. Canada regrets the costs that trade conflict can impose on families on both sides of the border. We will apply this measure proportionately, maintain appropriate safeguards, and remain ready to reduce or remove it when the action that triggered it is resolved.</w:t>
      </w:r>
    </w:p>
    <w:p>
      <w:pPr>
        <w:pStyle w:val="Heading2"/>
        <w:keepNext/>
        <w:spacing w:before="200" w:after="80"/>
      </w:pPr>
      <w:bookmarkStart w:id="294" w:name="_Toc9100294"/>
      <w:r>
        <w:t>C.4 Sample Misinformation Correction</w:t>
      </w:r>
      <w:bookmarkEnd w:id="294"/>
    </w:p>
    <w:p>
      <w:pPr>
        <w:pStyle w:val="Heading2"/>
      </w:pPr>
      <w:bookmarkStart w:id="295" w:name="_Toc9100295"/>
      <w:r>
        <w:t>C.5 Sovereignty / “51st State” Response</w:t>
      </w:r>
      <w:bookmarkEnd w:id="295"/>
    </w:p>
    <w:p>
      <w:r>
        <w:t>Canada is a sovereign country and will remain a sovereign country. Canadians determine Canada's future. Our sovereignty is not a bargaining instrument in a trade negotiation. The United States is our neighbour and ally, not our owner, and disagreement between sovereign friends does not diminish either country's independence.</w:t>
      </w:r>
    </w:p>
    <w:p>
      <w:pPr>
        <w:pStyle w:val="SmallNote"/>
      </w:pPr>
      <w:r>
        <w:t>Use doctrine: state the sovereignty point once, calmly and without theatrical outrage; correct any material factual claim; then return to the substantive trade issue. Do not allow annexation rhetoric to consume Canada's communications agenda.</w:t>
      </w:r>
    </w:p>
    <w:p>
      <w:r>
        <w:t>A claim circulating today misstates Canada's measure. The Canadian action applies to the products and rates listed in the official notice; it does not apply to American visitors or ordinary cross-border travel. The authoritative schedule and effective dates are available from the Government of Canada. We encourage reporters and the public to use the primary source.</w:t>
      </w:r>
    </w:p>
    <w:p>
      <w:r>
        <w:br w:type="page"/>
      </w:r>
    </w:p>
    <w:p>
      <w:pPr>
        <w:pStyle w:val="Heading1"/>
        <w:keepNext/>
        <w:spacing w:before="200" w:after="80"/>
      </w:pPr>
      <w:bookmarkStart w:id="296" w:name="_Toc9100296"/>
      <w:r>
        <w:t>Annex D — Event and Partnership Playbooks</w:t>
      </w:r>
      <w:bookmarkEnd w:id="296"/>
    </w:p>
    <w:tbl>
      <w:tblPr>
        <w:tblStyle w:val="TableGrid"/>
        <w:tblW w:type="auto" w:w="0"/>
        <w:jc w:val="center"/>
        <w:tblLook w:firstColumn="1" w:firstRow="1" w:lastColumn="0" w:lastRow="0" w:noHBand="0" w:noVBand="1" w:val="04A0"/>
      </w:tblPr>
      <w:tblGrid>
        <w:gridCol w:w="2498"/>
        <w:gridCol w:w="2498"/>
        <w:gridCol w:w="2498"/>
        <w:gridCol w:w="2498"/>
      </w:tblGrid>
      <w:tr>
        <w:trPr>
          <w:tblHeader w:val="true"/>
        </w:trPr>
        <w:tc>
          <w:tcPr>
            <w:tcW w:type="dxa" w:w="2448"/>
            <w:shd w:fill="DCE6F1"/>
            <w:vAlign w:val="center"/>
          </w:tcPr>
          <w:p>
            <w:r>
              <w:rPr>
                <w:b/>
                <w:sz w:val="15"/>
              </w:rPr>
              <w:t>Format</w:t>
            </w:r>
          </w:p>
        </w:tc>
        <w:tc>
          <w:tcPr>
            <w:tcW w:type="dxa" w:w="2592"/>
            <w:shd w:fill="DCE6F1"/>
            <w:vAlign w:val="center"/>
          </w:tcPr>
          <w:p>
            <w:r>
              <w:rPr>
                <w:b/>
                <w:sz w:val="15"/>
              </w:rPr>
              <w:t>Conveners</w:t>
            </w:r>
          </w:p>
        </w:tc>
        <w:tc>
          <w:tcPr>
            <w:tcW w:type="dxa" w:w="3456"/>
            <w:shd w:fill="DCE6F1"/>
            <w:vAlign w:val="center"/>
          </w:tcPr>
          <w:p>
            <w:r>
              <w:rPr>
                <w:b/>
                <w:sz w:val="15"/>
              </w:rPr>
              <w:t>Purpose</w:t>
            </w:r>
          </w:p>
        </w:tc>
        <w:tc>
          <w:tcPr>
            <w:tcW w:type="dxa" w:w="2880"/>
            <w:shd w:fill="DCE6F1"/>
            <w:vAlign w:val="center"/>
          </w:tcPr>
          <w:p>
            <w:r>
              <w:rPr>
                <w:b/>
                <w:sz w:val="15"/>
              </w:rPr>
              <w:t>Output</w:t>
            </w:r>
          </w:p>
        </w:tc>
      </w:tr>
      <w:tr>
        <w:tc>
          <w:tcPr>
            <w:tcW w:type="dxa" w:w="2448"/>
            <w:vAlign w:val="top"/>
          </w:tcPr>
          <w:p>
            <w:pPr>
              <w:spacing w:after="20"/>
            </w:pPr>
            <w:r>
              <w:rPr>
                <w:sz w:val="15"/>
              </w:rPr>
              <w:t>Border Friendship Forum</w:t>
            </w:r>
          </w:p>
        </w:tc>
        <w:tc>
          <w:tcPr>
            <w:tcW w:type="dxa" w:w="2592"/>
            <w:vAlign w:val="top"/>
          </w:tcPr>
          <w:p>
            <w:pPr>
              <w:spacing w:after="20"/>
            </w:pPr>
            <w:r>
              <w:rPr>
                <w:sz w:val="15"/>
              </w:rPr>
              <w:t>Mayor/chamber/Indigenous/community roundtable</w:t>
            </w:r>
          </w:p>
        </w:tc>
        <w:tc>
          <w:tcPr>
            <w:tcW w:type="dxa" w:w="3456"/>
            <w:vAlign w:val="top"/>
          </w:tcPr>
          <w:p>
            <w:pPr>
              <w:spacing w:after="20"/>
            </w:pPr>
            <w:r>
              <w:rPr>
                <w:sz w:val="15"/>
              </w:rPr>
              <w:t>Solve local friction; reinforce continuity</w:t>
            </w:r>
          </w:p>
        </w:tc>
        <w:tc>
          <w:tcPr>
            <w:tcW w:type="dxa" w:w="2880"/>
            <w:vAlign w:val="top"/>
          </w:tcPr>
          <w:p>
            <w:pPr>
              <w:spacing w:after="20"/>
            </w:pPr>
            <w:r>
              <w:rPr>
                <w:sz w:val="15"/>
              </w:rPr>
              <w:t>Operational issue log + joint contact tree</w:t>
            </w:r>
          </w:p>
        </w:tc>
      </w:tr>
      <w:tr>
        <w:tc>
          <w:tcPr>
            <w:tcW w:type="dxa" w:w="2448"/>
            <w:vAlign w:val="top"/>
          </w:tcPr>
          <w:p>
            <w:pPr>
              <w:spacing w:after="20"/>
            </w:pPr>
            <w:r>
              <w:rPr>
                <w:sz w:val="15"/>
              </w:rPr>
              <w:t>University Partnership Day</w:t>
            </w:r>
          </w:p>
        </w:tc>
        <w:tc>
          <w:tcPr>
            <w:tcW w:type="dxa" w:w="2592"/>
            <w:vAlign w:val="top"/>
          </w:tcPr>
          <w:p>
            <w:pPr>
              <w:spacing w:after="20"/>
            </w:pPr>
            <w:r>
              <w:rPr>
                <w:sz w:val="15"/>
              </w:rPr>
              <w:t>Universities/research institutes</w:t>
            </w:r>
          </w:p>
        </w:tc>
        <w:tc>
          <w:tcPr>
            <w:tcW w:type="dxa" w:w="3456"/>
            <w:vAlign w:val="top"/>
          </w:tcPr>
          <w:p>
            <w:pPr>
              <w:spacing w:after="20"/>
            </w:pPr>
            <w:r>
              <w:rPr>
                <w:sz w:val="15"/>
              </w:rPr>
              <w:t>Protect research and student ties</w:t>
            </w:r>
          </w:p>
        </w:tc>
        <w:tc>
          <w:tcPr>
            <w:tcW w:type="dxa" w:w="2880"/>
            <w:vAlign w:val="top"/>
          </w:tcPr>
          <w:p>
            <w:pPr>
              <w:spacing w:after="20"/>
            </w:pPr>
            <w:r>
              <w:rPr>
                <w:sz w:val="15"/>
              </w:rPr>
              <w:t>Renewed or highlighted collaborations</w:t>
            </w:r>
          </w:p>
        </w:tc>
      </w:tr>
      <w:tr>
        <w:tc>
          <w:tcPr>
            <w:tcW w:type="dxa" w:w="2448"/>
            <w:vAlign w:val="top"/>
          </w:tcPr>
          <w:p>
            <w:pPr>
              <w:spacing w:after="20"/>
            </w:pPr>
            <w:r>
              <w:rPr>
                <w:sz w:val="15"/>
              </w:rPr>
              <w:t>Canada-in-the-State Business Forum</w:t>
            </w:r>
          </w:p>
        </w:tc>
        <w:tc>
          <w:tcPr>
            <w:tcW w:type="dxa" w:w="2592"/>
            <w:vAlign w:val="top"/>
          </w:tcPr>
          <w:p>
            <w:pPr>
              <w:spacing w:after="20"/>
            </w:pPr>
            <w:r>
              <w:rPr>
                <w:sz w:val="15"/>
              </w:rPr>
              <w:t>Chamber / trade office</w:t>
            </w:r>
          </w:p>
        </w:tc>
        <w:tc>
          <w:tcPr>
            <w:tcW w:type="dxa" w:w="3456"/>
            <w:vAlign w:val="top"/>
          </w:tcPr>
          <w:p>
            <w:pPr>
              <w:spacing w:after="20"/>
            </w:pPr>
            <w:r>
              <w:rPr>
                <w:sz w:val="15"/>
              </w:rPr>
              <w:t>Explain integrated investment and tariff effects</w:t>
            </w:r>
          </w:p>
        </w:tc>
        <w:tc>
          <w:tcPr>
            <w:tcW w:type="dxa" w:w="2880"/>
            <w:vAlign w:val="top"/>
          </w:tcPr>
          <w:p>
            <w:pPr>
              <w:spacing w:after="20"/>
            </w:pPr>
            <w:r>
              <w:rPr>
                <w:sz w:val="15"/>
              </w:rPr>
              <w:t>Firm-level issues routed to policy owners</w:t>
            </w:r>
          </w:p>
        </w:tc>
      </w:tr>
      <w:tr>
        <w:tc>
          <w:tcPr>
            <w:tcW w:type="dxa" w:w="2448"/>
            <w:vAlign w:val="top"/>
          </w:tcPr>
          <w:p>
            <w:pPr>
              <w:spacing w:after="20"/>
            </w:pPr>
            <w:r>
              <w:rPr>
                <w:sz w:val="15"/>
              </w:rPr>
              <w:t>Workers Across the Border Dialogue</w:t>
            </w:r>
          </w:p>
        </w:tc>
        <w:tc>
          <w:tcPr>
            <w:tcW w:type="dxa" w:w="2592"/>
            <w:vAlign w:val="top"/>
          </w:tcPr>
          <w:p>
            <w:pPr>
              <w:spacing w:after="20"/>
            </w:pPr>
            <w:r>
              <w:rPr>
                <w:sz w:val="15"/>
              </w:rPr>
              <w:t>Labour / sector associations</w:t>
            </w:r>
          </w:p>
        </w:tc>
        <w:tc>
          <w:tcPr>
            <w:tcW w:type="dxa" w:w="3456"/>
            <w:vAlign w:val="top"/>
          </w:tcPr>
          <w:p>
            <w:pPr>
              <w:spacing w:after="20"/>
            </w:pPr>
            <w:r>
              <w:rPr>
                <w:sz w:val="15"/>
              </w:rPr>
              <w:t>Humanize integrated industries</w:t>
            </w:r>
          </w:p>
        </w:tc>
        <w:tc>
          <w:tcPr>
            <w:tcW w:type="dxa" w:w="2880"/>
            <w:vAlign w:val="top"/>
          </w:tcPr>
          <w:p>
            <w:pPr>
              <w:spacing w:after="20"/>
            </w:pPr>
            <w:r>
              <w:rPr>
                <w:sz w:val="15"/>
              </w:rPr>
              <w:t>Shared non-partisan concerns documented</w:t>
            </w:r>
          </w:p>
        </w:tc>
      </w:tr>
      <w:tr>
        <w:tc>
          <w:tcPr>
            <w:tcW w:type="dxa" w:w="2448"/>
            <w:vAlign w:val="top"/>
          </w:tcPr>
          <w:p>
            <w:pPr>
              <w:spacing w:after="20"/>
            </w:pPr>
            <w:r>
              <w:rPr>
                <w:sz w:val="15"/>
              </w:rPr>
              <w:t>Fire and Emergency Cooperation Showcase</w:t>
            </w:r>
          </w:p>
        </w:tc>
        <w:tc>
          <w:tcPr>
            <w:tcW w:type="dxa" w:w="2592"/>
            <w:vAlign w:val="top"/>
          </w:tcPr>
          <w:p>
            <w:pPr>
              <w:spacing w:after="20"/>
            </w:pPr>
            <w:r>
              <w:rPr>
                <w:sz w:val="15"/>
              </w:rPr>
              <w:t>Emergency services</w:t>
            </w:r>
          </w:p>
        </w:tc>
        <w:tc>
          <w:tcPr>
            <w:tcW w:type="dxa" w:w="3456"/>
            <w:vAlign w:val="top"/>
          </w:tcPr>
          <w:p>
            <w:pPr>
              <w:spacing w:after="20"/>
            </w:pPr>
            <w:r>
              <w:rPr>
                <w:sz w:val="15"/>
              </w:rPr>
              <w:t>Demonstrate life-safety cooperation</w:t>
            </w:r>
          </w:p>
        </w:tc>
        <w:tc>
          <w:tcPr>
            <w:tcW w:type="dxa" w:w="2880"/>
            <w:vAlign w:val="top"/>
          </w:tcPr>
          <w:p>
            <w:pPr>
              <w:spacing w:after="20"/>
            </w:pPr>
            <w:r>
              <w:rPr>
                <w:sz w:val="15"/>
              </w:rPr>
              <w:t>Public continuity story</w:t>
            </w:r>
          </w:p>
        </w:tc>
      </w:tr>
      <w:tr>
        <w:tc>
          <w:tcPr>
            <w:tcW w:type="dxa" w:w="2448"/>
            <w:vAlign w:val="top"/>
          </w:tcPr>
          <w:p>
            <w:pPr>
              <w:spacing w:after="20"/>
            </w:pPr>
            <w:r>
              <w:rPr>
                <w:sz w:val="15"/>
              </w:rPr>
              <w:t>Culture Without Tariffs Night</w:t>
            </w:r>
          </w:p>
        </w:tc>
        <w:tc>
          <w:tcPr>
            <w:tcW w:type="dxa" w:w="2592"/>
            <w:vAlign w:val="top"/>
          </w:tcPr>
          <w:p>
            <w:pPr>
              <w:spacing w:after="20"/>
            </w:pPr>
            <w:r>
              <w:rPr>
                <w:sz w:val="15"/>
              </w:rPr>
              <w:t>Museum/arts/sports venue</w:t>
            </w:r>
          </w:p>
        </w:tc>
        <w:tc>
          <w:tcPr>
            <w:tcW w:type="dxa" w:w="3456"/>
            <w:vAlign w:val="top"/>
          </w:tcPr>
          <w:p>
            <w:pPr>
              <w:spacing w:after="20"/>
            </w:pPr>
            <w:r>
              <w:rPr>
                <w:sz w:val="15"/>
              </w:rPr>
              <w:t>Keep social relationship warm</w:t>
            </w:r>
          </w:p>
        </w:tc>
        <w:tc>
          <w:tcPr>
            <w:tcW w:type="dxa" w:w="2880"/>
            <w:vAlign w:val="top"/>
          </w:tcPr>
          <w:p>
            <w:pPr>
              <w:spacing w:after="20"/>
            </w:pPr>
            <w:r>
              <w:rPr>
                <w:sz w:val="15"/>
              </w:rPr>
              <w:t>High-trust, low-politics engagement</w:t>
            </w:r>
          </w:p>
        </w:tc>
      </w:tr>
      <w:tr>
        <w:tc>
          <w:tcPr>
            <w:tcW w:type="dxa" w:w="2448"/>
            <w:vAlign w:val="top"/>
          </w:tcPr>
          <w:p>
            <w:pPr>
              <w:spacing w:after="20"/>
            </w:pPr>
            <w:r>
              <w:rPr>
                <w:sz w:val="15"/>
              </w:rPr>
              <w:t>Young Neighbours Forum</w:t>
            </w:r>
          </w:p>
        </w:tc>
        <w:tc>
          <w:tcPr>
            <w:tcW w:type="dxa" w:w="2592"/>
            <w:vAlign w:val="top"/>
          </w:tcPr>
          <w:p>
            <w:pPr>
              <w:spacing w:after="20"/>
            </w:pPr>
            <w:r>
              <w:rPr>
                <w:sz w:val="15"/>
              </w:rPr>
              <w:t>Students / young professionals</w:t>
            </w:r>
          </w:p>
        </w:tc>
        <w:tc>
          <w:tcPr>
            <w:tcW w:type="dxa" w:w="3456"/>
            <w:vAlign w:val="top"/>
          </w:tcPr>
          <w:p>
            <w:pPr>
              <w:spacing w:after="20"/>
            </w:pPr>
            <w:r>
              <w:rPr>
                <w:sz w:val="15"/>
              </w:rPr>
              <w:t>Build long-term relationship literacy</w:t>
            </w:r>
          </w:p>
        </w:tc>
        <w:tc>
          <w:tcPr>
            <w:tcW w:type="dxa" w:w="2880"/>
            <w:vAlign w:val="top"/>
          </w:tcPr>
          <w:p>
            <w:pPr>
              <w:spacing w:after="20"/>
            </w:pPr>
            <w:r>
              <w:rPr>
                <w:sz w:val="15"/>
              </w:rPr>
              <w:t>Exchange opportunities and Q&amp;A</w:t>
            </w:r>
          </w:p>
        </w:tc>
      </w:tr>
      <w:tr>
        <w:tc>
          <w:tcPr>
            <w:tcW w:type="dxa" w:w="2448"/>
            <w:vAlign w:val="top"/>
          </w:tcPr>
          <w:p>
            <w:pPr>
              <w:spacing w:after="20"/>
            </w:pPr>
            <w:r>
              <w:rPr>
                <w:sz w:val="15"/>
              </w:rPr>
              <w:t>Reconciliation Readiness Roundtable</w:t>
            </w:r>
          </w:p>
        </w:tc>
        <w:tc>
          <w:tcPr>
            <w:tcW w:type="dxa" w:w="2592"/>
            <w:vAlign w:val="top"/>
          </w:tcPr>
          <w:p>
            <w:pPr>
              <w:spacing w:after="20"/>
            </w:pPr>
            <w:r>
              <w:rPr>
                <w:sz w:val="15"/>
              </w:rPr>
              <w:t>Cross-sector leaders</w:t>
            </w:r>
          </w:p>
        </w:tc>
        <w:tc>
          <w:tcPr>
            <w:tcW w:type="dxa" w:w="3456"/>
            <w:vAlign w:val="top"/>
          </w:tcPr>
          <w:p>
            <w:pPr>
              <w:spacing w:after="20"/>
            </w:pPr>
            <w:r>
              <w:rPr>
                <w:sz w:val="15"/>
              </w:rPr>
              <w:t>Prepare rapid normalization</w:t>
            </w:r>
          </w:p>
        </w:tc>
        <w:tc>
          <w:tcPr>
            <w:tcW w:type="dxa" w:w="2880"/>
            <w:vAlign w:val="top"/>
          </w:tcPr>
          <w:p>
            <w:pPr>
              <w:spacing w:after="20"/>
            </w:pPr>
            <w:r>
              <w:rPr>
                <w:sz w:val="15"/>
              </w:rPr>
              <w:t>30/90-day post-settlement actions</w:t>
            </w:r>
          </w:p>
        </w:tc>
      </w:tr>
    </w:tbl>
    <w:p/>
    <w:p>
      <w:r>
        <w:br w:type="page"/>
      </w:r>
    </w:p>
    <w:p>
      <w:pPr>
        <w:pStyle w:val="Heading1"/>
        <w:keepNext/>
        <w:spacing w:before="200" w:after="80"/>
      </w:pPr>
      <w:bookmarkStart w:id="297" w:name="_Toc9100297"/>
      <w:r>
        <w:t>Annex E — Metrics Dashboard</w:t>
      </w:r>
      <w:bookmarkEnd w:id="297"/>
    </w:p>
    <w:p>
      <w:r>
        <w:t>The dashboard should be short enough to use. Each region reports only metrics that can change decisions.</w:t>
      </w:r>
    </w:p>
    <w:tbl>
      <w:tblPr>
        <w:tblStyle w:val="TableGrid"/>
        <w:tblW w:type="auto" w:w="0"/>
        <w:jc w:val="center"/>
        <w:tblLook w:firstColumn="1" w:firstRow="1" w:lastColumn="0" w:lastRow="0" w:noHBand="0" w:noVBand="1" w:val="04A0"/>
      </w:tblPr>
      <w:tblGrid>
        <w:gridCol w:w="2498"/>
        <w:gridCol w:w="2498"/>
        <w:gridCol w:w="2498"/>
        <w:gridCol w:w="2498"/>
      </w:tblGrid>
      <w:tr>
        <w:trPr>
          <w:tblHeader w:val="true"/>
        </w:trPr>
        <w:tc>
          <w:tcPr>
            <w:tcW w:type="dxa" w:w="2880"/>
            <w:shd w:fill="DCE6F1"/>
            <w:vAlign w:val="center"/>
          </w:tcPr>
          <w:p>
            <w:r>
              <w:rPr>
                <w:b/>
                <w:sz w:val="16"/>
              </w:rPr>
              <w:t>Indicator</w:t>
            </w:r>
          </w:p>
        </w:tc>
        <w:tc>
          <w:tcPr>
            <w:tcW w:type="dxa" w:w="2448"/>
            <w:shd w:fill="DCE6F1"/>
            <w:vAlign w:val="center"/>
          </w:tcPr>
          <w:p>
            <w:r>
              <w:rPr>
                <w:b/>
                <w:sz w:val="16"/>
              </w:rPr>
              <w:t>Green</w:t>
            </w:r>
          </w:p>
        </w:tc>
        <w:tc>
          <w:tcPr>
            <w:tcW w:type="dxa" w:w="2448"/>
            <w:shd w:fill="DCE6F1"/>
            <w:vAlign w:val="center"/>
          </w:tcPr>
          <w:p>
            <w:r>
              <w:rPr>
                <w:b/>
                <w:sz w:val="16"/>
              </w:rPr>
              <w:t>Amber</w:t>
            </w:r>
          </w:p>
        </w:tc>
        <w:tc>
          <w:tcPr>
            <w:tcW w:type="dxa" w:w="2448"/>
            <w:shd w:fill="DCE6F1"/>
            <w:vAlign w:val="center"/>
          </w:tcPr>
          <w:p>
            <w:r>
              <w:rPr>
                <w:b/>
                <w:sz w:val="16"/>
              </w:rPr>
              <w:t>Red</w:t>
            </w:r>
          </w:p>
        </w:tc>
      </w:tr>
      <w:tr>
        <w:tc>
          <w:tcPr>
            <w:tcW w:type="dxa" w:w="2880"/>
            <w:vAlign w:val="top"/>
          </w:tcPr>
          <w:p>
            <w:pPr>
              <w:spacing w:after="20"/>
            </w:pPr>
            <w:r>
              <w:rPr>
                <w:sz w:val="16"/>
              </w:rPr>
              <w:t>Factual accuracy</w:t>
            </w:r>
          </w:p>
        </w:tc>
        <w:tc>
          <w:tcPr>
            <w:tcW w:type="dxa" w:w="2448"/>
            <w:vAlign w:val="top"/>
          </w:tcPr>
          <w:p>
            <w:pPr>
              <w:spacing w:after="20"/>
            </w:pPr>
            <w:r>
              <w:rPr>
                <w:sz w:val="16"/>
              </w:rPr>
              <w:t>&lt;1% substantive correction rate</w:t>
            </w:r>
          </w:p>
        </w:tc>
        <w:tc>
          <w:tcPr>
            <w:tcW w:type="dxa" w:w="2448"/>
            <w:vAlign w:val="top"/>
          </w:tcPr>
          <w:p>
            <w:pPr>
              <w:spacing w:after="20"/>
            </w:pPr>
            <w:r>
              <w:rPr>
                <w:sz w:val="16"/>
              </w:rPr>
              <w:t>1–3%</w:t>
            </w:r>
          </w:p>
        </w:tc>
        <w:tc>
          <w:tcPr>
            <w:tcW w:type="dxa" w:w="2448"/>
            <w:vAlign w:val="top"/>
          </w:tcPr>
          <w:p>
            <w:pPr>
              <w:spacing w:after="20"/>
            </w:pPr>
            <w:r>
              <w:rPr>
                <w:sz w:val="16"/>
              </w:rPr>
              <w:t xml:space="preserve"> &gt;3% or major retraction</w:t>
            </w:r>
          </w:p>
        </w:tc>
      </w:tr>
      <w:tr>
        <w:tc>
          <w:tcPr>
            <w:tcW w:type="dxa" w:w="2880"/>
            <w:vAlign w:val="top"/>
          </w:tcPr>
          <w:p>
            <w:pPr>
              <w:spacing w:after="20"/>
            </w:pPr>
            <w:r>
              <w:rPr>
                <w:sz w:val="16"/>
              </w:rPr>
              <w:t>High-impact correction speed</w:t>
            </w:r>
          </w:p>
        </w:tc>
        <w:tc>
          <w:tcPr>
            <w:tcW w:type="dxa" w:w="2448"/>
            <w:vAlign w:val="top"/>
          </w:tcPr>
          <w:p>
            <w:pPr>
              <w:spacing w:after="20"/>
            </w:pPr>
            <w:r>
              <w:rPr>
                <w:sz w:val="16"/>
              </w:rPr>
              <w:t>&lt;2 hours</w:t>
            </w:r>
          </w:p>
        </w:tc>
        <w:tc>
          <w:tcPr>
            <w:tcW w:type="dxa" w:w="2448"/>
            <w:vAlign w:val="top"/>
          </w:tcPr>
          <w:p>
            <w:pPr>
              <w:spacing w:after="20"/>
            </w:pPr>
            <w:r>
              <w:rPr>
                <w:sz w:val="16"/>
              </w:rPr>
              <w:t>2–6 hours</w:t>
            </w:r>
          </w:p>
        </w:tc>
        <w:tc>
          <w:tcPr>
            <w:tcW w:type="dxa" w:w="2448"/>
            <w:vAlign w:val="top"/>
          </w:tcPr>
          <w:p>
            <w:pPr>
              <w:spacing w:after="20"/>
            </w:pPr>
            <w:r>
              <w:rPr>
                <w:sz w:val="16"/>
              </w:rPr>
              <w:t>&gt;6 hours</w:t>
            </w:r>
          </w:p>
        </w:tc>
      </w:tr>
      <w:tr>
        <w:tc>
          <w:tcPr>
            <w:tcW w:type="dxa" w:w="2880"/>
            <w:vAlign w:val="top"/>
          </w:tcPr>
          <w:p>
            <w:pPr>
              <w:spacing w:after="20"/>
            </w:pPr>
            <w:r>
              <w:rPr>
                <w:sz w:val="16"/>
              </w:rPr>
              <w:t>Local partner confidence</w:t>
            </w:r>
          </w:p>
        </w:tc>
        <w:tc>
          <w:tcPr>
            <w:tcW w:type="dxa" w:w="2448"/>
            <w:vAlign w:val="top"/>
          </w:tcPr>
          <w:p>
            <w:pPr>
              <w:spacing w:after="20"/>
            </w:pPr>
            <w:r>
              <w:rPr>
                <w:sz w:val="16"/>
              </w:rPr>
              <w:t>Stable/improving</w:t>
            </w:r>
          </w:p>
        </w:tc>
        <w:tc>
          <w:tcPr>
            <w:tcW w:type="dxa" w:w="2448"/>
            <w:vAlign w:val="top"/>
          </w:tcPr>
          <w:p>
            <w:pPr>
              <w:spacing w:after="20"/>
            </w:pPr>
            <w:r>
              <w:rPr>
                <w:sz w:val="16"/>
              </w:rPr>
              <w:t>Mixed</w:t>
            </w:r>
          </w:p>
        </w:tc>
        <w:tc>
          <w:tcPr>
            <w:tcW w:type="dxa" w:w="2448"/>
            <w:vAlign w:val="top"/>
          </w:tcPr>
          <w:p>
            <w:pPr>
              <w:spacing w:after="20"/>
            </w:pPr>
            <w:r>
              <w:rPr>
                <w:sz w:val="16"/>
              </w:rPr>
              <w:t>Material withdrawals</w:t>
            </w:r>
          </w:p>
        </w:tc>
      </w:tr>
      <w:tr>
        <w:tc>
          <w:tcPr>
            <w:tcW w:type="dxa" w:w="2880"/>
            <w:vAlign w:val="top"/>
          </w:tcPr>
          <w:p>
            <w:pPr>
              <w:spacing w:after="20"/>
            </w:pPr>
            <w:r>
              <w:rPr>
                <w:sz w:val="16"/>
              </w:rPr>
              <w:t>Event partisanship risk</w:t>
            </w:r>
          </w:p>
        </w:tc>
        <w:tc>
          <w:tcPr>
            <w:tcW w:type="dxa" w:w="2448"/>
            <w:vAlign w:val="top"/>
          </w:tcPr>
          <w:p>
            <w:pPr>
              <w:spacing w:after="20"/>
            </w:pPr>
            <w:r>
              <w:rPr>
                <w:sz w:val="16"/>
              </w:rPr>
              <w:t>Non-partisan setting</w:t>
            </w:r>
          </w:p>
        </w:tc>
        <w:tc>
          <w:tcPr>
            <w:tcW w:type="dxa" w:w="2448"/>
            <w:vAlign w:val="top"/>
          </w:tcPr>
          <w:p>
            <w:pPr>
              <w:spacing w:after="20"/>
            </w:pPr>
            <w:r>
              <w:rPr>
                <w:sz w:val="16"/>
              </w:rPr>
              <w:t>Ambiguous</w:t>
            </w:r>
          </w:p>
        </w:tc>
        <w:tc>
          <w:tcPr>
            <w:tcW w:type="dxa" w:w="2448"/>
            <w:vAlign w:val="top"/>
          </w:tcPr>
          <w:p>
            <w:pPr>
              <w:spacing w:after="20"/>
            </w:pPr>
            <w:r>
              <w:rPr>
                <w:sz w:val="16"/>
              </w:rPr>
              <w:t>Campaign/fundraising context</w:t>
            </w:r>
          </w:p>
        </w:tc>
      </w:tr>
      <w:tr>
        <w:tc>
          <w:tcPr>
            <w:tcW w:type="dxa" w:w="2880"/>
            <w:vAlign w:val="top"/>
          </w:tcPr>
          <w:p>
            <w:pPr>
              <w:spacing w:after="20"/>
            </w:pPr>
            <w:r>
              <w:rPr>
                <w:sz w:val="16"/>
              </w:rPr>
              <w:t>People-policy separation</w:t>
            </w:r>
          </w:p>
        </w:tc>
        <w:tc>
          <w:tcPr>
            <w:tcW w:type="dxa" w:w="2448"/>
            <w:vAlign w:val="top"/>
          </w:tcPr>
          <w:p>
            <w:pPr>
              <w:spacing w:after="20"/>
            </w:pPr>
            <w:r>
              <w:rPr>
                <w:sz w:val="16"/>
              </w:rPr>
              <w:t>Improving</w:t>
            </w:r>
          </w:p>
        </w:tc>
        <w:tc>
          <w:tcPr>
            <w:tcW w:type="dxa" w:w="2448"/>
            <w:vAlign w:val="top"/>
          </w:tcPr>
          <w:p>
            <w:pPr>
              <w:spacing w:after="20"/>
            </w:pPr>
            <w:r>
              <w:rPr>
                <w:sz w:val="16"/>
              </w:rPr>
              <w:t>Flat</w:t>
            </w:r>
          </w:p>
        </w:tc>
        <w:tc>
          <w:tcPr>
            <w:tcW w:type="dxa" w:w="2448"/>
            <w:vAlign w:val="top"/>
          </w:tcPr>
          <w:p>
            <w:pPr>
              <w:spacing w:after="20"/>
            </w:pPr>
            <w:r>
              <w:rPr>
                <w:sz w:val="16"/>
              </w:rPr>
              <w:t>Deteriorating</w:t>
            </w:r>
          </w:p>
        </w:tc>
      </w:tr>
      <w:tr>
        <w:tc>
          <w:tcPr>
            <w:tcW w:type="dxa" w:w="2880"/>
            <w:vAlign w:val="top"/>
          </w:tcPr>
          <w:p>
            <w:pPr>
              <w:spacing w:after="20"/>
            </w:pPr>
            <w:r>
              <w:rPr>
                <w:sz w:val="16"/>
              </w:rPr>
              <w:t>Cross-border continuity</w:t>
            </w:r>
          </w:p>
        </w:tc>
        <w:tc>
          <w:tcPr>
            <w:tcW w:type="dxa" w:w="2448"/>
            <w:vAlign w:val="top"/>
          </w:tcPr>
          <w:p>
            <w:pPr>
              <w:spacing w:after="20"/>
            </w:pPr>
            <w:r>
              <w:rPr>
                <w:sz w:val="16"/>
              </w:rPr>
              <w:t>Normal/minor friction</w:t>
            </w:r>
          </w:p>
        </w:tc>
        <w:tc>
          <w:tcPr>
            <w:tcW w:type="dxa" w:w="2448"/>
            <w:vAlign w:val="top"/>
          </w:tcPr>
          <w:p>
            <w:pPr>
              <w:spacing w:after="20"/>
            </w:pPr>
            <w:r>
              <w:rPr>
                <w:sz w:val="16"/>
              </w:rPr>
              <w:t>Persistent friction</w:t>
            </w:r>
          </w:p>
        </w:tc>
        <w:tc>
          <w:tcPr>
            <w:tcW w:type="dxa" w:w="2448"/>
            <w:vAlign w:val="top"/>
          </w:tcPr>
          <w:p>
            <w:pPr>
              <w:spacing w:after="20"/>
            </w:pPr>
            <w:r>
              <w:rPr>
                <w:sz w:val="16"/>
              </w:rPr>
              <w:t>Major avoidable disruption</w:t>
            </w:r>
          </w:p>
        </w:tc>
      </w:tr>
      <w:tr>
        <w:tc>
          <w:tcPr>
            <w:tcW w:type="dxa" w:w="2880"/>
            <w:vAlign w:val="top"/>
          </w:tcPr>
          <w:p>
            <w:pPr>
              <w:spacing w:after="20"/>
            </w:pPr>
            <w:r>
              <w:rPr>
                <w:sz w:val="16"/>
              </w:rPr>
              <w:t>Off-ramp clarity</w:t>
            </w:r>
          </w:p>
        </w:tc>
        <w:tc>
          <w:tcPr>
            <w:tcW w:type="dxa" w:w="2448"/>
            <w:vAlign w:val="top"/>
          </w:tcPr>
          <w:p>
            <w:pPr>
              <w:spacing w:after="20"/>
            </w:pPr>
            <w:r>
              <w:rPr>
                <w:sz w:val="16"/>
              </w:rPr>
              <w:t>Stakeholders understand</w:t>
            </w:r>
          </w:p>
        </w:tc>
        <w:tc>
          <w:tcPr>
            <w:tcW w:type="dxa" w:w="2448"/>
            <w:vAlign w:val="top"/>
          </w:tcPr>
          <w:p>
            <w:pPr>
              <w:spacing w:after="20"/>
            </w:pPr>
            <w:r>
              <w:rPr>
                <w:sz w:val="16"/>
              </w:rPr>
              <w:t>Confusion in some sectors</w:t>
            </w:r>
          </w:p>
        </w:tc>
        <w:tc>
          <w:tcPr>
            <w:tcW w:type="dxa" w:w="2448"/>
            <w:vAlign w:val="top"/>
          </w:tcPr>
          <w:p>
            <w:pPr>
              <w:spacing w:after="20"/>
            </w:pPr>
            <w:r>
              <w:rPr>
                <w:sz w:val="16"/>
              </w:rPr>
              <w:t>Widespread belief measures are permanent</w:t>
            </w:r>
          </w:p>
        </w:tc>
      </w:tr>
      <w:tr>
        <w:tc>
          <w:tcPr>
            <w:tcW w:type="dxa" w:w="2880"/>
            <w:vAlign w:val="top"/>
          </w:tcPr>
          <w:p>
            <w:pPr>
              <w:spacing w:after="20"/>
            </w:pPr>
            <w:r>
              <w:rPr>
                <w:sz w:val="16"/>
              </w:rPr>
              <w:t>Threat/harassment spillover</w:t>
            </w:r>
          </w:p>
        </w:tc>
        <w:tc>
          <w:tcPr>
            <w:tcW w:type="dxa" w:w="2448"/>
            <w:vAlign w:val="top"/>
          </w:tcPr>
          <w:p>
            <w:pPr>
              <w:spacing w:after="20"/>
            </w:pPr>
            <w:r>
              <w:rPr>
                <w:sz w:val="16"/>
              </w:rPr>
              <w:t>No material increase</w:t>
            </w:r>
          </w:p>
        </w:tc>
        <w:tc>
          <w:tcPr>
            <w:tcW w:type="dxa" w:w="2448"/>
            <w:vAlign w:val="top"/>
          </w:tcPr>
          <w:p>
            <w:pPr>
              <w:spacing w:after="20"/>
            </w:pPr>
            <w:r>
              <w:rPr>
                <w:sz w:val="16"/>
              </w:rPr>
              <w:t>Localized incidents</w:t>
            </w:r>
          </w:p>
        </w:tc>
        <w:tc>
          <w:tcPr>
            <w:tcW w:type="dxa" w:w="2448"/>
            <w:vAlign w:val="top"/>
          </w:tcPr>
          <w:p>
            <w:pPr>
              <w:spacing w:after="20"/>
            </w:pPr>
            <w:r>
              <w:rPr>
                <w:sz w:val="16"/>
              </w:rPr>
              <w:t>Sustained increase linked to messaging</w:t>
            </w:r>
          </w:p>
        </w:tc>
      </w:tr>
    </w:tbl>
    <w:p/>
    <w:p>
      <w:r>
        <w:br w:type="page"/>
      </w:r>
    </w:p>
    <w:p>
      <w:pPr>
        <w:pStyle w:val="Heading1"/>
        <w:keepNext/>
        <w:spacing w:before="200" w:after="80"/>
      </w:pPr>
      <w:bookmarkStart w:id="298" w:name="_Toc9100298"/>
      <w:r>
        <w:t>Annex F — Crisis Response Cards</w:t>
      </w:r>
      <w:bookmarkEnd w:id="298"/>
    </w:p>
    <w:p>
      <w:pPr>
        <w:pStyle w:val="Heading2"/>
        <w:keepNext/>
        <w:spacing w:before="200" w:after="80"/>
      </w:pPr>
      <w:bookmarkStart w:id="299" w:name="_Toc9100299"/>
      <w:r>
        <w:t>A U.S. leader insults Canada or Canadians</w:t>
      </w:r>
      <w:bookmarkEnd w:id="299"/>
    </w:p>
    <w:p>
      <w:pPr>
        <w:pStyle w:val="Heading2"/>
      </w:pPr>
      <w:bookmarkStart w:id="300" w:name="_Toc9100300"/>
      <w:r>
        <w:t>American Community Grief Protocol</w:t>
      </w:r>
      <w:bookmarkEnd w:id="300"/>
    </w:p>
    <w:p>
      <w:r>
        <w:t>When an American worker, family, business, municipality, journalist, or community describes concrete hardship associated with Canadian countermeasures, the response should follow eight steps: listen; acknowledge the specific hardship; avoid disputing lived experience; explain the triggering policy and Canadian objective; distinguish the affected people from the policy dispute; provide any relevant practical or remission information; route credible unintended-harm evidence to the responsible policy team; and explain the verified off-ramp.</w:t>
      </w:r>
    </w:p>
    <w:p>
      <w:r>
        <w:t>Suggested response: "We hear you, and we know this is hard. Canada did not seek this conflict, and we take no satisfaction in costs falling on American workers or families. Our measure responds to a specific trade action and has a path to removal. You and your community are not our enemy. If there is an unintended implementation problem we can examine lawfully, we will make sure it reaches the people responsible for reviewing it."</w:t>
      </w:r>
    </w:p>
    <w:p>
      <w:r>
        <w:t>Do not mirror the insult. Correct factual claims if necessary. Reaffirm sovereignty and friendship with Americans. Avoid extending the news cycle for pure provocation.</w:t>
      </w:r>
    </w:p>
    <w:p>
      <w:pPr>
        <w:pStyle w:val="Heading2"/>
        <w:keepNext/>
        <w:spacing w:before="200" w:after="80"/>
      </w:pPr>
      <w:bookmarkStart w:id="301" w:name="_Toc9100301"/>
      <w:r>
        <w:t>A false claim says Canada has closed the border to Americans</w:t>
      </w:r>
      <w:bookmarkEnd w:id="301"/>
    </w:p>
    <w:p>
      <w:r>
        <w:t>Issue immediate factual correction with authoritative border/travel source. Ask consulates and tourism partners to amplify accurate practical information.</w:t>
      </w:r>
    </w:p>
    <w:p>
      <w:pPr>
        <w:pStyle w:val="Heading2"/>
        <w:keepNext/>
        <w:spacing w:before="200" w:after="80"/>
      </w:pPr>
      <w:bookmarkStart w:id="302" w:name="_Toc9100302"/>
      <w:r>
        <w:t>Canadian counter-tariffs cause visible hardship in a U.S. community</w:t>
      </w:r>
      <w:bookmarkEnd w:id="302"/>
    </w:p>
    <w:p>
      <w:r>
        <w:t>Acknowledge hardship. Explain triggering measure and off-ramp. Do not gloat. Verify whether unintended effects warrant technical review.</w:t>
      </w:r>
    </w:p>
    <w:p>
      <w:pPr>
        <w:pStyle w:val="Heading2"/>
        <w:keepNext/>
        <w:spacing w:before="200" w:after="80"/>
      </w:pPr>
      <w:bookmarkStart w:id="303" w:name="_Toc9100303"/>
      <w:r>
        <w:t>Anti-American harassment rises in Canada</w:t>
      </w:r>
      <w:bookmarkEnd w:id="303"/>
    </w:p>
    <w:p>
      <w:r>
        <w:t>Canadian leaders condemn harassment and distinguish legitimate policy protest from hostility toward people. Reinforce protection of lawful businesses and visitors.</w:t>
      </w:r>
    </w:p>
    <w:p>
      <w:pPr>
        <w:pStyle w:val="Heading2"/>
        <w:keepNext/>
        <w:spacing w:before="200" w:after="80"/>
      </w:pPr>
      <w:bookmarkStart w:id="304" w:name="_Toc9100304"/>
      <w:r>
        <w:t>Anti-Canadian harassment rises in the U.S.</w:t>
      </w:r>
      <w:bookmarkEnd w:id="304"/>
    </w:p>
    <w:p>
      <w:r>
        <w:t>Use consular safety channels; coordinate with local authorities where appropriate; avoid politicizing individual incidents before facts are known.</w:t>
      </w:r>
    </w:p>
    <w:p>
      <w:pPr>
        <w:pStyle w:val="Heading2"/>
        <w:keepNext/>
        <w:spacing w:before="200" w:after="80"/>
      </w:pPr>
      <w:bookmarkStart w:id="305" w:name="_Toc9100305"/>
      <w:r>
        <w:t>A settlement appears imminent</w:t>
      </w:r>
      <w:bookmarkEnd w:id="305"/>
    </w:p>
    <w:p>
      <w:r>
        <w:t>Freeze unnecessary escalatory rhetoric. Prepare synchronized de-escalation materials and removal timelines. Brief local partners under appropriate confidentiality.</w:t>
      </w:r>
    </w:p>
    <w:p>
      <w:pPr>
        <w:pStyle w:val="Heading2"/>
        <w:keepNext/>
        <w:spacing w:before="200" w:after="80"/>
      </w:pPr>
      <w:bookmarkStart w:id="306" w:name="_Toc9100306"/>
      <w:r>
        <w:t>Negotiations collapse again</w:t>
      </w:r>
      <w:bookmarkEnd w:id="306"/>
    </w:p>
    <w:p>
      <w:r>
        <w:t>Re-state facts, not betrayal narratives. Explain next Canadian measures and their safeguards. Keep the reconciliation plan alive.</w:t>
      </w:r>
    </w:p>
    <w:p>
      <w:pPr>
        <w:pStyle w:val="Heading2"/>
        <w:keepNext/>
        <w:spacing w:before="200" w:after="80"/>
      </w:pPr>
      <w:bookmarkStart w:id="307" w:name="_Toc9100307"/>
      <w:r>
        <w:t>A bilateral security incident occurs during the trade war</w:t>
      </w:r>
      <w:bookmarkEnd w:id="307"/>
    </w:p>
    <w:p>
      <w:r>
        <w:t>Separate the incident from trade communications. Activate relevant security/emergency channels and prevent speculative cross-domain escalation.</w:t>
      </w:r>
    </w:p>
    <w:p>
      <w:r>
        <w:br w:type="page"/>
      </w:r>
    </w:p>
    <w:p>
      <w:pPr>
        <w:pStyle w:val="Heading1"/>
        <w:keepNext/>
        <w:spacing w:before="200" w:after="80"/>
      </w:pPr>
      <w:bookmarkStart w:id="308" w:name="_Toc9100308"/>
      <w:r>
        <w:t>Annex G — Source and Validation Notes</w:t>
      </w:r>
      <w:bookmarkEnd w:id="308"/>
    </w:p>
    <w:p>
      <w:r>
        <w:t>This framework combines the user's kindness.txt concept note with current public information available as of 28 August 2026. Operational adoption would require departmental legal, privacy, communications, diplomatic, security, procurement, and financial review.</w:t>
      </w:r>
    </w:p>
    <w:tbl>
      <w:tblPr>
        <w:tblStyle w:val="TableGrid"/>
        <w:tblW w:type="auto" w:w="0"/>
        <w:jc w:val="center"/>
        <w:tblLook w:firstColumn="1" w:firstRow="1" w:lastColumn="0" w:lastRow="0" w:noHBand="0" w:noVBand="1" w:val="04A0"/>
      </w:tblPr>
      <w:tblGrid>
        <w:gridCol w:w="3331"/>
        <w:gridCol w:w="3331"/>
        <w:gridCol w:w="3331"/>
      </w:tblGrid>
      <w:tr>
        <w:trPr>
          <w:tblHeader w:val="true"/>
        </w:trPr>
        <w:tc>
          <w:tcPr>
            <w:tcW w:type="dxa" w:w="2304"/>
            <w:shd w:fill="DCE6F1"/>
            <w:vAlign w:val="center"/>
          </w:tcPr>
          <w:p>
            <w:r>
              <w:rPr>
                <w:b/>
                <w:sz w:val="14"/>
              </w:rPr>
              <w:t>Source</w:t>
            </w:r>
          </w:p>
        </w:tc>
        <w:tc>
          <w:tcPr>
            <w:tcW w:type="dxa" w:w="3744"/>
            <w:shd w:fill="DCE6F1"/>
            <w:vAlign w:val="center"/>
          </w:tcPr>
          <w:p>
            <w:r>
              <w:rPr>
                <w:b/>
                <w:sz w:val="14"/>
              </w:rPr>
              <w:t>Document / use</w:t>
            </w:r>
          </w:p>
        </w:tc>
        <w:tc>
          <w:tcPr>
            <w:tcW w:type="dxa" w:w="4608"/>
            <w:shd w:fill="DCE6F1"/>
            <w:vAlign w:val="center"/>
          </w:tcPr>
          <w:p>
            <w:r>
              <w:rPr>
                <w:b/>
                <w:sz w:val="14"/>
              </w:rPr>
              <w:t>URL</w:t>
            </w:r>
          </w:p>
        </w:tc>
      </w:tr>
      <w:tr>
        <w:tc>
          <w:tcPr>
            <w:tcW w:type="dxa" w:w="2304"/>
            <w:vAlign w:val="top"/>
          </w:tcPr>
          <w:p>
            <w:pPr>
              <w:spacing w:after="20"/>
            </w:pPr>
            <w:r>
              <w:rPr>
                <w:sz w:val="14"/>
              </w:rPr>
              <w:t>Prime Minister of Canada, 21 Aug 2026</w:t>
            </w:r>
          </w:p>
        </w:tc>
        <w:tc>
          <w:tcPr>
            <w:tcW w:type="dxa" w:w="3744"/>
            <w:vAlign w:val="top"/>
          </w:tcPr>
          <w:p>
            <w:pPr>
              <w:spacing w:after="20"/>
            </w:pPr>
            <w:r>
              <w:rPr>
                <w:sz w:val="14"/>
              </w:rPr>
              <w:t>Statement by Prime Minister Carney on Canada-U.S. trade negotiations</w:t>
            </w:r>
          </w:p>
        </w:tc>
        <w:tc>
          <w:tcPr>
            <w:tcW w:type="dxa" w:w="4608"/>
            <w:vAlign w:val="top"/>
          </w:tcPr>
          <w:p>
            <w:pPr>
              <w:spacing w:after="20"/>
            </w:pPr>
            <w:r>
              <w:rPr>
                <w:sz w:val="14"/>
              </w:rPr>
              <w:t>https://www.pm.gc.ca/en/news/statements/2026/08/21/statement-prime-minister-carney-canada-us-trade-negotiations</w:t>
            </w:r>
          </w:p>
        </w:tc>
      </w:tr>
      <w:tr>
        <w:tc>
          <w:tcPr>
            <w:tcW w:type="dxa" w:w="2304"/>
            <w:vAlign w:val="top"/>
          </w:tcPr>
          <w:p>
            <w:pPr>
              <w:spacing w:after="20"/>
            </w:pPr>
            <w:r>
              <w:rPr>
                <w:sz w:val="14"/>
              </w:rPr>
              <w:t>Prime Minister of Canada, 22 Aug 2026</w:t>
            </w:r>
          </w:p>
        </w:tc>
        <w:tc>
          <w:tcPr>
            <w:tcW w:type="dxa" w:w="3744"/>
            <w:vAlign w:val="top"/>
          </w:tcPr>
          <w:p>
            <w:pPr>
              <w:spacing w:after="20"/>
            </w:pPr>
            <w:r>
              <w:rPr>
                <w:sz w:val="14"/>
              </w:rPr>
              <w:t>Remarks on Canada-U.S. trade negotiations</w:t>
            </w:r>
          </w:p>
        </w:tc>
        <w:tc>
          <w:tcPr>
            <w:tcW w:type="dxa" w:w="4608"/>
            <w:vAlign w:val="top"/>
          </w:tcPr>
          <w:p>
            <w:pPr>
              <w:spacing w:after="20"/>
            </w:pPr>
            <w:r>
              <w:rPr>
                <w:sz w:val="14"/>
              </w:rPr>
              <w:t>https://www.pm.gc.ca/en/news/speeches/2026/08/22/prime-minister-carney-delivers-remarks-canada-us-trade-negotiations</w:t>
            </w:r>
          </w:p>
        </w:tc>
      </w:tr>
      <w:tr>
        <w:tc>
          <w:tcPr>
            <w:tcW w:type="dxa" w:w="2304"/>
            <w:vAlign w:val="top"/>
          </w:tcPr>
          <w:p>
            <w:pPr>
              <w:spacing w:after="20"/>
            </w:pPr>
            <w:r>
              <w:rPr>
                <w:sz w:val="14"/>
              </w:rPr>
              <w:t>Department of Finance Canada, 25 Aug 2026</w:t>
            </w:r>
          </w:p>
        </w:tc>
        <w:tc>
          <w:tcPr>
            <w:tcW w:type="dxa" w:w="3744"/>
            <w:vAlign w:val="top"/>
          </w:tcPr>
          <w:p>
            <w:pPr>
              <w:spacing w:after="20"/>
            </w:pPr>
            <w:r>
              <w:rPr>
                <w:sz w:val="14"/>
              </w:rPr>
              <w:t>Targeted countermeasures and support for workers and businesses</w:t>
            </w:r>
          </w:p>
        </w:tc>
        <w:tc>
          <w:tcPr>
            <w:tcW w:type="dxa" w:w="4608"/>
            <w:vAlign w:val="top"/>
          </w:tcPr>
          <w:p>
            <w:pPr>
              <w:spacing w:after="20"/>
            </w:pPr>
            <w:r>
              <w:rPr>
                <w:sz w:val="14"/>
              </w:rPr>
              <w:t>https://www.canada.ca/en/department-finance/news/2026/08/canada-announces-targeted-countermeasures-and-substantive-support-for-workers-and-businesses-in-response-to-us-tariffs.html</w:t>
            </w:r>
          </w:p>
        </w:tc>
      </w:tr>
      <w:tr>
        <w:tc>
          <w:tcPr>
            <w:tcW w:type="dxa" w:w="2304"/>
            <w:vAlign w:val="top"/>
          </w:tcPr>
          <w:p>
            <w:pPr>
              <w:spacing w:after="20"/>
            </w:pPr>
            <w:r>
              <w:rPr>
                <w:sz w:val="14"/>
              </w:rPr>
              <w:t>Department of Finance Canada, updated 26 Aug 2026</w:t>
            </w:r>
          </w:p>
        </w:tc>
        <w:tc>
          <w:tcPr>
            <w:tcW w:type="dxa" w:w="3744"/>
            <w:vAlign w:val="top"/>
          </w:tcPr>
          <w:p>
            <w:pPr>
              <w:spacing w:after="20"/>
            </w:pPr>
            <w:r>
              <w:rPr>
                <w:sz w:val="14"/>
              </w:rPr>
              <w:t>List of products subject to counter-tariffs effective Sept. 8, 2026</w:t>
            </w:r>
          </w:p>
        </w:tc>
        <w:tc>
          <w:tcPr>
            <w:tcW w:type="dxa" w:w="4608"/>
            <w:vAlign w:val="top"/>
          </w:tcPr>
          <w:p>
            <w:pPr>
              <w:spacing w:after="20"/>
            </w:pPr>
            <w:r>
              <w:rPr>
                <w:sz w:val="14"/>
              </w:rPr>
              <w:t>https://www.canada.ca/en/department-finance/news/2026/08/list-of-products-from-the-united-states-subject-to-counter-tariffs-effective-september-8-2026.html</w:t>
            </w:r>
          </w:p>
        </w:tc>
      </w:tr>
      <w:tr>
        <w:tc>
          <w:tcPr>
            <w:tcW w:type="dxa" w:w="2304"/>
            <w:vAlign w:val="top"/>
          </w:tcPr>
          <w:p>
            <w:pPr>
              <w:spacing w:after="20"/>
            </w:pPr>
            <w:r>
              <w:rPr>
                <w:sz w:val="14"/>
              </w:rPr>
              <w:t>Global Affairs Canada, 2026</w:t>
            </w:r>
          </w:p>
        </w:tc>
        <w:tc>
          <w:tcPr>
            <w:tcW w:type="dxa" w:w="3744"/>
            <w:vAlign w:val="top"/>
          </w:tcPr>
          <w:p>
            <w:pPr>
              <w:spacing w:after="20"/>
            </w:pPr>
            <w:r>
              <w:rPr>
                <w:sz w:val="14"/>
              </w:rPr>
              <w:t>Canada-United States relations</w:t>
            </w:r>
          </w:p>
        </w:tc>
        <w:tc>
          <w:tcPr>
            <w:tcW w:type="dxa" w:w="4608"/>
            <w:vAlign w:val="top"/>
          </w:tcPr>
          <w:p>
            <w:pPr>
              <w:spacing w:after="20"/>
            </w:pPr>
            <w:r>
              <w:rPr>
                <w:sz w:val="14"/>
              </w:rPr>
              <w:t>https://www.international.gc.ca/country-pays/us-eu/relations.aspx?lang=eng</w:t>
            </w:r>
          </w:p>
        </w:tc>
      </w:tr>
      <w:tr>
        <w:tc>
          <w:tcPr>
            <w:tcW w:type="dxa" w:w="2304"/>
            <w:vAlign w:val="top"/>
          </w:tcPr>
          <w:p>
            <w:pPr>
              <w:spacing w:after="20"/>
            </w:pPr>
            <w:r>
              <w:rPr>
                <w:sz w:val="14"/>
              </w:rPr>
              <w:t>Global Affairs Canada, 2026</w:t>
            </w:r>
          </w:p>
        </w:tc>
        <w:tc>
          <w:tcPr>
            <w:tcW w:type="dxa" w:w="3744"/>
            <w:vAlign w:val="top"/>
          </w:tcPr>
          <w:p>
            <w:pPr>
              <w:spacing w:after="20"/>
            </w:pPr>
            <w:r>
              <w:rPr>
                <w:sz w:val="14"/>
              </w:rPr>
              <w:t>Canada and the United States: embassy, consulates and trade offices</w:t>
            </w:r>
          </w:p>
        </w:tc>
        <w:tc>
          <w:tcPr>
            <w:tcW w:type="dxa" w:w="4608"/>
            <w:vAlign w:val="top"/>
          </w:tcPr>
          <w:p>
            <w:pPr>
              <w:spacing w:after="20"/>
            </w:pPr>
            <w:r>
              <w:rPr>
                <w:sz w:val="14"/>
              </w:rPr>
              <w:t>https://www.international.gc.ca/country-pays/us-eu/index.aspx?lang=eng</w:t>
            </w:r>
          </w:p>
        </w:tc>
      </w:tr>
      <w:tr>
        <w:tc>
          <w:tcPr>
            <w:tcW w:type="dxa" w:w="2304"/>
            <w:vAlign w:val="top"/>
          </w:tcPr>
          <w:p>
            <w:pPr>
              <w:spacing w:after="20"/>
            </w:pPr>
            <w:r>
              <w:rPr>
                <w:sz w:val="14"/>
              </w:rPr>
              <w:t>Global Affairs Canada</w:t>
            </w:r>
          </w:p>
        </w:tc>
        <w:tc>
          <w:tcPr>
            <w:tcW w:type="dxa" w:w="3744"/>
            <w:vAlign w:val="top"/>
          </w:tcPr>
          <w:p>
            <w:pPr>
              <w:spacing w:after="20"/>
            </w:pPr>
            <w:r>
              <w:rPr>
                <w:sz w:val="14"/>
              </w:rPr>
              <w:t>Canada-U.S. Fulbright Program listing</w:t>
            </w:r>
          </w:p>
        </w:tc>
        <w:tc>
          <w:tcPr>
            <w:tcW w:type="dxa" w:w="4608"/>
            <w:vAlign w:val="top"/>
          </w:tcPr>
          <w:p>
            <w:pPr>
              <w:spacing w:after="20"/>
            </w:pPr>
            <w:r>
              <w:rPr>
                <w:sz w:val="14"/>
              </w:rPr>
              <w:t>https://www.international.gc.ca/education/associations.aspx?lang=eng</w:t>
            </w:r>
          </w:p>
        </w:tc>
      </w:tr>
      <w:tr>
        <w:tc>
          <w:tcPr>
            <w:tcW w:type="dxa" w:w="2304"/>
            <w:vAlign w:val="top"/>
          </w:tcPr>
          <w:p>
            <w:pPr>
              <w:spacing w:after="20"/>
            </w:pPr>
            <w:r>
              <w:rPr>
                <w:sz w:val="14"/>
              </w:rPr>
              <w:t>Global Affairs Canada</w:t>
            </w:r>
          </w:p>
        </w:tc>
        <w:tc>
          <w:tcPr>
            <w:tcW w:type="dxa" w:w="3744"/>
            <w:vAlign w:val="top"/>
          </w:tcPr>
          <w:p>
            <w:pPr>
              <w:spacing w:after="20"/>
            </w:pPr>
            <w:r>
              <w:rPr>
                <w:sz w:val="14"/>
              </w:rPr>
              <w:t>Historical briefing on U.S. advocacy practice: evidence-based engagement and American voices</w:t>
            </w:r>
          </w:p>
        </w:tc>
        <w:tc>
          <w:tcPr>
            <w:tcW w:type="dxa" w:w="4608"/>
            <w:vAlign w:val="top"/>
          </w:tcPr>
          <w:p>
            <w:pPr>
              <w:spacing w:after="20"/>
            </w:pPr>
            <w:r>
              <w:rPr>
                <w:sz w:val="14"/>
              </w:rPr>
              <w:t>https://www.international.gc.ca/transparency-transparence/briefing-documents-information/parliamentary-committee-comite-parlementaire/2022-02-07-ciit.aspx?lang=eng</w:t>
            </w:r>
          </w:p>
        </w:tc>
      </w:tr>
      <w:tr>
        <w:tc>
          <w:tcPr>
            <w:tcW w:type="dxa" w:w="2304"/>
            <w:vAlign w:val="top"/>
          </w:tcPr>
          <w:p>
            <w:pPr>
              <w:spacing w:after="20"/>
            </w:pPr>
            <w:r>
              <w:rPr>
                <w:sz w:val="14"/>
              </w:rPr>
              <w:t>Embassy of Canada / Connect2Canada</w:t>
            </w:r>
          </w:p>
        </w:tc>
        <w:tc>
          <w:tcPr>
            <w:tcW w:type="dxa" w:w="3744"/>
            <w:vAlign w:val="top"/>
          </w:tcPr>
          <w:p>
            <w:pPr>
              <w:spacing w:after="20"/>
            </w:pPr>
            <w:r>
              <w:rPr>
                <w:sz w:val="14"/>
              </w:rPr>
              <w:t>State and congressional-district Canada-U.S. fact-sheet practice</w:t>
            </w:r>
          </w:p>
        </w:tc>
        <w:tc>
          <w:tcPr>
            <w:tcW w:type="dxa" w:w="4608"/>
            <w:vAlign w:val="top"/>
          </w:tcPr>
          <w:p>
            <w:pPr>
              <w:spacing w:after="20"/>
            </w:pPr>
            <w:r>
              <w:rPr>
                <w:sz w:val="14"/>
              </w:rPr>
              <w:t>https://connect2canada.com/</w:t>
            </w:r>
          </w:p>
        </w:tc>
      </w:tr>
    </w:tbl>
    <w:p/>
    <w:p>
      <w:pPr>
        <w:pStyle w:val="Heading2"/>
        <w:keepNext/>
        <w:spacing w:before="200" w:after="80"/>
      </w:pPr>
      <w:bookmarkStart w:id="309" w:name="_Toc9100309"/>
      <w:r>
        <w:t>G.2 Current-Situation Findings Used</w:t>
      </w:r>
      <w:bookmarkEnd w:id="309"/>
    </w:p>
    <w:p>
      <w:pPr>
        <w:pStyle w:val="ListBullet"/>
      </w:pPr>
      <w:r>
        <w:t>Negotiations were suspended after Canada judged late U.S. terms unfair and uneconomic.</w:t>
      </w:r>
    </w:p>
    <w:p>
      <w:pPr>
        <w:pStyle w:val="ListBullet"/>
      </w:pPr>
      <w:r>
        <w:t>U.S. 50% tariffs applied to approximately C$27.6 billion of Canadian goods from August 22, 2026.</w:t>
      </w:r>
    </w:p>
    <w:p>
      <w:pPr>
        <w:pStyle w:val="ListBullet"/>
      </w:pPr>
      <w:r>
        <w:t>Canada announced matching counter-tariffs on C$27.6 billion of U.S.-origin imports, at 15%, 25%, and 50% rates, effective September 8, 2026.</w:t>
      </w:r>
    </w:p>
    <w:p>
      <w:pPr>
        <w:pStyle w:val="ListBullet"/>
      </w:pPr>
      <w:r>
        <w:t>Canada announced C$7.5 billion in new and enhanced worker/business support and retained existing counter-tariffs including autos.</w:t>
      </w:r>
    </w:p>
    <w:p>
      <w:pPr>
        <w:pStyle w:val="ListBullet"/>
      </w:pPr>
      <w:r>
        <w:t>Canada maintains a broad U.S. diplomatic network and established state-level/intergovernmental advocacy capacity.</w:t>
      </w:r>
    </w:p>
    <w:p>
      <w:pPr>
        <w:pStyle w:val="ListBullet"/>
      </w:pPr>
      <w:r>
        <w:t>Recent U.S. rhetoric has included renewed '51st state' themes and public characterizations of Canada as unusually difficult to deal with. The strategy treats this as a reason for calm relationship protection, not reciprocal personalization.</w:t>
      </w:r>
    </w:p>
    <w:p>
      <w:pPr>
        <w:pStyle w:val="Heading2"/>
        <w:keepNext/>
        <w:spacing w:before="200" w:after="80"/>
      </w:pPr>
      <w:bookmarkStart w:id="310" w:name="_Toc9100310"/>
      <w:r>
        <w:t>G.3 Validation Before Government Use</w:t>
      </w:r>
      <w:bookmarkEnd w:id="310"/>
    </w:p>
    <w:p>
      <w:pPr>
        <w:pStyle w:val="ListNumber"/>
      </w:pPr>
      <w:r>
        <w:t>Update all quantitative claims to the date of release.</w:t>
      </w:r>
    </w:p>
    <w:p>
      <w:pPr>
        <w:pStyle w:val="ListNumber"/>
      </w:pPr>
      <w:r>
        <w:t>Obtain Global Affairs Canada legal review for diplomatic, public-diplomacy, lobbying, privacy, procurement, and election-period implications.</w:t>
      </w:r>
    </w:p>
    <w:p>
      <w:pPr>
        <w:pStyle w:val="ListNumber"/>
      </w:pPr>
      <w:r>
        <w:t>Obtain Finance/CBSA confirmation for every tariff and remission statement.</w:t>
      </w:r>
    </w:p>
    <w:p>
      <w:pPr>
        <w:pStyle w:val="ListNumber"/>
      </w:pPr>
      <w:r>
        <w:t>Coordinate security and defence references with National Defence and relevant agencies.</w:t>
      </w:r>
    </w:p>
    <w:p>
      <w:pPr>
        <w:pStyle w:val="ListNumber"/>
      </w:pPr>
      <w:r>
        <w:t>Coordinate tourism, education, culture, Indigenous, border, and provincial elements with competent authorities and partners.</w:t>
      </w:r>
    </w:p>
    <w:p>
      <w:pPr>
        <w:pStyle w:val="ListNumber"/>
      </w:pPr>
      <w:r>
        <w:t>Test messages with representative broad audiences for comprehension and unintended hostility, without partisan microtargeting.</w:t>
      </w:r>
    </w:p>
    <w:p>
      <w:pPr>
        <w:pStyle w:val="ListNumber"/>
      </w:pPr>
      <w:r>
        <w:t>Publish a correction mechanism and archive superseded fact sheets.</w:t>
      </w:r>
    </w:p>
    <w:p>
      <w:r>
        <w:br w:type="page"/>
      </w:r>
    </w:p>
    <w:p>
      <w:pPr>
        <w:pStyle w:val="Heading1"/>
        <w:keepNext/>
        <w:spacing w:before="200" w:after="80"/>
      </w:pPr>
      <w:bookmarkStart w:id="311" w:name="_Toc9100311"/>
      <w:r>
        <w:t>Closing Principle</w:t>
      </w:r>
      <w:bookmarkEnd w:id="311"/>
    </w:p>
    <w:p>
      <w:r>
        <w:t>Canada can be firm on policy and open to people at the same time. Those positions are not contradictory; in a prolonged dispute, they are mutually reinforcing.</w:t>
      </w:r>
    </w:p>
    <w:p>
      <w:r>
        <w:t>A durable strategy does not ask Canadians to forget threats to their interests, nor Americans to agree with every Canadian response. It asks both societies to preserve a distinction democracies cannot afford to lose: governments make policy; people are more than the policies of their governments.</w:t>
      </w:r>
    </w:p>
    <w:p>
      <w:r>
        <w:t>Canada will defend its sovereignty and its workers. Canada will keep a door open to fair settlement. Canada will tell the truth about the dispute. And Canada will make a deliberate effort to ensure that a trade war between governments does not become a feud between neighbours.</w:t>
      </w:r>
    </w:p>
    <w:p>
      <w:pPr>
        <w:pStyle w:val="Callout"/>
        <w:jc w:val="center"/>
      </w:pPr>
      <w:r>
        <w:t>Fight the policy. Keep the friendship.</w:t>
      </w:r>
    </w:p>
    <w:sectPr w:rsidR="00FC693F" w:rsidRPr="0006063C" w:rsidSect="00034616">
      <w:headerReference w:type="default" r:id="rId9"/>
      <w:footerReference w:type="default" r:id="rId10"/>
      <w:pgSz w:w="12240" w:h="15840"/>
      <w:pgMar w:top="1037" w:right="1123" w:bottom="979"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2" w:space="4" w:color="B8CCE4"/>
      </w:pBdr>
      <w:jc w:val="center"/>
    </w:pPr>
    <w:r>
      <w:rPr>
        <w:rFonts w:ascii="Aptos" w:hAnsi="Aptos"/>
        <w:color w:val="5A7CA6"/>
        <w:sz w:val="15"/>
      </w:rPr>
      <w:t xml:space="preserve">Version 1.1  ·  August 2026   |   Page </w:t>
    </w:r>
    <w:r>
      <w:rPr>
        <w:rFonts w:ascii="Aptos" w:hAnsi="Aptos"/>
        <w:color w:val="5A7CA6"/>
        <w:sz w:val="15"/>
      </w:rPr>
      <w:fldChar w:fldCharType="begin"/>
    </w:r>
    <w:r>
      <w:rPr>
        <w:rFonts w:ascii="Aptos" w:hAnsi="Aptos"/>
        <w:color w:val="5A7CA6"/>
        <w:sz w:val="15"/>
      </w:rPr>
      <w:instrText xml:space="preserve"> PAGE </w:instrText>
    </w:r>
    <w:r>
      <w:rPr>
        <w:rFonts w:ascii="Aptos" w:hAnsi="Aptos"/>
        <w:color w:val="5A7CA6"/>
        <w:sz w:val="15"/>
      </w:rPr>
      <w:fldChar w:fldCharType="separate"/>
    </w:r>
    <w:r>
      <w:rPr>
        <w:rFonts w:ascii="Aptos" w:hAnsi="Aptos"/>
        <w:color w:val="5A7CA6"/>
        <w:sz w:val="15"/>
      </w:rPr>
      <w:t>1</w:t>
    </w:r>
    <w:r>
      <w:rPr>
        <w:rFonts w:ascii="Aptos" w:hAnsi="Aptos"/>
        <w:color w:val="5A7CA6"/>
        <w:sz w:val="15"/>
      </w:rP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2" w:space="4" w:color="B8CCE4"/>
      </w:pBdr>
      <w:jc w:val="right"/>
    </w:pPr>
    <w:r>
      <w:rPr>
        <w:rFonts w:ascii="Aptos" w:hAnsi="Aptos"/>
        <w:caps/>
        <w:color w:val="5A7CA6"/>
        <w:sz w:val="15"/>
      </w:rPr>
      <w:t>The Canadian-American Friendship and Public Diplomacy Strategy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2" w:lineRule="auto"/>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 Note"/>
    <w:pPr>
      <w:spacing w:after="60"/>
    </w:pPr>
    <w:rPr>
      <w:rFonts w:ascii="Aptos" w:hAnsi="Aptos"/>
      <w:i/>
      <w:sz w:val="17"/>
    </w:rPr>
  </w:style>
  <w:style w:type="paragraph" w:customStyle="1" w:styleId="Callout">
    <w:name w:val="Callout"/>
    <w:pPr>
      <w:spacing w:before="160" w:after="160"/>
      <w:ind w:left="360" w:right="360"/>
    </w:pPr>
    <w:rPr>
      <w:rFonts w:ascii="Aptos" w:hAnsi="Aptos"/>
      <w:b/>
      <w:sz w:val="22"/>
    </w:rPr>
  </w:style>
  <w:style w:type="paragraph" w:styleId="TOC1">
    <w:name w:val="toc 1"/>
    <w:basedOn w:val="Normal"/>
    <w:next w:val="Normal"/>
    <w:autoRedefine/>
    <w:uiPriority w:val="39"/>
    <w:unhideWhenUsed/>
    <w:pPr>
      <w:tabs>
        <w:tab w:val="right" w:leader="dot" w:pos="9344"/>
      </w:tabs>
      <w:spacing w:before="160" w:after="40"/>
    </w:pPr>
    <w:rPr>
      <w:rFonts w:ascii="Aptos" w:hAnsi="Aptos"/>
      <w:b/>
      <w:color w:val="365F91"/>
      <w:sz w:val="21"/>
    </w:rPr>
  </w:style>
  <w:style w:type="paragraph" w:styleId="TOC2">
    <w:name w:val="toc 2"/>
    <w:basedOn w:val="Normal"/>
    <w:next w:val="Normal"/>
    <w:autoRedefine/>
    <w:uiPriority w:val="39"/>
    <w:unhideWhenUsed/>
    <w:pPr>
      <w:tabs>
        <w:tab w:val="right" w:leader="dot" w:pos="9344"/>
      </w:tabs>
      <w:spacing w:after="20"/>
      <w:ind w:left="360"/>
    </w:pPr>
    <w:rPr>
      <w:rFonts w:ascii="Aptos" w:hAnsi="Aptos"/>
      <w:color w:val="212121"/>
      <w:sz w:val="19"/>
    </w:rPr>
  </w:style>
  <w:style w:type="character" w:styleId="Hyperlink">
    <w:name w:val="Hyperlink"/>
    <w:basedOn w:val="DefaultParagraphFont"/>
    <w:uiPriority w:val="99"/>
    <w:unhideWhenUsed/>
    <w:rPr>
      <w:color w:val="365F9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