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jc w:val="center"/>
      </w:pPr>
    </w:p>
    <w:p>
      <w:pPr>
        <w:spacing w:after="220"/>
        <w:jc w:val="center"/>
      </w:pPr>
      <w:r>
        <w:rPr>
          <w:rFonts w:ascii="Aptos" w:hAnsi="Aptos"/>
          <w:caps/>
          <w:color w:val="78909C"/>
          <w:spacing w:val="30"/>
          <w:sz w:val="18"/>
        </w:rPr>
        <w:t>Strategic Policy Series  ·  Operational Calendar</w:t>
      </w:r>
    </w:p>
    <w:p>
      <w:pPr>
        <w:spacing w:after="160"/>
        <w:jc w:val="center"/>
      </w:pPr>
      <w:r>
        <w:rPr>
          <w:rFonts w:ascii="Aptos Display" w:hAnsi="Aptos Display"/>
          <w:b/>
          <w:color w:val="365F91"/>
          <w:spacing w:val="10"/>
          <w:sz w:val="38"/>
        </w:rPr>
        <w:t>The Canada-U.S. Strategic Timing</w:t>
      </w:r>
    </w:p>
    <w:p>
      <w:pPr>
        <w:spacing w:after="300"/>
        <w:jc w:val="center"/>
      </w:pPr>
      <w:r>
        <w:rPr>
          <w:rFonts w:ascii="Aptos Display" w:hAnsi="Aptos Display"/>
          <w:b/>
          <w:color w:val="365F91"/>
          <w:spacing w:val="10"/>
          <w:sz w:val="38"/>
        </w:rPr>
        <w:t>and Decision Windows Calendar</w:t>
      </w:r>
    </w:p>
    <w:p>
      <w:pPr>
        <w:spacing w:after="60"/>
        <w:jc w:val="center"/>
      </w:pPr>
      <w:r>
        <w:rPr>
          <w:rFonts w:ascii="Aptos" w:hAnsi="Aptos"/>
          <w:b/>
          <w:color w:val="4F81BD"/>
          <w:sz w:val="22"/>
        </w:rPr>
        <w:t>18-Month Living Operational Calendar</w:t>
      </w:r>
    </w:p>
    <w:p>
      <w:pPr>
        <w:spacing w:after="300"/>
        <w:jc w:val="center"/>
      </w:pPr>
      <w:r>
        <w:rPr>
          <w:rFonts w:ascii="Aptos" w:hAnsi="Aptos"/>
          <w:i/>
          <w:color w:val="546E7A"/>
          <w:sz w:val="20"/>
        </w:rPr>
        <w:t>September 2026 – February 2028</w:t>
      </w:r>
    </w:p>
    <w:p>
      <w:pPr>
        <w:pBdr>
          <w:bottom w:val="single" w:sz="6" w:space="1" w:color="4F81BD"/>
        </w:pBdr>
        <w:spacing w:after="300"/>
        <w:ind w:left="1600" w:right="1600"/>
      </w:pPr>
    </w:p>
    <w:p>
      <w:pPr>
        <w:spacing w:after="120"/>
        <w:jc w:val="center"/>
      </w:pPr>
      <w:r>
        <w:rPr>
          <w:rFonts w:ascii="Aptos" w:hAnsi="Aptos"/>
          <w:b/>
          <w:color w:val="365F91"/>
          <w:sz w:val="20"/>
        </w:rPr>
        <w:t>TIMING FOR ATTENTION, IMPLEMENTATION, NEGOTIATION, DE-ESCALATION, AND RESILIENCE</w:t>
      </w:r>
    </w:p>
    <w:p>
      <w:pPr>
        <w:spacing w:after="500"/>
        <w:jc w:val="center"/>
      </w:pPr>
      <w:r>
        <w:rPr>
          <w:rFonts w:ascii="Aptos" w:hAnsi="Aptos"/>
          <w:i/>
          <w:color w:val="78909C"/>
          <w:sz w:val="18"/>
        </w:rPr>
        <w:t>Not a calendar for maximizing civilian pain.</w:t>
      </w:r>
    </w:p>
    <w:p>
      <w:pPr>
        <w:spacing w:after="60"/>
        <w:jc w:val="center"/>
      </w:pPr>
      <w:r>
        <w:rPr>
          <w:rFonts w:ascii="Aptos" w:hAnsi="Aptos"/>
          <w:b/>
          <w:color w:val="546E7A"/>
          <w:sz w:val="19"/>
        </w:rPr>
        <w:t>Version 1.0  ·  August 28, 2026</w:t>
      </w:r>
    </w:p>
    <w:p>
      <w:pPr>
        <w:jc w:val="center"/>
      </w:pPr>
      <w:r>
        <w:rPr>
          <w:rFonts w:ascii="Aptos" w:hAnsi="Aptos"/>
          <w:color w:val="78909C"/>
          <w:sz w:val="18"/>
        </w:rPr>
        <w:t>Operational planning framework · Living document · Expert validation required</w:t>
      </w:r>
    </w:p>
    <w:p>
      <w:pPr>
        <w:sectPr>
          <w:pgSz w:w="12240" w:h="15840"/>
          <w:pgMar w:top="1440" w:right="1440" w:bottom="1440" w:left="1440" w:header="720" w:footer="720" w:gutter="0"/>
          <w:pgBorders w:offsetFrom="page">
            <w:top w:val="double" w:sz="6" w:space="24" w:color="365F91"/>
            <w:left w:val="double" w:sz="6" w:space="24" w:color="365F91"/>
            <w:bottom w:val="double" w:sz="6" w:space="24" w:color="365F91"/>
            <w:right w:val="double" w:sz="6" w:space="24" w:color="365F91"/>
          </w:pgBorders>
          <w:cols w:space="720"/>
        </w:sectPr>
      </w:pPr>
    </w:p>
    <w:p>
      <w:pPr>
        <w:keepNext/>
        <w:spacing w:after="300"/>
      </w:pPr>
      <w:r>
        <w:rPr>
          <w:rFonts w:ascii="Aptos Display" w:hAnsi="Aptos Display"/>
          <w:b/>
          <w:caps/>
          <w:color w:val="365F91"/>
          <w:sz w:val="30"/>
        </w:rPr>
        <w:t>Table of Contents</w:t>
      </w:r>
    </w:p>
    <w:p>
      <w:pPr>
        <w:pStyle w:val="TOC1"/>
      </w:pPr>
      <w:r>
        <w:fldChar w:fldCharType="begin" w:dirty="true"/>
      </w:r>
      <w:r>
        <w:instrText xml:space="preserve"> TOC \o "1-2" \h \z \u </w:instrText>
      </w:r>
      <w:r>
        <w:fldChar w:fldCharType="separate"/>
      </w:r>
      <w:hyperlink w:anchor="_Toc9500601" w:history="1">
        <w:r>
          <w:rPr>
            <w:rStyle w:val="Hyperlink"/>
          </w:rPr>
          <w:t>Executive Purpose</w:t>
        </w:r>
        <w:r>
          <w:tab/>
        </w:r>
        <w:r>
          <w:fldChar w:fldCharType="begin"/>
        </w:r>
        <w:r>
          <w:instrText xml:space="preserve"> PAGEREF _Toc9500601 \h </w:instrText>
        </w:r>
        <w:r>
          <w:fldChar w:fldCharType="separate"/>
        </w:r>
        <w:r>
          <w:t>4</w:t>
        </w:r>
        <w:r>
          <w:fldChar w:fldCharType="end"/>
        </w:r>
      </w:hyperlink>
    </w:p>
    <w:p>
      <w:pPr>
        <w:pStyle w:val="TOC2"/>
      </w:pPr>
      <w:hyperlink w:anchor="_Toc9500602" w:history="1">
        <w:r>
          <w:rPr>
            <w:rStyle w:val="Hyperlink"/>
          </w:rPr>
          <w:t>Current Baseline</w:t>
        </w:r>
        <w:r>
          <w:tab/>
        </w:r>
        <w:r>
          <w:fldChar w:fldCharType="begin"/>
        </w:r>
        <w:r>
          <w:instrText xml:space="preserve"> PAGEREF _Toc9500602 \h </w:instrText>
        </w:r>
        <w:r>
          <w:fldChar w:fldCharType="separate"/>
        </w:r>
        <w:r>
          <w:t>4</w:t>
        </w:r>
        <w:r>
          <w:fldChar w:fldCharType="end"/>
        </w:r>
      </w:hyperlink>
    </w:p>
    <w:p>
      <w:pPr>
        <w:pStyle w:val="TOC2"/>
      </w:pPr>
      <w:hyperlink w:anchor="_Toc9500603" w:history="1">
        <w:r>
          <w:rPr>
            <w:rStyle w:val="Hyperlink"/>
          </w:rPr>
          <w:t>Command Question</w:t>
        </w:r>
        <w:r>
          <w:tab/>
        </w:r>
        <w:r>
          <w:fldChar w:fldCharType="begin"/>
        </w:r>
        <w:r>
          <w:instrText xml:space="preserve"> PAGEREF _Toc9500603 \h </w:instrText>
        </w:r>
        <w:r>
          <w:fldChar w:fldCharType="separate"/>
        </w:r>
        <w:r>
          <w:t>4</w:t>
        </w:r>
        <w:r>
          <w:fldChar w:fldCharType="end"/>
        </w:r>
      </w:hyperlink>
    </w:p>
    <w:p>
      <w:pPr>
        <w:pStyle w:val="TOC2"/>
      </w:pPr>
      <w:hyperlink w:anchor="_Toc9500604" w:history="1">
        <w:r>
          <w:rPr>
            <w:rStyle w:val="Hyperlink"/>
          </w:rPr>
          <w:t>Four Window Types</w:t>
        </w:r>
        <w:r>
          <w:tab/>
        </w:r>
        <w:r>
          <w:fldChar w:fldCharType="begin"/>
        </w:r>
        <w:r>
          <w:instrText xml:space="preserve"> PAGEREF _Toc9500604 \h </w:instrText>
        </w:r>
        <w:r>
          <w:fldChar w:fldCharType="separate"/>
        </w:r>
        <w:r>
          <w:t>4</w:t>
        </w:r>
        <w:r>
          <w:fldChar w:fldCharType="end"/>
        </w:r>
      </w:hyperlink>
    </w:p>
    <w:p>
      <w:pPr>
        <w:pStyle w:val="TOC1"/>
      </w:pPr>
      <w:hyperlink w:anchor="_Toc9500605" w:history="1">
        <w:r>
          <w:rPr>
            <w:rStyle w:val="Hyperlink"/>
          </w:rPr>
          <w:t>How to Use This Calendar</w:t>
        </w:r>
        <w:r>
          <w:tab/>
        </w:r>
        <w:r>
          <w:fldChar w:fldCharType="begin"/>
        </w:r>
        <w:r>
          <w:instrText xml:space="preserve"> PAGEREF _Toc9500605 \h </w:instrText>
        </w:r>
        <w:r>
          <w:fldChar w:fldCharType="separate"/>
        </w:r>
        <w:r>
          <w:t>5</w:t>
        </w:r>
        <w:r>
          <w:fldChar w:fldCharType="end"/>
        </w:r>
      </w:hyperlink>
    </w:p>
    <w:p>
      <w:pPr>
        <w:pStyle w:val="TOC2"/>
      </w:pPr>
      <w:hyperlink w:anchor="_Toc9500606" w:history="1">
        <w:r>
          <w:rPr>
            <w:rStyle w:val="Hyperlink"/>
          </w:rPr>
          <w:t>Timing Doctrine</w:t>
        </w:r>
        <w:r>
          <w:tab/>
        </w:r>
        <w:r>
          <w:fldChar w:fldCharType="begin"/>
        </w:r>
        <w:r>
          <w:instrText xml:space="preserve"> PAGEREF _Toc9500606 \h </w:instrText>
        </w:r>
        <w:r>
          <w:fldChar w:fldCharType="separate"/>
        </w:r>
        <w:r>
          <w:t>5</w:t>
        </w:r>
        <w:r>
          <w:fldChar w:fldCharType="end"/>
        </w:r>
      </w:hyperlink>
    </w:p>
    <w:p>
      <w:pPr>
        <w:pStyle w:val="TOC1"/>
      </w:pPr>
      <w:hyperlink w:anchor="_Toc9500607" w:history="1">
        <w:r>
          <w:rPr>
            <w:rStyle w:val="Hyperlink"/>
          </w:rPr>
          <w:t>Evidence Confidence and Update Rules</w:t>
        </w:r>
        <w:r>
          <w:tab/>
        </w:r>
        <w:r>
          <w:fldChar w:fldCharType="begin"/>
        </w:r>
        <w:r>
          <w:instrText xml:space="preserve"> PAGEREF _Toc9500607 \h </w:instrText>
        </w:r>
        <w:r>
          <w:fldChar w:fldCharType="separate"/>
        </w:r>
        <w:r>
          <w:t>6</w:t>
        </w:r>
        <w:r>
          <w:fldChar w:fldCharType="end"/>
        </w:r>
      </w:hyperlink>
    </w:p>
    <w:p>
      <w:pPr>
        <w:pStyle w:val="TOC2"/>
      </w:pPr>
      <w:hyperlink w:anchor="_Toc9500608" w:history="1">
        <w:r>
          <w:rPr>
            <w:rStyle w:val="Hyperlink"/>
          </w:rPr>
          <w:t>Living-Calendar Maintenance</w:t>
        </w:r>
        <w:r>
          <w:tab/>
        </w:r>
        <w:r>
          <w:fldChar w:fldCharType="begin"/>
        </w:r>
        <w:r>
          <w:instrText xml:space="preserve"> PAGEREF _Toc9500608 \h </w:instrText>
        </w:r>
        <w:r>
          <w:fldChar w:fldCharType="separate"/>
        </w:r>
        <w:r>
          <w:t>6</w:t>
        </w:r>
        <w:r>
          <w:fldChar w:fldCharType="end"/>
        </w:r>
      </w:hyperlink>
    </w:p>
    <w:p>
      <w:pPr>
        <w:pStyle w:val="TOC1"/>
      </w:pPr>
      <w:hyperlink w:anchor="_Toc9500609" w:history="1">
        <w:r>
          <w:rPr>
            <w:rStyle w:val="Hyperlink"/>
          </w:rPr>
          <w:t>Fixed and Recurring Institutional Calendar</w:t>
        </w:r>
        <w:r>
          <w:tab/>
        </w:r>
        <w:r>
          <w:fldChar w:fldCharType="begin"/>
        </w:r>
        <w:r>
          <w:instrText xml:space="preserve"> PAGEREF _Toc9500609 \h </w:instrText>
        </w:r>
        <w:r>
          <w:fldChar w:fldCharType="separate"/>
        </w:r>
        <w:r>
          <w:t>7</w:t>
        </w:r>
        <w:r>
          <w:fldChar w:fldCharType="end"/>
        </w:r>
      </w:hyperlink>
    </w:p>
    <w:p>
      <w:pPr>
        <w:pStyle w:val="TOC2"/>
      </w:pPr>
      <w:hyperlink w:anchor="_Toc9500610" w:history="1">
        <w:r>
          <w:rPr>
            <w:rStyle w:val="Hyperlink"/>
          </w:rPr>
          <w:t>U.S. Congress — Late 2026</w:t>
        </w:r>
        <w:r>
          <w:tab/>
        </w:r>
        <w:r>
          <w:fldChar w:fldCharType="begin"/>
        </w:r>
        <w:r>
          <w:instrText xml:space="preserve"> PAGEREF _Toc9500610 \h </w:instrText>
        </w:r>
        <w:r>
          <w:fldChar w:fldCharType="separate"/>
        </w:r>
        <w:r>
          <w:t>7</w:t>
        </w:r>
        <w:r>
          <w:fldChar w:fldCharType="end"/>
        </w:r>
      </w:hyperlink>
    </w:p>
    <w:p>
      <w:pPr>
        <w:pStyle w:val="TOC2"/>
      </w:pPr>
      <w:hyperlink w:anchor="_Toc9500611" w:history="1">
        <w:r>
          <w:rPr>
            <w:rStyle w:val="Hyperlink"/>
          </w:rPr>
          <w:t>Canadian Parliament — Fall 2026</w:t>
        </w:r>
        <w:r>
          <w:tab/>
        </w:r>
        <w:r>
          <w:fldChar w:fldCharType="begin"/>
        </w:r>
        <w:r>
          <w:instrText xml:space="preserve"> PAGEREF _Toc9500611 \h </w:instrText>
        </w:r>
        <w:r>
          <w:fldChar w:fldCharType="separate"/>
        </w:r>
        <w:r>
          <w:t>7</w:t>
        </w:r>
        <w:r>
          <w:fldChar w:fldCharType="end"/>
        </w:r>
      </w:hyperlink>
    </w:p>
    <w:p>
      <w:pPr>
        <w:pStyle w:val="TOC2"/>
      </w:pPr>
      <w:hyperlink w:anchor="_Toc9500612" w:history="1">
        <w:r>
          <w:rPr>
            <w:rStyle w:val="Hyperlink"/>
          </w:rPr>
          <w:t>Monetary Policy Anchors</w:t>
        </w:r>
        <w:r>
          <w:tab/>
        </w:r>
        <w:r>
          <w:fldChar w:fldCharType="begin"/>
        </w:r>
        <w:r>
          <w:instrText xml:space="preserve"> PAGEREF _Toc9500612 \h </w:instrText>
        </w:r>
        <w:r>
          <w:fldChar w:fldCharType="separate"/>
        </w:r>
        <w:r>
          <w:t>7</w:t>
        </w:r>
        <w:r>
          <w:fldChar w:fldCharType="end"/>
        </w:r>
      </w:hyperlink>
    </w:p>
    <w:p>
      <w:pPr>
        <w:pStyle w:val="TOC1"/>
      </w:pPr>
      <w:hyperlink w:anchor="_Toc9500613" w:history="1">
        <w:r>
          <w:rPr>
            <w:rStyle w:val="Hyperlink"/>
          </w:rPr>
          <w:t>Economic, Agricultural and Energy Signal Calendar</w:t>
        </w:r>
        <w:r>
          <w:tab/>
        </w:r>
        <w:r>
          <w:fldChar w:fldCharType="begin"/>
        </w:r>
        <w:r>
          <w:instrText xml:space="preserve"> PAGEREF _Toc9500613 \h </w:instrText>
        </w:r>
        <w:r>
          <w:fldChar w:fldCharType="separate"/>
        </w:r>
        <w:r>
          <w:t>8</w:t>
        </w:r>
        <w:r>
          <w:fldChar w:fldCharType="end"/>
        </w:r>
      </w:hyperlink>
    </w:p>
    <w:p>
      <w:pPr>
        <w:pStyle w:val="TOC2"/>
      </w:pPr>
      <w:hyperlink w:anchor="_Toc9500614" w:history="1">
        <w:r>
          <w:rPr>
            <w:rStyle w:val="Hyperlink"/>
          </w:rPr>
          <w:t>Agriculture</w:t>
        </w:r>
        <w:r>
          <w:tab/>
        </w:r>
        <w:r>
          <w:fldChar w:fldCharType="begin"/>
        </w:r>
        <w:r>
          <w:instrText xml:space="preserve"> PAGEREF _Toc9500614 \h </w:instrText>
        </w:r>
        <w:r>
          <w:fldChar w:fldCharType="separate"/>
        </w:r>
        <w:r>
          <w:t>8</w:t>
        </w:r>
        <w:r>
          <w:fldChar w:fldCharType="end"/>
        </w:r>
      </w:hyperlink>
    </w:p>
    <w:p>
      <w:pPr>
        <w:pStyle w:val="TOC2"/>
      </w:pPr>
      <w:hyperlink w:anchor="_Toc9500615" w:history="1">
        <w:r>
          <w:rPr>
            <w:rStyle w:val="Hyperlink"/>
          </w:rPr>
          <w:t>Energy</w:t>
        </w:r>
        <w:r>
          <w:tab/>
        </w:r>
        <w:r>
          <w:fldChar w:fldCharType="begin"/>
        </w:r>
        <w:r>
          <w:instrText xml:space="preserve"> PAGEREF _Toc9500615 \h </w:instrText>
        </w:r>
        <w:r>
          <w:fldChar w:fldCharType="separate"/>
        </w:r>
        <w:r>
          <w:t>8</w:t>
        </w:r>
        <w:r>
          <w:fldChar w:fldCharType="end"/>
        </w:r>
      </w:hyperlink>
    </w:p>
    <w:p>
      <w:pPr>
        <w:pStyle w:val="TOC2"/>
      </w:pPr>
      <w:hyperlink w:anchor="_Toc9500616" w:history="1">
        <w:r>
          <w:rPr>
            <w:rStyle w:val="Hyperlink"/>
          </w:rPr>
          <w:t>Automotive</w:t>
        </w:r>
        <w:r>
          <w:tab/>
        </w:r>
        <w:r>
          <w:fldChar w:fldCharType="begin"/>
        </w:r>
        <w:r>
          <w:instrText xml:space="preserve"> PAGEREF _Toc9500616 \h </w:instrText>
        </w:r>
        <w:r>
          <w:fldChar w:fldCharType="separate"/>
        </w:r>
        <w:r>
          <w:t>8</w:t>
        </w:r>
        <w:r>
          <w:fldChar w:fldCharType="end"/>
        </w:r>
      </w:hyperlink>
    </w:p>
    <w:p>
      <w:pPr>
        <w:pStyle w:val="TOC1"/>
      </w:pPr>
      <w:hyperlink w:anchor="_Toc9500617" w:history="1">
        <w:r>
          <w:rPr>
            <w:rStyle w:val="Hyperlink"/>
          </w:rPr>
          <w:t>Month 1: September 2026 — Operational Picture</w:t>
        </w:r>
        <w:r>
          <w:tab/>
        </w:r>
        <w:r>
          <w:fldChar w:fldCharType="begin"/>
        </w:r>
        <w:r>
          <w:instrText xml:space="preserve"> PAGEREF _Toc9500617 \h </w:instrText>
        </w:r>
        <w:r>
          <w:fldChar w:fldCharType="separate"/>
        </w:r>
        <w:r>
          <w:t>9</w:t>
        </w:r>
        <w:r>
          <w:fldChar w:fldCharType="end"/>
        </w:r>
      </w:hyperlink>
    </w:p>
    <w:p>
      <w:pPr>
        <w:pStyle w:val="TOC2"/>
      </w:pPr>
      <w:hyperlink w:anchor="_Toc9500618" w:history="1">
        <w:r>
          <w:rPr>
            <w:rStyle w:val="Hyperlink"/>
          </w:rPr>
          <w:t>Known and Expected Decision Markers</w:t>
        </w:r>
        <w:r>
          <w:tab/>
        </w:r>
        <w:r>
          <w:fldChar w:fldCharType="begin"/>
        </w:r>
        <w:r>
          <w:instrText xml:space="preserve"> PAGEREF _Toc9500618 \h </w:instrText>
        </w:r>
        <w:r>
          <w:fldChar w:fldCharType="separate"/>
        </w:r>
        <w:r>
          <w:t>9</w:t>
        </w:r>
        <w:r>
          <w:fldChar w:fldCharType="end"/>
        </w:r>
      </w:hyperlink>
    </w:p>
    <w:p>
      <w:pPr>
        <w:pStyle w:val="TOC2"/>
      </w:pPr>
      <w:hyperlink w:anchor="_Toc9500619" w:history="1">
        <w:r>
          <w:rPr>
            <w:rStyle w:val="Hyperlink"/>
          </w:rPr>
          <w:t>Recommended Posture</w:t>
        </w:r>
        <w:r>
          <w:tab/>
        </w:r>
        <w:r>
          <w:fldChar w:fldCharType="begin"/>
        </w:r>
        <w:r>
          <w:instrText xml:space="preserve"> PAGEREF _Toc9500619 \h </w:instrText>
        </w:r>
        <w:r>
          <w:fldChar w:fldCharType="separate"/>
        </w:r>
        <w:r>
          <w:t>9</w:t>
        </w:r>
        <w:r>
          <w:fldChar w:fldCharType="end"/>
        </w:r>
      </w:hyperlink>
    </w:p>
    <w:p>
      <w:pPr>
        <w:pStyle w:val="TOC2"/>
      </w:pPr>
      <w:hyperlink w:anchor="_Toc9500620" w:history="1">
        <w:r>
          <w:rPr>
            <w:rStyle w:val="Hyperlink"/>
          </w:rPr>
          <w:t>Do / Avoid</w:t>
        </w:r>
        <w:r>
          <w:tab/>
        </w:r>
        <w:r>
          <w:fldChar w:fldCharType="begin"/>
        </w:r>
        <w:r>
          <w:instrText xml:space="preserve"> PAGEREF _Toc9500620 \h </w:instrText>
        </w:r>
        <w:r>
          <w:fldChar w:fldCharType="separate"/>
        </w:r>
        <w:r>
          <w:t>9</w:t>
        </w:r>
        <w:r>
          <w:fldChar w:fldCharType="end"/>
        </w:r>
      </w:hyperlink>
    </w:p>
    <w:p>
      <w:pPr>
        <w:pStyle w:val="TOC1"/>
      </w:pPr>
      <w:hyperlink w:anchor="_Toc9500621" w:history="1">
        <w:r>
          <w:rPr>
            <w:rStyle w:val="Hyperlink"/>
          </w:rPr>
          <w:t>September 2026 — Decision Windows and Trigger Sheet</w:t>
        </w:r>
        <w:r>
          <w:tab/>
        </w:r>
        <w:r>
          <w:fldChar w:fldCharType="begin"/>
        </w:r>
        <w:r>
          <w:instrText xml:space="preserve"> PAGEREF _Toc9500621 \h </w:instrText>
        </w:r>
        <w:r>
          <w:fldChar w:fldCharType="separate"/>
        </w:r>
        <w:r>
          <w:t>10</w:t>
        </w:r>
        <w:r>
          <w:fldChar w:fldCharType="end"/>
        </w:r>
      </w:hyperlink>
    </w:p>
    <w:p>
      <w:pPr>
        <w:pStyle w:val="TOC2"/>
      </w:pPr>
      <w:hyperlink w:anchor="_Toc9500622" w:history="1">
        <w:r>
          <w:rPr>
            <w:rStyle w:val="Hyperlink"/>
          </w:rPr>
          <w:t>Monthly Trigger Questions</w:t>
        </w:r>
        <w:r>
          <w:tab/>
        </w:r>
        <w:r>
          <w:fldChar w:fldCharType="begin"/>
        </w:r>
        <w:r>
          <w:instrText xml:space="preserve"> PAGEREF _Toc9500622 \h </w:instrText>
        </w:r>
        <w:r>
          <w:fldChar w:fldCharType="separate"/>
        </w:r>
        <w:r>
          <w:t>10</w:t>
        </w:r>
        <w:r>
          <w:fldChar w:fldCharType="end"/>
        </w:r>
      </w:hyperlink>
    </w:p>
    <w:p>
      <w:pPr>
        <w:pStyle w:val="TOC2"/>
      </w:pPr>
      <w:hyperlink w:anchor="_Toc9500623" w:history="1">
        <w:r>
          <w:rPr>
            <w:rStyle w:val="Hyperlink"/>
          </w:rPr>
          <w:t>Month-End Required Output</w:t>
        </w:r>
        <w:r>
          <w:tab/>
        </w:r>
        <w:r>
          <w:fldChar w:fldCharType="begin"/>
        </w:r>
        <w:r>
          <w:instrText xml:space="preserve"> PAGEREF _Toc9500623 \h </w:instrText>
        </w:r>
        <w:r>
          <w:fldChar w:fldCharType="separate"/>
        </w:r>
        <w:r>
          <w:t>10</w:t>
        </w:r>
        <w:r>
          <w:fldChar w:fldCharType="end"/>
        </w:r>
      </w:hyperlink>
    </w:p>
    <w:p>
      <w:pPr>
        <w:pStyle w:val="TOC1"/>
      </w:pPr>
      <w:hyperlink w:anchor="_Toc9500624" w:history="1">
        <w:r>
          <w:rPr>
            <w:rStyle w:val="Hyperlink"/>
          </w:rPr>
          <w:t>Month 2: October 2026 — Operational Picture</w:t>
        </w:r>
        <w:r>
          <w:tab/>
        </w:r>
        <w:r>
          <w:fldChar w:fldCharType="begin"/>
        </w:r>
        <w:r>
          <w:instrText xml:space="preserve"> PAGEREF _Toc9500624 \h </w:instrText>
        </w:r>
        <w:r>
          <w:fldChar w:fldCharType="separate"/>
        </w:r>
        <w:r>
          <w:t>11</w:t>
        </w:r>
        <w:r>
          <w:fldChar w:fldCharType="end"/>
        </w:r>
      </w:hyperlink>
    </w:p>
    <w:p>
      <w:pPr>
        <w:pStyle w:val="TOC2"/>
      </w:pPr>
      <w:hyperlink w:anchor="_Toc9500625" w:history="1">
        <w:r>
          <w:rPr>
            <w:rStyle w:val="Hyperlink"/>
          </w:rPr>
          <w:t>Known and Expected Decision Markers</w:t>
        </w:r>
        <w:r>
          <w:tab/>
        </w:r>
        <w:r>
          <w:fldChar w:fldCharType="begin"/>
        </w:r>
        <w:r>
          <w:instrText xml:space="preserve"> PAGEREF _Toc9500625 \h </w:instrText>
        </w:r>
        <w:r>
          <w:fldChar w:fldCharType="separate"/>
        </w:r>
        <w:r>
          <w:t>11</w:t>
        </w:r>
        <w:r>
          <w:fldChar w:fldCharType="end"/>
        </w:r>
      </w:hyperlink>
    </w:p>
    <w:p>
      <w:pPr>
        <w:pStyle w:val="TOC2"/>
      </w:pPr>
      <w:hyperlink w:anchor="_Toc9500626" w:history="1">
        <w:r>
          <w:rPr>
            <w:rStyle w:val="Hyperlink"/>
          </w:rPr>
          <w:t>Recommended Posture</w:t>
        </w:r>
        <w:r>
          <w:tab/>
        </w:r>
        <w:r>
          <w:fldChar w:fldCharType="begin"/>
        </w:r>
        <w:r>
          <w:instrText xml:space="preserve"> PAGEREF _Toc9500626 \h </w:instrText>
        </w:r>
        <w:r>
          <w:fldChar w:fldCharType="separate"/>
        </w:r>
        <w:r>
          <w:t>11</w:t>
        </w:r>
        <w:r>
          <w:fldChar w:fldCharType="end"/>
        </w:r>
      </w:hyperlink>
    </w:p>
    <w:p>
      <w:pPr>
        <w:pStyle w:val="TOC2"/>
      </w:pPr>
      <w:hyperlink w:anchor="_Toc9500627" w:history="1">
        <w:r>
          <w:rPr>
            <w:rStyle w:val="Hyperlink"/>
          </w:rPr>
          <w:t>Do / Avoid</w:t>
        </w:r>
        <w:r>
          <w:tab/>
        </w:r>
        <w:r>
          <w:fldChar w:fldCharType="begin"/>
        </w:r>
        <w:r>
          <w:instrText xml:space="preserve"> PAGEREF _Toc9500627 \h </w:instrText>
        </w:r>
        <w:r>
          <w:fldChar w:fldCharType="separate"/>
        </w:r>
        <w:r>
          <w:t>11</w:t>
        </w:r>
        <w:r>
          <w:fldChar w:fldCharType="end"/>
        </w:r>
      </w:hyperlink>
    </w:p>
    <w:p>
      <w:pPr>
        <w:pStyle w:val="TOC1"/>
      </w:pPr>
      <w:hyperlink w:anchor="_Toc9500628" w:history="1">
        <w:r>
          <w:rPr>
            <w:rStyle w:val="Hyperlink"/>
          </w:rPr>
          <w:t>October 2026 — Decision Windows and Trigger Sheet</w:t>
        </w:r>
        <w:r>
          <w:tab/>
        </w:r>
        <w:r>
          <w:fldChar w:fldCharType="begin"/>
        </w:r>
        <w:r>
          <w:instrText xml:space="preserve"> PAGEREF _Toc9500628 \h </w:instrText>
        </w:r>
        <w:r>
          <w:fldChar w:fldCharType="separate"/>
        </w:r>
        <w:r>
          <w:t>12</w:t>
        </w:r>
        <w:r>
          <w:fldChar w:fldCharType="end"/>
        </w:r>
      </w:hyperlink>
    </w:p>
    <w:p>
      <w:pPr>
        <w:pStyle w:val="TOC2"/>
      </w:pPr>
      <w:hyperlink w:anchor="_Toc9500629" w:history="1">
        <w:r>
          <w:rPr>
            <w:rStyle w:val="Hyperlink"/>
          </w:rPr>
          <w:t>Monthly Trigger Questions</w:t>
        </w:r>
        <w:r>
          <w:tab/>
        </w:r>
        <w:r>
          <w:fldChar w:fldCharType="begin"/>
        </w:r>
        <w:r>
          <w:instrText xml:space="preserve"> PAGEREF _Toc9500629 \h </w:instrText>
        </w:r>
        <w:r>
          <w:fldChar w:fldCharType="separate"/>
        </w:r>
        <w:r>
          <w:t>12</w:t>
        </w:r>
        <w:r>
          <w:fldChar w:fldCharType="end"/>
        </w:r>
      </w:hyperlink>
    </w:p>
    <w:p>
      <w:pPr>
        <w:pStyle w:val="TOC2"/>
      </w:pPr>
      <w:hyperlink w:anchor="_Toc9500630" w:history="1">
        <w:r>
          <w:rPr>
            <w:rStyle w:val="Hyperlink"/>
          </w:rPr>
          <w:t>Month-End Required Output</w:t>
        </w:r>
        <w:r>
          <w:tab/>
        </w:r>
        <w:r>
          <w:fldChar w:fldCharType="begin"/>
        </w:r>
        <w:r>
          <w:instrText xml:space="preserve"> PAGEREF _Toc9500630 \h </w:instrText>
        </w:r>
        <w:r>
          <w:fldChar w:fldCharType="separate"/>
        </w:r>
        <w:r>
          <w:t>12</w:t>
        </w:r>
        <w:r>
          <w:fldChar w:fldCharType="end"/>
        </w:r>
      </w:hyperlink>
    </w:p>
    <w:p>
      <w:pPr>
        <w:pStyle w:val="TOC1"/>
      </w:pPr>
      <w:hyperlink w:anchor="_Toc9500631" w:history="1">
        <w:r>
          <w:rPr>
            <w:rStyle w:val="Hyperlink"/>
          </w:rPr>
          <w:t>Month 3: November 2026 — Operational Picture</w:t>
        </w:r>
        <w:r>
          <w:tab/>
        </w:r>
        <w:r>
          <w:fldChar w:fldCharType="begin"/>
        </w:r>
        <w:r>
          <w:instrText xml:space="preserve"> PAGEREF _Toc9500631 \h </w:instrText>
        </w:r>
        <w:r>
          <w:fldChar w:fldCharType="separate"/>
        </w:r>
        <w:r>
          <w:t>13</w:t>
        </w:r>
        <w:r>
          <w:fldChar w:fldCharType="end"/>
        </w:r>
      </w:hyperlink>
    </w:p>
    <w:p>
      <w:pPr>
        <w:pStyle w:val="TOC2"/>
      </w:pPr>
      <w:hyperlink w:anchor="_Toc9500632" w:history="1">
        <w:r>
          <w:rPr>
            <w:rStyle w:val="Hyperlink"/>
          </w:rPr>
          <w:t>Known and Expected Decision Markers</w:t>
        </w:r>
        <w:r>
          <w:tab/>
        </w:r>
        <w:r>
          <w:fldChar w:fldCharType="begin"/>
        </w:r>
        <w:r>
          <w:instrText xml:space="preserve"> PAGEREF _Toc9500632 \h </w:instrText>
        </w:r>
        <w:r>
          <w:fldChar w:fldCharType="separate"/>
        </w:r>
        <w:r>
          <w:t>13</w:t>
        </w:r>
        <w:r>
          <w:fldChar w:fldCharType="end"/>
        </w:r>
      </w:hyperlink>
    </w:p>
    <w:p>
      <w:pPr>
        <w:pStyle w:val="TOC2"/>
      </w:pPr>
      <w:hyperlink w:anchor="_Toc9500633" w:history="1">
        <w:r>
          <w:rPr>
            <w:rStyle w:val="Hyperlink"/>
          </w:rPr>
          <w:t>Recommended Posture</w:t>
        </w:r>
        <w:r>
          <w:tab/>
        </w:r>
        <w:r>
          <w:fldChar w:fldCharType="begin"/>
        </w:r>
        <w:r>
          <w:instrText xml:space="preserve"> PAGEREF _Toc9500633 \h </w:instrText>
        </w:r>
        <w:r>
          <w:fldChar w:fldCharType="separate"/>
        </w:r>
        <w:r>
          <w:t>13</w:t>
        </w:r>
        <w:r>
          <w:fldChar w:fldCharType="end"/>
        </w:r>
      </w:hyperlink>
    </w:p>
    <w:p>
      <w:pPr>
        <w:pStyle w:val="TOC2"/>
      </w:pPr>
      <w:hyperlink w:anchor="_Toc9500634" w:history="1">
        <w:r>
          <w:rPr>
            <w:rStyle w:val="Hyperlink"/>
          </w:rPr>
          <w:t>Do / Avoid</w:t>
        </w:r>
        <w:r>
          <w:tab/>
        </w:r>
        <w:r>
          <w:fldChar w:fldCharType="begin"/>
        </w:r>
        <w:r>
          <w:instrText xml:space="preserve"> PAGEREF _Toc9500634 \h </w:instrText>
        </w:r>
        <w:r>
          <w:fldChar w:fldCharType="separate"/>
        </w:r>
        <w:r>
          <w:t>13</w:t>
        </w:r>
        <w:r>
          <w:fldChar w:fldCharType="end"/>
        </w:r>
      </w:hyperlink>
    </w:p>
    <w:p>
      <w:pPr>
        <w:pStyle w:val="TOC1"/>
      </w:pPr>
      <w:hyperlink w:anchor="_Toc9500635" w:history="1">
        <w:r>
          <w:rPr>
            <w:rStyle w:val="Hyperlink"/>
          </w:rPr>
          <w:t>November 2026 — Decision Windows and Trigger Sheet</w:t>
        </w:r>
        <w:r>
          <w:tab/>
        </w:r>
        <w:r>
          <w:fldChar w:fldCharType="begin"/>
        </w:r>
        <w:r>
          <w:instrText xml:space="preserve"> PAGEREF _Toc9500635 \h </w:instrText>
        </w:r>
        <w:r>
          <w:fldChar w:fldCharType="separate"/>
        </w:r>
        <w:r>
          <w:t>14</w:t>
        </w:r>
        <w:r>
          <w:fldChar w:fldCharType="end"/>
        </w:r>
      </w:hyperlink>
    </w:p>
    <w:p>
      <w:pPr>
        <w:pStyle w:val="TOC2"/>
      </w:pPr>
      <w:hyperlink w:anchor="_Toc9500636" w:history="1">
        <w:r>
          <w:rPr>
            <w:rStyle w:val="Hyperlink"/>
          </w:rPr>
          <w:t>Monthly Trigger Questions</w:t>
        </w:r>
        <w:r>
          <w:tab/>
        </w:r>
        <w:r>
          <w:fldChar w:fldCharType="begin"/>
        </w:r>
        <w:r>
          <w:instrText xml:space="preserve"> PAGEREF _Toc9500636 \h </w:instrText>
        </w:r>
        <w:r>
          <w:fldChar w:fldCharType="separate"/>
        </w:r>
        <w:r>
          <w:t>14</w:t>
        </w:r>
        <w:r>
          <w:fldChar w:fldCharType="end"/>
        </w:r>
      </w:hyperlink>
    </w:p>
    <w:p>
      <w:pPr>
        <w:pStyle w:val="TOC2"/>
      </w:pPr>
      <w:hyperlink w:anchor="_Toc9500637" w:history="1">
        <w:r>
          <w:rPr>
            <w:rStyle w:val="Hyperlink"/>
          </w:rPr>
          <w:t>Month-End Required Output</w:t>
        </w:r>
        <w:r>
          <w:tab/>
        </w:r>
        <w:r>
          <w:fldChar w:fldCharType="begin"/>
        </w:r>
        <w:r>
          <w:instrText xml:space="preserve"> PAGEREF _Toc9500637 \h </w:instrText>
        </w:r>
        <w:r>
          <w:fldChar w:fldCharType="separate"/>
        </w:r>
        <w:r>
          <w:t>14</w:t>
        </w:r>
        <w:r>
          <w:fldChar w:fldCharType="end"/>
        </w:r>
      </w:hyperlink>
    </w:p>
    <w:p>
      <w:pPr>
        <w:pStyle w:val="TOC1"/>
      </w:pPr>
      <w:hyperlink w:anchor="_Toc9500638" w:history="1">
        <w:r>
          <w:rPr>
            <w:rStyle w:val="Hyperlink"/>
          </w:rPr>
          <w:t>Month 4: December 2026 — Operational Picture</w:t>
        </w:r>
        <w:r>
          <w:tab/>
        </w:r>
        <w:r>
          <w:fldChar w:fldCharType="begin"/>
        </w:r>
        <w:r>
          <w:instrText xml:space="preserve"> PAGEREF _Toc9500638 \h </w:instrText>
        </w:r>
        <w:r>
          <w:fldChar w:fldCharType="separate"/>
        </w:r>
        <w:r>
          <w:t>15</w:t>
        </w:r>
        <w:r>
          <w:fldChar w:fldCharType="end"/>
        </w:r>
      </w:hyperlink>
    </w:p>
    <w:p>
      <w:pPr>
        <w:pStyle w:val="TOC2"/>
      </w:pPr>
      <w:hyperlink w:anchor="_Toc9500639" w:history="1">
        <w:r>
          <w:rPr>
            <w:rStyle w:val="Hyperlink"/>
          </w:rPr>
          <w:t>Known and Expected Decision Markers</w:t>
        </w:r>
        <w:r>
          <w:tab/>
        </w:r>
        <w:r>
          <w:fldChar w:fldCharType="begin"/>
        </w:r>
        <w:r>
          <w:instrText xml:space="preserve"> PAGEREF _Toc9500639 \h </w:instrText>
        </w:r>
        <w:r>
          <w:fldChar w:fldCharType="separate"/>
        </w:r>
        <w:r>
          <w:t>15</w:t>
        </w:r>
        <w:r>
          <w:fldChar w:fldCharType="end"/>
        </w:r>
      </w:hyperlink>
    </w:p>
    <w:p>
      <w:pPr>
        <w:pStyle w:val="TOC2"/>
      </w:pPr>
      <w:hyperlink w:anchor="_Toc9500640" w:history="1">
        <w:r>
          <w:rPr>
            <w:rStyle w:val="Hyperlink"/>
          </w:rPr>
          <w:t>Recommended Posture</w:t>
        </w:r>
        <w:r>
          <w:tab/>
        </w:r>
        <w:r>
          <w:fldChar w:fldCharType="begin"/>
        </w:r>
        <w:r>
          <w:instrText xml:space="preserve"> PAGEREF _Toc9500640 \h </w:instrText>
        </w:r>
        <w:r>
          <w:fldChar w:fldCharType="separate"/>
        </w:r>
        <w:r>
          <w:t>15</w:t>
        </w:r>
        <w:r>
          <w:fldChar w:fldCharType="end"/>
        </w:r>
      </w:hyperlink>
    </w:p>
    <w:p>
      <w:pPr>
        <w:pStyle w:val="TOC2"/>
      </w:pPr>
      <w:hyperlink w:anchor="_Toc9500641" w:history="1">
        <w:r>
          <w:rPr>
            <w:rStyle w:val="Hyperlink"/>
          </w:rPr>
          <w:t>Do / Avoid</w:t>
        </w:r>
        <w:r>
          <w:tab/>
        </w:r>
        <w:r>
          <w:fldChar w:fldCharType="begin"/>
        </w:r>
        <w:r>
          <w:instrText xml:space="preserve"> PAGEREF _Toc9500641 \h </w:instrText>
        </w:r>
        <w:r>
          <w:fldChar w:fldCharType="separate"/>
        </w:r>
        <w:r>
          <w:t>15</w:t>
        </w:r>
        <w:r>
          <w:fldChar w:fldCharType="end"/>
        </w:r>
      </w:hyperlink>
    </w:p>
    <w:p>
      <w:pPr>
        <w:pStyle w:val="TOC1"/>
      </w:pPr>
      <w:hyperlink w:anchor="_Toc9500642" w:history="1">
        <w:r>
          <w:rPr>
            <w:rStyle w:val="Hyperlink"/>
          </w:rPr>
          <w:t>December 2026 — Decision Windows and Trigger Sheet</w:t>
        </w:r>
        <w:r>
          <w:tab/>
        </w:r>
        <w:r>
          <w:fldChar w:fldCharType="begin"/>
        </w:r>
        <w:r>
          <w:instrText xml:space="preserve"> PAGEREF _Toc9500642 \h </w:instrText>
        </w:r>
        <w:r>
          <w:fldChar w:fldCharType="separate"/>
        </w:r>
        <w:r>
          <w:t>16</w:t>
        </w:r>
        <w:r>
          <w:fldChar w:fldCharType="end"/>
        </w:r>
      </w:hyperlink>
    </w:p>
    <w:p>
      <w:pPr>
        <w:pStyle w:val="TOC2"/>
      </w:pPr>
      <w:hyperlink w:anchor="_Toc9500643" w:history="1">
        <w:r>
          <w:rPr>
            <w:rStyle w:val="Hyperlink"/>
          </w:rPr>
          <w:t>Monthly Trigger Questions</w:t>
        </w:r>
        <w:r>
          <w:tab/>
        </w:r>
        <w:r>
          <w:fldChar w:fldCharType="begin"/>
        </w:r>
        <w:r>
          <w:instrText xml:space="preserve"> PAGEREF _Toc9500643 \h </w:instrText>
        </w:r>
        <w:r>
          <w:fldChar w:fldCharType="separate"/>
        </w:r>
        <w:r>
          <w:t>16</w:t>
        </w:r>
        <w:r>
          <w:fldChar w:fldCharType="end"/>
        </w:r>
      </w:hyperlink>
    </w:p>
    <w:p>
      <w:pPr>
        <w:pStyle w:val="TOC2"/>
      </w:pPr>
      <w:hyperlink w:anchor="_Toc9500644" w:history="1">
        <w:r>
          <w:rPr>
            <w:rStyle w:val="Hyperlink"/>
          </w:rPr>
          <w:t>Month-End Required Output</w:t>
        </w:r>
        <w:r>
          <w:tab/>
        </w:r>
        <w:r>
          <w:fldChar w:fldCharType="begin"/>
        </w:r>
        <w:r>
          <w:instrText xml:space="preserve"> PAGEREF _Toc9500644 \h </w:instrText>
        </w:r>
        <w:r>
          <w:fldChar w:fldCharType="separate"/>
        </w:r>
        <w:r>
          <w:t>16</w:t>
        </w:r>
        <w:r>
          <w:fldChar w:fldCharType="end"/>
        </w:r>
      </w:hyperlink>
    </w:p>
    <w:p>
      <w:pPr>
        <w:pStyle w:val="TOC1"/>
      </w:pPr>
      <w:hyperlink w:anchor="_Toc9500645" w:history="1">
        <w:r>
          <w:rPr>
            <w:rStyle w:val="Hyperlink"/>
          </w:rPr>
          <w:t>Month 5: January 2027 — Operational Picture</w:t>
        </w:r>
        <w:r>
          <w:tab/>
        </w:r>
        <w:r>
          <w:fldChar w:fldCharType="begin"/>
        </w:r>
        <w:r>
          <w:instrText xml:space="preserve"> PAGEREF _Toc9500645 \h </w:instrText>
        </w:r>
        <w:r>
          <w:fldChar w:fldCharType="separate"/>
        </w:r>
        <w:r>
          <w:t>17</w:t>
        </w:r>
        <w:r>
          <w:fldChar w:fldCharType="end"/>
        </w:r>
      </w:hyperlink>
    </w:p>
    <w:p>
      <w:pPr>
        <w:pStyle w:val="TOC2"/>
      </w:pPr>
      <w:hyperlink w:anchor="_Toc9500646" w:history="1">
        <w:r>
          <w:rPr>
            <w:rStyle w:val="Hyperlink"/>
          </w:rPr>
          <w:t>Known and Expected Decision Markers</w:t>
        </w:r>
        <w:r>
          <w:tab/>
        </w:r>
        <w:r>
          <w:fldChar w:fldCharType="begin"/>
        </w:r>
        <w:r>
          <w:instrText xml:space="preserve"> PAGEREF _Toc9500646 \h </w:instrText>
        </w:r>
        <w:r>
          <w:fldChar w:fldCharType="separate"/>
        </w:r>
        <w:r>
          <w:t>17</w:t>
        </w:r>
        <w:r>
          <w:fldChar w:fldCharType="end"/>
        </w:r>
      </w:hyperlink>
    </w:p>
    <w:p>
      <w:pPr>
        <w:pStyle w:val="TOC2"/>
      </w:pPr>
      <w:hyperlink w:anchor="_Toc9500647" w:history="1">
        <w:r>
          <w:rPr>
            <w:rStyle w:val="Hyperlink"/>
          </w:rPr>
          <w:t>Recommended Posture</w:t>
        </w:r>
        <w:r>
          <w:tab/>
        </w:r>
        <w:r>
          <w:fldChar w:fldCharType="begin"/>
        </w:r>
        <w:r>
          <w:instrText xml:space="preserve"> PAGEREF _Toc9500647 \h </w:instrText>
        </w:r>
        <w:r>
          <w:fldChar w:fldCharType="separate"/>
        </w:r>
        <w:r>
          <w:t>17</w:t>
        </w:r>
        <w:r>
          <w:fldChar w:fldCharType="end"/>
        </w:r>
      </w:hyperlink>
    </w:p>
    <w:p>
      <w:pPr>
        <w:pStyle w:val="TOC2"/>
      </w:pPr>
      <w:hyperlink w:anchor="_Toc9500648" w:history="1">
        <w:r>
          <w:rPr>
            <w:rStyle w:val="Hyperlink"/>
          </w:rPr>
          <w:t>Do / Avoid</w:t>
        </w:r>
        <w:r>
          <w:tab/>
        </w:r>
        <w:r>
          <w:fldChar w:fldCharType="begin"/>
        </w:r>
        <w:r>
          <w:instrText xml:space="preserve"> PAGEREF _Toc9500648 \h </w:instrText>
        </w:r>
        <w:r>
          <w:fldChar w:fldCharType="separate"/>
        </w:r>
        <w:r>
          <w:t>17</w:t>
        </w:r>
        <w:r>
          <w:fldChar w:fldCharType="end"/>
        </w:r>
      </w:hyperlink>
    </w:p>
    <w:p>
      <w:pPr>
        <w:pStyle w:val="TOC1"/>
      </w:pPr>
      <w:hyperlink w:anchor="_Toc9500649" w:history="1">
        <w:r>
          <w:rPr>
            <w:rStyle w:val="Hyperlink"/>
          </w:rPr>
          <w:t>January 2027 — Decision Windows and Trigger Sheet</w:t>
        </w:r>
        <w:r>
          <w:tab/>
        </w:r>
        <w:r>
          <w:fldChar w:fldCharType="begin"/>
        </w:r>
        <w:r>
          <w:instrText xml:space="preserve"> PAGEREF _Toc9500649 \h </w:instrText>
        </w:r>
        <w:r>
          <w:fldChar w:fldCharType="separate"/>
        </w:r>
        <w:r>
          <w:t>18</w:t>
        </w:r>
        <w:r>
          <w:fldChar w:fldCharType="end"/>
        </w:r>
      </w:hyperlink>
    </w:p>
    <w:p>
      <w:pPr>
        <w:pStyle w:val="TOC2"/>
      </w:pPr>
      <w:hyperlink w:anchor="_Toc9500650" w:history="1">
        <w:r>
          <w:rPr>
            <w:rStyle w:val="Hyperlink"/>
          </w:rPr>
          <w:t>Monthly Trigger Questions</w:t>
        </w:r>
        <w:r>
          <w:tab/>
        </w:r>
        <w:r>
          <w:fldChar w:fldCharType="begin"/>
        </w:r>
        <w:r>
          <w:instrText xml:space="preserve"> PAGEREF _Toc9500650 \h </w:instrText>
        </w:r>
        <w:r>
          <w:fldChar w:fldCharType="separate"/>
        </w:r>
        <w:r>
          <w:t>18</w:t>
        </w:r>
        <w:r>
          <w:fldChar w:fldCharType="end"/>
        </w:r>
      </w:hyperlink>
    </w:p>
    <w:p>
      <w:pPr>
        <w:pStyle w:val="TOC2"/>
      </w:pPr>
      <w:hyperlink w:anchor="_Toc9500651" w:history="1">
        <w:r>
          <w:rPr>
            <w:rStyle w:val="Hyperlink"/>
          </w:rPr>
          <w:t>Month-End Required Output</w:t>
        </w:r>
        <w:r>
          <w:tab/>
        </w:r>
        <w:r>
          <w:fldChar w:fldCharType="begin"/>
        </w:r>
        <w:r>
          <w:instrText xml:space="preserve"> PAGEREF _Toc9500651 \h </w:instrText>
        </w:r>
        <w:r>
          <w:fldChar w:fldCharType="separate"/>
        </w:r>
        <w:r>
          <w:t>18</w:t>
        </w:r>
        <w:r>
          <w:fldChar w:fldCharType="end"/>
        </w:r>
      </w:hyperlink>
    </w:p>
    <w:p>
      <w:pPr>
        <w:pStyle w:val="TOC1"/>
      </w:pPr>
      <w:hyperlink w:anchor="_Toc9500652" w:history="1">
        <w:r>
          <w:rPr>
            <w:rStyle w:val="Hyperlink"/>
          </w:rPr>
          <w:t>Month 6: February 2027 — Operational Picture</w:t>
        </w:r>
        <w:r>
          <w:tab/>
        </w:r>
        <w:r>
          <w:fldChar w:fldCharType="begin"/>
        </w:r>
        <w:r>
          <w:instrText xml:space="preserve"> PAGEREF _Toc9500652 \h </w:instrText>
        </w:r>
        <w:r>
          <w:fldChar w:fldCharType="separate"/>
        </w:r>
        <w:r>
          <w:t>19</w:t>
        </w:r>
        <w:r>
          <w:fldChar w:fldCharType="end"/>
        </w:r>
      </w:hyperlink>
    </w:p>
    <w:p>
      <w:pPr>
        <w:pStyle w:val="TOC2"/>
      </w:pPr>
      <w:hyperlink w:anchor="_Toc9500653" w:history="1">
        <w:r>
          <w:rPr>
            <w:rStyle w:val="Hyperlink"/>
          </w:rPr>
          <w:t>Known and Expected Decision Markers</w:t>
        </w:r>
        <w:r>
          <w:tab/>
        </w:r>
        <w:r>
          <w:fldChar w:fldCharType="begin"/>
        </w:r>
        <w:r>
          <w:instrText xml:space="preserve"> PAGEREF _Toc9500653 \h </w:instrText>
        </w:r>
        <w:r>
          <w:fldChar w:fldCharType="separate"/>
        </w:r>
        <w:r>
          <w:t>19</w:t>
        </w:r>
        <w:r>
          <w:fldChar w:fldCharType="end"/>
        </w:r>
      </w:hyperlink>
    </w:p>
    <w:p>
      <w:pPr>
        <w:pStyle w:val="TOC2"/>
      </w:pPr>
      <w:hyperlink w:anchor="_Toc9500654" w:history="1">
        <w:r>
          <w:rPr>
            <w:rStyle w:val="Hyperlink"/>
          </w:rPr>
          <w:t>Recommended Posture</w:t>
        </w:r>
        <w:r>
          <w:tab/>
        </w:r>
        <w:r>
          <w:fldChar w:fldCharType="begin"/>
        </w:r>
        <w:r>
          <w:instrText xml:space="preserve"> PAGEREF _Toc9500654 \h </w:instrText>
        </w:r>
        <w:r>
          <w:fldChar w:fldCharType="separate"/>
        </w:r>
        <w:r>
          <w:t>19</w:t>
        </w:r>
        <w:r>
          <w:fldChar w:fldCharType="end"/>
        </w:r>
      </w:hyperlink>
    </w:p>
    <w:p>
      <w:pPr>
        <w:pStyle w:val="TOC2"/>
      </w:pPr>
      <w:hyperlink w:anchor="_Toc9500655" w:history="1">
        <w:r>
          <w:rPr>
            <w:rStyle w:val="Hyperlink"/>
          </w:rPr>
          <w:t>Do / Avoid</w:t>
        </w:r>
        <w:r>
          <w:tab/>
        </w:r>
        <w:r>
          <w:fldChar w:fldCharType="begin"/>
        </w:r>
        <w:r>
          <w:instrText xml:space="preserve"> PAGEREF _Toc9500655 \h </w:instrText>
        </w:r>
        <w:r>
          <w:fldChar w:fldCharType="separate"/>
        </w:r>
        <w:r>
          <w:t>19</w:t>
        </w:r>
        <w:r>
          <w:fldChar w:fldCharType="end"/>
        </w:r>
      </w:hyperlink>
    </w:p>
    <w:p>
      <w:pPr>
        <w:pStyle w:val="TOC1"/>
      </w:pPr>
      <w:hyperlink w:anchor="_Toc9500656" w:history="1">
        <w:r>
          <w:rPr>
            <w:rStyle w:val="Hyperlink"/>
          </w:rPr>
          <w:t>February 2027 — Decision Windows and Trigger Sheet</w:t>
        </w:r>
        <w:r>
          <w:tab/>
        </w:r>
        <w:r>
          <w:fldChar w:fldCharType="begin"/>
        </w:r>
        <w:r>
          <w:instrText xml:space="preserve"> PAGEREF _Toc9500656 \h </w:instrText>
        </w:r>
        <w:r>
          <w:fldChar w:fldCharType="separate"/>
        </w:r>
        <w:r>
          <w:t>20</w:t>
        </w:r>
        <w:r>
          <w:fldChar w:fldCharType="end"/>
        </w:r>
      </w:hyperlink>
    </w:p>
    <w:p>
      <w:pPr>
        <w:pStyle w:val="TOC2"/>
      </w:pPr>
      <w:hyperlink w:anchor="_Toc9500657" w:history="1">
        <w:r>
          <w:rPr>
            <w:rStyle w:val="Hyperlink"/>
          </w:rPr>
          <w:t>Monthly Trigger Questions</w:t>
        </w:r>
        <w:r>
          <w:tab/>
        </w:r>
        <w:r>
          <w:fldChar w:fldCharType="begin"/>
        </w:r>
        <w:r>
          <w:instrText xml:space="preserve"> PAGEREF _Toc9500657 \h </w:instrText>
        </w:r>
        <w:r>
          <w:fldChar w:fldCharType="separate"/>
        </w:r>
        <w:r>
          <w:t>20</w:t>
        </w:r>
        <w:r>
          <w:fldChar w:fldCharType="end"/>
        </w:r>
      </w:hyperlink>
    </w:p>
    <w:p>
      <w:pPr>
        <w:pStyle w:val="TOC2"/>
      </w:pPr>
      <w:hyperlink w:anchor="_Toc9500658" w:history="1">
        <w:r>
          <w:rPr>
            <w:rStyle w:val="Hyperlink"/>
          </w:rPr>
          <w:t>Month-End Required Output</w:t>
        </w:r>
        <w:r>
          <w:tab/>
        </w:r>
        <w:r>
          <w:fldChar w:fldCharType="begin"/>
        </w:r>
        <w:r>
          <w:instrText xml:space="preserve"> PAGEREF _Toc9500658 \h </w:instrText>
        </w:r>
        <w:r>
          <w:fldChar w:fldCharType="separate"/>
        </w:r>
        <w:r>
          <w:t>20</w:t>
        </w:r>
        <w:r>
          <w:fldChar w:fldCharType="end"/>
        </w:r>
      </w:hyperlink>
    </w:p>
    <w:p>
      <w:pPr>
        <w:pStyle w:val="TOC1"/>
      </w:pPr>
      <w:hyperlink w:anchor="_Toc9500659" w:history="1">
        <w:r>
          <w:rPr>
            <w:rStyle w:val="Hyperlink"/>
          </w:rPr>
          <w:t>Month 7: March 2027 — Operational Picture</w:t>
        </w:r>
        <w:r>
          <w:tab/>
        </w:r>
        <w:r>
          <w:fldChar w:fldCharType="begin"/>
        </w:r>
        <w:r>
          <w:instrText xml:space="preserve"> PAGEREF _Toc9500659 \h </w:instrText>
        </w:r>
        <w:r>
          <w:fldChar w:fldCharType="separate"/>
        </w:r>
        <w:r>
          <w:t>21</w:t>
        </w:r>
        <w:r>
          <w:fldChar w:fldCharType="end"/>
        </w:r>
      </w:hyperlink>
    </w:p>
    <w:p>
      <w:pPr>
        <w:pStyle w:val="TOC2"/>
      </w:pPr>
      <w:hyperlink w:anchor="_Toc9500660" w:history="1">
        <w:r>
          <w:rPr>
            <w:rStyle w:val="Hyperlink"/>
          </w:rPr>
          <w:t>Known and Expected Decision Markers</w:t>
        </w:r>
        <w:r>
          <w:tab/>
        </w:r>
        <w:r>
          <w:fldChar w:fldCharType="begin"/>
        </w:r>
        <w:r>
          <w:instrText xml:space="preserve"> PAGEREF _Toc9500660 \h </w:instrText>
        </w:r>
        <w:r>
          <w:fldChar w:fldCharType="separate"/>
        </w:r>
        <w:r>
          <w:t>21</w:t>
        </w:r>
        <w:r>
          <w:fldChar w:fldCharType="end"/>
        </w:r>
      </w:hyperlink>
    </w:p>
    <w:p>
      <w:pPr>
        <w:pStyle w:val="TOC2"/>
      </w:pPr>
      <w:hyperlink w:anchor="_Toc9500661" w:history="1">
        <w:r>
          <w:rPr>
            <w:rStyle w:val="Hyperlink"/>
          </w:rPr>
          <w:t>Recommended Posture</w:t>
        </w:r>
        <w:r>
          <w:tab/>
        </w:r>
        <w:r>
          <w:fldChar w:fldCharType="begin"/>
        </w:r>
        <w:r>
          <w:instrText xml:space="preserve"> PAGEREF _Toc9500661 \h </w:instrText>
        </w:r>
        <w:r>
          <w:fldChar w:fldCharType="separate"/>
        </w:r>
        <w:r>
          <w:t>21</w:t>
        </w:r>
        <w:r>
          <w:fldChar w:fldCharType="end"/>
        </w:r>
      </w:hyperlink>
    </w:p>
    <w:p>
      <w:pPr>
        <w:pStyle w:val="TOC2"/>
      </w:pPr>
      <w:hyperlink w:anchor="_Toc9500662" w:history="1">
        <w:r>
          <w:rPr>
            <w:rStyle w:val="Hyperlink"/>
          </w:rPr>
          <w:t>Do / Avoid</w:t>
        </w:r>
        <w:r>
          <w:tab/>
        </w:r>
        <w:r>
          <w:fldChar w:fldCharType="begin"/>
        </w:r>
        <w:r>
          <w:instrText xml:space="preserve"> PAGEREF _Toc9500662 \h </w:instrText>
        </w:r>
        <w:r>
          <w:fldChar w:fldCharType="separate"/>
        </w:r>
        <w:r>
          <w:t>21</w:t>
        </w:r>
        <w:r>
          <w:fldChar w:fldCharType="end"/>
        </w:r>
      </w:hyperlink>
    </w:p>
    <w:p>
      <w:pPr>
        <w:pStyle w:val="TOC1"/>
      </w:pPr>
      <w:hyperlink w:anchor="_Toc9500663" w:history="1">
        <w:r>
          <w:rPr>
            <w:rStyle w:val="Hyperlink"/>
          </w:rPr>
          <w:t>March 2027 — Decision Windows and Trigger Sheet</w:t>
        </w:r>
        <w:r>
          <w:tab/>
        </w:r>
        <w:r>
          <w:fldChar w:fldCharType="begin"/>
        </w:r>
        <w:r>
          <w:instrText xml:space="preserve"> PAGEREF _Toc9500663 \h </w:instrText>
        </w:r>
        <w:r>
          <w:fldChar w:fldCharType="separate"/>
        </w:r>
        <w:r>
          <w:t>22</w:t>
        </w:r>
        <w:r>
          <w:fldChar w:fldCharType="end"/>
        </w:r>
      </w:hyperlink>
    </w:p>
    <w:p>
      <w:pPr>
        <w:pStyle w:val="TOC2"/>
      </w:pPr>
      <w:hyperlink w:anchor="_Toc9500664" w:history="1">
        <w:r>
          <w:rPr>
            <w:rStyle w:val="Hyperlink"/>
          </w:rPr>
          <w:t>Monthly Trigger Questions</w:t>
        </w:r>
        <w:r>
          <w:tab/>
        </w:r>
        <w:r>
          <w:fldChar w:fldCharType="begin"/>
        </w:r>
        <w:r>
          <w:instrText xml:space="preserve"> PAGEREF _Toc9500664 \h </w:instrText>
        </w:r>
        <w:r>
          <w:fldChar w:fldCharType="separate"/>
        </w:r>
        <w:r>
          <w:t>22</w:t>
        </w:r>
        <w:r>
          <w:fldChar w:fldCharType="end"/>
        </w:r>
      </w:hyperlink>
    </w:p>
    <w:p>
      <w:pPr>
        <w:pStyle w:val="TOC2"/>
      </w:pPr>
      <w:hyperlink w:anchor="_Toc9500665" w:history="1">
        <w:r>
          <w:rPr>
            <w:rStyle w:val="Hyperlink"/>
          </w:rPr>
          <w:t>Month-End Required Output</w:t>
        </w:r>
        <w:r>
          <w:tab/>
        </w:r>
        <w:r>
          <w:fldChar w:fldCharType="begin"/>
        </w:r>
        <w:r>
          <w:instrText xml:space="preserve"> PAGEREF _Toc9500665 \h </w:instrText>
        </w:r>
        <w:r>
          <w:fldChar w:fldCharType="separate"/>
        </w:r>
        <w:r>
          <w:t>22</w:t>
        </w:r>
        <w:r>
          <w:fldChar w:fldCharType="end"/>
        </w:r>
      </w:hyperlink>
    </w:p>
    <w:p>
      <w:pPr>
        <w:pStyle w:val="TOC1"/>
      </w:pPr>
      <w:hyperlink w:anchor="_Toc9500666" w:history="1">
        <w:r>
          <w:rPr>
            <w:rStyle w:val="Hyperlink"/>
          </w:rPr>
          <w:t>Month 8: April 2027 — Operational Picture</w:t>
        </w:r>
        <w:r>
          <w:tab/>
        </w:r>
        <w:r>
          <w:fldChar w:fldCharType="begin"/>
        </w:r>
        <w:r>
          <w:instrText xml:space="preserve"> PAGEREF _Toc9500666 \h </w:instrText>
        </w:r>
        <w:r>
          <w:fldChar w:fldCharType="separate"/>
        </w:r>
        <w:r>
          <w:t>23</w:t>
        </w:r>
        <w:r>
          <w:fldChar w:fldCharType="end"/>
        </w:r>
      </w:hyperlink>
    </w:p>
    <w:p>
      <w:pPr>
        <w:pStyle w:val="TOC2"/>
      </w:pPr>
      <w:hyperlink w:anchor="_Toc9500667" w:history="1">
        <w:r>
          <w:rPr>
            <w:rStyle w:val="Hyperlink"/>
          </w:rPr>
          <w:t>Known and Expected Decision Markers</w:t>
        </w:r>
        <w:r>
          <w:tab/>
        </w:r>
        <w:r>
          <w:fldChar w:fldCharType="begin"/>
        </w:r>
        <w:r>
          <w:instrText xml:space="preserve"> PAGEREF _Toc9500667 \h </w:instrText>
        </w:r>
        <w:r>
          <w:fldChar w:fldCharType="separate"/>
        </w:r>
        <w:r>
          <w:t>23</w:t>
        </w:r>
        <w:r>
          <w:fldChar w:fldCharType="end"/>
        </w:r>
      </w:hyperlink>
    </w:p>
    <w:p>
      <w:pPr>
        <w:pStyle w:val="TOC2"/>
      </w:pPr>
      <w:hyperlink w:anchor="_Toc9500668" w:history="1">
        <w:r>
          <w:rPr>
            <w:rStyle w:val="Hyperlink"/>
          </w:rPr>
          <w:t>Recommended Posture</w:t>
        </w:r>
        <w:r>
          <w:tab/>
        </w:r>
        <w:r>
          <w:fldChar w:fldCharType="begin"/>
        </w:r>
        <w:r>
          <w:instrText xml:space="preserve"> PAGEREF _Toc9500668 \h </w:instrText>
        </w:r>
        <w:r>
          <w:fldChar w:fldCharType="separate"/>
        </w:r>
        <w:r>
          <w:t>23</w:t>
        </w:r>
        <w:r>
          <w:fldChar w:fldCharType="end"/>
        </w:r>
      </w:hyperlink>
    </w:p>
    <w:p>
      <w:pPr>
        <w:pStyle w:val="TOC2"/>
      </w:pPr>
      <w:hyperlink w:anchor="_Toc9500669" w:history="1">
        <w:r>
          <w:rPr>
            <w:rStyle w:val="Hyperlink"/>
          </w:rPr>
          <w:t>Do / Avoid</w:t>
        </w:r>
        <w:r>
          <w:tab/>
        </w:r>
        <w:r>
          <w:fldChar w:fldCharType="begin"/>
        </w:r>
        <w:r>
          <w:instrText xml:space="preserve"> PAGEREF _Toc9500669 \h </w:instrText>
        </w:r>
        <w:r>
          <w:fldChar w:fldCharType="separate"/>
        </w:r>
        <w:r>
          <w:t>23</w:t>
        </w:r>
        <w:r>
          <w:fldChar w:fldCharType="end"/>
        </w:r>
      </w:hyperlink>
    </w:p>
    <w:p>
      <w:pPr>
        <w:pStyle w:val="TOC1"/>
      </w:pPr>
      <w:hyperlink w:anchor="_Toc9500670" w:history="1">
        <w:r>
          <w:rPr>
            <w:rStyle w:val="Hyperlink"/>
          </w:rPr>
          <w:t>April 2027 — Decision Windows and Trigger Sheet</w:t>
        </w:r>
        <w:r>
          <w:tab/>
        </w:r>
        <w:r>
          <w:fldChar w:fldCharType="begin"/>
        </w:r>
        <w:r>
          <w:instrText xml:space="preserve"> PAGEREF _Toc9500670 \h </w:instrText>
        </w:r>
        <w:r>
          <w:fldChar w:fldCharType="separate"/>
        </w:r>
        <w:r>
          <w:t>24</w:t>
        </w:r>
        <w:r>
          <w:fldChar w:fldCharType="end"/>
        </w:r>
      </w:hyperlink>
    </w:p>
    <w:p>
      <w:pPr>
        <w:pStyle w:val="TOC2"/>
      </w:pPr>
      <w:hyperlink w:anchor="_Toc9500671" w:history="1">
        <w:r>
          <w:rPr>
            <w:rStyle w:val="Hyperlink"/>
          </w:rPr>
          <w:t>Monthly Trigger Questions</w:t>
        </w:r>
        <w:r>
          <w:tab/>
        </w:r>
        <w:r>
          <w:fldChar w:fldCharType="begin"/>
        </w:r>
        <w:r>
          <w:instrText xml:space="preserve"> PAGEREF _Toc9500671 \h </w:instrText>
        </w:r>
        <w:r>
          <w:fldChar w:fldCharType="separate"/>
        </w:r>
        <w:r>
          <w:t>24</w:t>
        </w:r>
        <w:r>
          <w:fldChar w:fldCharType="end"/>
        </w:r>
      </w:hyperlink>
    </w:p>
    <w:p>
      <w:pPr>
        <w:pStyle w:val="TOC2"/>
      </w:pPr>
      <w:hyperlink w:anchor="_Toc9500672" w:history="1">
        <w:r>
          <w:rPr>
            <w:rStyle w:val="Hyperlink"/>
          </w:rPr>
          <w:t>Month-End Required Output</w:t>
        </w:r>
        <w:r>
          <w:tab/>
        </w:r>
        <w:r>
          <w:fldChar w:fldCharType="begin"/>
        </w:r>
        <w:r>
          <w:instrText xml:space="preserve"> PAGEREF _Toc9500672 \h </w:instrText>
        </w:r>
        <w:r>
          <w:fldChar w:fldCharType="separate"/>
        </w:r>
        <w:r>
          <w:t>24</w:t>
        </w:r>
        <w:r>
          <w:fldChar w:fldCharType="end"/>
        </w:r>
      </w:hyperlink>
    </w:p>
    <w:p>
      <w:pPr>
        <w:pStyle w:val="TOC1"/>
      </w:pPr>
      <w:hyperlink w:anchor="_Toc9500673" w:history="1">
        <w:r>
          <w:rPr>
            <w:rStyle w:val="Hyperlink"/>
          </w:rPr>
          <w:t>Month 9: May 2027 — Operational Picture</w:t>
        </w:r>
        <w:r>
          <w:tab/>
        </w:r>
        <w:r>
          <w:fldChar w:fldCharType="begin"/>
        </w:r>
        <w:r>
          <w:instrText xml:space="preserve"> PAGEREF _Toc9500673 \h </w:instrText>
        </w:r>
        <w:r>
          <w:fldChar w:fldCharType="separate"/>
        </w:r>
        <w:r>
          <w:t>25</w:t>
        </w:r>
        <w:r>
          <w:fldChar w:fldCharType="end"/>
        </w:r>
      </w:hyperlink>
    </w:p>
    <w:p>
      <w:pPr>
        <w:pStyle w:val="TOC2"/>
      </w:pPr>
      <w:hyperlink w:anchor="_Toc9500674" w:history="1">
        <w:r>
          <w:rPr>
            <w:rStyle w:val="Hyperlink"/>
          </w:rPr>
          <w:t>Known and Expected Decision Markers</w:t>
        </w:r>
        <w:r>
          <w:tab/>
        </w:r>
        <w:r>
          <w:fldChar w:fldCharType="begin"/>
        </w:r>
        <w:r>
          <w:instrText xml:space="preserve"> PAGEREF _Toc9500674 \h </w:instrText>
        </w:r>
        <w:r>
          <w:fldChar w:fldCharType="separate"/>
        </w:r>
        <w:r>
          <w:t>25</w:t>
        </w:r>
        <w:r>
          <w:fldChar w:fldCharType="end"/>
        </w:r>
      </w:hyperlink>
    </w:p>
    <w:p>
      <w:pPr>
        <w:pStyle w:val="TOC2"/>
      </w:pPr>
      <w:hyperlink w:anchor="_Toc9500675" w:history="1">
        <w:r>
          <w:rPr>
            <w:rStyle w:val="Hyperlink"/>
          </w:rPr>
          <w:t>Recommended Posture</w:t>
        </w:r>
        <w:r>
          <w:tab/>
        </w:r>
        <w:r>
          <w:fldChar w:fldCharType="begin"/>
        </w:r>
        <w:r>
          <w:instrText xml:space="preserve"> PAGEREF _Toc9500675 \h </w:instrText>
        </w:r>
        <w:r>
          <w:fldChar w:fldCharType="separate"/>
        </w:r>
        <w:r>
          <w:t>25</w:t>
        </w:r>
        <w:r>
          <w:fldChar w:fldCharType="end"/>
        </w:r>
      </w:hyperlink>
    </w:p>
    <w:p>
      <w:pPr>
        <w:pStyle w:val="TOC2"/>
      </w:pPr>
      <w:hyperlink w:anchor="_Toc9500676" w:history="1">
        <w:r>
          <w:rPr>
            <w:rStyle w:val="Hyperlink"/>
          </w:rPr>
          <w:t>Do / Avoid</w:t>
        </w:r>
        <w:r>
          <w:tab/>
        </w:r>
        <w:r>
          <w:fldChar w:fldCharType="begin"/>
        </w:r>
        <w:r>
          <w:instrText xml:space="preserve"> PAGEREF _Toc9500676 \h </w:instrText>
        </w:r>
        <w:r>
          <w:fldChar w:fldCharType="separate"/>
        </w:r>
        <w:r>
          <w:t>25</w:t>
        </w:r>
        <w:r>
          <w:fldChar w:fldCharType="end"/>
        </w:r>
      </w:hyperlink>
    </w:p>
    <w:p>
      <w:pPr>
        <w:pStyle w:val="TOC1"/>
      </w:pPr>
      <w:hyperlink w:anchor="_Toc9500677" w:history="1">
        <w:r>
          <w:rPr>
            <w:rStyle w:val="Hyperlink"/>
          </w:rPr>
          <w:t>May 2027 — Decision Windows and Trigger Sheet</w:t>
        </w:r>
        <w:r>
          <w:tab/>
        </w:r>
        <w:r>
          <w:fldChar w:fldCharType="begin"/>
        </w:r>
        <w:r>
          <w:instrText xml:space="preserve"> PAGEREF _Toc9500677 \h </w:instrText>
        </w:r>
        <w:r>
          <w:fldChar w:fldCharType="separate"/>
        </w:r>
        <w:r>
          <w:t>26</w:t>
        </w:r>
        <w:r>
          <w:fldChar w:fldCharType="end"/>
        </w:r>
      </w:hyperlink>
    </w:p>
    <w:p>
      <w:pPr>
        <w:pStyle w:val="TOC2"/>
      </w:pPr>
      <w:hyperlink w:anchor="_Toc9500678" w:history="1">
        <w:r>
          <w:rPr>
            <w:rStyle w:val="Hyperlink"/>
          </w:rPr>
          <w:t>Monthly Trigger Questions</w:t>
        </w:r>
        <w:r>
          <w:tab/>
        </w:r>
        <w:r>
          <w:fldChar w:fldCharType="begin"/>
        </w:r>
        <w:r>
          <w:instrText xml:space="preserve"> PAGEREF _Toc9500678 \h </w:instrText>
        </w:r>
        <w:r>
          <w:fldChar w:fldCharType="separate"/>
        </w:r>
        <w:r>
          <w:t>26</w:t>
        </w:r>
        <w:r>
          <w:fldChar w:fldCharType="end"/>
        </w:r>
      </w:hyperlink>
    </w:p>
    <w:p>
      <w:pPr>
        <w:pStyle w:val="TOC2"/>
      </w:pPr>
      <w:hyperlink w:anchor="_Toc9500679" w:history="1">
        <w:r>
          <w:rPr>
            <w:rStyle w:val="Hyperlink"/>
          </w:rPr>
          <w:t>Month-End Required Output</w:t>
        </w:r>
        <w:r>
          <w:tab/>
        </w:r>
        <w:r>
          <w:fldChar w:fldCharType="begin"/>
        </w:r>
        <w:r>
          <w:instrText xml:space="preserve"> PAGEREF _Toc9500679 \h </w:instrText>
        </w:r>
        <w:r>
          <w:fldChar w:fldCharType="separate"/>
        </w:r>
        <w:r>
          <w:t>26</w:t>
        </w:r>
        <w:r>
          <w:fldChar w:fldCharType="end"/>
        </w:r>
      </w:hyperlink>
    </w:p>
    <w:p>
      <w:pPr>
        <w:pStyle w:val="TOC1"/>
      </w:pPr>
      <w:hyperlink w:anchor="_Toc9500680" w:history="1">
        <w:r>
          <w:rPr>
            <w:rStyle w:val="Hyperlink"/>
          </w:rPr>
          <w:t>Month 10: June 2027 — Operational Picture</w:t>
        </w:r>
        <w:r>
          <w:tab/>
        </w:r>
        <w:r>
          <w:fldChar w:fldCharType="begin"/>
        </w:r>
        <w:r>
          <w:instrText xml:space="preserve"> PAGEREF _Toc9500680 \h </w:instrText>
        </w:r>
        <w:r>
          <w:fldChar w:fldCharType="separate"/>
        </w:r>
        <w:r>
          <w:t>27</w:t>
        </w:r>
        <w:r>
          <w:fldChar w:fldCharType="end"/>
        </w:r>
      </w:hyperlink>
    </w:p>
    <w:p>
      <w:pPr>
        <w:pStyle w:val="TOC2"/>
      </w:pPr>
      <w:hyperlink w:anchor="_Toc9500681" w:history="1">
        <w:r>
          <w:rPr>
            <w:rStyle w:val="Hyperlink"/>
          </w:rPr>
          <w:t>Known and Expected Decision Markers</w:t>
        </w:r>
        <w:r>
          <w:tab/>
        </w:r>
        <w:r>
          <w:fldChar w:fldCharType="begin"/>
        </w:r>
        <w:r>
          <w:instrText xml:space="preserve"> PAGEREF _Toc9500681 \h </w:instrText>
        </w:r>
        <w:r>
          <w:fldChar w:fldCharType="separate"/>
        </w:r>
        <w:r>
          <w:t>27</w:t>
        </w:r>
        <w:r>
          <w:fldChar w:fldCharType="end"/>
        </w:r>
      </w:hyperlink>
    </w:p>
    <w:p>
      <w:pPr>
        <w:pStyle w:val="TOC2"/>
      </w:pPr>
      <w:hyperlink w:anchor="_Toc9500682" w:history="1">
        <w:r>
          <w:rPr>
            <w:rStyle w:val="Hyperlink"/>
          </w:rPr>
          <w:t>Recommended Posture</w:t>
        </w:r>
        <w:r>
          <w:tab/>
        </w:r>
        <w:r>
          <w:fldChar w:fldCharType="begin"/>
        </w:r>
        <w:r>
          <w:instrText xml:space="preserve"> PAGEREF _Toc9500682 \h </w:instrText>
        </w:r>
        <w:r>
          <w:fldChar w:fldCharType="separate"/>
        </w:r>
        <w:r>
          <w:t>27</w:t>
        </w:r>
        <w:r>
          <w:fldChar w:fldCharType="end"/>
        </w:r>
      </w:hyperlink>
    </w:p>
    <w:p>
      <w:pPr>
        <w:pStyle w:val="TOC2"/>
      </w:pPr>
      <w:hyperlink w:anchor="_Toc9500683" w:history="1">
        <w:r>
          <w:rPr>
            <w:rStyle w:val="Hyperlink"/>
          </w:rPr>
          <w:t>Do / Avoid</w:t>
        </w:r>
        <w:r>
          <w:tab/>
        </w:r>
        <w:r>
          <w:fldChar w:fldCharType="begin"/>
        </w:r>
        <w:r>
          <w:instrText xml:space="preserve"> PAGEREF _Toc9500683 \h </w:instrText>
        </w:r>
        <w:r>
          <w:fldChar w:fldCharType="separate"/>
        </w:r>
        <w:r>
          <w:t>27</w:t>
        </w:r>
        <w:r>
          <w:fldChar w:fldCharType="end"/>
        </w:r>
      </w:hyperlink>
    </w:p>
    <w:p>
      <w:pPr>
        <w:pStyle w:val="TOC1"/>
      </w:pPr>
      <w:hyperlink w:anchor="_Toc9500684" w:history="1">
        <w:r>
          <w:rPr>
            <w:rStyle w:val="Hyperlink"/>
          </w:rPr>
          <w:t>June 2027 — Decision Windows and Trigger Sheet</w:t>
        </w:r>
        <w:r>
          <w:tab/>
        </w:r>
        <w:r>
          <w:fldChar w:fldCharType="begin"/>
        </w:r>
        <w:r>
          <w:instrText xml:space="preserve"> PAGEREF _Toc9500684 \h </w:instrText>
        </w:r>
        <w:r>
          <w:fldChar w:fldCharType="separate"/>
        </w:r>
        <w:r>
          <w:t>28</w:t>
        </w:r>
        <w:r>
          <w:fldChar w:fldCharType="end"/>
        </w:r>
      </w:hyperlink>
    </w:p>
    <w:p>
      <w:pPr>
        <w:pStyle w:val="TOC2"/>
      </w:pPr>
      <w:hyperlink w:anchor="_Toc9500685" w:history="1">
        <w:r>
          <w:rPr>
            <w:rStyle w:val="Hyperlink"/>
          </w:rPr>
          <w:t>Monthly Trigger Questions</w:t>
        </w:r>
        <w:r>
          <w:tab/>
        </w:r>
        <w:r>
          <w:fldChar w:fldCharType="begin"/>
        </w:r>
        <w:r>
          <w:instrText xml:space="preserve"> PAGEREF _Toc9500685 \h </w:instrText>
        </w:r>
        <w:r>
          <w:fldChar w:fldCharType="separate"/>
        </w:r>
        <w:r>
          <w:t>28</w:t>
        </w:r>
        <w:r>
          <w:fldChar w:fldCharType="end"/>
        </w:r>
      </w:hyperlink>
    </w:p>
    <w:p>
      <w:pPr>
        <w:pStyle w:val="TOC2"/>
      </w:pPr>
      <w:hyperlink w:anchor="_Toc9500686" w:history="1">
        <w:r>
          <w:rPr>
            <w:rStyle w:val="Hyperlink"/>
          </w:rPr>
          <w:t>Month-End Required Output</w:t>
        </w:r>
        <w:r>
          <w:tab/>
        </w:r>
        <w:r>
          <w:fldChar w:fldCharType="begin"/>
        </w:r>
        <w:r>
          <w:instrText xml:space="preserve"> PAGEREF _Toc9500686 \h </w:instrText>
        </w:r>
        <w:r>
          <w:fldChar w:fldCharType="separate"/>
        </w:r>
        <w:r>
          <w:t>28</w:t>
        </w:r>
        <w:r>
          <w:fldChar w:fldCharType="end"/>
        </w:r>
      </w:hyperlink>
    </w:p>
    <w:p>
      <w:pPr>
        <w:pStyle w:val="TOC1"/>
      </w:pPr>
      <w:hyperlink w:anchor="_Toc9500687" w:history="1">
        <w:r>
          <w:rPr>
            <w:rStyle w:val="Hyperlink"/>
          </w:rPr>
          <w:t>Month 11: July 2027 — Operational Picture</w:t>
        </w:r>
        <w:r>
          <w:tab/>
        </w:r>
        <w:r>
          <w:fldChar w:fldCharType="begin"/>
        </w:r>
        <w:r>
          <w:instrText xml:space="preserve"> PAGEREF _Toc9500687 \h </w:instrText>
        </w:r>
        <w:r>
          <w:fldChar w:fldCharType="separate"/>
        </w:r>
        <w:r>
          <w:t>29</w:t>
        </w:r>
        <w:r>
          <w:fldChar w:fldCharType="end"/>
        </w:r>
      </w:hyperlink>
    </w:p>
    <w:p>
      <w:pPr>
        <w:pStyle w:val="TOC2"/>
      </w:pPr>
      <w:hyperlink w:anchor="_Toc9500688" w:history="1">
        <w:r>
          <w:rPr>
            <w:rStyle w:val="Hyperlink"/>
          </w:rPr>
          <w:t>Known and Expected Decision Markers</w:t>
        </w:r>
        <w:r>
          <w:tab/>
        </w:r>
        <w:r>
          <w:fldChar w:fldCharType="begin"/>
        </w:r>
        <w:r>
          <w:instrText xml:space="preserve"> PAGEREF _Toc9500688 \h </w:instrText>
        </w:r>
        <w:r>
          <w:fldChar w:fldCharType="separate"/>
        </w:r>
        <w:r>
          <w:t>29</w:t>
        </w:r>
        <w:r>
          <w:fldChar w:fldCharType="end"/>
        </w:r>
      </w:hyperlink>
    </w:p>
    <w:p>
      <w:pPr>
        <w:pStyle w:val="TOC2"/>
      </w:pPr>
      <w:hyperlink w:anchor="_Toc9500689" w:history="1">
        <w:r>
          <w:rPr>
            <w:rStyle w:val="Hyperlink"/>
          </w:rPr>
          <w:t>Recommended Posture</w:t>
        </w:r>
        <w:r>
          <w:tab/>
        </w:r>
        <w:r>
          <w:fldChar w:fldCharType="begin"/>
        </w:r>
        <w:r>
          <w:instrText xml:space="preserve"> PAGEREF _Toc9500689 \h </w:instrText>
        </w:r>
        <w:r>
          <w:fldChar w:fldCharType="separate"/>
        </w:r>
        <w:r>
          <w:t>29</w:t>
        </w:r>
        <w:r>
          <w:fldChar w:fldCharType="end"/>
        </w:r>
      </w:hyperlink>
    </w:p>
    <w:p>
      <w:pPr>
        <w:pStyle w:val="TOC2"/>
      </w:pPr>
      <w:hyperlink w:anchor="_Toc9500690" w:history="1">
        <w:r>
          <w:rPr>
            <w:rStyle w:val="Hyperlink"/>
          </w:rPr>
          <w:t>Do / Avoid</w:t>
        </w:r>
        <w:r>
          <w:tab/>
        </w:r>
        <w:r>
          <w:fldChar w:fldCharType="begin"/>
        </w:r>
        <w:r>
          <w:instrText xml:space="preserve"> PAGEREF _Toc9500690 \h </w:instrText>
        </w:r>
        <w:r>
          <w:fldChar w:fldCharType="separate"/>
        </w:r>
        <w:r>
          <w:t>29</w:t>
        </w:r>
        <w:r>
          <w:fldChar w:fldCharType="end"/>
        </w:r>
      </w:hyperlink>
    </w:p>
    <w:p>
      <w:pPr>
        <w:pStyle w:val="TOC1"/>
      </w:pPr>
      <w:hyperlink w:anchor="_Toc9500691" w:history="1">
        <w:r>
          <w:rPr>
            <w:rStyle w:val="Hyperlink"/>
          </w:rPr>
          <w:t>July 2027 — Decision Windows and Trigger Sheet</w:t>
        </w:r>
        <w:r>
          <w:tab/>
        </w:r>
        <w:r>
          <w:fldChar w:fldCharType="begin"/>
        </w:r>
        <w:r>
          <w:instrText xml:space="preserve"> PAGEREF _Toc9500691 \h </w:instrText>
        </w:r>
        <w:r>
          <w:fldChar w:fldCharType="separate"/>
        </w:r>
        <w:r>
          <w:t>30</w:t>
        </w:r>
        <w:r>
          <w:fldChar w:fldCharType="end"/>
        </w:r>
      </w:hyperlink>
    </w:p>
    <w:p>
      <w:pPr>
        <w:pStyle w:val="TOC2"/>
      </w:pPr>
      <w:hyperlink w:anchor="_Toc9500692" w:history="1">
        <w:r>
          <w:rPr>
            <w:rStyle w:val="Hyperlink"/>
          </w:rPr>
          <w:t>Monthly Trigger Questions</w:t>
        </w:r>
        <w:r>
          <w:tab/>
        </w:r>
        <w:r>
          <w:fldChar w:fldCharType="begin"/>
        </w:r>
        <w:r>
          <w:instrText xml:space="preserve"> PAGEREF _Toc9500692 \h </w:instrText>
        </w:r>
        <w:r>
          <w:fldChar w:fldCharType="separate"/>
        </w:r>
        <w:r>
          <w:t>30</w:t>
        </w:r>
        <w:r>
          <w:fldChar w:fldCharType="end"/>
        </w:r>
      </w:hyperlink>
    </w:p>
    <w:p>
      <w:pPr>
        <w:pStyle w:val="TOC2"/>
      </w:pPr>
      <w:hyperlink w:anchor="_Toc9500693" w:history="1">
        <w:r>
          <w:rPr>
            <w:rStyle w:val="Hyperlink"/>
          </w:rPr>
          <w:t>Month-End Required Output</w:t>
        </w:r>
        <w:r>
          <w:tab/>
        </w:r>
        <w:r>
          <w:fldChar w:fldCharType="begin"/>
        </w:r>
        <w:r>
          <w:instrText xml:space="preserve"> PAGEREF _Toc9500693 \h </w:instrText>
        </w:r>
        <w:r>
          <w:fldChar w:fldCharType="separate"/>
        </w:r>
        <w:r>
          <w:t>30</w:t>
        </w:r>
        <w:r>
          <w:fldChar w:fldCharType="end"/>
        </w:r>
      </w:hyperlink>
    </w:p>
    <w:p>
      <w:pPr>
        <w:pStyle w:val="TOC1"/>
      </w:pPr>
      <w:hyperlink w:anchor="_Toc9500694" w:history="1">
        <w:r>
          <w:rPr>
            <w:rStyle w:val="Hyperlink"/>
          </w:rPr>
          <w:t>Month 12: August 2027 — Operational Picture</w:t>
        </w:r>
        <w:r>
          <w:tab/>
        </w:r>
        <w:r>
          <w:fldChar w:fldCharType="begin"/>
        </w:r>
        <w:r>
          <w:instrText xml:space="preserve"> PAGEREF _Toc9500694 \h </w:instrText>
        </w:r>
        <w:r>
          <w:fldChar w:fldCharType="separate"/>
        </w:r>
        <w:r>
          <w:t>31</w:t>
        </w:r>
        <w:r>
          <w:fldChar w:fldCharType="end"/>
        </w:r>
      </w:hyperlink>
    </w:p>
    <w:p>
      <w:pPr>
        <w:pStyle w:val="TOC2"/>
      </w:pPr>
      <w:hyperlink w:anchor="_Toc9500695" w:history="1">
        <w:r>
          <w:rPr>
            <w:rStyle w:val="Hyperlink"/>
          </w:rPr>
          <w:t>Known and Expected Decision Markers</w:t>
        </w:r>
        <w:r>
          <w:tab/>
        </w:r>
        <w:r>
          <w:fldChar w:fldCharType="begin"/>
        </w:r>
        <w:r>
          <w:instrText xml:space="preserve"> PAGEREF _Toc9500695 \h </w:instrText>
        </w:r>
        <w:r>
          <w:fldChar w:fldCharType="separate"/>
        </w:r>
        <w:r>
          <w:t>31</w:t>
        </w:r>
        <w:r>
          <w:fldChar w:fldCharType="end"/>
        </w:r>
      </w:hyperlink>
    </w:p>
    <w:p>
      <w:pPr>
        <w:pStyle w:val="TOC2"/>
      </w:pPr>
      <w:hyperlink w:anchor="_Toc9500696" w:history="1">
        <w:r>
          <w:rPr>
            <w:rStyle w:val="Hyperlink"/>
          </w:rPr>
          <w:t>Recommended Posture</w:t>
        </w:r>
        <w:r>
          <w:tab/>
        </w:r>
        <w:r>
          <w:fldChar w:fldCharType="begin"/>
        </w:r>
        <w:r>
          <w:instrText xml:space="preserve"> PAGEREF _Toc9500696 \h </w:instrText>
        </w:r>
        <w:r>
          <w:fldChar w:fldCharType="separate"/>
        </w:r>
        <w:r>
          <w:t>31</w:t>
        </w:r>
        <w:r>
          <w:fldChar w:fldCharType="end"/>
        </w:r>
      </w:hyperlink>
    </w:p>
    <w:p>
      <w:pPr>
        <w:pStyle w:val="TOC2"/>
      </w:pPr>
      <w:hyperlink w:anchor="_Toc9500697" w:history="1">
        <w:r>
          <w:rPr>
            <w:rStyle w:val="Hyperlink"/>
          </w:rPr>
          <w:t>Do / Avoid</w:t>
        </w:r>
        <w:r>
          <w:tab/>
        </w:r>
        <w:r>
          <w:fldChar w:fldCharType="begin"/>
        </w:r>
        <w:r>
          <w:instrText xml:space="preserve"> PAGEREF _Toc9500697 \h </w:instrText>
        </w:r>
        <w:r>
          <w:fldChar w:fldCharType="separate"/>
        </w:r>
        <w:r>
          <w:t>31</w:t>
        </w:r>
        <w:r>
          <w:fldChar w:fldCharType="end"/>
        </w:r>
      </w:hyperlink>
    </w:p>
    <w:p>
      <w:pPr>
        <w:pStyle w:val="TOC1"/>
      </w:pPr>
      <w:hyperlink w:anchor="_Toc9500698" w:history="1">
        <w:r>
          <w:rPr>
            <w:rStyle w:val="Hyperlink"/>
          </w:rPr>
          <w:t>August 2027 — Decision Windows and Trigger Sheet</w:t>
        </w:r>
        <w:r>
          <w:tab/>
        </w:r>
        <w:r>
          <w:fldChar w:fldCharType="begin"/>
        </w:r>
        <w:r>
          <w:instrText xml:space="preserve"> PAGEREF _Toc9500698 \h </w:instrText>
        </w:r>
        <w:r>
          <w:fldChar w:fldCharType="separate"/>
        </w:r>
        <w:r>
          <w:t>32</w:t>
        </w:r>
        <w:r>
          <w:fldChar w:fldCharType="end"/>
        </w:r>
      </w:hyperlink>
    </w:p>
    <w:p>
      <w:pPr>
        <w:pStyle w:val="TOC2"/>
      </w:pPr>
      <w:hyperlink w:anchor="_Toc9500699" w:history="1">
        <w:r>
          <w:rPr>
            <w:rStyle w:val="Hyperlink"/>
          </w:rPr>
          <w:t>Monthly Trigger Questions</w:t>
        </w:r>
        <w:r>
          <w:tab/>
        </w:r>
        <w:r>
          <w:fldChar w:fldCharType="begin"/>
        </w:r>
        <w:r>
          <w:instrText xml:space="preserve"> PAGEREF _Toc9500699 \h </w:instrText>
        </w:r>
        <w:r>
          <w:fldChar w:fldCharType="separate"/>
        </w:r>
        <w:r>
          <w:t>32</w:t>
        </w:r>
        <w:r>
          <w:fldChar w:fldCharType="end"/>
        </w:r>
      </w:hyperlink>
    </w:p>
    <w:p>
      <w:pPr>
        <w:pStyle w:val="TOC2"/>
      </w:pPr>
      <w:hyperlink w:anchor="_Toc9500700" w:history="1">
        <w:r>
          <w:rPr>
            <w:rStyle w:val="Hyperlink"/>
          </w:rPr>
          <w:t>Month-End Required Output</w:t>
        </w:r>
        <w:r>
          <w:tab/>
        </w:r>
        <w:r>
          <w:fldChar w:fldCharType="begin"/>
        </w:r>
        <w:r>
          <w:instrText xml:space="preserve"> PAGEREF _Toc9500700 \h </w:instrText>
        </w:r>
        <w:r>
          <w:fldChar w:fldCharType="separate"/>
        </w:r>
        <w:r>
          <w:t>32</w:t>
        </w:r>
        <w:r>
          <w:fldChar w:fldCharType="end"/>
        </w:r>
      </w:hyperlink>
    </w:p>
    <w:p>
      <w:pPr>
        <w:pStyle w:val="TOC1"/>
      </w:pPr>
      <w:hyperlink w:anchor="_Toc9500701" w:history="1">
        <w:r>
          <w:rPr>
            <w:rStyle w:val="Hyperlink"/>
          </w:rPr>
          <w:t>Month 13: September 2027 — Operational Picture</w:t>
        </w:r>
        <w:r>
          <w:tab/>
        </w:r>
        <w:r>
          <w:fldChar w:fldCharType="begin"/>
        </w:r>
        <w:r>
          <w:instrText xml:space="preserve"> PAGEREF _Toc9500701 \h </w:instrText>
        </w:r>
        <w:r>
          <w:fldChar w:fldCharType="separate"/>
        </w:r>
        <w:r>
          <w:t>33</w:t>
        </w:r>
        <w:r>
          <w:fldChar w:fldCharType="end"/>
        </w:r>
      </w:hyperlink>
    </w:p>
    <w:p>
      <w:pPr>
        <w:pStyle w:val="TOC2"/>
      </w:pPr>
      <w:hyperlink w:anchor="_Toc9500702" w:history="1">
        <w:r>
          <w:rPr>
            <w:rStyle w:val="Hyperlink"/>
          </w:rPr>
          <w:t>Known and Expected Decision Markers</w:t>
        </w:r>
        <w:r>
          <w:tab/>
        </w:r>
        <w:r>
          <w:fldChar w:fldCharType="begin"/>
        </w:r>
        <w:r>
          <w:instrText xml:space="preserve"> PAGEREF _Toc9500702 \h </w:instrText>
        </w:r>
        <w:r>
          <w:fldChar w:fldCharType="separate"/>
        </w:r>
        <w:r>
          <w:t>33</w:t>
        </w:r>
        <w:r>
          <w:fldChar w:fldCharType="end"/>
        </w:r>
      </w:hyperlink>
    </w:p>
    <w:p>
      <w:pPr>
        <w:pStyle w:val="TOC2"/>
      </w:pPr>
      <w:hyperlink w:anchor="_Toc9500703" w:history="1">
        <w:r>
          <w:rPr>
            <w:rStyle w:val="Hyperlink"/>
          </w:rPr>
          <w:t>Recommended Posture</w:t>
        </w:r>
        <w:r>
          <w:tab/>
        </w:r>
        <w:r>
          <w:fldChar w:fldCharType="begin"/>
        </w:r>
        <w:r>
          <w:instrText xml:space="preserve"> PAGEREF _Toc9500703 \h </w:instrText>
        </w:r>
        <w:r>
          <w:fldChar w:fldCharType="separate"/>
        </w:r>
        <w:r>
          <w:t>33</w:t>
        </w:r>
        <w:r>
          <w:fldChar w:fldCharType="end"/>
        </w:r>
      </w:hyperlink>
    </w:p>
    <w:p>
      <w:pPr>
        <w:pStyle w:val="TOC2"/>
      </w:pPr>
      <w:hyperlink w:anchor="_Toc9500704" w:history="1">
        <w:r>
          <w:rPr>
            <w:rStyle w:val="Hyperlink"/>
          </w:rPr>
          <w:t>Do / Avoid</w:t>
        </w:r>
        <w:r>
          <w:tab/>
        </w:r>
        <w:r>
          <w:fldChar w:fldCharType="begin"/>
        </w:r>
        <w:r>
          <w:instrText xml:space="preserve"> PAGEREF _Toc9500704 \h </w:instrText>
        </w:r>
        <w:r>
          <w:fldChar w:fldCharType="separate"/>
        </w:r>
        <w:r>
          <w:t>33</w:t>
        </w:r>
        <w:r>
          <w:fldChar w:fldCharType="end"/>
        </w:r>
      </w:hyperlink>
    </w:p>
    <w:p>
      <w:pPr>
        <w:pStyle w:val="TOC1"/>
      </w:pPr>
      <w:hyperlink w:anchor="_Toc9500705" w:history="1">
        <w:r>
          <w:rPr>
            <w:rStyle w:val="Hyperlink"/>
          </w:rPr>
          <w:t>September 2027 — Decision Windows and Trigger Sheet</w:t>
        </w:r>
        <w:r>
          <w:tab/>
        </w:r>
        <w:r>
          <w:fldChar w:fldCharType="begin"/>
        </w:r>
        <w:r>
          <w:instrText xml:space="preserve"> PAGEREF _Toc9500705 \h </w:instrText>
        </w:r>
        <w:r>
          <w:fldChar w:fldCharType="separate"/>
        </w:r>
        <w:r>
          <w:t>34</w:t>
        </w:r>
        <w:r>
          <w:fldChar w:fldCharType="end"/>
        </w:r>
      </w:hyperlink>
    </w:p>
    <w:p>
      <w:pPr>
        <w:pStyle w:val="TOC2"/>
      </w:pPr>
      <w:hyperlink w:anchor="_Toc9500706" w:history="1">
        <w:r>
          <w:rPr>
            <w:rStyle w:val="Hyperlink"/>
          </w:rPr>
          <w:t>Monthly Trigger Questions</w:t>
        </w:r>
        <w:r>
          <w:tab/>
        </w:r>
        <w:r>
          <w:fldChar w:fldCharType="begin"/>
        </w:r>
        <w:r>
          <w:instrText xml:space="preserve"> PAGEREF _Toc9500706 \h </w:instrText>
        </w:r>
        <w:r>
          <w:fldChar w:fldCharType="separate"/>
        </w:r>
        <w:r>
          <w:t>34</w:t>
        </w:r>
        <w:r>
          <w:fldChar w:fldCharType="end"/>
        </w:r>
      </w:hyperlink>
    </w:p>
    <w:p>
      <w:pPr>
        <w:pStyle w:val="TOC2"/>
      </w:pPr>
      <w:hyperlink w:anchor="_Toc9500707" w:history="1">
        <w:r>
          <w:rPr>
            <w:rStyle w:val="Hyperlink"/>
          </w:rPr>
          <w:t>Month-End Required Output</w:t>
        </w:r>
        <w:r>
          <w:tab/>
        </w:r>
        <w:r>
          <w:fldChar w:fldCharType="begin"/>
        </w:r>
        <w:r>
          <w:instrText xml:space="preserve"> PAGEREF _Toc9500707 \h </w:instrText>
        </w:r>
        <w:r>
          <w:fldChar w:fldCharType="separate"/>
        </w:r>
        <w:r>
          <w:t>34</w:t>
        </w:r>
        <w:r>
          <w:fldChar w:fldCharType="end"/>
        </w:r>
      </w:hyperlink>
    </w:p>
    <w:p>
      <w:pPr>
        <w:pStyle w:val="TOC1"/>
      </w:pPr>
      <w:hyperlink w:anchor="_Toc9500708" w:history="1">
        <w:r>
          <w:rPr>
            <w:rStyle w:val="Hyperlink"/>
          </w:rPr>
          <w:t>Month 14: October 2027 — Operational Picture</w:t>
        </w:r>
        <w:r>
          <w:tab/>
        </w:r>
        <w:r>
          <w:fldChar w:fldCharType="begin"/>
        </w:r>
        <w:r>
          <w:instrText xml:space="preserve"> PAGEREF _Toc9500708 \h </w:instrText>
        </w:r>
        <w:r>
          <w:fldChar w:fldCharType="separate"/>
        </w:r>
        <w:r>
          <w:t>35</w:t>
        </w:r>
        <w:r>
          <w:fldChar w:fldCharType="end"/>
        </w:r>
      </w:hyperlink>
    </w:p>
    <w:p>
      <w:pPr>
        <w:pStyle w:val="TOC2"/>
      </w:pPr>
      <w:hyperlink w:anchor="_Toc9500709" w:history="1">
        <w:r>
          <w:rPr>
            <w:rStyle w:val="Hyperlink"/>
          </w:rPr>
          <w:t>Known and Expected Decision Markers</w:t>
        </w:r>
        <w:r>
          <w:tab/>
        </w:r>
        <w:r>
          <w:fldChar w:fldCharType="begin"/>
        </w:r>
        <w:r>
          <w:instrText xml:space="preserve"> PAGEREF _Toc9500709 \h </w:instrText>
        </w:r>
        <w:r>
          <w:fldChar w:fldCharType="separate"/>
        </w:r>
        <w:r>
          <w:t>35</w:t>
        </w:r>
        <w:r>
          <w:fldChar w:fldCharType="end"/>
        </w:r>
      </w:hyperlink>
    </w:p>
    <w:p>
      <w:pPr>
        <w:pStyle w:val="TOC2"/>
      </w:pPr>
      <w:hyperlink w:anchor="_Toc9500710" w:history="1">
        <w:r>
          <w:rPr>
            <w:rStyle w:val="Hyperlink"/>
          </w:rPr>
          <w:t>Recommended Posture</w:t>
        </w:r>
        <w:r>
          <w:tab/>
        </w:r>
        <w:r>
          <w:fldChar w:fldCharType="begin"/>
        </w:r>
        <w:r>
          <w:instrText xml:space="preserve"> PAGEREF _Toc9500710 \h </w:instrText>
        </w:r>
        <w:r>
          <w:fldChar w:fldCharType="separate"/>
        </w:r>
        <w:r>
          <w:t>35</w:t>
        </w:r>
        <w:r>
          <w:fldChar w:fldCharType="end"/>
        </w:r>
      </w:hyperlink>
    </w:p>
    <w:p>
      <w:pPr>
        <w:pStyle w:val="TOC2"/>
      </w:pPr>
      <w:hyperlink w:anchor="_Toc9500711" w:history="1">
        <w:r>
          <w:rPr>
            <w:rStyle w:val="Hyperlink"/>
          </w:rPr>
          <w:t>Do / Avoid</w:t>
        </w:r>
        <w:r>
          <w:tab/>
        </w:r>
        <w:r>
          <w:fldChar w:fldCharType="begin"/>
        </w:r>
        <w:r>
          <w:instrText xml:space="preserve"> PAGEREF _Toc9500711 \h </w:instrText>
        </w:r>
        <w:r>
          <w:fldChar w:fldCharType="separate"/>
        </w:r>
        <w:r>
          <w:t>35</w:t>
        </w:r>
        <w:r>
          <w:fldChar w:fldCharType="end"/>
        </w:r>
      </w:hyperlink>
    </w:p>
    <w:p>
      <w:pPr>
        <w:pStyle w:val="TOC1"/>
      </w:pPr>
      <w:hyperlink w:anchor="_Toc9500712" w:history="1">
        <w:r>
          <w:rPr>
            <w:rStyle w:val="Hyperlink"/>
          </w:rPr>
          <w:t>October 2027 — Decision Windows and Trigger Sheet</w:t>
        </w:r>
        <w:r>
          <w:tab/>
        </w:r>
        <w:r>
          <w:fldChar w:fldCharType="begin"/>
        </w:r>
        <w:r>
          <w:instrText xml:space="preserve"> PAGEREF _Toc9500712 \h </w:instrText>
        </w:r>
        <w:r>
          <w:fldChar w:fldCharType="separate"/>
        </w:r>
        <w:r>
          <w:t>36</w:t>
        </w:r>
        <w:r>
          <w:fldChar w:fldCharType="end"/>
        </w:r>
      </w:hyperlink>
    </w:p>
    <w:p>
      <w:pPr>
        <w:pStyle w:val="TOC2"/>
      </w:pPr>
      <w:hyperlink w:anchor="_Toc9500713" w:history="1">
        <w:r>
          <w:rPr>
            <w:rStyle w:val="Hyperlink"/>
          </w:rPr>
          <w:t>Monthly Trigger Questions</w:t>
        </w:r>
        <w:r>
          <w:tab/>
        </w:r>
        <w:r>
          <w:fldChar w:fldCharType="begin"/>
        </w:r>
        <w:r>
          <w:instrText xml:space="preserve"> PAGEREF _Toc9500713 \h </w:instrText>
        </w:r>
        <w:r>
          <w:fldChar w:fldCharType="separate"/>
        </w:r>
        <w:r>
          <w:t>36</w:t>
        </w:r>
        <w:r>
          <w:fldChar w:fldCharType="end"/>
        </w:r>
      </w:hyperlink>
    </w:p>
    <w:p>
      <w:pPr>
        <w:pStyle w:val="TOC2"/>
      </w:pPr>
      <w:hyperlink w:anchor="_Toc9500714" w:history="1">
        <w:r>
          <w:rPr>
            <w:rStyle w:val="Hyperlink"/>
          </w:rPr>
          <w:t>Month-End Required Output</w:t>
        </w:r>
        <w:r>
          <w:tab/>
        </w:r>
        <w:r>
          <w:fldChar w:fldCharType="begin"/>
        </w:r>
        <w:r>
          <w:instrText xml:space="preserve"> PAGEREF _Toc9500714 \h </w:instrText>
        </w:r>
        <w:r>
          <w:fldChar w:fldCharType="separate"/>
        </w:r>
        <w:r>
          <w:t>36</w:t>
        </w:r>
        <w:r>
          <w:fldChar w:fldCharType="end"/>
        </w:r>
      </w:hyperlink>
    </w:p>
    <w:p>
      <w:pPr>
        <w:pStyle w:val="TOC1"/>
      </w:pPr>
      <w:hyperlink w:anchor="_Toc9500715" w:history="1">
        <w:r>
          <w:rPr>
            <w:rStyle w:val="Hyperlink"/>
          </w:rPr>
          <w:t>Month 15: November 2027 — Operational Picture</w:t>
        </w:r>
        <w:r>
          <w:tab/>
        </w:r>
        <w:r>
          <w:fldChar w:fldCharType="begin"/>
        </w:r>
        <w:r>
          <w:instrText xml:space="preserve"> PAGEREF _Toc9500715 \h </w:instrText>
        </w:r>
        <w:r>
          <w:fldChar w:fldCharType="separate"/>
        </w:r>
        <w:r>
          <w:t>37</w:t>
        </w:r>
        <w:r>
          <w:fldChar w:fldCharType="end"/>
        </w:r>
      </w:hyperlink>
    </w:p>
    <w:p>
      <w:pPr>
        <w:pStyle w:val="TOC2"/>
      </w:pPr>
      <w:hyperlink w:anchor="_Toc9500716" w:history="1">
        <w:r>
          <w:rPr>
            <w:rStyle w:val="Hyperlink"/>
          </w:rPr>
          <w:t>Known and Expected Decision Markers</w:t>
        </w:r>
        <w:r>
          <w:tab/>
        </w:r>
        <w:r>
          <w:fldChar w:fldCharType="begin"/>
        </w:r>
        <w:r>
          <w:instrText xml:space="preserve"> PAGEREF _Toc9500716 \h </w:instrText>
        </w:r>
        <w:r>
          <w:fldChar w:fldCharType="separate"/>
        </w:r>
        <w:r>
          <w:t>37</w:t>
        </w:r>
        <w:r>
          <w:fldChar w:fldCharType="end"/>
        </w:r>
      </w:hyperlink>
    </w:p>
    <w:p>
      <w:pPr>
        <w:pStyle w:val="TOC2"/>
      </w:pPr>
      <w:hyperlink w:anchor="_Toc9500717" w:history="1">
        <w:r>
          <w:rPr>
            <w:rStyle w:val="Hyperlink"/>
          </w:rPr>
          <w:t>Recommended Posture</w:t>
        </w:r>
        <w:r>
          <w:tab/>
        </w:r>
        <w:r>
          <w:fldChar w:fldCharType="begin"/>
        </w:r>
        <w:r>
          <w:instrText xml:space="preserve"> PAGEREF _Toc9500717 \h </w:instrText>
        </w:r>
        <w:r>
          <w:fldChar w:fldCharType="separate"/>
        </w:r>
        <w:r>
          <w:t>37</w:t>
        </w:r>
        <w:r>
          <w:fldChar w:fldCharType="end"/>
        </w:r>
      </w:hyperlink>
    </w:p>
    <w:p>
      <w:pPr>
        <w:pStyle w:val="TOC2"/>
      </w:pPr>
      <w:hyperlink w:anchor="_Toc9500718" w:history="1">
        <w:r>
          <w:rPr>
            <w:rStyle w:val="Hyperlink"/>
          </w:rPr>
          <w:t>Do / Avoid</w:t>
        </w:r>
        <w:r>
          <w:tab/>
        </w:r>
        <w:r>
          <w:fldChar w:fldCharType="begin"/>
        </w:r>
        <w:r>
          <w:instrText xml:space="preserve"> PAGEREF _Toc9500718 \h </w:instrText>
        </w:r>
        <w:r>
          <w:fldChar w:fldCharType="separate"/>
        </w:r>
        <w:r>
          <w:t>37</w:t>
        </w:r>
        <w:r>
          <w:fldChar w:fldCharType="end"/>
        </w:r>
      </w:hyperlink>
    </w:p>
    <w:p>
      <w:pPr>
        <w:pStyle w:val="TOC1"/>
      </w:pPr>
      <w:hyperlink w:anchor="_Toc9500719" w:history="1">
        <w:r>
          <w:rPr>
            <w:rStyle w:val="Hyperlink"/>
          </w:rPr>
          <w:t>November 2027 — Decision Windows and Trigger Sheet</w:t>
        </w:r>
        <w:r>
          <w:tab/>
        </w:r>
        <w:r>
          <w:fldChar w:fldCharType="begin"/>
        </w:r>
        <w:r>
          <w:instrText xml:space="preserve"> PAGEREF _Toc9500719 \h </w:instrText>
        </w:r>
        <w:r>
          <w:fldChar w:fldCharType="separate"/>
        </w:r>
        <w:r>
          <w:t>38</w:t>
        </w:r>
        <w:r>
          <w:fldChar w:fldCharType="end"/>
        </w:r>
      </w:hyperlink>
    </w:p>
    <w:p>
      <w:pPr>
        <w:pStyle w:val="TOC2"/>
      </w:pPr>
      <w:hyperlink w:anchor="_Toc9500720" w:history="1">
        <w:r>
          <w:rPr>
            <w:rStyle w:val="Hyperlink"/>
          </w:rPr>
          <w:t>Monthly Trigger Questions</w:t>
        </w:r>
        <w:r>
          <w:tab/>
        </w:r>
        <w:r>
          <w:fldChar w:fldCharType="begin"/>
        </w:r>
        <w:r>
          <w:instrText xml:space="preserve"> PAGEREF _Toc9500720 \h </w:instrText>
        </w:r>
        <w:r>
          <w:fldChar w:fldCharType="separate"/>
        </w:r>
        <w:r>
          <w:t>38</w:t>
        </w:r>
        <w:r>
          <w:fldChar w:fldCharType="end"/>
        </w:r>
      </w:hyperlink>
    </w:p>
    <w:p>
      <w:pPr>
        <w:pStyle w:val="TOC2"/>
      </w:pPr>
      <w:hyperlink w:anchor="_Toc9500721" w:history="1">
        <w:r>
          <w:rPr>
            <w:rStyle w:val="Hyperlink"/>
          </w:rPr>
          <w:t>Month-End Required Output</w:t>
        </w:r>
        <w:r>
          <w:tab/>
        </w:r>
        <w:r>
          <w:fldChar w:fldCharType="begin"/>
        </w:r>
        <w:r>
          <w:instrText xml:space="preserve"> PAGEREF _Toc9500721 \h </w:instrText>
        </w:r>
        <w:r>
          <w:fldChar w:fldCharType="separate"/>
        </w:r>
        <w:r>
          <w:t>38</w:t>
        </w:r>
        <w:r>
          <w:fldChar w:fldCharType="end"/>
        </w:r>
      </w:hyperlink>
    </w:p>
    <w:p>
      <w:pPr>
        <w:pStyle w:val="TOC1"/>
      </w:pPr>
      <w:hyperlink w:anchor="_Toc9500722" w:history="1">
        <w:r>
          <w:rPr>
            <w:rStyle w:val="Hyperlink"/>
          </w:rPr>
          <w:t>Month 16: December 2027 — Operational Picture</w:t>
        </w:r>
        <w:r>
          <w:tab/>
        </w:r>
        <w:r>
          <w:fldChar w:fldCharType="begin"/>
        </w:r>
        <w:r>
          <w:instrText xml:space="preserve"> PAGEREF _Toc9500722 \h </w:instrText>
        </w:r>
        <w:r>
          <w:fldChar w:fldCharType="separate"/>
        </w:r>
        <w:r>
          <w:t>39</w:t>
        </w:r>
        <w:r>
          <w:fldChar w:fldCharType="end"/>
        </w:r>
      </w:hyperlink>
    </w:p>
    <w:p>
      <w:pPr>
        <w:pStyle w:val="TOC2"/>
      </w:pPr>
      <w:hyperlink w:anchor="_Toc9500723" w:history="1">
        <w:r>
          <w:rPr>
            <w:rStyle w:val="Hyperlink"/>
          </w:rPr>
          <w:t>Known and Expected Decision Markers</w:t>
        </w:r>
        <w:r>
          <w:tab/>
        </w:r>
        <w:r>
          <w:fldChar w:fldCharType="begin"/>
        </w:r>
        <w:r>
          <w:instrText xml:space="preserve"> PAGEREF _Toc9500723 \h </w:instrText>
        </w:r>
        <w:r>
          <w:fldChar w:fldCharType="separate"/>
        </w:r>
        <w:r>
          <w:t>39</w:t>
        </w:r>
        <w:r>
          <w:fldChar w:fldCharType="end"/>
        </w:r>
      </w:hyperlink>
    </w:p>
    <w:p>
      <w:pPr>
        <w:pStyle w:val="TOC2"/>
      </w:pPr>
      <w:hyperlink w:anchor="_Toc9500724" w:history="1">
        <w:r>
          <w:rPr>
            <w:rStyle w:val="Hyperlink"/>
          </w:rPr>
          <w:t>Recommended Posture</w:t>
        </w:r>
        <w:r>
          <w:tab/>
        </w:r>
        <w:r>
          <w:fldChar w:fldCharType="begin"/>
        </w:r>
        <w:r>
          <w:instrText xml:space="preserve"> PAGEREF _Toc9500724 \h </w:instrText>
        </w:r>
        <w:r>
          <w:fldChar w:fldCharType="separate"/>
        </w:r>
        <w:r>
          <w:t>39</w:t>
        </w:r>
        <w:r>
          <w:fldChar w:fldCharType="end"/>
        </w:r>
      </w:hyperlink>
    </w:p>
    <w:p>
      <w:pPr>
        <w:pStyle w:val="TOC2"/>
      </w:pPr>
      <w:hyperlink w:anchor="_Toc9500725" w:history="1">
        <w:r>
          <w:rPr>
            <w:rStyle w:val="Hyperlink"/>
          </w:rPr>
          <w:t>Do / Avoid</w:t>
        </w:r>
        <w:r>
          <w:tab/>
        </w:r>
        <w:r>
          <w:fldChar w:fldCharType="begin"/>
        </w:r>
        <w:r>
          <w:instrText xml:space="preserve"> PAGEREF _Toc9500725 \h </w:instrText>
        </w:r>
        <w:r>
          <w:fldChar w:fldCharType="separate"/>
        </w:r>
        <w:r>
          <w:t>39</w:t>
        </w:r>
        <w:r>
          <w:fldChar w:fldCharType="end"/>
        </w:r>
      </w:hyperlink>
    </w:p>
    <w:p>
      <w:pPr>
        <w:pStyle w:val="TOC1"/>
      </w:pPr>
      <w:hyperlink w:anchor="_Toc9500726" w:history="1">
        <w:r>
          <w:rPr>
            <w:rStyle w:val="Hyperlink"/>
          </w:rPr>
          <w:t>December 2027 — Decision Windows and Trigger Sheet</w:t>
        </w:r>
        <w:r>
          <w:tab/>
        </w:r>
        <w:r>
          <w:fldChar w:fldCharType="begin"/>
        </w:r>
        <w:r>
          <w:instrText xml:space="preserve"> PAGEREF _Toc9500726 \h </w:instrText>
        </w:r>
        <w:r>
          <w:fldChar w:fldCharType="separate"/>
        </w:r>
        <w:r>
          <w:t>40</w:t>
        </w:r>
        <w:r>
          <w:fldChar w:fldCharType="end"/>
        </w:r>
      </w:hyperlink>
    </w:p>
    <w:p>
      <w:pPr>
        <w:pStyle w:val="TOC2"/>
      </w:pPr>
      <w:hyperlink w:anchor="_Toc9500727" w:history="1">
        <w:r>
          <w:rPr>
            <w:rStyle w:val="Hyperlink"/>
          </w:rPr>
          <w:t>Monthly Trigger Questions</w:t>
        </w:r>
        <w:r>
          <w:tab/>
        </w:r>
        <w:r>
          <w:fldChar w:fldCharType="begin"/>
        </w:r>
        <w:r>
          <w:instrText xml:space="preserve"> PAGEREF _Toc9500727 \h </w:instrText>
        </w:r>
        <w:r>
          <w:fldChar w:fldCharType="separate"/>
        </w:r>
        <w:r>
          <w:t>40</w:t>
        </w:r>
        <w:r>
          <w:fldChar w:fldCharType="end"/>
        </w:r>
      </w:hyperlink>
    </w:p>
    <w:p>
      <w:pPr>
        <w:pStyle w:val="TOC2"/>
      </w:pPr>
      <w:hyperlink w:anchor="_Toc9500728" w:history="1">
        <w:r>
          <w:rPr>
            <w:rStyle w:val="Hyperlink"/>
          </w:rPr>
          <w:t>Month-End Required Output</w:t>
        </w:r>
        <w:r>
          <w:tab/>
        </w:r>
        <w:r>
          <w:fldChar w:fldCharType="begin"/>
        </w:r>
        <w:r>
          <w:instrText xml:space="preserve"> PAGEREF _Toc9500728 \h </w:instrText>
        </w:r>
        <w:r>
          <w:fldChar w:fldCharType="separate"/>
        </w:r>
        <w:r>
          <w:t>40</w:t>
        </w:r>
        <w:r>
          <w:fldChar w:fldCharType="end"/>
        </w:r>
      </w:hyperlink>
    </w:p>
    <w:p>
      <w:pPr>
        <w:pStyle w:val="TOC1"/>
      </w:pPr>
      <w:hyperlink w:anchor="_Toc9500729" w:history="1">
        <w:r>
          <w:rPr>
            <w:rStyle w:val="Hyperlink"/>
          </w:rPr>
          <w:t>Month 17: January 2028 — Operational Picture</w:t>
        </w:r>
        <w:r>
          <w:tab/>
        </w:r>
        <w:r>
          <w:fldChar w:fldCharType="begin"/>
        </w:r>
        <w:r>
          <w:instrText xml:space="preserve"> PAGEREF _Toc9500729 \h </w:instrText>
        </w:r>
        <w:r>
          <w:fldChar w:fldCharType="separate"/>
        </w:r>
        <w:r>
          <w:t>41</w:t>
        </w:r>
        <w:r>
          <w:fldChar w:fldCharType="end"/>
        </w:r>
      </w:hyperlink>
    </w:p>
    <w:p>
      <w:pPr>
        <w:pStyle w:val="TOC2"/>
      </w:pPr>
      <w:hyperlink w:anchor="_Toc9500730" w:history="1">
        <w:r>
          <w:rPr>
            <w:rStyle w:val="Hyperlink"/>
          </w:rPr>
          <w:t>Known and Expected Decision Markers</w:t>
        </w:r>
        <w:r>
          <w:tab/>
        </w:r>
        <w:r>
          <w:fldChar w:fldCharType="begin"/>
        </w:r>
        <w:r>
          <w:instrText xml:space="preserve"> PAGEREF _Toc9500730 \h </w:instrText>
        </w:r>
        <w:r>
          <w:fldChar w:fldCharType="separate"/>
        </w:r>
        <w:r>
          <w:t>41</w:t>
        </w:r>
        <w:r>
          <w:fldChar w:fldCharType="end"/>
        </w:r>
      </w:hyperlink>
    </w:p>
    <w:p>
      <w:pPr>
        <w:pStyle w:val="TOC2"/>
      </w:pPr>
      <w:hyperlink w:anchor="_Toc9500731" w:history="1">
        <w:r>
          <w:rPr>
            <w:rStyle w:val="Hyperlink"/>
          </w:rPr>
          <w:t>Recommended Posture</w:t>
        </w:r>
        <w:r>
          <w:tab/>
        </w:r>
        <w:r>
          <w:fldChar w:fldCharType="begin"/>
        </w:r>
        <w:r>
          <w:instrText xml:space="preserve"> PAGEREF _Toc9500731 \h </w:instrText>
        </w:r>
        <w:r>
          <w:fldChar w:fldCharType="separate"/>
        </w:r>
        <w:r>
          <w:t>41</w:t>
        </w:r>
        <w:r>
          <w:fldChar w:fldCharType="end"/>
        </w:r>
      </w:hyperlink>
    </w:p>
    <w:p>
      <w:pPr>
        <w:pStyle w:val="TOC2"/>
      </w:pPr>
      <w:hyperlink w:anchor="_Toc9500732" w:history="1">
        <w:r>
          <w:rPr>
            <w:rStyle w:val="Hyperlink"/>
          </w:rPr>
          <w:t>Do / Avoid</w:t>
        </w:r>
        <w:r>
          <w:tab/>
        </w:r>
        <w:r>
          <w:fldChar w:fldCharType="begin"/>
        </w:r>
        <w:r>
          <w:instrText xml:space="preserve"> PAGEREF _Toc9500732 \h </w:instrText>
        </w:r>
        <w:r>
          <w:fldChar w:fldCharType="separate"/>
        </w:r>
        <w:r>
          <w:t>41</w:t>
        </w:r>
        <w:r>
          <w:fldChar w:fldCharType="end"/>
        </w:r>
      </w:hyperlink>
    </w:p>
    <w:p>
      <w:pPr>
        <w:pStyle w:val="TOC1"/>
      </w:pPr>
      <w:hyperlink w:anchor="_Toc9500733" w:history="1">
        <w:r>
          <w:rPr>
            <w:rStyle w:val="Hyperlink"/>
          </w:rPr>
          <w:t>January 2028 — Decision Windows and Trigger Sheet</w:t>
        </w:r>
        <w:r>
          <w:tab/>
        </w:r>
        <w:r>
          <w:fldChar w:fldCharType="begin"/>
        </w:r>
        <w:r>
          <w:instrText xml:space="preserve"> PAGEREF _Toc9500733 \h </w:instrText>
        </w:r>
        <w:r>
          <w:fldChar w:fldCharType="separate"/>
        </w:r>
        <w:r>
          <w:t>42</w:t>
        </w:r>
        <w:r>
          <w:fldChar w:fldCharType="end"/>
        </w:r>
      </w:hyperlink>
    </w:p>
    <w:p>
      <w:pPr>
        <w:pStyle w:val="TOC2"/>
      </w:pPr>
      <w:hyperlink w:anchor="_Toc9500734" w:history="1">
        <w:r>
          <w:rPr>
            <w:rStyle w:val="Hyperlink"/>
          </w:rPr>
          <w:t>Monthly Trigger Questions</w:t>
        </w:r>
        <w:r>
          <w:tab/>
        </w:r>
        <w:r>
          <w:fldChar w:fldCharType="begin"/>
        </w:r>
        <w:r>
          <w:instrText xml:space="preserve"> PAGEREF _Toc9500734 \h </w:instrText>
        </w:r>
        <w:r>
          <w:fldChar w:fldCharType="separate"/>
        </w:r>
        <w:r>
          <w:t>42</w:t>
        </w:r>
        <w:r>
          <w:fldChar w:fldCharType="end"/>
        </w:r>
      </w:hyperlink>
    </w:p>
    <w:p>
      <w:pPr>
        <w:pStyle w:val="TOC2"/>
      </w:pPr>
      <w:hyperlink w:anchor="_Toc9500735" w:history="1">
        <w:r>
          <w:rPr>
            <w:rStyle w:val="Hyperlink"/>
          </w:rPr>
          <w:t>Month-End Required Output</w:t>
        </w:r>
        <w:r>
          <w:tab/>
        </w:r>
        <w:r>
          <w:fldChar w:fldCharType="begin"/>
        </w:r>
        <w:r>
          <w:instrText xml:space="preserve"> PAGEREF _Toc9500735 \h </w:instrText>
        </w:r>
        <w:r>
          <w:fldChar w:fldCharType="separate"/>
        </w:r>
        <w:r>
          <w:t>42</w:t>
        </w:r>
        <w:r>
          <w:fldChar w:fldCharType="end"/>
        </w:r>
      </w:hyperlink>
    </w:p>
    <w:p>
      <w:pPr>
        <w:pStyle w:val="TOC1"/>
      </w:pPr>
      <w:hyperlink w:anchor="_Toc9500736" w:history="1">
        <w:r>
          <w:rPr>
            <w:rStyle w:val="Hyperlink"/>
          </w:rPr>
          <w:t>Month 18: February 2028 — Operational Picture</w:t>
        </w:r>
        <w:r>
          <w:tab/>
        </w:r>
        <w:r>
          <w:fldChar w:fldCharType="begin"/>
        </w:r>
        <w:r>
          <w:instrText xml:space="preserve"> PAGEREF _Toc9500736 \h </w:instrText>
        </w:r>
        <w:r>
          <w:fldChar w:fldCharType="separate"/>
        </w:r>
        <w:r>
          <w:t>43</w:t>
        </w:r>
        <w:r>
          <w:fldChar w:fldCharType="end"/>
        </w:r>
      </w:hyperlink>
    </w:p>
    <w:p>
      <w:pPr>
        <w:pStyle w:val="TOC2"/>
      </w:pPr>
      <w:hyperlink w:anchor="_Toc9500737" w:history="1">
        <w:r>
          <w:rPr>
            <w:rStyle w:val="Hyperlink"/>
          </w:rPr>
          <w:t>Known and Expected Decision Markers</w:t>
        </w:r>
        <w:r>
          <w:tab/>
        </w:r>
        <w:r>
          <w:fldChar w:fldCharType="begin"/>
        </w:r>
        <w:r>
          <w:instrText xml:space="preserve"> PAGEREF _Toc9500737 \h </w:instrText>
        </w:r>
        <w:r>
          <w:fldChar w:fldCharType="separate"/>
        </w:r>
        <w:r>
          <w:t>43</w:t>
        </w:r>
        <w:r>
          <w:fldChar w:fldCharType="end"/>
        </w:r>
      </w:hyperlink>
    </w:p>
    <w:p>
      <w:pPr>
        <w:pStyle w:val="TOC2"/>
      </w:pPr>
      <w:hyperlink w:anchor="_Toc9500738" w:history="1">
        <w:r>
          <w:rPr>
            <w:rStyle w:val="Hyperlink"/>
          </w:rPr>
          <w:t>Recommended Posture</w:t>
        </w:r>
        <w:r>
          <w:tab/>
        </w:r>
        <w:r>
          <w:fldChar w:fldCharType="begin"/>
        </w:r>
        <w:r>
          <w:instrText xml:space="preserve"> PAGEREF _Toc9500738 \h </w:instrText>
        </w:r>
        <w:r>
          <w:fldChar w:fldCharType="separate"/>
        </w:r>
        <w:r>
          <w:t>43</w:t>
        </w:r>
        <w:r>
          <w:fldChar w:fldCharType="end"/>
        </w:r>
      </w:hyperlink>
    </w:p>
    <w:p>
      <w:pPr>
        <w:pStyle w:val="TOC2"/>
      </w:pPr>
      <w:hyperlink w:anchor="_Toc9500739" w:history="1">
        <w:r>
          <w:rPr>
            <w:rStyle w:val="Hyperlink"/>
          </w:rPr>
          <w:t>Do / Avoid</w:t>
        </w:r>
        <w:r>
          <w:tab/>
        </w:r>
        <w:r>
          <w:fldChar w:fldCharType="begin"/>
        </w:r>
        <w:r>
          <w:instrText xml:space="preserve"> PAGEREF _Toc9500739 \h </w:instrText>
        </w:r>
        <w:r>
          <w:fldChar w:fldCharType="separate"/>
        </w:r>
        <w:r>
          <w:t>43</w:t>
        </w:r>
        <w:r>
          <w:fldChar w:fldCharType="end"/>
        </w:r>
      </w:hyperlink>
    </w:p>
    <w:p>
      <w:pPr>
        <w:pStyle w:val="TOC1"/>
      </w:pPr>
      <w:hyperlink w:anchor="_Toc9500740" w:history="1">
        <w:r>
          <w:rPr>
            <w:rStyle w:val="Hyperlink"/>
          </w:rPr>
          <w:t>February 2028 — Decision Windows and Trigger Sheet</w:t>
        </w:r>
        <w:r>
          <w:tab/>
        </w:r>
        <w:r>
          <w:fldChar w:fldCharType="begin"/>
        </w:r>
        <w:r>
          <w:instrText xml:space="preserve"> PAGEREF _Toc9500740 \h </w:instrText>
        </w:r>
        <w:r>
          <w:fldChar w:fldCharType="separate"/>
        </w:r>
        <w:r>
          <w:t>44</w:t>
        </w:r>
        <w:r>
          <w:fldChar w:fldCharType="end"/>
        </w:r>
      </w:hyperlink>
    </w:p>
    <w:p>
      <w:pPr>
        <w:pStyle w:val="TOC2"/>
      </w:pPr>
      <w:hyperlink w:anchor="_Toc9500741" w:history="1">
        <w:r>
          <w:rPr>
            <w:rStyle w:val="Hyperlink"/>
          </w:rPr>
          <w:t>Monthly Trigger Questions</w:t>
        </w:r>
        <w:r>
          <w:tab/>
        </w:r>
        <w:r>
          <w:fldChar w:fldCharType="begin"/>
        </w:r>
        <w:r>
          <w:instrText xml:space="preserve"> PAGEREF _Toc9500741 \h </w:instrText>
        </w:r>
        <w:r>
          <w:fldChar w:fldCharType="separate"/>
        </w:r>
        <w:r>
          <w:t>44</w:t>
        </w:r>
        <w:r>
          <w:fldChar w:fldCharType="end"/>
        </w:r>
      </w:hyperlink>
    </w:p>
    <w:p>
      <w:pPr>
        <w:pStyle w:val="TOC2"/>
      </w:pPr>
      <w:hyperlink w:anchor="_Toc9500742" w:history="1">
        <w:r>
          <w:rPr>
            <w:rStyle w:val="Hyperlink"/>
          </w:rPr>
          <w:t>Month-End Required Output</w:t>
        </w:r>
        <w:r>
          <w:tab/>
        </w:r>
        <w:r>
          <w:fldChar w:fldCharType="begin"/>
        </w:r>
        <w:r>
          <w:instrText xml:space="preserve"> PAGEREF _Toc9500742 \h </w:instrText>
        </w:r>
        <w:r>
          <w:fldChar w:fldCharType="separate"/>
        </w:r>
        <w:r>
          <w:t>44</w:t>
        </w:r>
        <w:r>
          <w:fldChar w:fldCharType="end"/>
        </w:r>
      </w:hyperlink>
    </w:p>
    <w:p>
      <w:pPr>
        <w:pStyle w:val="TOC1"/>
      </w:pPr>
      <w:hyperlink w:anchor="_Toc9500743" w:history="1">
        <w:r>
          <w:rPr>
            <w:rStyle w:val="Hyperlink"/>
          </w:rPr>
          <w:t>Recurring Decision Calendar: U.S. Political and Legislative Cycle</w:t>
        </w:r>
        <w:r>
          <w:tab/>
        </w:r>
        <w:r>
          <w:fldChar w:fldCharType="begin"/>
        </w:r>
        <w:r>
          <w:instrText xml:space="preserve"> PAGEREF _Toc9500743 \h </w:instrText>
        </w:r>
        <w:r>
          <w:fldChar w:fldCharType="separate"/>
        </w:r>
        <w:r>
          <w:t>45</w:t>
        </w:r>
        <w:r>
          <w:fldChar w:fldCharType="end"/>
        </w:r>
      </w:hyperlink>
    </w:p>
    <w:p>
      <w:pPr>
        <w:pStyle w:val="TOC2"/>
      </w:pPr>
      <w:hyperlink w:anchor="_Toc9500744" w:history="1">
        <w:r>
          <w:rPr>
            <w:rStyle w:val="Hyperlink"/>
          </w:rPr>
          <w:t>Congressional Calendar Update Protocol</w:t>
        </w:r>
        <w:r>
          <w:tab/>
        </w:r>
        <w:r>
          <w:fldChar w:fldCharType="begin"/>
        </w:r>
        <w:r>
          <w:instrText xml:space="preserve"> PAGEREF _Toc9500744 \h </w:instrText>
        </w:r>
        <w:r>
          <w:fldChar w:fldCharType="separate"/>
        </w:r>
        <w:r>
          <w:t>45</w:t>
        </w:r>
        <w:r>
          <w:fldChar w:fldCharType="end"/>
        </w:r>
      </w:hyperlink>
    </w:p>
    <w:p>
      <w:pPr>
        <w:pStyle w:val="TOC1"/>
      </w:pPr>
      <w:hyperlink w:anchor="_Toc9500745" w:history="1">
        <w:r>
          <w:rPr>
            <w:rStyle w:val="Hyperlink"/>
          </w:rPr>
          <w:t>Recurring Decision Calendar: CUSMA / USMCA</w:t>
        </w:r>
        <w:r>
          <w:tab/>
        </w:r>
        <w:r>
          <w:fldChar w:fldCharType="begin"/>
        </w:r>
        <w:r>
          <w:instrText xml:space="preserve"> PAGEREF _Toc9500745 \h </w:instrText>
        </w:r>
        <w:r>
          <w:fldChar w:fldCharType="separate"/>
        </w:r>
        <w:r>
          <w:t>46</w:t>
        </w:r>
        <w:r>
          <w:fldChar w:fldCharType="end"/>
        </w:r>
      </w:hyperlink>
    </w:p>
    <w:p>
      <w:pPr>
        <w:pStyle w:val="TOC1"/>
      </w:pPr>
      <w:hyperlink w:anchor="_Toc9500746" w:history="1">
        <w:r>
          <w:rPr>
            <w:rStyle w:val="Hyperlink"/>
          </w:rPr>
          <w:t>Recurring Decision Calendar: Canadian Fiscal and Parliamentary Cycle</w:t>
        </w:r>
        <w:r>
          <w:tab/>
        </w:r>
        <w:r>
          <w:fldChar w:fldCharType="begin"/>
        </w:r>
        <w:r>
          <w:instrText xml:space="preserve"> PAGEREF _Toc9500746 \h </w:instrText>
        </w:r>
        <w:r>
          <w:fldChar w:fldCharType="separate"/>
        </w:r>
        <w:r>
          <w:t>47</w:t>
        </w:r>
        <w:r>
          <w:fldChar w:fldCharType="end"/>
        </w:r>
      </w:hyperlink>
    </w:p>
    <w:p>
      <w:pPr>
        <w:pStyle w:val="TOC2"/>
      </w:pPr>
      <w:hyperlink w:anchor="_Toc9500747" w:history="1">
        <w:r>
          <w:rPr>
            <w:rStyle w:val="Hyperlink"/>
          </w:rPr>
          <w:t>Fiscal Lead-Time Rule</w:t>
        </w:r>
        <w:r>
          <w:tab/>
        </w:r>
        <w:r>
          <w:fldChar w:fldCharType="begin"/>
        </w:r>
        <w:r>
          <w:instrText xml:space="preserve"> PAGEREF _Toc9500747 \h </w:instrText>
        </w:r>
        <w:r>
          <w:fldChar w:fldCharType="separate"/>
        </w:r>
        <w:r>
          <w:t>47</w:t>
        </w:r>
        <w:r>
          <w:fldChar w:fldCharType="end"/>
        </w:r>
      </w:hyperlink>
    </w:p>
    <w:p>
      <w:pPr>
        <w:pStyle w:val="TOC1"/>
      </w:pPr>
      <w:hyperlink w:anchor="_Toc9500748" w:history="1">
        <w:r>
          <w:rPr>
            <w:rStyle w:val="Hyperlink"/>
          </w:rPr>
          <w:t>Recurring Decision Calendar: Agriculture</w:t>
        </w:r>
        <w:r>
          <w:tab/>
        </w:r>
        <w:r>
          <w:fldChar w:fldCharType="begin"/>
        </w:r>
        <w:r>
          <w:instrText xml:space="preserve"> PAGEREF _Toc9500748 \h </w:instrText>
        </w:r>
        <w:r>
          <w:fldChar w:fldCharType="separate"/>
        </w:r>
        <w:r>
          <w:t>48</w:t>
        </w:r>
        <w:r>
          <w:fldChar w:fldCharType="end"/>
        </w:r>
      </w:hyperlink>
    </w:p>
    <w:p>
      <w:pPr>
        <w:pStyle w:val="TOC1"/>
      </w:pPr>
      <w:hyperlink w:anchor="_Toc9500749" w:history="1">
        <w:r>
          <w:rPr>
            <w:rStyle w:val="Hyperlink"/>
          </w:rPr>
          <w:t>Recurring Decision Calendar: Energy and Commodities</w:t>
        </w:r>
        <w:r>
          <w:tab/>
        </w:r>
        <w:r>
          <w:fldChar w:fldCharType="begin"/>
        </w:r>
        <w:r>
          <w:instrText xml:space="preserve"> PAGEREF _Toc9500749 \h </w:instrText>
        </w:r>
        <w:r>
          <w:fldChar w:fldCharType="separate"/>
        </w:r>
        <w:r>
          <w:t>49</w:t>
        </w:r>
        <w:r>
          <w:fldChar w:fldCharType="end"/>
        </w:r>
      </w:hyperlink>
    </w:p>
    <w:p>
      <w:pPr>
        <w:pStyle w:val="TOC1"/>
      </w:pPr>
      <w:hyperlink w:anchor="_Toc9500750" w:history="1">
        <w:r>
          <w:rPr>
            <w:rStyle w:val="Hyperlink"/>
          </w:rPr>
          <w:t>Recurring Decision Calendar: Automotive and Industrial Cycles</w:t>
        </w:r>
        <w:r>
          <w:tab/>
        </w:r>
        <w:r>
          <w:fldChar w:fldCharType="begin"/>
        </w:r>
        <w:r>
          <w:instrText xml:space="preserve"> PAGEREF _Toc9500750 \h </w:instrText>
        </w:r>
        <w:r>
          <w:fldChar w:fldCharType="separate"/>
        </w:r>
        <w:r>
          <w:t>50</w:t>
        </w:r>
        <w:r>
          <w:fldChar w:fldCharType="end"/>
        </w:r>
      </w:hyperlink>
    </w:p>
    <w:p>
      <w:pPr>
        <w:pStyle w:val="TOC1"/>
      </w:pPr>
      <w:hyperlink w:anchor="_Toc9500751" w:history="1">
        <w:r>
          <w:rPr>
            <w:rStyle w:val="Hyperlink"/>
          </w:rPr>
          <w:t>Recurring Decision Calendar: Monetary and Macro Signals</w:t>
        </w:r>
        <w:r>
          <w:tab/>
        </w:r>
        <w:r>
          <w:fldChar w:fldCharType="begin"/>
        </w:r>
        <w:r>
          <w:instrText xml:space="preserve"> PAGEREF _Toc9500751 \h </w:instrText>
        </w:r>
        <w:r>
          <w:fldChar w:fldCharType="separate"/>
        </w:r>
        <w:r>
          <w:t>51</w:t>
        </w:r>
        <w:r>
          <w:fldChar w:fldCharType="end"/>
        </w:r>
      </w:hyperlink>
    </w:p>
    <w:p>
      <w:pPr>
        <w:pStyle w:val="TOC1"/>
      </w:pPr>
      <w:hyperlink w:anchor="_Toc9500752" w:history="1">
        <w:r>
          <w:rPr>
            <w:rStyle w:val="Hyperlink"/>
          </w:rPr>
          <w:t>Decision Playbook A — When to Make an Offer</w:t>
        </w:r>
        <w:r>
          <w:tab/>
        </w:r>
        <w:r>
          <w:fldChar w:fldCharType="begin"/>
        </w:r>
        <w:r>
          <w:instrText xml:space="preserve"> PAGEREF _Toc9500752 \h </w:instrText>
        </w:r>
        <w:r>
          <w:fldChar w:fldCharType="separate"/>
        </w:r>
        <w:r>
          <w:t>52</w:t>
        </w:r>
        <w:r>
          <w:fldChar w:fldCharType="end"/>
        </w:r>
      </w:hyperlink>
    </w:p>
    <w:p>
      <w:pPr>
        <w:pStyle w:val="TOC1"/>
      </w:pPr>
      <w:hyperlink w:anchor="_Toc9500753" w:history="1">
        <w:r>
          <w:rPr>
            <w:rStyle w:val="Hyperlink"/>
          </w:rPr>
          <w:t>Decision Playbook B — When to Activate or Adjust Countermeasures</w:t>
        </w:r>
        <w:r>
          <w:tab/>
        </w:r>
        <w:r>
          <w:fldChar w:fldCharType="begin"/>
        </w:r>
        <w:r>
          <w:instrText xml:space="preserve"> PAGEREF _Toc9500753 \h </w:instrText>
        </w:r>
        <w:r>
          <w:fldChar w:fldCharType="separate"/>
        </w:r>
        <w:r>
          <w:t>53</w:t>
        </w:r>
        <w:r>
          <w:fldChar w:fldCharType="end"/>
        </w:r>
      </w:hyperlink>
    </w:p>
    <w:p>
      <w:pPr>
        <w:pStyle w:val="TOC1"/>
      </w:pPr>
      <w:hyperlink w:anchor="_Toc9500754" w:history="1">
        <w:r>
          <w:rPr>
            <w:rStyle w:val="Hyperlink"/>
          </w:rPr>
          <w:t>Decision Playbook C — De-Escalation Window</w:t>
        </w:r>
        <w:r>
          <w:tab/>
        </w:r>
        <w:r>
          <w:fldChar w:fldCharType="begin"/>
        </w:r>
        <w:r>
          <w:instrText xml:space="preserve"> PAGEREF _Toc9500754 \h </w:instrText>
        </w:r>
        <w:r>
          <w:fldChar w:fldCharType="separate"/>
        </w:r>
        <w:r>
          <w:t>54</w:t>
        </w:r>
        <w:r>
          <w:fldChar w:fldCharType="end"/>
        </w:r>
      </w:hyperlink>
    </w:p>
    <w:p>
      <w:pPr>
        <w:pStyle w:val="TOC1"/>
      </w:pPr>
      <w:hyperlink w:anchor="_Toc9500755" w:history="1">
        <w:r>
          <w:rPr>
            <w:rStyle w:val="Hyperlink"/>
          </w:rPr>
          <w:t>Decision Playbook D — Announcement Timing</w:t>
        </w:r>
        <w:r>
          <w:tab/>
        </w:r>
        <w:r>
          <w:fldChar w:fldCharType="begin"/>
        </w:r>
        <w:r>
          <w:instrText xml:space="preserve"> PAGEREF _Toc9500755 \h </w:instrText>
        </w:r>
        <w:r>
          <w:fldChar w:fldCharType="separate"/>
        </w:r>
        <w:r>
          <w:t>55</w:t>
        </w:r>
        <w:r>
          <w:fldChar w:fldCharType="end"/>
        </w:r>
      </w:hyperlink>
    </w:p>
    <w:p>
      <w:pPr>
        <w:pStyle w:val="TOC1"/>
      </w:pPr>
      <w:hyperlink w:anchor="_Toc9500756" w:history="1">
        <w:r>
          <w:rPr>
            <w:rStyle w:val="Hyperlink"/>
          </w:rPr>
          <w:t>Decision Playbook E — Strategic Initiative Without Civilian Harm</w:t>
        </w:r>
        <w:r>
          <w:tab/>
        </w:r>
        <w:r>
          <w:fldChar w:fldCharType="begin"/>
        </w:r>
        <w:r>
          <w:instrText xml:space="preserve"> PAGEREF _Toc9500756 \h </w:instrText>
        </w:r>
        <w:r>
          <w:fldChar w:fldCharType="separate"/>
        </w:r>
        <w:r>
          <w:t>56</w:t>
        </w:r>
        <w:r>
          <w:fldChar w:fldCharType="end"/>
        </w:r>
      </w:hyperlink>
    </w:p>
    <w:p>
      <w:pPr>
        <w:pStyle w:val="TOC1"/>
      </w:pPr>
      <w:hyperlink w:anchor="_Toc9500757" w:history="1">
        <w:r>
          <w:rPr>
            <w:rStyle w:val="Hyperlink"/>
          </w:rPr>
          <w:t>Weekly Campaign Timing Dashboard</w:t>
        </w:r>
        <w:r>
          <w:tab/>
        </w:r>
        <w:r>
          <w:fldChar w:fldCharType="begin"/>
        </w:r>
        <w:r>
          <w:instrText xml:space="preserve"> PAGEREF _Toc9500757 \h </w:instrText>
        </w:r>
        <w:r>
          <w:fldChar w:fldCharType="separate"/>
        </w:r>
        <w:r>
          <w:t>57</w:t>
        </w:r>
        <w:r>
          <w:fldChar w:fldCharType="end"/>
        </w:r>
      </w:hyperlink>
    </w:p>
    <w:p>
      <w:pPr>
        <w:pStyle w:val="TOC2"/>
      </w:pPr>
      <w:hyperlink w:anchor="_Toc9500758" w:history="1">
        <w:r>
          <w:rPr>
            <w:rStyle w:val="Hyperlink"/>
          </w:rPr>
          <w:t>Decision Recommendation Format</w:t>
        </w:r>
        <w:r>
          <w:tab/>
        </w:r>
        <w:r>
          <w:fldChar w:fldCharType="begin"/>
        </w:r>
        <w:r>
          <w:instrText xml:space="preserve"> PAGEREF _Toc9500758 \h </w:instrText>
        </w:r>
        <w:r>
          <w:fldChar w:fldCharType="separate"/>
        </w:r>
        <w:r>
          <w:t>57</w:t>
        </w:r>
        <w:r>
          <w:fldChar w:fldCharType="end"/>
        </w:r>
      </w:hyperlink>
    </w:p>
    <w:p>
      <w:pPr>
        <w:pStyle w:val="TOC1"/>
      </w:pPr>
      <w:hyperlink w:anchor="_Toc9500759" w:history="1">
        <w:r>
          <w:rPr>
            <w:rStyle w:val="Hyperlink"/>
          </w:rPr>
          <w:t>Scenario Overlays</w:t>
        </w:r>
        <w:r>
          <w:tab/>
        </w:r>
        <w:r>
          <w:fldChar w:fldCharType="begin"/>
        </w:r>
        <w:r>
          <w:instrText xml:space="preserve"> PAGEREF _Toc9500759 \h </w:instrText>
        </w:r>
        <w:r>
          <w:fldChar w:fldCharType="separate"/>
        </w:r>
        <w:r>
          <w:t>58</w:t>
        </w:r>
        <w:r>
          <w:fldChar w:fldCharType="end"/>
        </w:r>
      </w:hyperlink>
    </w:p>
    <w:p>
      <w:pPr>
        <w:pStyle w:val="TOC1"/>
      </w:pPr>
      <w:hyperlink w:anchor="_Toc9500760" w:history="1">
        <w:r>
          <w:rPr>
            <w:rStyle w:val="Hyperlink"/>
          </w:rPr>
          <w:t>18-Month Milestone Reviews</w:t>
        </w:r>
        <w:r>
          <w:tab/>
        </w:r>
        <w:r>
          <w:fldChar w:fldCharType="begin"/>
        </w:r>
        <w:r>
          <w:instrText xml:space="preserve"> PAGEREF _Toc9500760 \h </w:instrText>
        </w:r>
        <w:r>
          <w:fldChar w:fldCharType="separate"/>
        </w:r>
        <w:r>
          <w:t>59</w:t>
        </w:r>
        <w:r>
          <w:fldChar w:fldCharType="end"/>
        </w:r>
      </w:hyperlink>
    </w:p>
    <w:p>
      <w:pPr>
        <w:pStyle w:val="TOC1"/>
      </w:pPr>
      <w:hyperlink w:anchor="_Toc9500761" w:history="1">
        <w:r>
          <w:rPr>
            <w:rStyle w:val="Hyperlink"/>
          </w:rPr>
          <w:t>Source Register and Validation Notes</w:t>
        </w:r>
        <w:r>
          <w:tab/>
        </w:r>
        <w:r>
          <w:fldChar w:fldCharType="begin"/>
        </w:r>
        <w:r>
          <w:instrText xml:space="preserve"> PAGEREF _Toc9500761 \h </w:instrText>
        </w:r>
        <w:r>
          <w:fldChar w:fldCharType="separate"/>
        </w:r>
        <w:r>
          <w:t>60</w:t>
        </w:r>
        <w:r>
          <w:fldChar w:fldCharType="end"/>
        </w:r>
      </w:hyperlink>
    </w:p>
    <w:p>
      <w:pPr>
        <w:pStyle w:val="TOC1"/>
      </w:pPr>
      <w:hyperlink w:anchor="_Toc9500762" w:history="1">
        <w:r>
          <w:rPr>
            <w:rStyle w:val="Hyperlink"/>
          </w:rPr>
          <w:t>What This Calendar Does Not Do</w:t>
        </w:r>
        <w:r>
          <w:tab/>
        </w:r>
        <w:r>
          <w:fldChar w:fldCharType="begin"/>
        </w:r>
        <w:r>
          <w:instrText xml:space="preserve"> PAGEREF _Toc9500762 \h </w:instrText>
        </w:r>
        <w:r>
          <w:fldChar w:fldCharType="separate"/>
        </w:r>
        <w:r>
          <w:t>61</w:t>
        </w:r>
        <w:r>
          <w:fldChar w:fldCharType="end"/>
        </w:r>
      </w:hyperlink>
    </w:p>
    <w:p>
      <w:pPr>
        <w:pStyle w:val="TOC2"/>
      </w:pPr>
      <w:hyperlink w:anchor="_Toc9500763" w:history="1">
        <w:r>
          <w:rPr>
            <w:rStyle w:val="Hyperlink"/>
          </w:rPr>
          <w:t>Closing Doctrine</w:t>
        </w:r>
        <w:r>
          <w:tab/>
        </w:r>
        <w:r>
          <w:fldChar w:fldCharType="begin"/>
        </w:r>
        <w:r>
          <w:instrText xml:space="preserve"> PAGEREF _Toc9500763 \h </w:instrText>
        </w:r>
        <w:r>
          <w:fldChar w:fldCharType="separate"/>
        </w:r>
        <w:r>
          <w:t>61</w:t>
        </w:r>
        <w:r>
          <w:fldChar w:fldCharType="end"/>
        </w:r>
      </w:hyperlink>
    </w:p>
    <w:p>
      <w:r>
        <w:fldChar w:fldCharType="end"/>
      </w:r>
    </w:p>
    <w:p>
      <w:pPr>
        <w:sectPr>
          <w:headerReference w:type="default" r:id="rId9"/>
          <w:footerReference w:type="default" r:id="rId10"/>
          <w:pgSz w:w="12240" w:h="15840"/>
          <w:pgMar w:top="979" w:right="1037" w:bottom="922" w:left="1037" w:header="720" w:footer="720" w:gutter="0"/>
          <w:pgNumType w:start="1"/>
          <w:cols w:space="720"/>
          <w:docGrid w:linePitch="360"/>
        </w:sectPr>
      </w:pPr>
    </w:p>
    <w:p>
      <w:pPr>
        <w:pStyle w:val="Heading1"/>
        <w:keepNext/>
        <w:spacing w:before="160" w:after="60"/>
      </w:pPr>
      <w:bookmarkStart w:id="601" w:name="_Toc9500601"/>
      <w:r>
        <w:t>Executive Purpose</w:t>
      </w:r>
      <w:bookmarkEnd w:id="601"/>
    </w:p>
    <w:p>
      <w:r>
        <w:rPr>
          <w:b w:val="0"/>
          <w:i w:val="0"/>
        </w:rPr>
        <w:t>This document converts the Canada-U.S. trade conflict from a sequence of reactive announcements into a time-aware decision system. Its purpose is to identify when institutions are available, when economic information becomes clearer, when implementation capacity is constrained, when negotiation can receive attention, and when de-escalation or reassurance may be unusually valuable.</w:t>
      </w:r>
    </w:p>
    <w:p>
      <w:r>
        <w:rPr>
          <w:b w:val="0"/>
          <w:i w:val="0"/>
        </w:rPr>
        <w:t>The calendar deliberately rejects a civilian-harm doctrine. Seasonal energy demand, agricultural cycles, plant shutdowns, elections, and fiscal deadlines are included because they change economic risk, political attention, administrative capacity, and the consequences of policy error. They are not invitations to engineer shortages, exploit emergencies, or time measures to maximize household suffering.</w:t>
      </w:r>
    </w:p>
    <w:p>
      <w:pPr>
        <w:pStyle w:val="Heading2"/>
        <w:keepNext/>
        <w:spacing w:before="160" w:after="60"/>
      </w:pPr>
      <w:bookmarkStart w:id="602" w:name="_Toc9500602"/>
      <w:r>
        <w:t>Current Baseline</w:t>
      </w:r>
      <w:bookmarkEnd w:id="602"/>
    </w:p>
    <w:p>
      <w:r>
        <w:rPr>
          <w:b w:val="0"/>
          <w:i w:val="0"/>
        </w:rPr>
        <w:t>As of August 28, 2026, Canada has suspended trade negotiations after judging late U.S. proposed terms unfair and uneconomic. The United States imposed 50% tariffs on approximately C$27.6 billion of Canadian goods effective August 22. Canada announced dollar-for-dollar, rate-for-rate countermeasures on C$27.6 billion of U.S.-origin goods, with new Canadian tariffs scheduled for September 8, while maintaining existing countermeasures and adding C$7.5 billion in worker and business support.</w:t>
      </w:r>
    </w:p>
    <w:p>
      <w:r>
        <w:rPr>
          <w:b w:val="0"/>
          <w:i w:val="0"/>
        </w:rPr>
        <w:t>The first CUSMA/USMCA joint review took place July 1, 2026. The agreement therefore remains a central institutional channel even while bilateral negotiations are suspended. This calendar treats CUSMA implementation, review follow-up, sectoral negotiations, and future review architecture as recurring decision windows rather than a single date.</w:t>
      </w:r>
    </w:p>
    <w:p>
      <w:pPr>
        <w:pStyle w:val="Heading2"/>
        <w:keepNext/>
        <w:spacing w:before="160" w:after="60"/>
      </w:pPr>
      <w:bookmarkStart w:id="603" w:name="_Toc9500603"/>
      <w:r>
        <w:t>Command Question</w:t>
      </w:r>
      <w:bookmarkEnd w:id="603"/>
    </w:p>
    <w:p>
      <w:r>
        <w:rPr>
          <w:b w:val="0"/>
          <w:i w:val="0"/>
        </w:rPr>
        <w:t>For every proposed Canadian action, ask: Why this measure? Why now? What information becomes available before or after this date? Who is in session? Who is distracted? What Canadian implementation lead time is required? What collateral risk is seasonally elevated? Is this a better window for pressure, an offer, reassurance, or quiet preparation?</w:t>
      </w:r>
    </w:p>
    <w:p>
      <w:pPr>
        <w:pStyle w:val="Heading2"/>
        <w:keepNext/>
        <w:spacing w:before="160" w:after="60"/>
      </w:pPr>
      <w:bookmarkStart w:id="604" w:name="_Toc9500604"/>
      <w:r>
        <w:t>Four Window Types</w:t>
      </w:r>
      <w:bookmarkEnd w:id="604"/>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6"/>
              </w:rPr>
              <w:t>Window</w:t>
            </w:r>
          </w:p>
        </w:tc>
        <w:tc>
          <w:tcPr>
            <w:tcW w:type="dxa" w:w="3389"/>
            <w:shd w:fill="DCE6F1"/>
          </w:tcPr>
          <w:p>
            <w:r>
              <w:rPr>
                <w:b/>
                <w:sz w:val="16"/>
              </w:rPr>
              <w:t>Use</w:t>
            </w:r>
          </w:p>
        </w:tc>
        <w:tc>
          <w:tcPr>
            <w:tcW w:type="dxa" w:w="3389"/>
            <w:shd w:fill="DCE6F1"/>
          </w:tcPr>
          <w:p>
            <w:r>
              <w:rPr>
                <w:b/>
                <w:sz w:val="16"/>
              </w:rPr>
              <w:t>Examples</w:t>
            </w:r>
          </w:p>
        </w:tc>
      </w:tr>
      <w:tr>
        <w:tc>
          <w:tcPr>
            <w:tcW w:type="dxa" w:w="3389"/>
            <w:vAlign w:val="top"/>
          </w:tcPr>
          <w:p>
            <w:pPr>
              <w:spacing w:after="0"/>
            </w:pPr>
            <w:r>
              <w:rPr>
                <w:sz w:val="16"/>
              </w:rPr>
              <w:t>GREEN — Opportunity</w:t>
            </w:r>
          </w:p>
        </w:tc>
        <w:tc>
          <w:tcPr>
            <w:tcW w:type="dxa" w:w="3389"/>
            <w:vAlign w:val="top"/>
          </w:tcPr>
          <w:p>
            <w:pPr>
              <w:spacing w:after="0"/>
            </w:pPr>
            <w:r>
              <w:rPr>
                <w:sz w:val="16"/>
              </w:rPr>
              <w:t>High attention, good data, manageable collateral risk</w:t>
            </w:r>
          </w:p>
        </w:tc>
        <w:tc>
          <w:tcPr>
            <w:tcW w:type="dxa" w:w="3389"/>
            <w:vAlign w:val="top"/>
          </w:tcPr>
          <w:p>
            <w:pPr>
              <w:spacing w:after="0"/>
            </w:pPr>
            <w:r>
              <w:rPr>
                <w:sz w:val="16"/>
              </w:rPr>
              <w:t>Offer, announce, negotiate, launch support</w:t>
            </w:r>
          </w:p>
        </w:tc>
      </w:tr>
      <w:tr>
        <w:tc>
          <w:tcPr>
            <w:tcW w:type="dxa" w:w="3389"/>
            <w:vAlign w:val="top"/>
          </w:tcPr>
          <w:p>
            <w:pPr>
              <w:spacing w:after="0"/>
            </w:pPr>
            <w:r>
              <w:rPr>
                <w:sz w:val="16"/>
              </w:rPr>
              <w:t>BLUE — Preparation</w:t>
            </w:r>
          </w:p>
        </w:tc>
        <w:tc>
          <w:tcPr>
            <w:tcW w:type="dxa" w:w="3389"/>
            <w:vAlign w:val="top"/>
          </w:tcPr>
          <w:p>
            <w:pPr>
              <w:spacing w:after="0"/>
            </w:pPr>
            <w:r>
              <w:rPr>
                <w:sz w:val="16"/>
              </w:rPr>
              <w:t>Institutions absent or data pending; use time to prepare</w:t>
            </w:r>
          </w:p>
        </w:tc>
        <w:tc>
          <w:tcPr>
            <w:tcW w:type="dxa" w:w="3389"/>
            <w:vAlign w:val="top"/>
          </w:tcPr>
          <w:p>
            <w:pPr>
              <w:spacing w:after="0"/>
            </w:pPr>
            <w:r>
              <w:rPr>
                <w:sz w:val="16"/>
              </w:rPr>
              <w:t>Model, consult, pre-clear, draft, stockpile</w:t>
            </w:r>
          </w:p>
        </w:tc>
      </w:tr>
      <w:tr>
        <w:tc>
          <w:tcPr>
            <w:tcW w:type="dxa" w:w="3389"/>
            <w:vAlign w:val="top"/>
          </w:tcPr>
          <w:p>
            <w:pPr>
              <w:spacing w:after="0"/>
            </w:pPr>
            <w:r>
              <w:rPr>
                <w:sz w:val="16"/>
              </w:rPr>
              <w:t>AMBER — Caution</w:t>
            </w:r>
          </w:p>
        </w:tc>
        <w:tc>
          <w:tcPr>
            <w:tcW w:type="dxa" w:w="3389"/>
            <w:vAlign w:val="top"/>
          </w:tcPr>
          <w:p>
            <w:pPr>
              <w:spacing w:after="0"/>
            </w:pPr>
            <w:r>
              <w:rPr>
                <w:sz w:val="16"/>
              </w:rPr>
              <w:t>Elevated political/economic noise or implementation risk</w:t>
            </w:r>
          </w:p>
        </w:tc>
        <w:tc>
          <w:tcPr>
            <w:tcW w:type="dxa" w:w="3389"/>
            <w:vAlign w:val="top"/>
          </w:tcPr>
          <w:p>
            <w:pPr>
              <w:spacing w:after="0"/>
            </w:pPr>
            <w:r>
              <w:rPr>
                <w:sz w:val="16"/>
              </w:rPr>
              <w:t>Narrow actions; avoid over-reading signals</w:t>
            </w:r>
          </w:p>
        </w:tc>
      </w:tr>
      <w:tr>
        <w:tc>
          <w:tcPr>
            <w:tcW w:type="dxa" w:w="3389"/>
            <w:vAlign w:val="top"/>
          </w:tcPr>
          <w:p>
            <w:pPr>
              <w:spacing w:after="0"/>
            </w:pPr>
            <w:r>
              <w:rPr>
                <w:sz w:val="16"/>
              </w:rPr>
              <w:t>RED — Restraint</w:t>
            </w:r>
          </w:p>
        </w:tc>
        <w:tc>
          <w:tcPr>
            <w:tcW w:type="dxa" w:w="3389"/>
            <w:vAlign w:val="top"/>
          </w:tcPr>
          <w:p>
            <w:pPr>
              <w:spacing w:after="0"/>
            </w:pPr>
            <w:r>
              <w:rPr>
                <w:sz w:val="16"/>
              </w:rPr>
              <w:t>Emergency, severe civilian exposure, election sensitivity, or high miscalculation risk</w:t>
            </w:r>
          </w:p>
        </w:tc>
        <w:tc>
          <w:tcPr>
            <w:tcW w:type="dxa" w:w="3389"/>
            <w:vAlign w:val="top"/>
          </w:tcPr>
          <w:p>
            <w:pPr>
              <w:spacing w:after="0"/>
            </w:pPr>
            <w:r>
              <w:rPr>
                <w:sz w:val="16"/>
              </w:rPr>
              <w:t>Protect essentials; avoid surprise escalation</w:t>
            </w:r>
          </w:p>
        </w:tc>
      </w:tr>
    </w:tbl>
    <w:p>
      <w:pPr>
        <w:spacing w:after="20"/>
      </w:pPr>
    </w:p>
    <w:p>
      <w:r>
        <w:br w:type="page"/>
      </w:r>
    </w:p>
    <w:p>
      <w:pPr>
        <w:pStyle w:val="Heading1"/>
        <w:keepNext/>
        <w:spacing w:before="160" w:after="60"/>
      </w:pPr>
      <w:bookmarkStart w:id="605" w:name="_Toc9500605"/>
      <w:r>
        <w:t>How to Use This Calendar</w:t>
      </w:r>
      <w:bookmarkEnd w:id="605"/>
    </w:p>
    <w:p>
      <w:r>
        <w:rPr>
          <w:b w:val="0"/>
          <w:i w:val="0"/>
        </w:rPr>
        <w:t>This is a living operational calendar, not a prediction engine. Fixed dates are marked as such. Seasonal windows are planning assumptions. Forecast-dependent windows must be revalidated with current data. Events beyond published official calendars are shown as planning bands and must not be treated as confirmed.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Decision Gate</w:t>
            </w:r>
          </w:p>
        </w:tc>
        <w:tc>
          <w:tcPr>
            <w:tcW w:type="dxa" w:w="3389"/>
            <w:shd w:fill="DCE6F1"/>
          </w:tcPr>
          <w:p>
            <w:r>
              <w:rPr>
                <w:b/>
                <w:sz w:val="14"/>
              </w:rPr>
              <w:t>Question</w:t>
            </w:r>
          </w:p>
        </w:tc>
        <w:tc>
          <w:tcPr>
            <w:tcW w:type="dxa" w:w="3389"/>
            <w:shd w:fill="DCE6F1"/>
          </w:tcPr>
          <w:p>
            <w:r>
              <w:rPr>
                <w:b/>
                <w:sz w:val="14"/>
              </w:rPr>
              <w:t>Minimum evidence</w:t>
            </w:r>
          </w:p>
        </w:tc>
      </w:tr>
      <w:tr>
        <w:tc>
          <w:tcPr>
            <w:tcW w:type="dxa" w:w="3389"/>
            <w:vAlign w:val="top"/>
          </w:tcPr>
          <w:p>
            <w:pPr>
              <w:spacing w:after="0"/>
            </w:pPr>
            <w:r>
              <w:rPr>
                <w:sz w:val="14"/>
              </w:rPr>
              <w:t>G1 Objective</w:t>
            </w:r>
          </w:p>
        </w:tc>
        <w:tc>
          <w:tcPr>
            <w:tcW w:type="dxa" w:w="3389"/>
            <w:vAlign w:val="top"/>
          </w:tcPr>
          <w:p>
            <w:pPr>
              <w:spacing w:after="0"/>
            </w:pPr>
            <w:r>
              <w:rPr>
                <w:sz w:val="14"/>
              </w:rPr>
              <w:t>What concrete Canadian objective does the action serve?</w:t>
            </w:r>
          </w:p>
        </w:tc>
        <w:tc>
          <w:tcPr>
            <w:tcW w:type="dxa" w:w="3389"/>
            <w:vAlign w:val="top"/>
          </w:tcPr>
          <w:p>
            <w:pPr>
              <w:spacing w:after="0"/>
            </w:pPr>
            <w:r>
              <w:rPr>
                <w:sz w:val="14"/>
              </w:rPr>
              <w:t>Named objective and owner</w:t>
            </w:r>
          </w:p>
        </w:tc>
      </w:tr>
      <w:tr>
        <w:tc>
          <w:tcPr>
            <w:tcW w:type="dxa" w:w="3389"/>
            <w:vAlign w:val="top"/>
          </w:tcPr>
          <w:p>
            <w:pPr>
              <w:spacing w:after="0"/>
            </w:pPr>
            <w:r>
              <w:rPr>
                <w:sz w:val="14"/>
              </w:rPr>
              <w:t>G2 Timing</w:t>
            </w:r>
          </w:p>
        </w:tc>
        <w:tc>
          <w:tcPr>
            <w:tcW w:type="dxa" w:w="3389"/>
            <w:vAlign w:val="top"/>
          </w:tcPr>
          <w:p>
            <w:pPr>
              <w:spacing w:after="0"/>
            </w:pPr>
            <w:r>
              <w:rPr>
                <w:sz w:val="14"/>
              </w:rPr>
              <w:t>Why is this date superior to earlier/later action?</w:t>
            </w:r>
          </w:p>
        </w:tc>
        <w:tc>
          <w:tcPr>
            <w:tcW w:type="dxa" w:w="3389"/>
            <w:vAlign w:val="top"/>
          </w:tcPr>
          <w:p>
            <w:pPr>
              <w:spacing w:after="0"/>
            </w:pPr>
            <w:r>
              <w:rPr>
                <w:sz w:val="14"/>
              </w:rPr>
              <w:t>Calendar comparison</w:t>
            </w:r>
          </w:p>
        </w:tc>
      </w:tr>
      <w:tr>
        <w:tc>
          <w:tcPr>
            <w:tcW w:type="dxa" w:w="3389"/>
            <w:vAlign w:val="top"/>
          </w:tcPr>
          <w:p>
            <w:pPr>
              <w:spacing w:after="0"/>
            </w:pPr>
            <w:r>
              <w:rPr>
                <w:sz w:val="14"/>
              </w:rPr>
              <w:t>G3 Canadian harm</w:t>
            </w:r>
          </w:p>
        </w:tc>
        <w:tc>
          <w:tcPr>
            <w:tcW w:type="dxa" w:w="3389"/>
            <w:vAlign w:val="top"/>
          </w:tcPr>
          <w:p>
            <w:pPr>
              <w:spacing w:after="0"/>
            </w:pPr>
            <w:r>
              <w:rPr>
                <w:sz w:val="14"/>
              </w:rPr>
              <w:t>Does seasonality magnify Canadian household/industry harm?</w:t>
            </w:r>
          </w:p>
        </w:tc>
        <w:tc>
          <w:tcPr>
            <w:tcW w:type="dxa" w:w="3389"/>
            <w:vAlign w:val="top"/>
          </w:tcPr>
          <w:p>
            <w:pPr>
              <w:spacing w:after="0"/>
            </w:pPr>
            <w:r>
              <w:rPr>
                <w:sz w:val="14"/>
              </w:rPr>
              <w:t>Impact screen</w:t>
            </w:r>
          </w:p>
        </w:tc>
      </w:tr>
      <w:tr>
        <w:tc>
          <w:tcPr>
            <w:tcW w:type="dxa" w:w="3389"/>
            <w:vAlign w:val="top"/>
          </w:tcPr>
          <w:p>
            <w:pPr>
              <w:spacing w:after="0"/>
            </w:pPr>
            <w:r>
              <w:rPr>
                <w:sz w:val="14"/>
              </w:rPr>
              <w:t>G4 U.S. civilian harm</w:t>
            </w:r>
          </w:p>
        </w:tc>
        <w:tc>
          <w:tcPr>
            <w:tcW w:type="dxa" w:w="3389"/>
            <w:vAlign w:val="top"/>
          </w:tcPr>
          <w:p>
            <w:pPr>
              <w:spacing w:after="0"/>
            </w:pPr>
            <w:r>
              <w:rPr>
                <w:sz w:val="14"/>
              </w:rPr>
              <w:t>Could timing create acute civilian hardship?</w:t>
            </w:r>
          </w:p>
        </w:tc>
        <w:tc>
          <w:tcPr>
            <w:tcW w:type="dxa" w:w="3389"/>
            <w:vAlign w:val="top"/>
          </w:tcPr>
          <w:p>
            <w:pPr>
              <w:spacing w:after="0"/>
            </w:pPr>
            <w:r>
              <w:rPr>
                <w:sz w:val="14"/>
              </w:rPr>
              <w:t>Humanitarian/essential-goods screen</w:t>
            </w:r>
          </w:p>
        </w:tc>
      </w:tr>
      <w:tr>
        <w:tc>
          <w:tcPr>
            <w:tcW w:type="dxa" w:w="3389"/>
            <w:vAlign w:val="top"/>
          </w:tcPr>
          <w:p>
            <w:pPr>
              <w:spacing w:after="0"/>
            </w:pPr>
            <w:r>
              <w:rPr>
                <w:sz w:val="14"/>
              </w:rPr>
              <w:t>G5 Institutional attention</w:t>
            </w:r>
          </w:p>
        </w:tc>
        <w:tc>
          <w:tcPr>
            <w:tcW w:type="dxa" w:w="3389"/>
            <w:vAlign w:val="top"/>
          </w:tcPr>
          <w:p>
            <w:pPr>
              <w:spacing w:after="0"/>
            </w:pPr>
            <w:r>
              <w:rPr>
                <w:sz w:val="14"/>
              </w:rPr>
              <w:t>Are decision-makers available and capable of responding?</w:t>
            </w:r>
          </w:p>
        </w:tc>
        <w:tc>
          <w:tcPr>
            <w:tcW w:type="dxa" w:w="3389"/>
            <w:vAlign w:val="top"/>
          </w:tcPr>
          <w:p>
            <w:pPr>
              <w:spacing w:after="0"/>
            </w:pPr>
            <w:r>
              <w:rPr>
                <w:sz w:val="14"/>
              </w:rPr>
              <w:t>Session / summit / negotiation check</w:t>
            </w:r>
          </w:p>
        </w:tc>
      </w:tr>
      <w:tr>
        <w:tc>
          <w:tcPr>
            <w:tcW w:type="dxa" w:w="3389"/>
            <w:vAlign w:val="top"/>
          </w:tcPr>
          <w:p>
            <w:pPr>
              <w:spacing w:after="0"/>
            </w:pPr>
            <w:r>
              <w:rPr>
                <w:sz w:val="14"/>
              </w:rPr>
              <w:t>G6 Data maturity</w:t>
            </w:r>
          </w:p>
        </w:tc>
        <w:tc>
          <w:tcPr>
            <w:tcW w:type="dxa" w:w="3389"/>
            <w:vAlign w:val="top"/>
          </w:tcPr>
          <w:p>
            <w:pPr>
              <w:spacing w:after="0"/>
            </w:pPr>
            <w:r>
              <w:rPr>
                <w:sz w:val="14"/>
              </w:rPr>
              <w:t>Are key reports due shortly that could change the decision?</w:t>
            </w:r>
          </w:p>
        </w:tc>
        <w:tc>
          <w:tcPr>
            <w:tcW w:type="dxa" w:w="3389"/>
            <w:vAlign w:val="top"/>
          </w:tcPr>
          <w:p>
            <w:pPr>
              <w:spacing w:after="0"/>
            </w:pPr>
            <w:r>
              <w:rPr>
                <w:sz w:val="14"/>
              </w:rPr>
              <w:t>Release calendar</w:t>
            </w:r>
          </w:p>
        </w:tc>
      </w:tr>
      <w:tr>
        <w:tc>
          <w:tcPr>
            <w:tcW w:type="dxa" w:w="3389"/>
            <w:vAlign w:val="top"/>
          </w:tcPr>
          <w:p>
            <w:pPr>
              <w:spacing w:after="0"/>
            </w:pPr>
            <w:r>
              <w:rPr>
                <w:sz w:val="14"/>
              </w:rPr>
              <w:t>G7 Implementation</w:t>
            </w:r>
          </w:p>
        </w:tc>
        <w:tc>
          <w:tcPr>
            <w:tcW w:type="dxa" w:w="3389"/>
            <w:vAlign w:val="top"/>
          </w:tcPr>
          <w:p>
            <w:pPr>
              <w:spacing w:after="0"/>
            </w:pPr>
            <w:r>
              <w:rPr>
                <w:sz w:val="14"/>
              </w:rPr>
              <w:t>Can CBSA, departments, provinces and firms implement cleanly?</w:t>
            </w:r>
          </w:p>
        </w:tc>
        <w:tc>
          <w:tcPr>
            <w:tcW w:type="dxa" w:w="3389"/>
            <w:vAlign w:val="top"/>
          </w:tcPr>
          <w:p>
            <w:pPr>
              <w:spacing w:after="0"/>
            </w:pPr>
            <w:r>
              <w:rPr>
                <w:sz w:val="14"/>
              </w:rPr>
              <w:t>Lead-time estimate</w:t>
            </w:r>
          </w:p>
        </w:tc>
      </w:tr>
      <w:tr>
        <w:tc>
          <w:tcPr>
            <w:tcW w:type="dxa" w:w="3389"/>
            <w:vAlign w:val="top"/>
          </w:tcPr>
          <w:p>
            <w:pPr>
              <w:spacing w:after="0"/>
            </w:pPr>
            <w:r>
              <w:rPr>
                <w:sz w:val="14"/>
              </w:rPr>
              <w:t>G8 Off-ramp</w:t>
            </w:r>
          </w:p>
        </w:tc>
        <w:tc>
          <w:tcPr>
            <w:tcW w:type="dxa" w:w="3389"/>
            <w:vAlign w:val="top"/>
          </w:tcPr>
          <w:p>
            <w:pPr>
              <w:spacing w:after="0"/>
            </w:pPr>
            <w:r>
              <w:rPr>
                <w:sz w:val="14"/>
              </w:rPr>
              <w:t>Can the action be suspended or reversed if conditions change?</w:t>
            </w:r>
          </w:p>
        </w:tc>
        <w:tc>
          <w:tcPr>
            <w:tcW w:type="dxa" w:w="3389"/>
            <w:vAlign w:val="top"/>
          </w:tcPr>
          <w:p>
            <w:pPr>
              <w:spacing w:after="0"/>
            </w:pPr>
            <w:r>
              <w:rPr>
                <w:sz w:val="14"/>
              </w:rPr>
              <w:t>Written exit condition</w:t>
            </w:r>
          </w:p>
        </w:tc>
      </w:tr>
      <w:tr>
        <w:tc>
          <w:tcPr>
            <w:tcW w:type="dxa" w:w="3389"/>
            <w:vAlign w:val="top"/>
          </w:tcPr>
          <w:p>
            <w:pPr>
              <w:spacing w:after="0"/>
            </w:pPr>
            <w:r>
              <w:rPr>
                <w:sz w:val="14"/>
              </w:rPr>
              <w:t>G9 Communications</w:t>
            </w:r>
          </w:p>
        </w:tc>
        <w:tc>
          <w:tcPr>
            <w:tcW w:type="dxa" w:w="3389"/>
            <w:vAlign w:val="top"/>
          </w:tcPr>
          <w:p>
            <w:pPr>
              <w:spacing w:after="0"/>
            </w:pPr>
            <w:r>
              <w:rPr>
                <w:sz w:val="14"/>
              </w:rPr>
              <w:t>Can Canada explain both measure and timing without sounding predatory?</w:t>
            </w:r>
          </w:p>
        </w:tc>
        <w:tc>
          <w:tcPr>
            <w:tcW w:type="dxa" w:w="3389"/>
            <w:vAlign w:val="top"/>
          </w:tcPr>
          <w:p>
            <w:pPr>
              <w:spacing w:after="0"/>
            </w:pPr>
            <w:r>
              <w:rPr>
                <w:sz w:val="14"/>
              </w:rPr>
              <w:t>Approved rationale</w:t>
            </w:r>
          </w:p>
        </w:tc>
      </w:tr>
      <w:tr>
        <w:tc>
          <w:tcPr>
            <w:tcW w:type="dxa" w:w="3389"/>
            <w:vAlign w:val="top"/>
          </w:tcPr>
          <w:p>
            <w:pPr>
              <w:spacing w:after="0"/>
            </w:pPr>
            <w:r>
              <w:rPr>
                <w:sz w:val="14"/>
              </w:rPr>
              <w:t>G10 Review</w:t>
            </w:r>
          </w:p>
        </w:tc>
        <w:tc>
          <w:tcPr>
            <w:tcW w:type="dxa" w:w="3389"/>
            <w:vAlign w:val="top"/>
          </w:tcPr>
          <w:p>
            <w:pPr>
              <w:spacing w:after="0"/>
            </w:pPr>
            <w:r>
              <w:rPr>
                <w:sz w:val="14"/>
              </w:rPr>
              <w:t>When is the first mandatory reassessment?</w:t>
            </w:r>
          </w:p>
        </w:tc>
        <w:tc>
          <w:tcPr>
            <w:tcW w:type="dxa" w:w="3389"/>
            <w:vAlign w:val="top"/>
          </w:tcPr>
          <w:p>
            <w:pPr>
              <w:spacing w:after="0"/>
            </w:pPr>
            <w:r>
              <w:rPr>
                <w:sz w:val="14"/>
              </w:rPr>
              <w:t>Date + metrics</w:t>
            </w:r>
          </w:p>
        </w:tc>
      </w:tr>
    </w:tbl>
    <w:p>
      <w:pPr>
        <w:spacing w:after="20"/>
      </w:pPr>
    </w:p>
    <w:p>
      <w:pPr>
        <w:pStyle w:val="Heading2"/>
        <w:keepNext/>
        <w:spacing w:before="160" w:after="60"/>
      </w:pPr>
      <w:bookmarkStart w:id="606" w:name="_Toc9500606"/>
      <w:r>
        <w:t>Timing Doctrine</w:t>
      </w:r>
      <w:bookmarkEnd w:id="606"/>
    </w:p>
    <w:p>
      <w:pPr>
        <w:pStyle w:val="ListBullet"/>
      </w:pPr>
      <w:r>
        <w:t>Prefer dates that improve decision quality over dates that merely intensify pain.</w:t>
      </w:r>
    </w:p>
    <w:p>
      <w:pPr>
        <w:pStyle w:val="ListBullet"/>
      </w:pPr>
      <w:r>
        <w:t>Do not announce major measures immediately before data releases that could materially change the economic case unless delay itself creates greater risk.</w:t>
      </w:r>
    </w:p>
    <w:p>
      <w:pPr>
        <w:pStyle w:val="ListBullet"/>
      </w:pPr>
      <w:r>
        <w:t>Use legislative recesses primarily for local engagement, staff work, coalition maintenance, and preparation; use sitting periods for formal congressional engagement and legislative attention.</w:t>
      </w:r>
    </w:p>
    <w:p>
      <w:pPr>
        <w:pStyle w:val="ListBullet"/>
      </w:pPr>
      <w:r>
        <w:t>Treat elections as democratic sensitivity periods. Canada may explain policy and meet institutions, but should avoid conduct reasonably characterized as electoral intervention.</w:t>
      </w:r>
    </w:p>
    <w:p>
      <w:pPr>
        <w:pStyle w:val="ListBullet"/>
      </w:pPr>
      <w:r>
        <w:t>Use agricultural calendars to anticipate farm cash-flow, fertilizer, transport, and food-security consequences, not to weaponize crop vulnerability.</w:t>
      </w:r>
    </w:p>
    <w:p>
      <w:pPr>
        <w:pStyle w:val="ListBullet"/>
      </w:pPr>
      <w:r>
        <w:t>Use energy calendars to protect reliability and anticipate price pass-through. Severe weather is a restraint trigger, not an exploitation opportunity.</w:t>
      </w:r>
    </w:p>
    <w:p>
      <w:pPr>
        <w:pStyle w:val="ListBullet"/>
      </w:pPr>
      <w:r>
        <w:t>Use auto retooling and model-year cycles to understand supply-chain fragility and implementation lead times. Plant-specific decisions require current company data.</w:t>
      </w:r>
    </w:p>
    <w:p>
      <w:pPr>
        <w:pStyle w:val="ListBullet"/>
      </w:pPr>
      <w:r>
        <w:t>Pair every pressure window with an off-ramp window. A calendar that knows when to escalate but not when to settle is incomplete.</w:t>
      </w:r>
    </w:p>
    <w:p>
      <w:r>
        <w:br w:type="page"/>
      </w:r>
    </w:p>
    <w:p>
      <w:pPr>
        <w:pStyle w:val="Heading1"/>
        <w:keepNext/>
        <w:spacing w:before="160" w:after="60"/>
      </w:pPr>
      <w:bookmarkStart w:id="607" w:name="_Toc9500607"/>
      <w:r>
        <w:t>Evidence Confidence and Update Rules</w:t>
      </w:r>
      <w:bookmarkEnd w:id="607"/>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Label</w:t>
            </w:r>
          </w:p>
        </w:tc>
        <w:tc>
          <w:tcPr>
            <w:tcW w:type="dxa" w:w="3389"/>
            <w:shd w:fill="DCE6F1"/>
          </w:tcPr>
          <w:p>
            <w:r>
              <w:rPr>
                <w:b/>
                <w:sz w:val="15"/>
              </w:rPr>
              <w:t>Meaning</w:t>
            </w:r>
          </w:p>
        </w:tc>
        <w:tc>
          <w:tcPr>
            <w:tcW w:type="dxa" w:w="3389"/>
            <w:shd w:fill="DCE6F1"/>
          </w:tcPr>
          <w:p>
            <w:r>
              <w:rPr>
                <w:b/>
                <w:sz w:val="15"/>
              </w:rPr>
              <w:t>Update rule</w:t>
            </w:r>
          </w:p>
        </w:tc>
      </w:tr>
      <w:tr>
        <w:tc>
          <w:tcPr>
            <w:tcW w:type="dxa" w:w="3389"/>
            <w:vAlign w:val="top"/>
          </w:tcPr>
          <w:p>
            <w:pPr>
              <w:spacing w:after="0"/>
            </w:pPr>
            <w:r>
              <w:rPr>
                <w:sz w:val="15"/>
              </w:rPr>
              <w:t>FIXED</w:t>
            </w:r>
          </w:p>
        </w:tc>
        <w:tc>
          <w:tcPr>
            <w:tcW w:type="dxa" w:w="3389"/>
            <w:vAlign w:val="top"/>
          </w:tcPr>
          <w:p>
            <w:pPr>
              <w:spacing w:after="0"/>
            </w:pPr>
            <w:r>
              <w:rPr>
                <w:sz w:val="15"/>
              </w:rPr>
              <w:t>Officially scheduled or legally defined date</w:t>
            </w:r>
          </w:p>
        </w:tc>
        <w:tc>
          <w:tcPr>
            <w:tcW w:type="dxa" w:w="3389"/>
            <w:vAlign w:val="top"/>
          </w:tcPr>
          <w:p>
            <w:pPr>
              <w:spacing w:after="0"/>
            </w:pPr>
            <w:r>
              <w:rPr>
                <w:sz w:val="15"/>
              </w:rPr>
              <w:t>Verify 7 days before</w:t>
            </w:r>
          </w:p>
        </w:tc>
      </w:tr>
      <w:tr>
        <w:tc>
          <w:tcPr>
            <w:tcW w:type="dxa" w:w="3389"/>
            <w:vAlign w:val="top"/>
          </w:tcPr>
          <w:p>
            <w:pPr>
              <w:spacing w:after="0"/>
            </w:pPr>
            <w:r>
              <w:rPr>
                <w:sz w:val="15"/>
              </w:rPr>
              <w:t>PUBLISHED</w:t>
            </w:r>
          </w:p>
        </w:tc>
        <w:tc>
          <w:tcPr>
            <w:tcW w:type="dxa" w:w="3389"/>
            <w:vAlign w:val="top"/>
          </w:tcPr>
          <w:p>
            <w:pPr>
              <w:spacing w:after="0"/>
            </w:pPr>
            <w:r>
              <w:rPr>
                <w:sz w:val="15"/>
              </w:rPr>
              <w:t>Official calendar currently published but subject to change</w:t>
            </w:r>
          </w:p>
        </w:tc>
        <w:tc>
          <w:tcPr>
            <w:tcW w:type="dxa" w:w="3389"/>
            <w:vAlign w:val="top"/>
          </w:tcPr>
          <w:p>
            <w:pPr>
              <w:spacing w:after="0"/>
            </w:pPr>
            <w:r>
              <w:rPr>
                <w:sz w:val="15"/>
              </w:rPr>
              <w:t>Verify monthly and 7 days before</w:t>
            </w:r>
          </w:p>
        </w:tc>
      </w:tr>
      <w:tr>
        <w:tc>
          <w:tcPr>
            <w:tcW w:type="dxa" w:w="3389"/>
            <w:vAlign w:val="top"/>
          </w:tcPr>
          <w:p>
            <w:pPr>
              <w:spacing w:after="0"/>
            </w:pPr>
            <w:r>
              <w:rPr>
                <w:sz w:val="15"/>
              </w:rPr>
              <w:t>SEASONAL</w:t>
            </w:r>
          </w:p>
        </w:tc>
        <w:tc>
          <w:tcPr>
            <w:tcW w:type="dxa" w:w="3389"/>
            <w:vAlign w:val="top"/>
          </w:tcPr>
          <w:p>
            <w:pPr>
              <w:spacing w:after="0"/>
            </w:pPr>
            <w:r>
              <w:rPr>
                <w:sz w:val="15"/>
              </w:rPr>
              <w:t>Recurring industry/agricultural/energy pattern</w:t>
            </w:r>
          </w:p>
        </w:tc>
        <w:tc>
          <w:tcPr>
            <w:tcW w:type="dxa" w:w="3389"/>
            <w:vAlign w:val="top"/>
          </w:tcPr>
          <w:p>
            <w:pPr>
              <w:spacing w:after="0"/>
            </w:pPr>
            <w:r>
              <w:rPr>
                <w:sz w:val="15"/>
              </w:rPr>
              <w:t>Revalidate with current sector data</w:t>
            </w:r>
          </w:p>
        </w:tc>
      </w:tr>
      <w:tr>
        <w:tc>
          <w:tcPr>
            <w:tcW w:type="dxa" w:w="3389"/>
            <w:vAlign w:val="top"/>
          </w:tcPr>
          <w:p>
            <w:pPr>
              <w:spacing w:after="0"/>
            </w:pPr>
            <w:r>
              <w:rPr>
                <w:sz w:val="15"/>
              </w:rPr>
              <w:t>FORECAST</w:t>
            </w:r>
          </w:p>
        </w:tc>
        <w:tc>
          <w:tcPr>
            <w:tcW w:type="dxa" w:w="3389"/>
            <w:vAlign w:val="top"/>
          </w:tcPr>
          <w:p>
            <w:pPr>
              <w:spacing w:after="0"/>
            </w:pPr>
            <w:r>
              <w:rPr>
                <w:sz w:val="15"/>
              </w:rPr>
              <w:t>Depends on current market/economic forecast</w:t>
            </w:r>
          </w:p>
        </w:tc>
        <w:tc>
          <w:tcPr>
            <w:tcW w:type="dxa" w:w="3389"/>
            <w:vAlign w:val="top"/>
          </w:tcPr>
          <w:p>
            <w:pPr>
              <w:spacing w:after="0"/>
            </w:pPr>
            <w:r>
              <w:rPr>
                <w:sz w:val="15"/>
              </w:rPr>
              <w:t>Revalidate on each new release</w:t>
            </w:r>
          </w:p>
        </w:tc>
      </w:tr>
      <w:tr>
        <w:tc>
          <w:tcPr>
            <w:tcW w:type="dxa" w:w="3389"/>
            <w:vAlign w:val="top"/>
          </w:tcPr>
          <w:p>
            <w:pPr>
              <w:spacing w:after="0"/>
            </w:pPr>
            <w:r>
              <w:rPr>
                <w:sz w:val="15"/>
              </w:rPr>
              <w:t>PLANNING BAND</w:t>
            </w:r>
          </w:p>
        </w:tc>
        <w:tc>
          <w:tcPr>
            <w:tcW w:type="dxa" w:w="3389"/>
            <w:vAlign w:val="top"/>
          </w:tcPr>
          <w:p>
            <w:pPr>
              <w:spacing w:after="0"/>
            </w:pPr>
            <w:r>
              <w:rPr>
                <w:sz w:val="15"/>
              </w:rPr>
              <w:t>Future window not yet officially scheduled</w:t>
            </w:r>
          </w:p>
        </w:tc>
        <w:tc>
          <w:tcPr>
            <w:tcW w:type="dxa" w:w="3389"/>
            <w:vAlign w:val="top"/>
          </w:tcPr>
          <w:p>
            <w:pPr>
              <w:spacing w:after="0"/>
            </w:pPr>
            <w:r>
              <w:rPr>
                <w:sz w:val="15"/>
              </w:rPr>
              <w:t>Never present externally as confirmed</w:t>
            </w:r>
          </w:p>
        </w:tc>
      </w:tr>
    </w:tbl>
    <w:p>
      <w:pPr>
        <w:spacing w:after="20"/>
      </w:pPr>
    </w:p>
    <w:p>
      <w:pPr>
        <w:pStyle w:val="Heading2"/>
        <w:keepNext/>
        <w:spacing w:before="160" w:after="60"/>
      </w:pPr>
      <w:bookmarkStart w:id="608" w:name="_Toc9500608"/>
      <w:r>
        <w:t>Living-Calendar Maintenance</w:t>
      </w:r>
      <w:bookmarkEnd w:id="608"/>
    </w:p>
    <w:p>
      <w:r>
        <w:rPr>
          <w:b w:val="0"/>
          <w:i w:val="0"/>
        </w:rPr>
        <w:t>The calendar owner should issue a weekly delta sheet during acute conflict and a monthly consolidated revision otherwise. Changes should be logged, not silently overwritten. Each entry carries an owner, confidence label, source, last-checked date, and next validation date.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Cadence</w:t>
            </w:r>
          </w:p>
        </w:tc>
        <w:tc>
          <w:tcPr>
            <w:tcW w:type="dxa" w:w="5083"/>
            <w:shd w:fill="DCE6F1"/>
          </w:tcPr>
          <w:p>
            <w:r>
              <w:rPr>
                <w:b/>
                <w:sz w:val="16"/>
              </w:rPr>
              <w:t>Inputs to refresh</w:t>
            </w:r>
          </w:p>
        </w:tc>
      </w:tr>
      <w:tr>
        <w:tc>
          <w:tcPr>
            <w:tcW w:type="dxa" w:w="5083"/>
            <w:vAlign w:val="top"/>
          </w:tcPr>
          <w:p>
            <w:pPr>
              <w:spacing w:after="0"/>
            </w:pPr>
            <w:r>
              <w:rPr>
                <w:sz w:val="16"/>
              </w:rPr>
              <w:t>Daily during acute negotiations</w:t>
            </w:r>
          </w:p>
        </w:tc>
        <w:tc>
          <w:tcPr>
            <w:tcW w:type="dxa" w:w="5083"/>
            <w:vAlign w:val="top"/>
          </w:tcPr>
          <w:p>
            <w:pPr>
              <w:spacing w:after="0"/>
            </w:pPr>
            <w:r>
              <w:rPr>
                <w:sz w:val="16"/>
              </w:rPr>
              <w:t>Negotiating status; tariff notices; executive actions; court orders; emergency events</w:t>
            </w:r>
          </w:p>
        </w:tc>
      </w:tr>
      <w:tr>
        <w:tc>
          <w:tcPr>
            <w:tcW w:type="dxa" w:w="5083"/>
            <w:vAlign w:val="top"/>
          </w:tcPr>
          <w:p>
            <w:pPr>
              <w:spacing w:after="0"/>
            </w:pPr>
            <w:r>
              <w:rPr>
                <w:sz w:val="16"/>
              </w:rPr>
              <w:t>Weekly</w:t>
            </w:r>
          </w:p>
        </w:tc>
        <w:tc>
          <w:tcPr>
            <w:tcW w:type="dxa" w:w="5083"/>
            <w:vAlign w:val="top"/>
          </w:tcPr>
          <w:p>
            <w:pPr>
              <w:spacing w:after="0"/>
            </w:pPr>
            <w:r>
              <w:rPr>
                <w:sz w:val="16"/>
              </w:rPr>
              <w:t>Congressional schedule changes; diplomatic engagements; commodity and freight stress; plant announcements</w:t>
            </w:r>
          </w:p>
        </w:tc>
      </w:tr>
      <w:tr>
        <w:tc>
          <w:tcPr>
            <w:tcW w:type="dxa" w:w="5083"/>
            <w:vAlign w:val="top"/>
          </w:tcPr>
          <w:p>
            <w:pPr>
              <w:spacing w:after="0"/>
            </w:pPr>
            <w:r>
              <w:rPr>
                <w:sz w:val="16"/>
              </w:rPr>
              <w:t>Monthly</w:t>
            </w:r>
          </w:p>
        </w:tc>
        <w:tc>
          <w:tcPr>
            <w:tcW w:type="dxa" w:w="5083"/>
            <w:vAlign w:val="top"/>
          </w:tcPr>
          <w:p>
            <w:pPr>
              <w:spacing w:after="0"/>
            </w:pPr>
            <w:r>
              <w:rPr>
                <w:sz w:val="16"/>
              </w:rPr>
              <w:t>WASDE; energy outlooks; inflation/employment; trade data; public support; remission demand</w:t>
            </w:r>
          </w:p>
        </w:tc>
      </w:tr>
      <w:tr>
        <w:tc>
          <w:tcPr>
            <w:tcW w:type="dxa" w:w="5083"/>
            <w:vAlign w:val="top"/>
          </w:tcPr>
          <w:p>
            <w:pPr>
              <w:spacing w:after="0"/>
            </w:pPr>
            <w:r>
              <w:rPr>
                <w:sz w:val="16"/>
              </w:rPr>
              <w:t>Quarterly</w:t>
            </w:r>
          </w:p>
        </w:tc>
        <w:tc>
          <w:tcPr>
            <w:tcW w:type="dxa" w:w="5083"/>
            <w:vAlign w:val="top"/>
          </w:tcPr>
          <w:p>
            <w:pPr>
              <w:spacing w:after="0"/>
            </w:pPr>
            <w:r>
              <w:rPr>
                <w:sz w:val="16"/>
              </w:rPr>
              <w:t>Bank of Canada/Fed projections; fiscal outlook; business surveys; diversification progress</w:t>
            </w:r>
          </w:p>
        </w:tc>
      </w:tr>
      <w:tr>
        <w:tc>
          <w:tcPr>
            <w:tcW w:type="dxa" w:w="5083"/>
            <w:vAlign w:val="top"/>
          </w:tcPr>
          <w:p>
            <w:pPr>
              <w:spacing w:after="0"/>
            </w:pPr>
            <w:r>
              <w:rPr>
                <w:sz w:val="16"/>
              </w:rPr>
              <w:t>Before every major action</w:t>
            </w:r>
          </w:p>
        </w:tc>
        <w:tc>
          <w:tcPr>
            <w:tcW w:type="dxa" w:w="5083"/>
            <w:vAlign w:val="top"/>
          </w:tcPr>
          <w:p>
            <w:pPr>
              <w:spacing w:after="0"/>
            </w:pPr>
            <w:r>
              <w:rPr>
                <w:sz w:val="16"/>
              </w:rPr>
              <w:t>Essential-goods screen; legal review; implementation readiness; off-ramp; communications</w:t>
            </w:r>
          </w:p>
        </w:tc>
      </w:tr>
    </w:tbl>
    <w:p>
      <w:pPr>
        <w:spacing w:after="20"/>
      </w:pPr>
    </w:p>
    <w:p>
      <w:r>
        <w:br w:type="page"/>
      </w:r>
    </w:p>
    <w:p>
      <w:pPr>
        <w:pStyle w:val="Heading1"/>
        <w:keepNext/>
        <w:spacing w:before="160" w:after="60"/>
      </w:pPr>
      <w:bookmarkStart w:id="609" w:name="_Toc9500609"/>
      <w:r>
        <w:t>Fixed and Recurring Institutional Calendar</w:t>
      </w:r>
      <w:bookmarkEnd w:id="609"/>
    </w:p>
    <w:p>
      <w:pPr>
        <w:pStyle w:val="Heading2"/>
        <w:keepNext/>
        <w:spacing w:before="160" w:after="60"/>
      </w:pPr>
      <w:bookmarkStart w:id="610" w:name="_Toc9500610"/>
      <w:r>
        <w:t>U.S. Congress — Late 2026</w:t>
      </w:r>
      <w:bookmarkEnd w:id="610"/>
    </w:p>
    <w:p>
      <w:r>
        <w:rPr>
          <w:b w:val="0"/>
          <w:i w:val="0"/>
        </w:rPr>
        <w:t>The Senate's published 2026 schedule identifies a long state work period from August 10 through September 11, a September 21 non-legislative day, a state work period October 5 through November 6, Veterans Day recess November 11–13, Thanksgiving state work period November 23–27, and a year-end state work period beginning December 21. These periods are useful for distinguishing Washington legislative windows from home-state engagement windows.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Period</w:t>
            </w:r>
          </w:p>
        </w:tc>
        <w:tc>
          <w:tcPr>
            <w:tcW w:type="dxa" w:w="3389"/>
            <w:shd w:fill="DCE6F1"/>
          </w:tcPr>
          <w:p>
            <w:r>
              <w:rPr>
                <w:b/>
                <w:sz w:val="15"/>
              </w:rPr>
              <w:t>Institutional condition</w:t>
            </w:r>
          </w:p>
        </w:tc>
        <w:tc>
          <w:tcPr>
            <w:tcW w:type="dxa" w:w="3389"/>
            <w:shd w:fill="DCE6F1"/>
          </w:tcPr>
          <w:p>
            <w:r>
              <w:rPr>
                <w:b/>
                <w:sz w:val="15"/>
              </w:rPr>
              <w:t>Canadian use</w:t>
            </w:r>
          </w:p>
        </w:tc>
      </w:tr>
      <w:tr>
        <w:tc>
          <w:tcPr>
            <w:tcW w:type="dxa" w:w="3389"/>
            <w:vAlign w:val="top"/>
          </w:tcPr>
          <w:p>
            <w:pPr>
              <w:spacing w:after="0"/>
            </w:pPr>
            <w:r>
              <w:rPr>
                <w:sz w:val="15"/>
              </w:rPr>
              <w:t>Aug 10–Sep 11</w:t>
            </w:r>
          </w:p>
        </w:tc>
        <w:tc>
          <w:tcPr>
            <w:tcW w:type="dxa" w:w="3389"/>
            <w:vAlign w:val="top"/>
          </w:tcPr>
          <w:p>
            <w:pPr>
              <w:spacing w:after="0"/>
            </w:pPr>
            <w:r>
              <w:rPr>
                <w:sz w:val="15"/>
              </w:rPr>
              <w:t>Senate state work period</w:t>
            </w:r>
          </w:p>
        </w:tc>
        <w:tc>
          <w:tcPr>
            <w:tcW w:type="dxa" w:w="3389"/>
            <w:vAlign w:val="top"/>
          </w:tcPr>
          <w:p>
            <w:pPr>
              <w:spacing w:after="0"/>
            </w:pPr>
            <w:r>
              <w:rPr>
                <w:sz w:val="15"/>
              </w:rPr>
              <w:t>State/district engagement; staff preparation; avoid assuming floor action</w:t>
            </w:r>
          </w:p>
        </w:tc>
      </w:tr>
      <w:tr>
        <w:tc>
          <w:tcPr>
            <w:tcW w:type="dxa" w:w="3389"/>
            <w:vAlign w:val="top"/>
          </w:tcPr>
          <w:p>
            <w:pPr>
              <w:spacing w:after="0"/>
            </w:pPr>
            <w:r>
              <w:rPr>
                <w:sz w:val="15"/>
              </w:rPr>
              <w:t>Sep 12–Oct 4</w:t>
            </w:r>
          </w:p>
        </w:tc>
        <w:tc>
          <w:tcPr>
            <w:tcW w:type="dxa" w:w="3389"/>
            <w:vAlign w:val="top"/>
          </w:tcPr>
          <w:p>
            <w:pPr>
              <w:spacing w:after="0"/>
            </w:pPr>
            <w:r>
              <w:rPr>
                <w:sz w:val="15"/>
              </w:rPr>
              <w:t>Return / legislative window</w:t>
            </w:r>
          </w:p>
        </w:tc>
        <w:tc>
          <w:tcPr>
            <w:tcW w:type="dxa" w:w="3389"/>
            <w:vAlign w:val="top"/>
          </w:tcPr>
          <w:p>
            <w:pPr>
              <w:spacing w:after="0"/>
            </w:pPr>
            <w:r>
              <w:rPr>
                <w:sz w:val="15"/>
              </w:rPr>
              <w:t>Formal briefings; legislative attention; targeted offers</w:t>
            </w:r>
          </w:p>
        </w:tc>
      </w:tr>
      <w:tr>
        <w:tc>
          <w:tcPr>
            <w:tcW w:type="dxa" w:w="3389"/>
            <w:vAlign w:val="top"/>
          </w:tcPr>
          <w:p>
            <w:pPr>
              <w:spacing w:after="0"/>
            </w:pPr>
            <w:r>
              <w:rPr>
                <w:sz w:val="15"/>
              </w:rPr>
              <w:t>Oct 5–Nov 6</w:t>
            </w:r>
          </w:p>
        </w:tc>
        <w:tc>
          <w:tcPr>
            <w:tcW w:type="dxa" w:w="3389"/>
            <w:vAlign w:val="top"/>
          </w:tcPr>
          <w:p>
            <w:pPr>
              <w:spacing w:after="0"/>
            </w:pPr>
            <w:r>
              <w:rPr>
                <w:sz w:val="15"/>
              </w:rPr>
              <w:t>State work period overlapping election season</w:t>
            </w:r>
          </w:p>
        </w:tc>
        <w:tc>
          <w:tcPr>
            <w:tcW w:type="dxa" w:w="3389"/>
            <w:vAlign w:val="top"/>
          </w:tcPr>
          <w:p>
            <w:pPr>
              <w:spacing w:after="0"/>
            </w:pPr>
            <w:r>
              <w:rPr>
                <w:sz w:val="15"/>
              </w:rPr>
              <w:t>Local factual engagement; heightened electoral firewall</w:t>
            </w:r>
          </w:p>
        </w:tc>
      </w:tr>
      <w:tr>
        <w:tc>
          <w:tcPr>
            <w:tcW w:type="dxa" w:w="3389"/>
            <w:vAlign w:val="top"/>
          </w:tcPr>
          <w:p>
            <w:pPr>
              <w:spacing w:after="0"/>
            </w:pPr>
            <w:r>
              <w:rPr>
                <w:sz w:val="15"/>
              </w:rPr>
              <w:t>Nov 7–22</w:t>
            </w:r>
          </w:p>
        </w:tc>
        <w:tc>
          <w:tcPr>
            <w:tcW w:type="dxa" w:w="3389"/>
            <w:vAlign w:val="top"/>
          </w:tcPr>
          <w:p>
            <w:pPr>
              <w:spacing w:after="0"/>
            </w:pPr>
            <w:r>
              <w:rPr>
                <w:sz w:val="15"/>
              </w:rPr>
              <w:t>Post-election / return window</w:t>
            </w:r>
          </w:p>
        </w:tc>
        <w:tc>
          <w:tcPr>
            <w:tcW w:type="dxa" w:w="3389"/>
            <w:vAlign w:val="top"/>
          </w:tcPr>
          <w:p>
            <w:pPr>
              <w:spacing w:after="0"/>
            </w:pPr>
            <w:r>
              <w:rPr>
                <w:sz w:val="15"/>
              </w:rPr>
              <w:t>Reassess coalition; quiet settlement probes</w:t>
            </w:r>
          </w:p>
        </w:tc>
      </w:tr>
      <w:tr>
        <w:tc>
          <w:tcPr>
            <w:tcW w:type="dxa" w:w="3389"/>
            <w:vAlign w:val="top"/>
          </w:tcPr>
          <w:p>
            <w:pPr>
              <w:spacing w:after="0"/>
            </w:pPr>
            <w:r>
              <w:rPr>
                <w:sz w:val="15"/>
              </w:rPr>
              <w:t>Nov 23–27</w:t>
            </w:r>
          </w:p>
        </w:tc>
        <w:tc>
          <w:tcPr>
            <w:tcW w:type="dxa" w:w="3389"/>
            <w:vAlign w:val="top"/>
          </w:tcPr>
          <w:p>
            <w:pPr>
              <w:spacing w:after="0"/>
            </w:pPr>
            <w:r>
              <w:rPr>
                <w:sz w:val="15"/>
              </w:rPr>
              <w:t>Thanksgiving state work period</w:t>
            </w:r>
          </w:p>
        </w:tc>
        <w:tc>
          <w:tcPr>
            <w:tcW w:type="dxa" w:w="3389"/>
            <w:vAlign w:val="top"/>
          </w:tcPr>
          <w:p>
            <w:pPr>
              <w:spacing w:after="0"/>
            </w:pPr>
            <w:r>
              <w:rPr>
                <w:sz w:val="15"/>
              </w:rPr>
              <w:t>Low-key local contact; avoid dramatic escalation</w:t>
            </w:r>
          </w:p>
        </w:tc>
      </w:tr>
      <w:tr>
        <w:tc>
          <w:tcPr>
            <w:tcW w:type="dxa" w:w="3389"/>
            <w:vAlign w:val="top"/>
          </w:tcPr>
          <w:p>
            <w:pPr>
              <w:spacing w:after="0"/>
            </w:pPr>
            <w:r>
              <w:rPr>
                <w:sz w:val="15"/>
              </w:rPr>
              <w:t>Late Nov–Dec 20</w:t>
            </w:r>
          </w:p>
        </w:tc>
        <w:tc>
          <w:tcPr>
            <w:tcW w:type="dxa" w:w="3389"/>
            <w:vAlign w:val="top"/>
          </w:tcPr>
          <w:p>
            <w:pPr>
              <w:spacing w:after="0"/>
            </w:pPr>
            <w:r>
              <w:rPr>
                <w:sz w:val="15"/>
              </w:rPr>
              <w:t>Year-end legislative window</w:t>
            </w:r>
          </w:p>
        </w:tc>
        <w:tc>
          <w:tcPr>
            <w:tcW w:type="dxa" w:w="3389"/>
            <w:vAlign w:val="top"/>
          </w:tcPr>
          <w:p>
            <w:pPr>
              <w:spacing w:after="0"/>
            </w:pPr>
            <w:r>
              <w:rPr>
                <w:sz w:val="15"/>
              </w:rPr>
              <w:t>Potential high-attention bargaining; crowded agenda</w:t>
            </w:r>
          </w:p>
        </w:tc>
      </w:tr>
      <w:tr>
        <w:tc>
          <w:tcPr>
            <w:tcW w:type="dxa" w:w="3389"/>
            <w:vAlign w:val="top"/>
          </w:tcPr>
          <w:p>
            <w:pPr>
              <w:spacing w:after="0"/>
            </w:pPr>
            <w:r>
              <w:rPr>
                <w:sz w:val="15"/>
              </w:rPr>
              <w:t>Dec 21–31</w:t>
            </w:r>
          </w:p>
        </w:tc>
        <w:tc>
          <w:tcPr>
            <w:tcW w:type="dxa" w:w="3389"/>
            <w:vAlign w:val="top"/>
          </w:tcPr>
          <w:p>
            <w:pPr>
              <w:spacing w:after="0"/>
            </w:pPr>
            <w:r>
              <w:rPr>
                <w:sz w:val="15"/>
              </w:rPr>
              <w:t>State work / holidays</w:t>
            </w:r>
          </w:p>
        </w:tc>
        <w:tc>
          <w:tcPr>
            <w:tcW w:type="dxa" w:w="3389"/>
            <w:vAlign w:val="top"/>
          </w:tcPr>
          <w:p>
            <w:pPr>
              <w:spacing w:after="0"/>
            </w:pPr>
            <w:r>
              <w:rPr>
                <w:sz w:val="15"/>
              </w:rPr>
              <w:t>Preparation and reassurance; emergency restraint</w:t>
            </w:r>
          </w:p>
        </w:tc>
      </w:tr>
    </w:tbl>
    <w:p>
      <w:pPr>
        <w:spacing w:after="20"/>
      </w:pPr>
    </w:p>
    <w:p>
      <w:pPr>
        <w:pStyle w:val="Heading2"/>
        <w:keepNext/>
        <w:spacing w:before="160" w:after="60"/>
      </w:pPr>
      <w:bookmarkStart w:id="611" w:name="_Toc9500611"/>
      <w:r>
        <w:t>Canadian Parliament — Fall 2026</w:t>
      </w:r>
      <w:bookmarkEnd w:id="611"/>
    </w:p>
    <w:p>
      <w:r>
        <w:rPr>
          <w:b w:val="0"/>
          <w:i w:val="0"/>
        </w:rPr>
        <w:t>The House of Commons published sitting calendar shows sittings beginning September 16, with substantial sitting blocks in late September, October, November and early December. Parliamentary timing matters for appropriations, support packages, statutory amendments, committee scrutiny, and domestic political communications.</w:t>
      </w:r>
    </w:p>
    <w:p>
      <w:pPr>
        <w:pStyle w:val="Heading2"/>
        <w:keepNext/>
        <w:spacing w:before="160" w:after="60"/>
      </w:pPr>
      <w:bookmarkStart w:id="612" w:name="_Toc9500612"/>
      <w:r>
        <w:t>Monetary Policy Anchors</w:t>
      </w:r>
      <w:bookmarkEnd w:id="612"/>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6"/>
              </w:rPr>
              <w:t>Institution</w:t>
            </w:r>
          </w:p>
        </w:tc>
        <w:tc>
          <w:tcPr>
            <w:tcW w:type="dxa" w:w="3389"/>
            <w:shd w:fill="DCE6F1"/>
          </w:tcPr>
          <w:p>
            <w:r>
              <w:rPr>
                <w:b/>
                <w:sz w:val="16"/>
              </w:rPr>
              <w:t>2026 remaining</w:t>
            </w:r>
          </w:p>
        </w:tc>
        <w:tc>
          <w:tcPr>
            <w:tcW w:type="dxa" w:w="3389"/>
            <w:shd w:fill="DCE6F1"/>
          </w:tcPr>
          <w:p>
            <w:r>
              <w:rPr>
                <w:b/>
                <w:sz w:val="16"/>
              </w:rPr>
              <w:t>2027 published</w:t>
            </w:r>
          </w:p>
        </w:tc>
      </w:tr>
      <w:tr>
        <w:tc>
          <w:tcPr>
            <w:tcW w:type="dxa" w:w="3389"/>
            <w:vAlign w:val="top"/>
          </w:tcPr>
          <w:p>
            <w:pPr>
              <w:spacing w:after="0"/>
            </w:pPr>
            <w:r>
              <w:rPr>
                <w:sz w:val="16"/>
              </w:rPr>
              <w:t>Bank of Canada</w:t>
            </w:r>
          </w:p>
        </w:tc>
        <w:tc>
          <w:tcPr>
            <w:tcW w:type="dxa" w:w="3389"/>
            <w:vAlign w:val="top"/>
          </w:tcPr>
          <w:p>
            <w:pPr>
              <w:spacing w:after="0"/>
            </w:pPr>
            <w:r>
              <w:rPr>
                <w:sz w:val="16"/>
              </w:rPr>
              <w:t>Sep 2; Oct 28; Dec 9</w:t>
            </w:r>
          </w:p>
        </w:tc>
        <w:tc>
          <w:tcPr>
            <w:tcW w:type="dxa" w:w="3389"/>
            <w:vAlign w:val="top"/>
          </w:tcPr>
          <w:p>
            <w:pPr>
              <w:spacing w:after="0"/>
            </w:pPr>
            <w:r>
              <w:rPr>
                <w:sz w:val="16"/>
              </w:rPr>
              <w:t>Jan 27; Mar 3; Apr 28; Jun 2; Jul 21; Sep 8; Oct 27; Dec 8</w:t>
            </w:r>
          </w:p>
        </w:tc>
      </w:tr>
      <w:tr>
        <w:tc>
          <w:tcPr>
            <w:tcW w:type="dxa" w:w="3389"/>
            <w:vAlign w:val="top"/>
          </w:tcPr>
          <w:p>
            <w:pPr>
              <w:spacing w:after="0"/>
            </w:pPr>
            <w:r>
              <w:rPr>
                <w:sz w:val="16"/>
              </w:rPr>
              <w:t>U.S. Federal Reserve</w:t>
            </w:r>
          </w:p>
        </w:tc>
        <w:tc>
          <w:tcPr>
            <w:tcW w:type="dxa" w:w="3389"/>
            <w:vAlign w:val="top"/>
          </w:tcPr>
          <w:p>
            <w:pPr>
              <w:spacing w:after="0"/>
            </w:pPr>
            <w:r>
              <w:rPr>
                <w:sz w:val="16"/>
              </w:rPr>
              <w:t>Sep 15–16; Oct 27–28; Dec 8–9</w:t>
            </w:r>
          </w:p>
        </w:tc>
        <w:tc>
          <w:tcPr>
            <w:tcW w:type="dxa" w:w="3389"/>
            <w:vAlign w:val="top"/>
          </w:tcPr>
          <w:p>
            <w:pPr>
              <w:spacing w:after="0"/>
            </w:pPr>
            <w:r>
              <w:rPr>
                <w:sz w:val="16"/>
              </w:rPr>
              <w:t>Eight-meeting cycle; use official calendar as published</w:t>
            </w:r>
          </w:p>
        </w:tc>
      </w:tr>
    </w:tbl>
    <w:p>
      <w:pPr>
        <w:spacing w:after="20"/>
      </w:pPr>
    </w:p>
    <w:p>
      <w:r>
        <w:br w:type="page"/>
      </w:r>
    </w:p>
    <w:p>
      <w:pPr>
        <w:pStyle w:val="Heading1"/>
        <w:keepNext/>
        <w:spacing w:before="160" w:after="60"/>
      </w:pPr>
      <w:bookmarkStart w:id="613" w:name="_Toc9500613"/>
      <w:r>
        <w:t>Economic, Agricultural and Energy Signal Calendar</w:t>
      </w:r>
      <w:bookmarkEnd w:id="613"/>
    </w:p>
    <w:p>
      <w:pPr>
        <w:pStyle w:val="Heading2"/>
        <w:keepNext/>
        <w:spacing w:before="160" w:after="60"/>
      </w:pPr>
      <w:bookmarkStart w:id="614" w:name="_Toc9500614"/>
      <w:r>
        <w:t>Agriculture</w:t>
      </w:r>
      <w:bookmarkEnd w:id="614"/>
    </w:p>
    <w:p>
      <w:r>
        <w:rPr>
          <w:b w:val="0"/>
          <w:i w:val="0"/>
        </w:rPr>
        <w:t>USDA's World Agricultural Supply and Demand Estimates are monthly. Remaining 2026 releases are September 11, October 9, November 10, and December 10. Crop Progress reporting and NASS production reports provide additional high-frequency information during planting and harvest. These dates are signal windows: major agricultural measures should be checked against the newest supply, demand, price, and crop-condition information.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6"/>
              </w:rPr>
              <w:t>Season</w:t>
            </w:r>
          </w:p>
        </w:tc>
        <w:tc>
          <w:tcPr>
            <w:tcW w:type="dxa" w:w="3389"/>
            <w:shd w:fill="DCE6F1"/>
          </w:tcPr>
          <w:p>
            <w:r>
              <w:rPr>
                <w:b/>
                <w:sz w:val="16"/>
              </w:rPr>
              <w:t>Typical operational issue</w:t>
            </w:r>
          </w:p>
        </w:tc>
        <w:tc>
          <w:tcPr>
            <w:tcW w:type="dxa" w:w="3389"/>
            <w:shd w:fill="DCE6F1"/>
          </w:tcPr>
          <w:p>
            <w:r>
              <w:rPr>
                <w:b/>
                <w:sz w:val="16"/>
              </w:rPr>
              <w:t>Canadian timing implication</w:t>
            </w:r>
          </w:p>
        </w:tc>
      </w:tr>
      <w:tr>
        <w:tc>
          <w:tcPr>
            <w:tcW w:type="dxa" w:w="3389"/>
            <w:vAlign w:val="top"/>
          </w:tcPr>
          <w:p>
            <w:pPr>
              <w:spacing w:after="0"/>
            </w:pPr>
            <w:r>
              <w:rPr>
                <w:sz w:val="16"/>
              </w:rPr>
              <w:t>Mar–May</w:t>
            </w:r>
          </w:p>
        </w:tc>
        <w:tc>
          <w:tcPr>
            <w:tcW w:type="dxa" w:w="3389"/>
            <w:vAlign w:val="top"/>
          </w:tcPr>
          <w:p>
            <w:pPr>
              <w:spacing w:after="0"/>
            </w:pPr>
            <w:r>
              <w:rPr>
                <w:sz w:val="16"/>
              </w:rPr>
              <w:t>Planting decisions; fertilizer and input demand</w:t>
            </w:r>
          </w:p>
        </w:tc>
        <w:tc>
          <w:tcPr>
            <w:tcW w:type="dxa" w:w="3389"/>
            <w:vAlign w:val="top"/>
          </w:tcPr>
          <w:p>
            <w:pPr>
              <w:spacing w:after="0"/>
            </w:pPr>
            <w:r>
              <w:rPr>
                <w:sz w:val="16"/>
              </w:rPr>
              <w:t>Prefer predictability; avoid sudden input-policy shocks</w:t>
            </w:r>
          </w:p>
        </w:tc>
      </w:tr>
      <w:tr>
        <w:tc>
          <w:tcPr>
            <w:tcW w:type="dxa" w:w="3389"/>
            <w:vAlign w:val="top"/>
          </w:tcPr>
          <w:p>
            <w:pPr>
              <w:spacing w:after="0"/>
            </w:pPr>
            <w:r>
              <w:rPr>
                <w:sz w:val="16"/>
              </w:rPr>
              <w:t>Jun–Aug</w:t>
            </w:r>
          </w:p>
        </w:tc>
        <w:tc>
          <w:tcPr>
            <w:tcW w:type="dxa" w:w="3389"/>
            <w:vAlign w:val="top"/>
          </w:tcPr>
          <w:p>
            <w:pPr>
              <w:spacing w:after="0"/>
            </w:pPr>
            <w:r>
              <w:rPr>
                <w:sz w:val="16"/>
              </w:rPr>
              <w:t>Crop development; weather sensitivity</w:t>
            </w:r>
          </w:p>
        </w:tc>
        <w:tc>
          <w:tcPr>
            <w:tcW w:type="dxa" w:w="3389"/>
            <w:vAlign w:val="top"/>
          </w:tcPr>
          <w:p>
            <w:pPr>
              <w:spacing w:after="0"/>
            </w:pPr>
            <w:r>
              <w:rPr>
                <w:sz w:val="16"/>
              </w:rPr>
              <w:t>Monitor drought/flood and transport risk</w:t>
            </w:r>
          </w:p>
        </w:tc>
      </w:tr>
      <w:tr>
        <w:tc>
          <w:tcPr>
            <w:tcW w:type="dxa" w:w="3389"/>
            <w:vAlign w:val="top"/>
          </w:tcPr>
          <w:p>
            <w:pPr>
              <w:spacing w:after="0"/>
            </w:pPr>
            <w:r>
              <w:rPr>
                <w:sz w:val="16"/>
              </w:rPr>
              <w:t>Sep–Nov</w:t>
            </w:r>
          </w:p>
        </w:tc>
        <w:tc>
          <w:tcPr>
            <w:tcW w:type="dxa" w:w="3389"/>
            <w:vAlign w:val="top"/>
          </w:tcPr>
          <w:p>
            <w:pPr>
              <w:spacing w:after="0"/>
            </w:pPr>
            <w:r>
              <w:rPr>
                <w:sz w:val="16"/>
              </w:rPr>
              <w:t>Harvest; storage; cash flow; rail/barge demand</w:t>
            </w:r>
          </w:p>
        </w:tc>
        <w:tc>
          <w:tcPr>
            <w:tcW w:type="dxa" w:w="3389"/>
            <w:vAlign w:val="top"/>
          </w:tcPr>
          <w:p>
            <w:pPr>
              <w:spacing w:after="0"/>
            </w:pPr>
            <w:r>
              <w:rPr>
                <w:sz w:val="16"/>
              </w:rPr>
              <w:t>Use current WASDE/NASS data; avoid food-security amplification</w:t>
            </w:r>
          </w:p>
        </w:tc>
      </w:tr>
      <w:tr>
        <w:tc>
          <w:tcPr>
            <w:tcW w:type="dxa" w:w="3389"/>
            <w:vAlign w:val="top"/>
          </w:tcPr>
          <w:p>
            <w:pPr>
              <w:spacing w:after="0"/>
            </w:pPr>
            <w:r>
              <w:rPr>
                <w:sz w:val="16"/>
              </w:rPr>
              <w:t>Dec–Feb</w:t>
            </w:r>
          </w:p>
        </w:tc>
        <w:tc>
          <w:tcPr>
            <w:tcW w:type="dxa" w:w="3389"/>
            <w:vAlign w:val="top"/>
          </w:tcPr>
          <w:p>
            <w:pPr>
              <w:spacing w:after="0"/>
            </w:pPr>
            <w:r>
              <w:rPr>
                <w:sz w:val="16"/>
              </w:rPr>
              <w:t>Marketing, contracting, input planning for next crop</w:t>
            </w:r>
          </w:p>
        </w:tc>
        <w:tc>
          <w:tcPr>
            <w:tcW w:type="dxa" w:w="3389"/>
            <w:vAlign w:val="top"/>
          </w:tcPr>
          <w:p>
            <w:pPr>
              <w:spacing w:after="0"/>
            </w:pPr>
            <w:r>
              <w:rPr>
                <w:sz w:val="16"/>
              </w:rPr>
              <w:t>Good window for durable rules and forward guidance</w:t>
            </w:r>
          </w:p>
        </w:tc>
      </w:tr>
    </w:tbl>
    <w:p>
      <w:pPr>
        <w:spacing w:after="20"/>
      </w:pPr>
    </w:p>
    <w:p>
      <w:pPr>
        <w:pStyle w:val="Heading2"/>
        <w:keepNext/>
        <w:spacing w:before="160" w:after="60"/>
      </w:pPr>
      <w:bookmarkStart w:id="615" w:name="_Toc9500615"/>
      <w:r>
        <w:t>Energy</w:t>
      </w:r>
      <w:bookmarkEnd w:id="615"/>
    </w:p>
    <w:p>
      <w:r>
        <w:rPr>
          <w:b w:val="0"/>
          <w:i w:val="0"/>
        </w:rPr>
        <w:t>EIA's August 2026 outlook expects U.S. refinery utilization to decline in September and October for seasonal maintenance, then increase in November and December. EIA also expects unusually high natural-gas inventories entering winter 2026–27. These conditions should inform reliability and price-risk assessments, but weather can rapidly invalidate them.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6"/>
              </w:rPr>
              <w:t>Window</w:t>
            </w:r>
          </w:p>
        </w:tc>
        <w:tc>
          <w:tcPr>
            <w:tcW w:type="dxa" w:w="3389"/>
            <w:shd w:fill="DCE6F1"/>
          </w:tcPr>
          <w:p>
            <w:r>
              <w:rPr>
                <w:b/>
                <w:sz w:val="16"/>
              </w:rPr>
              <w:t>Watch</w:t>
            </w:r>
          </w:p>
        </w:tc>
        <w:tc>
          <w:tcPr>
            <w:tcW w:type="dxa" w:w="3389"/>
            <w:shd w:fill="DCE6F1"/>
          </w:tcPr>
          <w:p>
            <w:r>
              <w:rPr>
                <w:b/>
                <w:sz w:val="16"/>
              </w:rPr>
              <w:t>Rule</w:t>
            </w:r>
          </w:p>
        </w:tc>
      </w:tr>
      <w:tr>
        <w:tc>
          <w:tcPr>
            <w:tcW w:type="dxa" w:w="3389"/>
            <w:vAlign w:val="top"/>
          </w:tcPr>
          <w:p>
            <w:pPr>
              <w:spacing w:after="0"/>
            </w:pPr>
            <w:r>
              <w:rPr>
                <w:sz w:val="16"/>
              </w:rPr>
              <w:t>Sep–Oct</w:t>
            </w:r>
          </w:p>
        </w:tc>
        <w:tc>
          <w:tcPr>
            <w:tcW w:type="dxa" w:w="3389"/>
            <w:vAlign w:val="top"/>
          </w:tcPr>
          <w:p>
            <w:pPr>
              <w:spacing w:after="0"/>
            </w:pPr>
            <w:r>
              <w:rPr>
                <w:sz w:val="16"/>
              </w:rPr>
              <w:t>Refinery maintenance, product inventories, hurricane disruption</w:t>
            </w:r>
          </w:p>
        </w:tc>
        <w:tc>
          <w:tcPr>
            <w:tcW w:type="dxa" w:w="3389"/>
            <w:vAlign w:val="top"/>
          </w:tcPr>
          <w:p>
            <w:pPr>
              <w:spacing w:after="0"/>
            </w:pPr>
            <w:r>
              <w:rPr>
                <w:sz w:val="16"/>
              </w:rPr>
              <w:t>Do not stack avoidable policy shocks onto physical supply stress</w:t>
            </w:r>
          </w:p>
        </w:tc>
      </w:tr>
      <w:tr>
        <w:tc>
          <w:tcPr>
            <w:tcW w:type="dxa" w:w="3389"/>
            <w:vAlign w:val="top"/>
          </w:tcPr>
          <w:p>
            <w:pPr>
              <w:spacing w:after="0"/>
            </w:pPr>
            <w:r>
              <w:rPr>
                <w:sz w:val="16"/>
              </w:rPr>
              <w:t>Nov–Mar</w:t>
            </w:r>
          </w:p>
        </w:tc>
        <w:tc>
          <w:tcPr>
            <w:tcW w:type="dxa" w:w="3389"/>
            <w:vAlign w:val="top"/>
          </w:tcPr>
          <w:p>
            <w:pPr>
              <w:spacing w:after="0"/>
            </w:pPr>
            <w:r>
              <w:rPr>
                <w:sz w:val="16"/>
              </w:rPr>
              <w:t>Heating demand, cold snaps, gas storage withdrawals</w:t>
            </w:r>
          </w:p>
        </w:tc>
        <w:tc>
          <w:tcPr>
            <w:tcW w:type="dxa" w:w="3389"/>
            <w:vAlign w:val="top"/>
          </w:tcPr>
          <w:p>
            <w:pPr>
              <w:spacing w:after="0"/>
            </w:pPr>
            <w:r>
              <w:rPr>
                <w:sz w:val="16"/>
              </w:rPr>
              <w:t>Severe weather = restraint and reliability priority</w:t>
            </w:r>
          </w:p>
        </w:tc>
      </w:tr>
      <w:tr>
        <w:tc>
          <w:tcPr>
            <w:tcW w:type="dxa" w:w="3389"/>
            <w:vAlign w:val="top"/>
          </w:tcPr>
          <w:p>
            <w:pPr>
              <w:spacing w:after="0"/>
            </w:pPr>
            <w:r>
              <w:rPr>
                <w:sz w:val="16"/>
              </w:rPr>
              <w:t>Apr–May</w:t>
            </w:r>
          </w:p>
        </w:tc>
        <w:tc>
          <w:tcPr>
            <w:tcW w:type="dxa" w:w="3389"/>
            <w:vAlign w:val="top"/>
          </w:tcPr>
          <w:p>
            <w:pPr>
              <w:spacing w:after="0"/>
            </w:pPr>
            <w:r>
              <w:rPr>
                <w:sz w:val="16"/>
              </w:rPr>
              <w:t>Refinery transition / maintenance; summer fuel preparation</w:t>
            </w:r>
          </w:p>
        </w:tc>
        <w:tc>
          <w:tcPr>
            <w:tcW w:type="dxa" w:w="3389"/>
            <w:vAlign w:val="top"/>
          </w:tcPr>
          <w:p>
            <w:pPr>
              <w:spacing w:after="0"/>
            </w:pPr>
            <w:r>
              <w:rPr>
                <w:sz w:val="16"/>
              </w:rPr>
              <w:t>Monitor product tightness before announcements</w:t>
            </w:r>
          </w:p>
        </w:tc>
      </w:tr>
      <w:tr>
        <w:tc>
          <w:tcPr>
            <w:tcW w:type="dxa" w:w="3389"/>
            <w:vAlign w:val="top"/>
          </w:tcPr>
          <w:p>
            <w:pPr>
              <w:spacing w:after="0"/>
            </w:pPr>
            <w:r>
              <w:rPr>
                <w:sz w:val="16"/>
              </w:rPr>
              <w:t>Jun–Aug</w:t>
            </w:r>
          </w:p>
        </w:tc>
        <w:tc>
          <w:tcPr>
            <w:tcW w:type="dxa" w:w="3389"/>
            <w:vAlign w:val="top"/>
          </w:tcPr>
          <w:p>
            <w:pPr>
              <w:spacing w:after="0"/>
            </w:pPr>
            <w:r>
              <w:rPr>
                <w:sz w:val="16"/>
              </w:rPr>
              <w:t>Driving season, cooling demand, wildfire/hurricane risks</w:t>
            </w:r>
          </w:p>
        </w:tc>
        <w:tc>
          <w:tcPr>
            <w:tcW w:type="dxa" w:w="3389"/>
            <w:vAlign w:val="top"/>
          </w:tcPr>
          <w:p>
            <w:pPr>
              <w:spacing w:after="0"/>
            </w:pPr>
            <w:r>
              <w:rPr>
                <w:sz w:val="16"/>
              </w:rPr>
              <w:t>Use updated EIA data; protect emergency supply</w:t>
            </w:r>
          </w:p>
        </w:tc>
      </w:tr>
    </w:tbl>
    <w:p>
      <w:pPr>
        <w:spacing w:after="20"/>
      </w:pPr>
    </w:p>
    <w:p>
      <w:pPr>
        <w:pStyle w:val="Heading2"/>
        <w:keepNext/>
        <w:spacing w:before="160" w:after="60"/>
      </w:pPr>
      <w:bookmarkStart w:id="616" w:name="_Toc9500616"/>
      <w:r>
        <w:t>Automotive</w:t>
      </w:r>
      <w:bookmarkEnd w:id="616"/>
    </w:p>
    <w:p>
      <w:r>
        <w:rPr>
          <w:b w:val="0"/>
          <w:i w:val="0"/>
        </w:rPr>
        <w:t>North American auto production commonly experiences summer maintenance and retooling shutdowns, often around June and July, but plant schedules are company- and facility-specific. Treat summer as a heightened supply-chain transition window, not a universal shutdown date. Current plant notices and union/company reporting must supersede seasonal assumptions.</w:t>
      </w:r>
    </w:p>
    <w:p>
      <w:r>
        <w:br w:type="page"/>
      </w:r>
    </w:p>
    <w:p>
      <w:pPr>
        <w:pStyle w:val="Heading1"/>
        <w:keepNext/>
        <w:spacing w:before="160" w:after="60"/>
      </w:pPr>
      <w:bookmarkStart w:id="617" w:name="_Toc9500617"/>
      <w:r>
        <w:t>Month 1: September 2026 — Operational Picture</w:t>
      </w:r>
      <w:bookmarkEnd w:id="617"/>
    </w:p>
    <w:p>
      <w:r>
        <w:rPr>
          <w:b w:val="0"/>
          <w:i/>
        </w:rPr>
        <w:t>Status: near-term operational month</w:t>
      </w:r>
    </w:p>
    <w:p>
      <w:pPr>
        <w:pStyle w:val="Heading2"/>
        <w:keepNext/>
        <w:spacing w:before="160" w:after="60"/>
      </w:pPr>
      <w:bookmarkStart w:id="618" w:name="_Toc9500618"/>
      <w:r>
        <w:t>Known and Expected Decision Markers</w:t>
      </w:r>
      <w:bookmarkEnd w:id="618"/>
    </w:p>
    <w:p>
      <w:pPr>
        <w:pStyle w:val="ListBullet"/>
      </w:pPr>
      <w:r>
        <w:t>Sep 2 Bank of Canada rate decision (FIXED)</w:t>
      </w:r>
    </w:p>
    <w:p>
      <w:pPr>
        <w:pStyle w:val="ListBullet"/>
      </w:pPr>
      <w:r>
        <w:t>Sep 8 Canadian new counter-tariffs scheduled to take effect (FIXED)</w:t>
      </w:r>
    </w:p>
    <w:p>
      <w:pPr>
        <w:pStyle w:val="ListBullet"/>
      </w:pPr>
      <w:r>
        <w:t>Sep 11 USDA WASDE (FIXED)</w:t>
      </w:r>
    </w:p>
    <w:p>
      <w:pPr>
        <w:pStyle w:val="ListBullet"/>
      </w:pPr>
      <w:r>
        <w:t>Sep 15–16 FOMC (FIXED)</w:t>
      </w:r>
    </w:p>
    <w:p>
      <w:pPr>
        <w:pStyle w:val="ListBullet"/>
      </w:pPr>
      <w:r>
        <w:t>Sep 16 Canadian House fall sitting begins (PUBLISHED)</w:t>
      </w:r>
    </w:p>
    <w:p>
      <w:pPr>
        <w:pStyle w:val="ListBullet"/>
      </w:pPr>
      <w:r>
        <w:t>Senate returns after Sep 11 state work period (PUBLISHED)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Election-sensitive</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Harvest/storage/cash-flow</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Refinery maintenance / winter build</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19" w:name="_Toc9500619"/>
      <w:r>
        <w:t>Recommended Posture</w:t>
      </w:r>
      <w:bookmarkEnd w:id="619"/>
    </w:p>
    <w:p>
      <w:r>
        <w:rPr>
          <w:b w:val="0"/>
          <w:i w:val="0"/>
        </w:rPr>
        <w:t>Implementation-first. Canada's September 8 tariff activation is the dominant near-term operational event. Prioritize clean customs implementation, remission triage, public explanation, early Canadian-harm monitoring, and a visible off-ramp. The September 11 WASDE and mid-month FOMC provide early information on agricultural and macro conditions.</w:t>
      </w:r>
    </w:p>
    <w:p>
      <w:pPr>
        <w:pStyle w:val="Heading2"/>
        <w:keepNext/>
        <w:spacing w:before="160" w:after="60"/>
      </w:pPr>
      <w:bookmarkStart w:id="620" w:name="_Toc9500620"/>
      <w:r>
        <w:t>Do / Avoid</w:t>
      </w:r>
      <w:bookmarkEnd w:id="620"/>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21" w:name="_Toc9500621"/>
      <w:r>
        <w:t>September 2026 — Decision Windows and Trigger Sheet</w:t>
      </w:r>
      <w:bookmarkEnd w:id="621"/>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22" w:name="_Toc9500622"/>
      <w:r>
        <w:t>Monthly Trigger Questions</w:t>
      </w:r>
      <w:bookmarkEnd w:id="622"/>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23" w:name="_Toc9500623"/>
      <w:r>
        <w:t>Month-End Required Output</w:t>
      </w:r>
      <w:bookmarkEnd w:id="623"/>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24" w:name="_Toc9500624"/>
      <w:r>
        <w:t>Month 2: October 2026 — Operational Picture</w:t>
      </w:r>
      <w:bookmarkEnd w:id="624"/>
    </w:p>
    <w:p>
      <w:r>
        <w:rPr>
          <w:b w:val="0"/>
          <w:i/>
        </w:rPr>
        <w:t>Status: near-term operational month</w:t>
      </w:r>
    </w:p>
    <w:p>
      <w:pPr>
        <w:pStyle w:val="Heading2"/>
        <w:keepNext/>
        <w:spacing w:before="160" w:after="60"/>
      </w:pPr>
      <w:bookmarkStart w:id="625" w:name="_Toc9500625"/>
      <w:r>
        <w:t>Known and Expected Decision Markers</w:t>
      </w:r>
      <w:bookmarkEnd w:id="625"/>
    </w:p>
    <w:p>
      <w:pPr>
        <w:pStyle w:val="ListBullet"/>
      </w:pPr>
      <w:r>
        <w:t>Oct 5–Nov 6 Senate state work period (PUBLISHED)</w:t>
      </w:r>
    </w:p>
    <w:p>
      <w:pPr>
        <w:pStyle w:val="ListBullet"/>
      </w:pPr>
      <w:r>
        <w:t>Oct 9 USDA WASDE (FIXED)</w:t>
      </w:r>
    </w:p>
    <w:p>
      <w:pPr>
        <w:pStyle w:val="ListBullet"/>
      </w:pPr>
      <w:r>
        <w:t>Oct 27–28 FOMC (FIXED)</w:t>
      </w:r>
    </w:p>
    <w:p>
      <w:pPr>
        <w:pStyle w:val="ListBullet"/>
      </w:pPr>
      <w:r>
        <w:t>Oct 28 Bank of Canada + MPR (FIXED)</w:t>
      </w:r>
    </w:p>
    <w:p>
      <w:pPr>
        <w:pStyle w:val="ListBullet"/>
      </w:pPr>
      <w:r>
        <w:t>U.S. election campaign final month (FIXED context)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Election-sensitive</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Harvest/storage/cash-flow</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Refinery maintenance / winter build</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26" w:name="_Toc9500626"/>
      <w:r>
        <w:t>Recommended Posture</w:t>
      </w:r>
      <w:bookmarkEnd w:id="626"/>
    </w:p>
    <w:p>
      <w:r>
        <w:rPr>
          <w:b w:val="0"/>
          <w:i w:val="0"/>
        </w:rPr>
        <w:t>Caution and preparation. U.S. election proximity and the Senate state-work period make dramatic new Canadian initiatives easier to mischaracterize as electoral intervention. Favor technical implementation, state-level factual engagement, quiet settlement preparation, and Canadian support measures.</w:t>
      </w:r>
    </w:p>
    <w:p>
      <w:pPr>
        <w:pStyle w:val="Heading2"/>
        <w:keepNext/>
        <w:spacing w:before="160" w:after="60"/>
      </w:pPr>
      <w:bookmarkStart w:id="627" w:name="_Toc9500627"/>
      <w:r>
        <w:t>Do / Avoid</w:t>
      </w:r>
      <w:bookmarkEnd w:id="627"/>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28" w:name="_Toc9500628"/>
      <w:r>
        <w:t>October 2026 — Decision Windows and Trigger Sheet</w:t>
      </w:r>
      <w:bookmarkEnd w:id="628"/>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29" w:name="_Toc9500629"/>
      <w:r>
        <w:t>Monthly Trigger Questions</w:t>
      </w:r>
      <w:bookmarkEnd w:id="629"/>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30" w:name="_Toc9500630"/>
      <w:r>
        <w:t>Month-End Required Output</w:t>
      </w:r>
      <w:bookmarkEnd w:id="630"/>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31" w:name="_Toc9500631"/>
      <w:r>
        <w:t>Month 3: November 2026 — Operational Picture</w:t>
      </w:r>
      <w:bookmarkEnd w:id="631"/>
    </w:p>
    <w:p>
      <w:r>
        <w:rPr>
          <w:b w:val="0"/>
          <w:i/>
        </w:rPr>
        <w:t>Status: near-term operational month</w:t>
      </w:r>
    </w:p>
    <w:p>
      <w:pPr>
        <w:pStyle w:val="Heading2"/>
        <w:keepNext/>
        <w:spacing w:before="160" w:after="60"/>
      </w:pPr>
      <w:bookmarkStart w:id="632" w:name="_Toc9500632"/>
      <w:r>
        <w:t>Known and Expected Decision Markers</w:t>
      </w:r>
      <w:bookmarkEnd w:id="632"/>
    </w:p>
    <w:p>
      <w:pPr>
        <w:pStyle w:val="ListBullet"/>
      </w:pPr>
      <w:r>
        <w:t>Nov 3 U.S. federal general election (FIXED)</w:t>
      </w:r>
    </w:p>
    <w:p>
      <w:pPr>
        <w:pStyle w:val="ListBullet"/>
      </w:pPr>
      <w:r>
        <w:t>Nov 10 USDA WASDE (FIXED)</w:t>
      </w:r>
    </w:p>
    <w:p>
      <w:pPr>
        <w:pStyle w:val="ListBullet"/>
      </w:pPr>
      <w:r>
        <w:t>Nov 11–13 Senate non-legislative period (PUBLISHED)</w:t>
      </w:r>
    </w:p>
    <w:p>
      <w:pPr>
        <w:pStyle w:val="ListBullet"/>
      </w:pPr>
      <w:r>
        <w:t>Nov 23–27 Thanksgiving state work period (PUBLISHED)</w:t>
      </w:r>
    </w:p>
    <w:p>
      <w:pPr>
        <w:pStyle w:val="ListBullet"/>
      </w:pPr>
      <w:r>
        <w:t>Post-election coalition reassessment window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Election-sensitive</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Harvest/storage/cash-flow</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Refinery maintenance / winter build</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33" w:name="_Toc9500633"/>
      <w:r>
        <w:t>Recommended Posture</w:t>
      </w:r>
      <w:bookmarkEnd w:id="633"/>
    </w:p>
    <w:p>
      <w:r>
        <w:rPr>
          <w:b w:val="0"/>
          <w:i w:val="0"/>
        </w:rPr>
        <w:t>Two-phase month. Before the November 3 election, maintain a strict electoral firewall. After the election, rapidly reassess congressional coalitions, committee leadership expectations, business positions, and the administration's incentives. A post-election quiet-offer window may emerge before year-end agenda compression.</w:t>
      </w:r>
    </w:p>
    <w:p>
      <w:pPr>
        <w:pStyle w:val="Heading2"/>
        <w:keepNext/>
        <w:spacing w:before="160" w:after="60"/>
      </w:pPr>
      <w:bookmarkStart w:id="634" w:name="_Toc9500634"/>
      <w:r>
        <w:t>Do / Avoid</w:t>
      </w:r>
      <w:bookmarkEnd w:id="634"/>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35" w:name="_Toc9500635"/>
      <w:r>
        <w:t>November 2026 — Decision Windows and Trigger Sheet</w:t>
      </w:r>
      <w:bookmarkEnd w:id="635"/>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36" w:name="_Toc9500636"/>
      <w:r>
        <w:t>Monthly Trigger Questions</w:t>
      </w:r>
      <w:bookmarkEnd w:id="636"/>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37" w:name="_Toc9500637"/>
      <w:r>
        <w:t>Month-End Required Output</w:t>
      </w:r>
      <w:bookmarkEnd w:id="637"/>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38" w:name="_Toc9500638"/>
      <w:r>
        <w:t>Month 4: December 2026 — Operational Picture</w:t>
      </w:r>
      <w:bookmarkEnd w:id="638"/>
    </w:p>
    <w:p>
      <w:r>
        <w:rPr>
          <w:b w:val="0"/>
          <w:i/>
        </w:rPr>
        <w:t>Status: near-term operational month</w:t>
      </w:r>
    </w:p>
    <w:p>
      <w:pPr>
        <w:pStyle w:val="Heading2"/>
        <w:keepNext/>
        <w:spacing w:before="160" w:after="60"/>
      </w:pPr>
      <w:bookmarkStart w:id="639" w:name="_Toc9500639"/>
      <w:r>
        <w:t>Known and Expected Decision Markers</w:t>
      </w:r>
      <w:bookmarkEnd w:id="639"/>
    </w:p>
    <w:p>
      <w:pPr>
        <w:pStyle w:val="ListBullet"/>
      </w:pPr>
      <w:r>
        <w:t>Dec 8–9 FOMC (FIXED)</w:t>
      </w:r>
    </w:p>
    <w:p>
      <w:pPr>
        <w:pStyle w:val="ListBullet"/>
      </w:pPr>
      <w:r>
        <w:t>Dec 9 Bank of Canada (FIXED)</w:t>
      </w:r>
    </w:p>
    <w:p>
      <w:pPr>
        <w:pStyle w:val="ListBullet"/>
      </w:pPr>
      <w:r>
        <w:t>Dec 10 USDA WASDE (FIXED)</w:t>
      </w:r>
    </w:p>
    <w:p>
      <w:pPr>
        <w:pStyle w:val="ListBullet"/>
      </w:pPr>
      <w:r>
        <w:t>Dec 21–31 Senate state work period (PUBLISHED)</w:t>
      </w:r>
    </w:p>
    <w:p>
      <w:pPr>
        <w:pStyle w:val="ListBullet"/>
      </w:pPr>
      <w:r>
        <w:t>Canadian fall budget/fiscal cycle: verify exact tabling dates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Contracting/input planning</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Heating reliability</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40" w:name="_Toc9500640"/>
      <w:r>
        <w:t>Recommended Posture</w:t>
      </w:r>
      <w:bookmarkEnd w:id="640"/>
    </w:p>
    <w:p>
      <w:r>
        <w:rPr>
          <w:b w:val="0"/>
          <w:i w:val="0"/>
        </w:rPr>
        <w:t>Reliability and settlement posture. Winter weather raises the cost of mistakes in energy, transportation, food, and household affordability. Prefer predictable measures, exemptions for essentials, and negotiation/off-ramp activity over surprise supply shocks.</w:t>
      </w:r>
    </w:p>
    <w:p>
      <w:pPr>
        <w:pStyle w:val="Heading2"/>
        <w:keepNext/>
        <w:spacing w:before="160" w:after="60"/>
      </w:pPr>
      <w:bookmarkStart w:id="641" w:name="_Toc9500641"/>
      <w:r>
        <w:t>Do / Avoid</w:t>
      </w:r>
      <w:bookmarkEnd w:id="641"/>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42" w:name="_Toc9500642"/>
      <w:r>
        <w:t>December 2026 — Decision Windows and Trigger Sheet</w:t>
      </w:r>
      <w:bookmarkEnd w:id="642"/>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43" w:name="_Toc9500643"/>
      <w:r>
        <w:t>Monthly Trigger Questions</w:t>
      </w:r>
      <w:bookmarkEnd w:id="643"/>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44" w:name="_Toc9500644"/>
      <w:r>
        <w:t>Month-End Required Output</w:t>
      </w:r>
      <w:bookmarkEnd w:id="644"/>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45" w:name="_Toc9500645"/>
      <w:r>
        <w:t>Month 5: January 2027 — Operational Picture</w:t>
      </w:r>
      <w:bookmarkEnd w:id="645"/>
    </w:p>
    <w:p>
      <w:r>
        <w:rPr>
          <w:b w:val="0"/>
          <w:i/>
        </w:rPr>
        <w:t>Status: forward planning month; revalidate all non-fixed dates</w:t>
      </w:r>
    </w:p>
    <w:p>
      <w:pPr>
        <w:pStyle w:val="Heading2"/>
        <w:keepNext/>
        <w:spacing w:before="160" w:after="60"/>
      </w:pPr>
      <w:bookmarkStart w:id="646" w:name="_Toc9500646"/>
      <w:r>
        <w:t>Known and Expected Decision Markers</w:t>
      </w:r>
      <w:bookmarkEnd w:id="646"/>
    </w:p>
    <w:p>
      <w:pPr>
        <w:pStyle w:val="ListBullet"/>
      </w:pPr>
      <w:r>
        <w:t>Jan 27 Bank of Canada + MPR (FIXED)</w:t>
      </w:r>
    </w:p>
    <w:p>
      <w:pPr>
        <w:pStyle w:val="ListBullet"/>
      </w:pPr>
      <w:r>
        <w:t>New U.S. Congress organizational period (SEASONAL/FIXED constitutional cycle)</w:t>
      </w:r>
    </w:p>
    <w:p>
      <w:pPr>
        <w:pStyle w:val="ListBullet"/>
      </w:pPr>
      <w:r>
        <w:t>Jan 1 announced U.S. 50% auto tariff effective date requires current verification</w:t>
      </w:r>
    </w:p>
    <w:p>
      <w:pPr>
        <w:pStyle w:val="ListBullet"/>
      </w:pPr>
      <w:r>
        <w:t>Winter energy reliability window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Contracting/input planning</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Heating reliability</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47" w:name="_Toc9500647"/>
      <w:r>
        <w:t>Recommended Posture</w:t>
      </w:r>
      <w:bookmarkEnd w:id="647"/>
    </w:p>
    <w:p>
      <w:r>
        <w:rPr>
          <w:b w:val="0"/>
          <w:i w:val="0"/>
        </w:rPr>
        <w:t>Reliability and settlement posture. Winter weather raises the cost of mistakes in energy, transportation, food, and household affordability. Prefer predictable measures, exemptions for essentials, and negotiation/off-ramp activity over surprise supply shocks.</w:t>
      </w:r>
    </w:p>
    <w:p>
      <w:pPr>
        <w:pStyle w:val="Heading2"/>
        <w:keepNext/>
        <w:spacing w:before="160" w:after="60"/>
      </w:pPr>
      <w:bookmarkStart w:id="648" w:name="_Toc9500648"/>
      <w:r>
        <w:t>Do / Avoid</w:t>
      </w:r>
      <w:bookmarkEnd w:id="648"/>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49" w:name="_Toc9500649"/>
      <w:r>
        <w:t>January 2027 — Decision Windows and Trigger Sheet</w:t>
      </w:r>
      <w:bookmarkEnd w:id="649"/>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50" w:name="_Toc9500650"/>
      <w:r>
        <w:t>Monthly Trigger Questions</w:t>
      </w:r>
      <w:bookmarkEnd w:id="650"/>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51" w:name="_Toc9500651"/>
      <w:r>
        <w:t>Month-End Required Output</w:t>
      </w:r>
      <w:bookmarkEnd w:id="651"/>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52" w:name="_Toc9500652"/>
      <w:r>
        <w:t>Month 6: February 2027 — Operational Picture</w:t>
      </w:r>
      <w:bookmarkEnd w:id="652"/>
    </w:p>
    <w:p>
      <w:r>
        <w:rPr>
          <w:b w:val="0"/>
          <w:i/>
        </w:rPr>
        <w:t>Status: forward planning month; revalidate all non-fixed dates</w:t>
      </w:r>
    </w:p>
    <w:p>
      <w:pPr>
        <w:pStyle w:val="Heading2"/>
        <w:keepNext/>
        <w:spacing w:before="160" w:after="60"/>
      </w:pPr>
      <w:bookmarkStart w:id="653" w:name="_Toc9500653"/>
      <w:r>
        <w:t>Known and Expected Decision Markers</w:t>
      </w:r>
      <w:bookmarkEnd w:id="653"/>
    </w:p>
    <w:p>
      <w:pPr>
        <w:pStyle w:val="ListBullet"/>
      </w:pPr>
      <w:r>
        <w:t>Early-year congressional committee work</w:t>
      </w:r>
    </w:p>
    <w:p>
      <w:pPr>
        <w:pStyle w:val="ListBullet"/>
      </w:pPr>
      <w:r>
        <w:t>Winter heating and transport risk</w:t>
      </w:r>
    </w:p>
    <w:p>
      <w:pPr>
        <w:pStyle w:val="ListBullet"/>
      </w:pPr>
      <w:r>
        <w:t>Pre-spring agricultural contracting and fertilizer planning</w:t>
      </w:r>
    </w:p>
    <w:p>
      <w:pPr>
        <w:pStyle w:val="ListBullet"/>
      </w:pPr>
      <w:r>
        <w:t>Canadian pre-fiscal-year estimates preparation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Contracting/input planning</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Heating reliability</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54" w:name="_Toc9500654"/>
      <w:r>
        <w:t>Recommended Posture</w:t>
      </w:r>
      <w:bookmarkEnd w:id="654"/>
    </w:p>
    <w:p>
      <w:r>
        <w:rPr>
          <w:b w:val="0"/>
          <w:i w:val="0"/>
        </w:rPr>
        <w:t>Reliability and settlement posture. Winter weather raises the cost of mistakes in energy, transportation, food, and household affordability. Prefer predictable measures, exemptions for essentials, and negotiation/off-ramp activity over surprise supply shocks.</w:t>
      </w:r>
    </w:p>
    <w:p>
      <w:pPr>
        <w:pStyle w:val="Heading2"/>
        <w:keepNext/>
        <w:spacing w:before="160" w:after="60"/>
      </w:pPr>
      <w:bookmarkStart w:id="655" w:name="_Toc9500655"/>
      <w:r>
        <w:t>Do / Avoid</w:t>
      </w:r>
      <w:bookmarkEnd w:id="655"/>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56" w:name="_Toc9500656"/>
      <w:r>
        <w:t>February 2027 — Decision Windows and Trigger Sheet</w:t>
      </w:r>
      <w:bookmarkEnd w:id="656"/>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57" w:name="_Toc9500657"/>
      <w:r>
        <w:t>Monthly Trigger Questions</w:t>
      </w:r>
      <w:bookmarkEnd w:id="657"/>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58" w:name="_Toc9500658"/>
      <w:r>
        <w:t>Month-End Required Output</w:t>
      </w:r>
      <w:bookmarkEnd w:id="658"/>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59" w:name="_Toc9500659"/>
      <w:r>
        <w:t>Month 7: March 2027 — Operational Picture</w:t>
      </w:r>
      <w:bookmarkEnd w:id="659"/>
    </w:p>
    <w:p>
      <w:r>
        <w:rPr>
          <w:b w:val="0"/>
          <w:i/>
        </w:rPr>
        <w:t>Status: forward planning month; revalidate all non-fixed dates</w:t>
      </w:r>
    </w:p>
    <w:p>
      <w:pPr>
        <w:pStyle w:val="Heading2"/>
        <w:keepNext/>
        <w:spacing w:before="160" w:after="60"/>
      </w:pPr>
      <w:bookmarkStart w:id="660" w:name="_Toc9500660"/>
      <w:r>
        <w:t>Known and Expected Decision Markers</w:t>
      </w:r>
      <w:bookmarkEnd w:id="660"/>
    </w:p>
    <w:p>
      <w:pPr>
        <w:pStyle w:val="ListBullet"/>
      </w:pPr>
      <w:r>
        <w:t>Mar 3 Bank of Canada (FIXED)</w:t>
      </w:r>
    </w:p>
    <w:p>
      <w:pPr>
        <w:pStyle w:val="ListBullet"/>
      </w:pPr>
      <w:r>
        <w:t>U.S. planting intentions / spring agriculture signal window</w:t>
      </w:r>
    </w:p>
    <w:p>
      <w:pPr>
        <w:pStyle w:val="ListBullet"/>
      </w:pPr>
      <w:r>
        <w:t>Canadian fiscal year-end approaches</w:t>
      </w:r>
    </w:p>
    <w:p>
      <w:pPr>
        <w:pStyle w:val="ListBullet"/>
      </w:pPr>
      <w:r>
        <w:t>Spring negotiation window before planting and summer industrial cycles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Planting/input-intensive</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Maintenance/transition</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61" w:name="_Toc9500661"/>
      <w:r>
        <w:t>Recommended Posture</w:t>
      </w:r>
      <w:bookmarkEnd w:id="661"/>
    </w:p>
    <w:p>
      <w:r>
        <w:rPr>
          <w:b w:val="0"/>
          <w:i w:val="0"/>
        </w:rPr>
        <w:t>Rule-setting posture. Spring is useful for durable announcements, support packages, diversification commitments, and negotiations that give agriculture and industry forward guidance before peak seasonal activity.</w:t>
      </w:r>
    </w:p>
    <w:p>
      <w:pPr>
        <w:pStyle w:val="Heading2"/>
        <w:keepNext/>
        <w:spacing w:before="160" w:after="60"/>
      </w:pPr>
      <w:bookmarkStart w:id="662" w:name="_Toc9500662"/>
      <w:r>
        <w:t>Do / Avoid</w:t>
      </w:r>
      <w:bookmarkEnd w:id="662"/>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63" w:name="_Toc9500663"/>
      <w:r>
        <w:t>March 2027 — Decision Windows and Trigger Sheet</w:t>
      </w:r>
      <w:bookmarkEnd w:id="663"/>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64" w:name="_Toc9500664"/>
      <w:r>
        <w:t>Monthly Trigger Questions</w:t>
      </w:r>
      <w:bookmarkEnd w:id="664"/>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65" w:name="_Toc9500665"/>
      <w:r>
        <w:t>Month-End Required Output</w:t>
      </w:r>
      <w:bookmarkEnd w:id="665"/>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66" w:name="_Toc9500666"/>
      <w:r>
        <w:t>Month 8: April 2027 — Operational Picture</w:t>
      </w:r>
      <w:bookmarkEnd w:id="666"/>
    </w:p>
    <w:p>
      <w:r>
        <w:rPr>
          <w:b w:val="0"/>
          <w:i/>
        </w:rPr>
        <w:t>Status: forward planning month; revalidate all non-fixed dates</w:t>
      </w:r>
    </w:p>
    <w:p>
      <w:pPr>
        <w:pStyle w:val="Heading2"/>
        <w:keepNext/>
        <w:spacing w:before="160" w:after="60"/>
      </w:pPr>
      <w:bookmarkStart w:id="667" w:name="_Toc9500667"/>
      <w:r>
        <w:t>Known and Expected Decision Markers</w:t>
      </w:r>
      <w:bookmarkEnd w:id="667"/>
    </w:p>
    <w:p>
      <w:pPr>
        <w:pStyle w:val="ListBullet"/>
      </w:pPr>
      <w:r>
        <w:t>Apr 1 Canadian fiscal year begins (FIXED)</w:t>
      </w:r>
    </w:p>
    <w:p>
      <w:pPr>
        <w:pStyle w:val="ListBullet"/>
      </w:pPr>
      <w:r>
        <w:t>Apr 28 Bank of Canada + MPR (FIXED)</w:t>
      </w:r>
    </w:p>
    <w:p>
      <w:pPr>
        <w:pStyle w:val="ListBullet"/>
      </w:pPr>
      <w:r>
        <w:t>Spring planting accelerates (SEASONAL)</w:t>
      </w:r>
    </w:p>
    <w:p>
      <w:pPr>
        <w:pStyle w:val="ListBullet"/>
      </w:pPr>
      <w:r>
        <w:t>Refinery transition / maintenance risk (SEASONAL)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Planting/input-intensive</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Maintenance/transition</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68" w:name="_Toc9500668"/>
      <w:r>
        <w:t>Recommended Posture</w:t>
      </w:r>
      <w:bookmarkEnd w:id="668"/>
    </w:p>
    <w:p>
      <w:r>
        <w:rPr>
          <w:b w:val="0"/>
          <w:i w:val="0"/>
        </w:rPr>
        <w:t>Rule-setting posture. Spring is useful for durable announcements, support packages, diversification commitments, and negotiations that give agriculture and industry forward guidance before peak seasonal activity.</w:t>
      </w:r>
    </w:p>
    <w:p>
      <w:pPr>
        <w:pStyle w:val="Heading2"/>
        <w:keepNext/>
        <w:spacing w:before="160" w:after="60"/>
      </w:pPr>
      <w:bookmarkStart w:id="669" w:name="_Toc9500669"/>
      <w:r>
        <w:t>Do / Avoid</w:t>
      </w:r>
      <w:bookmarkEnd w:id="669"/>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70" w:name="_Toc9500670"/>
      <w:r>
        <w:t>April 2027 — Decision Windows and Trigger Sheet</w:t>
      </w:r>
      <w:bookmarkEnd w:id="670"/>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71" w:name="_Toc9500671"/>
      <w:r>
        <w:t>Monthly Trigger Questions</w:t>
      </w:r>
      <w:bookmarkEnd w:id="671"/>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72" w:name="_Toc9500672"/>
      <w:r>
        <w:t>Month-End Required Output</w:t>
      </w:r>
      <w:bookmarkEnd w:id="672"/>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73" w:name="_Toc9500673"/>
      <w:r>
        <w:t>Month 9: May 2027 — Operational Picture</w:t>
      </w:r>
      <w:bookmarkEnd w:id="673"/>
    </w:p>
    <w:p>
      <w:r>
        <w:rPr>
          <w:b w:val="0"/>
          <w:i/>
        </w:rPr>
        <w:t>Status: forward planning month; revalidate all non-fixed dates</w:t>
      </w:r>
    </w:p>
    <w:p>
      <w:pPr>
        <w:pStyle w:val="Heading2"/>
        <w:keepNext/>
        <w:spacing w:before="160" w:after="60"/>
      </w:pPr>
      <w:bookmarkStart w:id="674" w:name="_Toc9500674"/>
      <w:r>
        <w:t>Known and Expected Decision Markers</w:t>
      </w:r>
      <w:bookmarkEnd w:id="674"/>
    </w:p>
    <w:p>
      <w:pPr>
        <w:pStyle w:val="ListBullet"/>
      </w:pPr>
      <w:r>
        <w:t>Planting and fertilizer demand peak window (SEASONAL)</w:t>
      </w:r>
    </w:p>
    <w:p>
      <w:pPr>
        <w:pStyle w:val="ListBullet"/>
      </w:pPr>
      <w:r>
        <w:t>Pre-summer congressional and summit diplomacy window</w:t>
      </w:r>
    </w:p>
    <w:p>
      <w:pPr>
        <w:pStyle w:val="ListBullet"/>
      </w:pPr>
      <w:r>
        <w:t>Canadian spring fiscal update planning band</w:t>
      </w:r>
    </w:p>
    <w:p>
      <w:pPr>
        <w:pStyle w:val="ListBullet"/>
      </w:pPr>
      <w:r>
        <w:t>North American construction season accelerates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Planting/input-intensive</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Maintenance/transition</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75" w:name="_Toc9500675"/>
      <w:r>
        <w:t>Recommended Posture</w:t>
      </w:r>
      <w:bookmarkEnd w:id="675"/>
    </w:p>
    <w:p>
      <w:r>
        <w:rPr>
          <w:b w:val="0"/>
          <w:i w:val="0"/>
        </w:rPr>
        <w:t>Rule-setting posture. Spring is useful for durable announcements, support packages, diversification commitments, and negotiations that give agriculture and industry forward guidance before peak seasonal activity.</w:t>
      </w:r>
    </w:p>
    <w:p>
      <w:pPr>
        <w:pStyle w:val="Heading2"/>
        <w:keepNext/>
        <w:spacing w:before="160" w:after="60"/>
      </w:pPr>
      <w:bookmarkStart w:id="676" w:name="_Toc9500676"/>
      <w:r>
        <w:t>Do / Avoid</w:t>
      </w:r>
      <w:bookmarkEnd w:id="676"/>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77" w:name="_Toc9500677"/>
      <w:r>
        <w:t>May 2027 — Decision Windows and Trigger Sheet</w:t>
      </w:r>
      <w:bookmarkEnd w:id="677"/>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78" w:name="_Toc9500678"/>
      <w:r>
        <w:t>Monthly Trigger Questions</w:t>
      </w:r>
      <w:bookmarkEnd w:id="678"/>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79" w:name="_Toc9500679"/>
      <w:r>
        <w:t>Month-End Required Output</w:t>
      </w:r>
      <w:bookmarkEnd w:id="679"/>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80" w:name="_Toc9500680"/>
      <w:r>
        <w:t>Month 10: June 2027 — Operational Picture</w:t>
      </w:r>
      <w:bookmarkEnd w:id="680"/>
    </w:p>
    <w:p>
      <w:r>
        <w:rPr>
          <w:b w:val="0"/>
          <w:i/>
        </w:rPr>
        <w:t>Status: forward planning month; revalidate all non-fixed dates</w:t>
      </w:r>
    </w:p>
    <w:p>
      <w:pPr>
        <w:pStyle w:val="Heading2"/>
        <w:keepNext/>
        <w:spacing w:before="160" w:after="60"/>
      </w:pPr>
      <w:bookmarkStart w:id="681" w:name="_Toc9500681"/>
      <w:r>
        <w:t>Known and Expected Decision Markers</w:t>
      </w:r>
      <w:bookmarkEnd w:id="681"/>
    </w:p>
    <w:p>
      <w:pPr>
        <w:pStyle w:val="ListBullet"/>
      </w:pPr>
      <w:r>
        <w:t>Jun 2 Bank of Canada (FIXED)</w:t>
      </w:r>
    </w:p>
    <w:p>
      <w:pPr>
        <w:pStyle w:val="ListBullet"/>
      </w:pPr>
      <w:r>
        <w:t>Crop development / weather risk rises</w:t>
      </w:r>
    </w:p>
    <w:p>
      <w:pPr>
        <w:pStyle w:val="ListBullet"/>
      </w:pPr>
      <w:r>
        <w:t>Typical auto summer retooling approaches</w:t>
      </w:r>
    </w:p>
    <w:p>
      <w:pPr>
        <w:pStyle w:val="ListBullet"/>
      </w:pPr>
      <w:r>
        <w:t>G7 season planning band; verify host calendar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Crop/weather-sensitive</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Driving/cooling + weather events</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82" w:name="_Toc9500682"/>
      <w:r>
        <w:t>Recommended Posture</w:t>
      </w:r>
      <w:bookmarkEnd w:id="682"/>
    </w:p>
    <w:p>
      <w:r>
        <w:rPr>
          <w:b w:val="0"/>
          <w:i w:val="0"/>
        </w:rPr>
        <w:t>Preparation and resilience posture. Legislative calendars often thin, auto retooling and weather risks rise, and energy demand can be volatile. Use the period for local engagement, implementation work, scenario exercises, and carefully validated sector measures.</w:t>
      </w:r>
    </w:p>
    <w:p>
      <w:pPr>
        <w:pStyle w:val="Heading2"/>
        <w:keepNext/>
        <w:spacing w:before="160" w:after="60"/>
      </w:pPr>
      <w:bookmarkStart w:id="683" w:name="_Toc9500683"/>
      <w:r>
        <w:t>Do / Avoid</w:t>
      </w:r>
      <w:bookmarkEnd w:id="683"/>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84" w:name="_Toc9500684"/>
      <w:r>
        <w:t>June 2027 — Decision Windows and Trigger Sheet</w:t>
      </w:r>
      <w:bookmarkEnd w:id="684"/>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85" w:name="_Toc9500685"/>
      <w:r>
        <w:t>Monthly Trigger Questions</w:t>
      </w:r>
      <w:bookmarkEnd w:id="685"/>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86" w:name="_Toc9500686"/>
      <w:r>
        <w:t>Month-End Required Output</w:t>
      </w:r>
      <w:bookmarkEnd w:id="686"/>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87" w:name="_Toc9500687"/>
      <w:r>
        <w:t>Month 11: July 2027 — Operational Picture</w:t>
      </w:r>
      <w:bookmarkEnd w:id="687"/>
    </w:p>
    <w:p>
      <w:r>
        <w:rPr>
          <w:b w:val="0"/>
          <w:i/>
        </w:rPr>
        <w:t>Status: forward planning month; revalidate all non-fixed dates</w:t>
      </w:r>
    </w:p>
    <w:p>
      <w:pPr>
        <w:pStyle w:val="Heading2"/>
        <w:keepNext/>
        <w:spacing w:before="160" w:after="60"/>
      </w:pPr>
      <w:bookmarkStart w:id="688" w:name="_Toc9500688"/>
      <w:r>
        <w:t>Known and Expected Decision Markers</w:t>
      </w:r>
      <w:bookmarkEnd w:id="688"/>
    </w:p>
    <w:p>
      <w:pPr>
        <w:pStyle w:val="ListBullet"/>
      </w:pPr>
      <w:r>
        <w:t>Jul 21 Bank of Canada + MPR (FIXED)</w:t>
      </w:r>
    </w:p>
    <w:p>
      <w:pPr>
        <w:pStyle w:val="ListBullet"/>
      </w:pPr>
      <w:r>
        <w:t>Typical auto maintenance/retooling period (SEASONAL)</w:t>
      </w:r>
    </w:p>
    <w:p>
      <w:pPr>
        <w:pStyle w:val="ListBullet"/>
      </w:pPr>
      <w:r>
        <w:t>Summer driving and cooling demand (SEASONAL)</w:t>
      </w:r>
    </w:p>
    <w:p>
      <w:pPr>
        <w:pStyle w:val="ListBullet"/>
      </w:pPr>
      <w:r>
        <w:t>CUSMA anniversary / review follow-up checkpoint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Crop/weather-sensitive</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Driving/cooling + weather events</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89" w:name="_Toc9500689"/>
      <w:r>
        <w:t>Recommended Posture</w:t>
      </w:r>
      <w:bookmarkEnd w:id="689"/>
    </w:p>
    <w:p>
      <w:r>
        <w:rPr>
          <w:b w:val="0"/>
          <w:i w:val="0"/>
        </w:rPr>
        <w:t>Preparation and resilience posture. Legislative calendars often thin, auto retooling and weather risks rise, and energy demand can be volatile. Use the period for local engagement, implementation work, scenario exercises, and carefully validated sector measures.</w:t>
      </w:r>
    </w:p>
    <w:p>
      <w:pPr>
        <w:pStyle w:val="Heading2"/>
        <w:keepNext/>
        <w:spacing w:before="160" w:after="60"/>
      </w:pPr>
      <w:bookmarkStart w:id="690" w:name="_Toc9500690"/>
      <w:r>
        <w:t>Do / Avoid</w:t>
      </w:r>
      <w:bookmarkEnd w:id="690"/>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91" w:name="_Toc9500691"/>
      <w:r>
        <w:t>July 2027 — Decision Windows and Trigger Sheet</w:t>
      </w:r>
      <w:bookmarkEnd w:id="691"/>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92" w:name="_Toc9500692"/>
      <w:r>
        <w:t>Monthly Trigger Questions</w:t>
      </w:r>
      <w:bookmarkEnd w:id="692"/>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693" w:name="_Toc9500693"/>
      <w:r>
        <w:t>Month-End Required Output</w:t>
      </w:r>
      <w:bookmarkEnd w:id="693"/>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694" w:name="_Toc9500694"/>
      <w:r>
        <w:t>Month 12: August 2027 — Operational Picture</w:t>
      </w:r>
      <w:bookmarkEnd w:id="694"/>
    </w:p>
    <w:p>
      <w:r>
        <w:rPr>
          <w:b w:val="0"/>
          <w:i/>
        </w:rPr>
        <w:t>Status: forward planning month; revalidate all non-fixed dates</w:t>
      </w:r>
    </w:p>
    <w:p>
      <w:pPr>
        <w:pStyle w:val="Heading2"/>
        <w:keepNext/>
        <w:spacing w:before="160" w:after="60"/>
      </w:pPr>
      <w:bookmarkStart w:id="695" w:name="_Toc9500695"/>
      <w:r>
        <w:t>Known and Expected Decision Markers</w:t>
      </w:r>
      <w:bookmarkEnd w:id="695"/>
    </w:p>
    <w:p>
      <w:pPr>
        <w:pStyle w:val="ListBullet"/>
      </w:pPr>
      <w:r>
        <w:t>Congressional summer district-work tendency (PLANNING BAND until calendar published)</w:t>
      </w:r>
    </w:p>
    <w:p>
      <w:pPr>
        <w:pStyle w:val="ListBullet"/>
      </w:pPr>
      <w:r>
        <w:t>Crop condition and yield uncertainty</w:t>
      </w:r>
    </w:p>
    <w:p>
      <w:pPr>
        <w:pStyle w:val="ListBullet"/>
      </w:pPr>
      <w:r>
        <w:t>Wildfire/hurricane and energy reliability risk</w:t>
      </w:r>
    </w:p>
    <w:p>
      <w:pPr>
        <w:pStyle w:val="ListBullet"/>
      </w:pPr>
      <w:r>
        <w:t>Good preparation window; poor surprise-escalation window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Crop/weather-sensitive</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Driving/cooling + weather events</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696" w:name="_Toc9500696"/>
      <w:r>
        <w:t>Recommended Posture</w:t>
      </w:r>
      <w:bookmarkEnd w:id="696"/>
    </w:p>
    <w:p>
      <w:r>
        <w:rPr>
          <w:b w:val="0"/>
          <w:i w:val="0"/>
        </w:rPr>
        <w:t>Preparation and resilience posture. Legislative calendars often thin, auto retooling and weather risks rise, and energy demand can be volatile. Use the period for local engagement, implementation work, scenario exercises, and carefully validated sector measures.</w:t>
      </w:r>
    </w:p>
    <w:p>
      <w:pPr>
        <w:pStyle w:val="Heading2"/>
        <w:keepNext/>
        <w:spacing w:before="160" w:after="60"/>
      </w:pPr>
      <w:bookmarkStart w:id="697" w:name="_Toc9500697"/>
      <w:r>
        <w:t>Do / Avoid</w:t>
      </w:r>
      <w:bookmarkEnd w:id="697"/>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698" w:name="_Toc9500698"/>
      <w:r>
        <w:t>August 2027 — Decision Windows and Trigger Sheet</w:t>
      </w:r>
      <w:bookmarkEnd w:id="698"/>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699" w:name="_Toc9500699"/>
      <w:r>
        <w:t>Monthly Trigger Questions</w:t>
      </w:r>
      <w:bookmarkEnd w:id="699"/>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00" w:name="_Toc9500700"/>
      <w:r>
        <w:t>Month-End Required Output</w:t>
      </w:r>
      <w:bookmarkEnd w:id="700"/>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01" w:name="_Toc9500701"/>
      <w:r>
        <w:t>Month 13: September 2027 — Operational Picture</w:t>
      </w:r>
      <w:bookmarkEnd w:id="701"/>
    </w:p>
    <w:p>
      <w:r>
        <w:rPr>
          <w:b w:val="0"/>
          <w:i/>
        </w:rPr>
        <w:t>Status: forward planning month; revalidate all non-fixed dates</w:t>
      </w:r>
    </w:p>
    <w:p>
      <w:pPr>
        <w:pStyle w:val="Heading2"/>
        <w:keepNext/>
        <w:spacing w:before="160" w:after="60"/>
      </w:pPr>
      <w:bookmarkStart w:id="702" w:name="_Toc9500702"/>
      <w:r>
        <w:t>Known and Expected Decision Markers</w:t>
      </w:r>
      <w:bookmarkEnd w:id="702"/>
    </w:p>
    <w:p>
      <w:pPr>
        <w:pStyle w:val="ListBullet"/>
      </w:pPr>
      <w:r>
        <w:t>Sep 8 Bank of Canada (FIXED)</w:t>
      </w:r>
    </w:p>
    <w:p>
      <w:pPr>
        <w:pStyle w:val="ListBullet"/>
      </w:pPr>
      <w:r>
        <w:t>Harvest begins in major U.S. crops (SEASONAL)</w:t>
      </w:r>
    </w:p>
    <w:p>
      <w:pPr>
        <w:pStyle w:val="ListBullet"/>
      </w:pPr>
      <w:r>
        <w:t>Post-summer legislative return planning band</w:t>
      </w:r>
    </w:p>
    <w:p>
      <w:pPr>
        <w:pStyle w:val="ListBullet"/>
      </w:pPr>
      <w:r>
        <w:t>One-year review of Sept 2026 Canadian countermeasure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Harvest/storage/cash-flow</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Refinery maintenance / winter build</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703" w:name="_Toc9500703"/>
      <w:r>
        <w:t>Recommended Posture</w:t>
      </w:r>
      <w:bookmarkEnd w:id="703"/>
    </w:p>
    <w:p>
      <w:r>
        <w:rPr>
          <w:b w:val="0"/>
          <w:i w:val="0"/>
        </w:rPr>
        <w:t>High-information posture. Harvest, fiscal, parliamentary, and legislative activity can create both data richness and agenda congestion. Use fresh data, avoid stacking shocks, and look for well-prepared settlement or sectoral-cure opportunities.</w:t>
      </w:r>
    </w:p>
    <w:p>
      <w:pPr>
        <w:pStyle w:val="Heading2"/>
        <w:keepNext/>
        <w:spacing w:before="160" w:after="60"/>
      </w:pPr>
      <w:bookmarkStart w:id="704" w:name="_Toc9500704"/>
      <w:r>
        <w:t>Do / Avoid</w:t>
      </w:r>
      <w:bookmarkEnd w:id="704"/>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705" w:name="_Toc9500705"/>
      <w:r>
        <w:t>September 2027 — Decision Windows and Trigger Sheet</w:t>
      </w:r>
      <w:bookmarkEnd w:id="705"/>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706" w:name="_Toc9500706"/>
      <w:r>
        <w:t>Monthly Trigger Questions</w:t>
      </w:r>
      <w:bookmarkEnd w:id="706"/>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07" w:name="_Toc9500707"/>
      <w:r>
        <w:t>Month-End Required Output</w:t>
      </w:r>
      <w:bookmarkEnd w:id="707"/>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08" w:name="_Toc9500708"/>
      <w:r>
        <w:t>Month 14: October 2027 — Operational Picture</w:t>
      </w:r>
      <w:bookmarkEnd w:id="708"/>
    </w:p>
    <w:p>
      <w:r>
        <w:rPr>
          <w:b w:val="0"/>
          <w:i/>
        </w:rPr>
        <w:t>Status: forward planning month; revalidate all non-fixed dates</w:t>
      </w:r>
    </w:p>
    <w:p>
      <w:pPr>
        <w:pStyle w:val="Heading2"/>
        <w:keepNext/>
        <w:spacing w:before="160" w:after="60"/>
      </w:pPr>
      <w:bookmarkStart w:id="709" w:name="_Toc9500709"/>
      <w:r>
        <w:t>Known and Expected Decision Markers</w:t>
      </w:r>
      <w:bookmarkEnd w:id="709"/>
    </w:p>
    <w:p>
      <w:pPr>
        <w:pStyle w:val="ListBullet"/>
      </w:pPr>
      <w:r>
        <w:t>Oct 27 Bank of Canada + MPR (FIXED)</w:t>
      </w:r>
    </w:p>
    <w:p>
      <w:pPr>
        <w:pStyle w:val="ListBullet"/>
      </w:pPr>
      <w:r>
        <w:t>Harvest / storage / freight pressure (SEASONAL)</w:t>
      </w:r>
    </w:p>
    <w:p>
      <w:pPr>
        <w:pStyle w:val="ListBullet"/>
      </w:pPr>
      <w:r>
        <w:t>Fall fiscal and appropriations window</w:t>
      </w:r>
    </w:p>
    <w:p>
      <w:pPr>
        <w:pStyle w:val="ListBullet"/>
      </w:pPr>
      <w:r>
        <w:t>Review whether conflict has shifted from persuade to preserve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Harvest/storage/cash-flow</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Refinery maintenance / winter build</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710" w:name="_Toc9500710"/>
      <w:r>
        <w:t>Recommended Posture</w:t>
      </w:r>
      <w:bookmarkEnd w:id="710"/>
    </w:p>
    <w:p>
      <w:r>
        <w:rPr>
          <w:b w:val="0"/>
          <w:i w:val="0"/>
        </w:rPr>
        <w:t>High-information posture. Harvest, fiscal, parliamentary, and legislative activity can create both data richness and agenda congestion. Use fresh data, avoid stacking shocks, and look for well-prepared settlement or sectoral-cure opportunities.</w:t>
      </w:r>
    </w:p>
    <w:p>
      <w:pPr>
        <w:pStyle w:val="Heading2"/>
        <w:keepNext/>
        <w:spacing w:before="160" w:after="60"/>
      </w:pPr>
      <w:bookmarkStart w:id="711" w:name="_Toc9500711"/>
      <w:r>
        <w:t>Do / Avoid</w:t>
      </w:r>
      <w:bookmarkEnd w:id="711"/>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712" w:name="_Toc9500712"/>
      <w:r>
        <w:t>October 2027 — Decision Windows and Trigger Sheet</w:t>
      </w:r>
      <w:bookmarkEnd w:id="712"/>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713" w:name="_Toc9500713"/>
      <w:r>
        <w:t>Monthly Trigger Questions</w:t>
      </w:r>
      <w:bookmarkEnd w:id="713"/>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14" w:name="_Toc9500714"/>
      <w:r>
        <w:t>Month-End Required Output</w:t>
      </w:r>
      <w:bookmarkEnd w:id="714"/>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15" w:name="_Toc9500715"/>
      <w:r>
        <w:t>Month 15: November 2027 — Operational Picture</w:t>
      </w:r>
      <w:bookmarkEnd w:id="715"/>
    </w:p>
    <w:p>
      <w:r>
        <w:rPr>
          <w:b w:val="0"/>
          <w:i/>
        </w:rPr>
        <w:t>Status: forward planning month; revalidate all non-fixed dates</w:t>
      </w:r>
    </w:p>
    <w:p>
      <w:pPr>
        <w:pStyle w:val="Heading2"/>
        <w:keepNext/>
        <w:spacing w:before="160" w:after="60"/>
      </w:pPr>
      <w:bookmarkStart w:id="716" w:name="_Toc9500716"/>
      <w:r>
        <w:t>Known and Expected Decision Markers</w:t>
      </w:r>
      <w:bookmarkEnd w:id="716"/>
    </w:p>
    <w:p>
      <w:pPr>
        <w:pStyle w:val="ListBullet"/>
      </w:pPr>
      <w:r>
        <w:t>Post-harvest agricultural contracting window</w:t>
      </w:r>
    </w:p>
    <w:p>
      <w:pPr>
        <w:pStyle w:val="ListBullet"/>
      </w:pPr>
      <w:r>
        <w:t>U.S. Thanksgiving / holiday attention constraints</w:t>
      </w:r>
    </w:p>
    <w:p>
      <w:pPr>
        <w:pStyle w:val="ListBullet"/>
      </w:pPr>
      <w:r>
        <w:t>Canadian fall fiscal window</w:t>
      </w:r>
    </w:p>
    <w:p>
      <w:pPr>
        <w:pStyle w:val="ListBullet"/>
      </w:pPr>
      <w:r>
        <w:t>Prepare winter reliability posture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Harvest/storage/cash-flow</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Refinery maintenance / winter build</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717" w:name="_Toc9500717"/>
      <w:r>
        <w:t>Recommended Posture</w:t>
      </w:r>
      <w:bookmarkEnd w:id="717"/>
    </w:p>
    <w:p>
      <w:r>
        <w:rPr>
          <w:b w:val="0"/>
          <w:i w:val="0"/>
        </w:rPr>
        <w:t>High-information posture. Harvest, fiscal, parliamentary, and legislative activity can create both data richness and agenda congestion. Use fresh data, avoid stacking shocks, and look for well-prepared settlement or sectoral-cure opportunities.</w:t>
      </w:r>
    </w:p>
    <w:p>
      <w:pPr>
        <w:pStyle w:val="Heading2"/>
        <w:keepNext/>
        <w:spacing w:before="160" w:after="60"/>
      </w:pPr>
      <w:bookmarkStart w:id="718" w:name="_Toc9500718"/>
      <w:r>
        <w:t>Do / Avoid</w:t>
      </w:r>
      <w:bookmarkEnd w:id="718"/>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719" w:name="_Toc9500719"/>
      <w:r>
        <w:t>November 2027 — Decision Windows and Trigger Sheet</w:t>
      </w:r>
      <w:bookmarkEnd w:id="719"/>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720" w:name="_Toc9500720"/>
      <w:r>
        <w:t>Monthly Trigger Questions</w:t>
      </w:r>
      <w:bookmarkEnd w:id="720"/>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21" w:name="_Toc9500721"/>
      <w:r>
        <w:t>Month-End Required Output</w:t>
      </w:r>
      <w:bookmarkEnd w:id="721"/>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22" w:name="_Toc9500722"/>
      <w:r>
        <w:t>Month 16: December 2027 — Operational Picture</w:t>
      </w:r>
      <w:bookmarkEnd w:id="722"/>
    </w:p>
    <w:p>
      <w:r>
        <w:rPr>
          <w:b w:val="0"/>
          <w:i/>
        </w:rPr>
        <w:t>Status: forward planning month; revalidate all non-fixed dates</w:t>
      </w:r>
    </w:p>
    <w:p>
      <w:pPr>
        <w:pStyle w:val="Heading2"/>
        <w:keepNext/>
        <w:spacing w:before="160" w:after="60"/>
      </w:pPr>
      <w:bookmarkStart w:id="723" w:name="_Toc9500723"/>
      <w:r>
        <w:t>Known and Expected Decision Markers</w:t>
      </w:r>
      <w:bookmarkEnd w:id="723"/>
    </w:p>
    <w:p>
      <w:pPr>
        <w:pStyle w:val="ListBullet"/>
      </w:pPr>
      <w:r>
        <w:t>Dec 8 Bank of Canada (FIXED)</w:t>
      </w:r>
    </w:p>
    <w:p>
      <w:pPr>
        <w:pStyle w:val="ListBullet"/>
      </w:pPr>
      <w:r>
        <w:t>Year-end legislative/fiscal compression</w:t>
      </w:r>
    </w:p>
    <w:p>
      <w:pPr>
        <w:pStyle w:val="ListBullet"/>
      </w:pPr>
      <w:r>
        <w:t>Winter energy restraint window</w:t>
      </w:r>
    </w:p>
    <w:p>
      <w:pPr>
        <w:pStyle w:val="ListBullet"/>
      </w:pPr>
      <w:r>
        <w:t>Annual strategic reset and off-ramp refresh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Contracting/input planning</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Heating reliability</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724" w:name="_Toc9500724"/>
      <w:r>
        <w:t>Recommended Posture</w:t>
      </w:r>
      <w:bookmarkEnd w:id="724"/>
    </w:p>
    <w:p>
      <w:r>
        <w:rPr>
          <w:b w:val="0"/>
          <w:i w:val="0"/>
        </w:rPr>
        <w:t>Reliability and settlement posture. Winter weather raises the cost of mistakes in energy, transportation, food, and household affordability. Prefer predictable measures, exemptions for essentials, and negotiation/off-ramp activity over surprise supply shocks.</w:t>
      </w:r>
    </w:p>
    <w:p>
      <w:pPr>
        <w:pStyle w:val="Heading2"/>
        <w:keepNext/>
        <w:spacing w:before="160" w:after="60"/>
      </w:pPr>
      <w:bookmarkStart w:id="725" w:name="_Toc9500725"/>
      <w:r>
        <w:t>Do / Avoid</w:t>
      </w:r>
      <w:bookmarkEnd w:id="725"/>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726" w:name="_Toc9500726"/>
      <w:r>
        <w:t>December 2027 — Decision Windows and Trigger Sheet</w:t>
      </w:r>
      <w:bookmarkEnd w:id="726"/>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727" w:name="_Toc9500727"/>
      <w:r>
        <w:t>Monthly Trigger Questions</w:t>
      </w:r>
      <w:bookmarkEnd w:id="727"/>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28" w:name="_Toc9500728"/>
      <w:r>
        <w:t>Month-End Required Output</w:t>
      </w:r>
      <w:bookmarkEnd w:id="728"/>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29" w:name="_Toc9500729"/>
      <w:r>
        <w:t>Month 17: January 2028 — Operational Picture</w:t>
      </w:r>
      <w:bookmarkEnd w:id="729"/>
    </w:p>
    <w:p>
      <w:r>
        <w:rPr>
          <w:b w:val="0"/>
          <w:i/>
        </w:rPr>
        <w:t>Status: forward planning month; revalidate all non-fixed dates</w:t>
      </w:r>
    </w:p>
    <w:p>
      <w:pPr>
        <w:pStyle w:val="Heading2"/>
        <w:keepNext/>
        <w:spacing w:before="160" w:after="60"/>
      </w:pPr>
      <w:bookmarkStart w:id="730" w:name="_Toc9500730"/>
      <w:r>
        <w:t>Known and Expected Decision Markers</w:t>
      </w:r>
      <w:bookmarkEnd w:id="730"/>
    </w:p>
    <w:p>
      <w:pPr>
        <w:pStyle w:val="ListBullet"/>
      </w:pPr>
      <w:r>
        <w:t>New-year implementation reset</w:t>
      </w:r>
    </w:p>
    <w:p>
      <w:pPr>
        <w:pStyle w:val="ListBullet"/>
      </w:pPr>
      <w:r>
        <w:t>Winter energy and transport reliability</w:t>
      </w:r>
    </w:p>
    <w:p>
      <w:pPr>
        <w:pStyle w:val="ListBullet"/>
      </w:pPr>
      <w:r>
        <w:t>Pre-planting agricultural planning</w:t>
      </w:r>
    </w:p>
    <w:p>
      <w:pPr>
        <w:pStyle w:val="ListBullet"/>
      </w:pPr>
      <w:r>
        <w:t>Two-year CUSMA post-review checkpoint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Contracting/input planning</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Heating reliability</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731" w:name="_Toc9500731"/>
      <w:r>
        <w:t>Recommended Posture</w:t>
      </w:r>
      <w:bookmarkEnd w:id="731"/>
    </w:p>
    <w:p>
      <w:r>
        <w:rPr>
          <w:b w:val="0"/>
          <w:i w:val="0"/>
        </w:rPr>
        <w:t>Reliability and settlement posture. Winter weather raises the cost of mistakes in energy, transportation, food, and household affordability. Prefer predictable measures, exemptions for essentials, and negotiation/off-ramp activity over surprise supply shocks.</w:t>
      </w:r>
    </w:p>
    <w:p>
      <w:pPr>
        <w:pStyle w:val="Heading2"/>
        <w:keepNext/>
        <w:spacing w:before="160" w:after="60"/>
      </w:pPr>
      <w:bookmarkStart w:id="732" w:name="_Toc9500732"/>
      <w:r>
        <w:t>Do / Avoid</w:t>
      </w:r>
      <w:bookmarkEnd w:id="732"/>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733" w:name="_Toc9500733"/>
      <w:r>
        <w:t>January 2028 — Decision Windows and Trigger Sheet</w:t>
      </w:r>
      <w:bookmarkEnd w:id="733"/>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734" w:name="_Toc9500734"/>
      <w:r>
        <w:t>Monthly Trigger Questions</w:t>
      </w:r>
      <w:bookmarkEnd w:id="734"/>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35" w:name="_Toc9500735"/>
      <w:r>
        <w:t>Month-End Required Output</w:t>
      </w:r>
      <w:bookmarkEnd w:id="735"/>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36" w:name="_Toc9500736"/>
      <w:r>
        <w:t>Month 18: February 2028 — Operational Picture</w:t>
      </w:r>
      <w:bookmarkEnd w:id="736"/>
    </w:p>
    <w:p>
      <w:r>
        <w:rPr>
          <w:b w:val="0"/>
          <w:i/>
        </w:rPr>
        <w:t>Status: forward planning month; revalidate all non-fixed dates</w:t>
      </w:r>
    </w:p>
    <w:p>
      <w:pPr>
        <w:pStyle w:val="Heading2"/>
        <w:keepNext/>
        <w:spacing w:before="160" w:after="60"/>
      </w:pPr>
      <w:bookmarkStart w:id="737" w:name="_Toc9500737"/>
      <w:r>
        <w:t>Known and Expected Decision Markers</w:t>
      </w:r>
      <w:bookmarkEnd w:id="737"/>
    </w:p>
    <w:p>
      <w:pPr>
        <w:pStyle w:val="ListBullet"/>
      </w:pPr>
      <w:r>
        <w:t>Early-year legislative window</w:t>
      </w:r>
    </w:p>
    <w:p>
      <w:pPr>
        <w:pStyle w:val="ListBullet"/>
      </w:pPr>
      <w:r>
        <w:t>Pre-spring agriculture and fertilizer contracting</w:t>
      </w:r>
    </w:p>
    <w:p>
      <w:pPr>
        <w:pStyle w:val="ListBullet"/>
      </w:pPr>
      <w:r>
        <w:t>Canadian estimates / fiscal preparation</w:t>
      </w:r>
    </w:p>
    <w:p>
      <w:pPr>
        <w:pStyle w:val="ListBullet"/>
      </w:pPr>
      <w:r>
        <w:t>18-month campaign review and next-horizon decision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Domain</w:t>
            </w:r>
          </w:p>
        </w:tc>
        <w:tc>
          <w:tcPr>
            <w:tcW w:type="dxa" w:w="3389"/>
            <w:shd w:fill="DCE6F1"/>
          </w:tcPr>
          <w:p>
            <w:r>
              <w:rPr>
                <w:b/>
                <w:sz w:val="15"/>
              </w:rPr>
              <w:t>Assessment</w:t>
            </w:r>
          </w:p>
        </w:tc>
        <w:tc>
          <w:tcPr>
            <w:tcW w:type="dxa" w:w="3389"/>
            <w:shd w:fill="DCE6F1"/>
          </w:tcPr>
          <w:p>
            <w:r>
              <w:rPr>
                <w:b/>
                <w:sz w:val="15"/>
              </w:rPr>
              <w:t>Timing implication</w:t>
            </w:r>
          </w:p>
        </w:tc>
      </w:tr>
      <w:tr>
        <w:tc>
          <w:tcPr>
            <w:tcW w:type="dxa" w:w="3389"/>
            <w:vAlign w:val="top"/>
          </w:tcPr>
          <w:p>
            <w:pPr>
              <w:spacing w:after="0"/>
            </w:pPr>
            <w:r>
              <w:rPr>
                <w:sz w:val="15"/>
              </w:rPr>
              <w:t>Congress / politics</w:t>
            </w:r>
          </w:p>
        </w:tc>
        <w:tc>
          <w:tcPr>
            <w:tcW w:type="dxa" w:w="3389"/>
            <w:vAlign w:val="top"/>
          </w:tcPr>
          <w:p>
            <w:pPr>
              <w:spacing w:after="0"/>
            </w:pPr>
            <w:r>
              <w:rPr>
                <w:sz w:val="15"/>
              </w:rPr>
              <w:t>Institutional calendar must be refreshed</w:t>
            </w:r>
          </w:p>
        </w:tc>
        <w:tc>
          <w:tcPr>
            <w:tcW w:type="dxa" w:w="3389"/>
            <w:vAlign w:val="top"/>
          </w:tcPr>
          <w:p>
            <w:pPr>
              <w:spacing w:after="0"/>
            </w:pPr>
            <w:r>
              <w:rPr>
                <w:sz w:val="15"/>
              </w:rPr>
              <w:t>Use sitting periods for formal institutional engagement; recess/district periods for local factual engagement.</w:t>
            </w:r>
          </w:p>
        </w:tc>
      </w:tr>
      <w:tr>
        <w:tc>
          <w:tcPr>
            <w:tcW w:type="dxa" w:w="3389"/>
            <w:vAlign w:val="top"/>
          </w:tcPr>
          <w:p>
            <w:pPr>
              <w:spacing w:after="0"/>
            </w:pPr>
            <w:r>
              <w:rPr>
                <w:sz w:val="15"/>
              </w:rPr>
              <w:t>Agriculture</w:t>
            </w:r>
          </w:p>
        </w:tc>
        <w:tc>
          <w:tcPr>
            <w:tcW w:type="dxa" w:w="3389"/>
            <w:vAlign w:val="top"/>
          </w:tcPr>
          <w:p>
            <w:pPr>
              <w:spacing w:after="0"/>
            </w:pPr>
            <w:r>
              <w:rPr>
                <w:sz w:val="15"/>
              </w:rPr>
              <w:t>Contracting/input planning</w:t>
            </w:r>
          </w:p>
        </w:tc>
        <w:tc>
          <w:tcPr>
            <w:tcW w:type="dxa" w:w="3389"/>
            <w:vAlign w:val="top"/>
          </w:tcPr>
          <w:p>
            <w:pPr>
              <w:spacing w:after="0"/>
            </w:pPr>
            <w:r>
              <w:rPr>
                <w:sz w:val="15"/>
              </w:rPr>
              <w:t>Check USDA releases before material farm/input actions; protect food and essential inputs.</w:t>
            </w:r>
          </w:p>
        </w:tc>
      </w:tr>
      <w:tr>
        <w:tc>
          <w:tcPr>
            <w:tcW w:type="dxa" w:w="3389"/>
            <w:vAlign w:val="top"/>
          </w:tcPr>
          <w:p>
            <w:pPr>
              <w:spacing w:after="0"/>
            </w:pPr>
            <w:r>
              <w:rPr>
                <w:sz w:val="15"/>
              </w:rPr>
              <w:t>Energy</w:t>
            </w:r>
          </w:p>
        </w:tc>
        <w:tc>
          <w:tcPr>
            <w:tcW w:type="dxa" w:w="3389"/>
            <w:vAlign w:val="top"/>
          </w:tcPr>
          <w:p>
            <w:pPr>
              <w:spacing w:after="0"/>
            </w:pPr>
            <w:r>
              <w:rPr>
                <w:sz w:val="15"/>
              </w:rPr>
              <w:t>Heating reliability</w:t>
            </w:r>
          </w:p>
        </w:tc>
        <w:tc>
          <w:tcPr>
            <w:tcW w:type="dxa" w:w="3389"/>
            <w:vAlign w:val="top"/>
          </w:tcPr>
          <w:p>
            <w:pPr>
              <w:spacing w:after="0"/>
            </w:pPr>
            <w:r>
              <w:rPr>
                <w:sz w:val="15"/>
              </w:rPr>
              <w:t>Physical supply stress increases restraint requirements.</w:t>
            </w:r>
          </w:p>
        </w:tc>
      </w:tr>
      <w:tr>
        <w:tc>
          <w:tcPr>
            <w:tcW w:type="dxa" w:w="3389"/>
            <w:vAlign w:val="top"/>
          </w:tcPr>
          <w:p>
            <w:pPr>
              <w:spacing w:after="0"/>
            </w:pPr>
            <w:r>
              <w:rPr>
                <w:sz w:val="15"/>
              </w:rPr>
              <w:t>Auto / manufacturing</w:t>
            </w:r>
          </w:p>
        </w:tc>
        <w:tc>
          <w:tcPr>
            <w:tcW w:type="dxa" w:w="3389"/>
            <w:vAlign w:val="top"/>
          </w:tcPr>
          <w:p>
            <w:pPr>
              <w:spacing w:after="0"/>
            </w:pPr>
            <w:r>
              <w:rPr>
                <w:sz w:val="15"/>
              </w:rPr>
              <w:t>Retooling sensitivity higher in summer; model-year and contract cycles vary by firm</w:t>
            </w:r>
          </w:p>
        </w:tc>
        <w:tc>
          <w:tcPr>
            <w:tcW w:type="dxa" w:w="3389"/>
            <w:vAlign w:val="top"/>
          </w:tcPr>
          <w:p>
            <w:pPr>
              <w:spacing w:after="0"/>
            </w:pPr>
            <w:r>
              <w:rPr>
                <w:sz w:val="15"/>
              </w:rPr>
              <w:t>Require plant-specific validation; do not infer universal shutdown dates.</w:t>
            </w:r>
          </w:p>
        </w:tc>
      </w:tr>
      <w:tr>
        <w:tc>
          <w:tcPr>
            <w:tcW w:type="dxa" w:w="3389"/>
            <w:vAlign w:val="top"/>
          </w:tcPr>
          <w:p>
            <w:pPr>
              <w:spacing w:after="0"/>
            </w:pPr>
            <w:r>
              <w:rPr>
                <w:sz w:val="15"/>
              </w:rPr>
              <w:t>Canadian fiscal / Parliament</w:t>
            </w:r>
          </w:p>
        </w:tc>
        <w:tc>
          <w:tcPr>
            <w:tcW w:type="dxa" w:w="3389"/>
            <w:vAlign w:val="top"/>
          </w:tcPr>
          <w:p>
            <w:pPr>
              <w:spacing w:after="0"/>
            </w:pPr>
            <w:r>
              <w:rPr>
                <w:sz w:val="15"/>
              </w:rPr>
              <w:t>Budget, estimates, sitting and appropriations capacity varies by month</w:t>
            </w:r>
          </w:p>
        </w:tc>
        <w:tc>
          <w:tcPr>
            <w:tcW w:type="dxa" w:w="3389"/>
            <w:vAlign w:val="top"/>
          </w:tcPr>
          <w:p>
            <w:pPr>
              <w:spacing w:after="0"/>
            </w:pPr>
            <w:r>
              <w:rPr>
                <w:sz w:val="15"/>
              </w:rPr>
              <w:t>Confirm legislative authority and funding before announcement.</w:t>
            </w:r>
          </w:p>
        </w:tc>
      </w:tr>
    </w:tbl>
    <w:p>
      <w:pPr>
        <w:spacing w:after="20"/>
      </w:pPr>
    </w:p>
    <w:p>
      <w:pPr>
        <w:pStyle w:val="Heading2"/>
        <w:keepNext/>
        <w:spacing w:before="160" w:after="60"/>
      </w:pPr>
      <w:bookmarkStart w:id="738" w:name="_Toc9500738"/>
      <w:r>
        <w:t>Recommended Posture</w:t>
      </w:r>
      <w:bookmarkEnd w:id="738"/>
    </w:p>
    <w:p>
      <w:r>
        <w:rPr>
          <w:b w:val="0"/>
          <w:i w:val="0"/>
        </w:rPr>
        <w:t>Reliability and settlement posture. Winter weather raises the cost of mistakes in energy, transportation, food, and household affordability. Prefer predictable measures, exemptions for essentials, and negotiation/off-ramp activity over surprise supply shocks.</w:t>
      </w:r>
    </w:p>
    <w:p>
      <w:pPr>
        <w:pStyle w:val="Heading2"/>
        <w:keepNext/>
        <w:spacing w:before="160" w:after="60"/>
      </w:pPr>
      <w:bookmarkStart w:id="739" w:name="_Toc9500739"/>
      <w:r>
        <w:t>Do / Avoid</w:t>
      </w:r>
      <w:bookmarkEnd w:id="739"/>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DO</w:t>
            </w:r>
          </w:p>
        </w:tc>
        <w:tc>
          <w:tcPr>
            <w:tcW w:type="dxa" w:w="5083"/>
            <w:shd w:fill="DCE6F1"/>
          </w:tcPr>
          <w:p>
            <w:r>
              <w:rPr>
                <w:b/>
                <w:sz w:val="16"/>
              </w:rPr>
              <w:t>AVOID</w:t>
            </w:r>
          </w:p>
        </w:tc>
      </w:tr>
      <w:tr>
        <w:tc>
          <w:tcPr>
            <w:tcW w:type="dxa" w:w="5083"/>
            <w:vAlign w:val="top"/>
          </w:tcPr>
          <w:p>
            <w:pPr>
              <w:spacing w:after="0"/>
            </w:pPr>
            <w:r>
              <w:rPr>
                <w:sz w:val="16"/>
              </w:rPr>
              <w:t>Refresh current institutional schedules before acting.</w:t>
            </w:r>
          </w:p>
        </w:tc>
        <w:tc>
          <w:tcPr>
            <w:tcW w:type="dxa" w:w="5083"/>
            <w:vAlign w:val="top"/>
          </w:tcPr>
          <w:p>
            <w:pPr>
              <w:spacing w:after="0"/>
            </w:pPr>
            <w:r>
              <w:rPr>
                <w:sz w:val="16"/>
              </w:rPr>
              <w:t>Treating a seasonal pattern as a fixed fact.</w:t>
            </w:r>
          </w:p>
        </w:tc>
      </w:tr>
      <w:tr>
        <w:tc>
          <w:tcPr>
            <w:tcW w:type="dxa" w:w="5083"/>
            <w:vAlign w:val="top"/>
          </w:tcPr>
          <w:p>
            <w:pPr>
              <w:spacing w:after="0"/>
            </w:pPr>
            <w:r>
              <w:rPr>
                <w:sz w:val="16"/>
              </w:rPr>
              <w:t>Pair every pressure action with a public or private exit path.</w:t>
            </w:r>
          </w:p>
        </w:tc>
        <w:tc>
          <w:tcPr>
            <w:tcW w:type="dxa" w:w="5083"/>
            <w:vAlign w:val="top"/>
          </w:tcPr>
          <w:p>
            <w:pPr>
              <w:spacing w:after="0"/>
            </w:pPr>
            <w:r>
              <w:rPr>
                <w:sz w:val="16"/>
              </w:rPr>
              <w:t>Timing measures to exploit severe weather or civilian scarcity.</w:t>
            </w:r>
          </w:p>
        </w:tc>
      </w:tr>
      <w:tr>
        <w:tc>
          <w:tcPr>
            <w:tcW w:type="dxa" w:w="5083"/>
            <w:vAlign w:val="top"/>
          </w:tcPr>
          <w:p>
            <w:pPr>
              <w:spacing w:after="0"/>
            </w:pPr>
            <w:r>
              <w:rPr>
                <w:sz w:val="16"/>
              </w:rPr>
              <w:t>Use newly released data to update Canadian-harm estimates.</w:t>
            </w:r>
          </w:p>
        </w:tc>
        <w:tc>
          <w:tcPr>
            <w:tcW w:type="dxa" w:w="5083"/>
            <w:vAlign w:val="top"/>
          </w:tcPr>
          <w:p>
            <w:pPr>
              <w:spacing w:after="0"/>
            </w:pPr>
            <w:r>
              <w:rPr>
                <w:sz w:val="16"/>
              </w:rPr>
              <w:t>Assuming attention equals willingness to negotiate.</w:t>
            </w:r>
          </w:p>
        </w:tc>
      </w:tr>
      <w:tr>
        <w:tc>
          <w:tcPr>
            <w:tcW w:type="dxa" w:w="5083"/>
            <w:vAlign w:val="top"/>
          </w:tcPr>
          <w:p>
            <w:pPr>
              <w:spacing w:after="0"/>
            </w:pPr>
            <w:r>
              <w:rPr>
                <w:sz w:val="16"/>
              </w:rPr>
              <w:t>Coordinate federal, provincial, diplomatic and customs lead times.</w:t>
            </w:r>
          </w:p>
        </w:tc>
        <w:tc>
          <w:tcPr>
            <w:tcW w:type="dxa" w:w="5083"/>
            <w:vAlign w:val="top"/>
          </w:tcPr>
          <w:p>
            <w:pPr>
              <w:spacing w:after="0"/>
            </w:pPr>
            <w:r>
              <w:rPr>
                <w:sz w:val="16"/>
              </w:rPr>
              <w:t>Surprise announcements that implementing agencies cannot execute.</w:t>
            </w:r>
          </w:p>
        </w:tc>
      </w:tr>
    </w:tbl>
    <w:p>
      <w:pPr>
        <w:spacing w:after="20"/>
      </w:pPr>
    </w:p>
    <w:p>
      <w:r>
        <w:br w:type="page"/>
      </w:r>
    </w:p>
    <w:p>
      <w:pPr>
        <w:pStyle w:val="Heading1"/>
        <w:keepNext/>
        <w:spacing w:before="160" w:after="60"/>
      </w:pPr>
      <w:bookmarkStart w:id="740" w:name="_Toc9500740"/>
      <w:r>
        <w:t>February 2028 — Decision Windows and Trigger Sheet</w:t>
      </w:r>
      <w:bookmarkEnd w:id="740"/>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4"/>
              </w:rPr>
              <w:t>Window</w:t>
            </w:r>
          </w:p>
        </w:tc>
        <w:tc>
          <w:tcPr>
            <w:tcW w:type="dxa" w:w="3389"/>
            <w:shd w:fill="DCE6F1"/>
          </w:tcPr>
          <w:p>
            <w:r>
              <w:rPr>
                <w:b/>
                <w:sz w:val="14"/>
              </w:rPr>
              <w:t>Default condition</w:t>
            </w:r>
          </w:p>
        </w:tc>
        <w:tc>
          <w:tcPr>
            <w:tcW w:type="dxa" w:w="3389"/>
            <w:shd w:fill="DCE6F1"/>
          </w:tcPr>
          <w:p>
            <w:r>
              <w:rPr>
                <w:b/>
                <w:sz w:val="14"/>
              </w:rPr>
              <w:t>Action</w:t>
            </w:r>
          </w:p>
        </w:tc>
      </w:tr>
      <w:tr>
        <w:tc>
          <w:tcPr>
            <w:tcW w:type="dxa" w:w="3389"/>
            <w:vAlign w:val="top"/>
          </w:tcPr>
          <w:p>
            <w:pPr>
              <w:spacing w:after="0"/>
            </w:pPr>
            <w:r>
              <w:rPr>
                <w:sz w:val="14"/>
              </w:rPr>
              <w:t>Offer / settlement window</w:t>
            </w:r>
          </w:p>
        </w:tc>
        <w:tc>
          <w:tcPr>
            <w:tcW w:type="dxa" w:w="3389"/>
            <w:vAlign w:val="top"/>
          </w:tcPr>
          <w:p>
            <w:pPr>
              <w:spacing w:after="0"/>
            </w:pPr>
            <w:r>
              <w:rPr>
                <w:sz w:val="14"/>
              </w:rPr>
              <w:t>GREEN if counterpart signals movement and Canadian minimum conditions can be met</w:t>
            </w:r>
          </w:p>
        </w:tc>
        <w:tc>
          <w:tcPr>
            <w:tcW w:type="dxa" w:w="3389"/>
            <w:vAlign w:val="top"/>
          </w:tcPr>
          <w:p>
            <w:pPr>
              <w:spacing w:after="0"/>
            </w:pPr>
            <w:r>
              <w:rPr>
                <w:sz w:val="14"/>
              </w:rPr>
              <w:t>Prepare term sheet, verification, phased suspension, communications</w:t>
            </w:r>
          </w:p>
        </w:tc>
      </w:tr>
      <w:tr>
        <w:tc>
          <w:tcPr>
            <w:tcW w:type="dxa" w:w="3389"/>
            <w:vAlign w:val="top"/>
          </w:tcPr>
          <w:p>
            <w:pPr>
              <w:spacing w:after="0"/>
            </w:pPr>
            <w:r>
              <w:rPr>
                <w:sz w:val="14"/>
              </w:rPr>
              <w:t>Countermeasure window</w:t>
            </w:r>
          </w:p>
        </w:tc>
        <w:tc>
          <w:tcPr>
            <w:tcW w:type="dxa" w:w="3389"/>
            <w:vAlign w:val="top"/>
          </w:tcPr>
          <w:p>
            <w:pPr>
              <w:spacing w:after="0"/>
            </w:pPr>
            <w:r>
              <w:rPr>
                <w:sz w:val="14"/>
              </w:rPr>
              <w:t>AMBER by default; GREEN only after legal/economic/implementation gates</w:t>
            </w:r>
          </w:p>
        </w:tc>
        <w:tc>
          <w:tcPr>
            <w:tcW w:type="dxa" w:w="3389"/>
            <w:vAlign w:val="top"/>
          </w:tcPr>
          <w:p>
            <w:pPr>
              <w:spacing w:after="0"/>
            </w:pPr>
            <w:r>
              <w:rPr>
                <w:sz w:val="14"/>
              </w:rPr>
              <w:t>Use calibrated, reversible measures with essential-goods screen</w:t>
            </w:r>
          </w:p>
        </w:tc>
      </w:tr>
      <w:tr>
        <w:tc>
          <w:tcPr>
            <w:tcW w:type="dxa" w:w="3389"/>
            <w:vAlign w:val="top"/>
          </w:tcPr>
          <w:p>
            <w:pPr>
              <w:spacing w:after="0"/>
            </w:pPr>
            <w:r>
              <w:rPr>
                <w:sz w:val="14"/>
              </w:rPr>
              <w:t>De-escalation window</w:t>
            </w:r>
          </w:p>
        </w:tc>
        <w:tc>
          <w:tcPr>
            <w:tcW w:type="dxa" w:w="3389"/>
            <w:vAlign w:val="top"/>
          </w:tcPr>
          <w:p>
            <w:pPr>
              <w:spacing w:after="0"/>
            </w:pPr>
            <w:r>
              <w:rPr>
                <w:sz w:val="14"/>
              </w:rPr>
              <w:t>GREEN whenever verified reciprocal movement occurs</w:t>
            </w:r>
          </w:p>
        </w:tc>
        <w:tc>
          <w:tcPr>
            <w:tcW w:type="dxa" w:w="3389"/>
            <w:vAlign w:val="top"/>
          </w:tcPr>
          <w:p>
            <w:pPr>
              <w:spacing w:after="0"/>
            </w:pPr>
            <w:r>
              <w:rPr>
                <w:sz w:val="14"/>
              </w:rPr>
              <w:t>Suspend/reduce promptly under pre-cleared authority</w:t>
            </w:r>
          </w:p>
        </w:tc>
      </w:tr>
      <w:tr>
        <w:tc>
          <w:tcPr>
            <w:tcW w:type="dxa" w:w="3389"/>
            <w:vAlign w:val="top"/>
          </w:tcPr>
          <w:p>
            <w:pPr>
              <w:spacing w:after="0"/>
            </w:pPr>
            <w:r>
              <w:rPr>
                <w:sz w:val="14"/>
              </w:rPr>
              <w:t>Public announcement window</w:t>
            </w:r>
          </w:p>
        </w:tc>
        <w:tc>
          <w:tcPr>
            <w:tcW w:type="dxa" w:w="3389"/>
            <w:vAlign w:val="top"/>
          </w:tcPr>
          <w:p>
            <w:pPr>
              <w:spacing w:after="0"/>
            </w:pPr>
            <w:r>
              <w:rPr>
                <w:sz w:val="14"/>
              </w:rPr>
              <w:t>GREEN when facts are mature and institutions can respond</w:t>
            </w:r>
          </w:p>
        </w:tc>
        <w:tc>
          <w:tcPr>
            <w:tcW w:type="dxa" w:w="3389"/>
            <w:vAlign w:val="top"/>
          </w:tcPr>
          <w:p>
            <w:pPr>
              <w:spacing w:after="0"/>
            </w:pPr>
            <w:r>
              <w:rPr>
                <w:sz w:val="14"/>
              </w:rPr>
              <w:t>Avoid election-sensitive framing and crowded emergency news</w:t>
            </w:r>
          </w:p>
        </w:tc>
      </w:tr>
      <w:tr>
        <w:tc>
          <w:tcPr>
            <w:tcW w:type="dxa" w:w="3389"/>
            <w:vAlign w:val="top"/>
          </w:tcPr>
          <w:p>
            <w:pPr>
              <w:spacing w:after="0"/>
            </w:pPr>
            <w:r>
              <w:rPr>
                <w:sz w:val="14"/>
              </w:rPr>
              <w:t>Congressional engagement</w:t>
            </w:r>
          </w:p>
        </w:tc>
        <w:tc>
          <w:tcPr>
            <w:tcW w:type="dxa" w:w="3389"/>
            <w:vAlign w:val="top"/>
          </w:tcPr>
          <w:p>
            <w:pPr>
              <w:spacing w:after="0"/>
            </w:pPr>
            <w:r>
              <w:rPr>
                <w:sz w:val="14"/>
              </w:rPr>
              <w:t>Depends on session / district-work calendar</w:t>
            </w:r>
          </w:p>
        </w:tc>
        <w:tc>
          <w:tcPr>
            <w:tcW w:type="dxa" w:w="3389"/>
            <w:vAlign w:val="top"/>
          </w:tcPr>
          <w:p>
            <w:pPr>
              <w:spacing w:after="0"/>
            </w:pPr>
            <w:r>
              <w:rPr>
                <w:sz w:val="14"/>
              </w:rPr>
              <w:t>Formal briefings in session; local relationship work during recess</w:t>
            </w:r>
          </w:p>
        </w:tc>
      </w:tr>
      <w:tr>
        <w:tc>
          <w:tcPr>
            <w:tcW w:type="dxa" w:w="3389"/>
            <w:vAlign w:val="top"/>
          </w:tcPr>
          <w:p>
            <w:pPr>
              <w:spacing w:after="0"/>
            </w:pPr>
            <w:r>
              <w:rPr>
                <w:sz w:val="14"/>
              </w:rPr>
              <w:t>Provincial coordination</w:t>
            </w:r>
          </w:p>
        </w:tc>
        <w:tc>
          <w:tcPr>
            <w:tcW w:type="dxa" w:w="3389"/>
            <w:vAlign w:val="top"/>
          </w:tcPr>
          <w:p>
            <w:pPr>
              <w:spacing w:after="0"/>
            </w:pPr>
            <w:r>
              <w:rPr>
                <w:sz w:val="14"/>
              </w:rPr>
              <w:t>Always open; elevate before sector-specific actions</w:t>
            </w:r>
          </w:p>
        </w:tc>
        <w:tc>
          <w:tcPr>
            <w:tcW w:type="dxa" w:w="3389"/>
            <w:vAlign w:val="top"/>
          </w:tcPr>
          <w:p>
            <w:pPr>
              <w:spacing w:after="0"/>
            </w:pPr>
            <w:r>
              <w:rPr>
                <w:sz w:val="14"/>
              </w:rPr>
              <w:t>No-surprise consultation and burden-sharing review</w:t>
            </w:r>
          </w:p>
        </w:tc>
      </w:tr>
      <w:tr>
        <w:tc>
          <w:tcPr>
            <w:tcW w:type="dxa" w:w="3389"/>
            <w:vAlign w:val="top"/>
          </w:tcPr>
          <w:p>
            <w:pPr>
              <w:spacing w:after="0"/>
            </w:pPr>
            <w:r>
              <w:rPr>
                <w:sz w:val="14"/>
              </w:rPr>
              <w:t>Diversification move</w:t>
            </w:r>
          </w:p>
        </w:tc>
        <w:tc>
          <w:tcPr>
            <w:tcW w:type="dxa" w:w="3389"/>
            <w:vAlign w:val="top"/>
          </w:tcPr>
          <w:p>
            <w:pPr>
              <w:spacing w:after="0"/>
            </w:pPr>
            <w:r>
              <w:rPr>
                <w:sz w:val="14"/>
              </w:rPr>
              <w:t>Generally GREEN if economically sound</w:t>
            </w:r>
          </w:p>
        </w:tc>
        <w:tc>
          <w:tcPr>
            <w:tcW w:type="dxa" w:w="3389"/>
            <w:vAlign w:val="top"/>
          </w:tcPr>
          <w:p>
            <w:pPr>
              <w:spacing w:after="0"/>
            </w:pPr>
            <w:r>
              <w:rPr>
                <w:sz w:val="14"/>
              </w:rPr>
              <w:t>Prefer durable market-building over symbolic decoupling</w:t>
            </w:r>
          </w:p>
        </w:tc>
      </w:tr>
      <w:tr>
        <w:tc>
          <w:tcPr>
            <w:tcW w:type="dxa" w:w="3389"/>
            <w:vAlign w:val="top"/>
          </w:tcPr>
          <w:p>
            <w:pPr>
              <w:spacing w:after="0"/>
            </w:pPr>
            <w:r>
              <w:rPr>
                <w:sz w:val="14"/>
              </w:rPr>
              <w:t>Emergency restraint</w:t>
            </w:r>
          </w:p>
        </w:tc>
        <w:tc>
          <w:tcPr>
            <w:tcW w:type="dxa" w:w="3389"/>
            <w:vAlign w:val="top"/>
          </w:tcPr>
          <w:p>
            <w:pPr>
              <w:spacing w:after="0"/>
            </w:pPr>
            <w:r>
              <w:rPr>
                <w:sz w:val="14"/>
              </w:rPr>
              <w:t>RED when severe weather, disaster, acute shortage, or life-safety risk</w:t>
            </w:r>
          </w:p>
        </w:tc>
        <w:tc>
          <w:tcPr>
            <w:tcW w:type="dxa" w:w="3389"/>
            <w:vAlign w:val="top"/>
          </w:tcPr>
          <w:p>
            <w:pPr>
              <w:spacing w:after="0"/>
            </w:pPr>
            <w:r>
              <w:rPr>
                <w:sz w:val="14"/>
              </w:rPr>
              <w:t>Protect essential flows; defer nonessential escalation</w:t>
            </w:r>
          </w:p>
        </w:tc>
      </w:tr>
    </w:tbl>
    <w:p>
      <w:pPr>
        <w:spacing w:after="20"/>
      </w:pPr>
    </w:p>
    <w:p>
      <w:pPr>
        <w:pStyle w:val="Heading2"/>
        <w:keepNext/>
        <w:spacing w:before="160" w:after="60"/>
      </w:pPr>
      <w:bookmarkStart w:id="741" w:name="_Toc9500741"/>
      <w:r>
        <w:t>Monthly Trigger Questions</w:t>
      </w:r>
      <w:bookmarkEnd w:id="741"/>
    </w:p>
    <w:p>
      <w:pPr>
        <w:pStyle w:val="ListBullet"/>
      </w:pPr>
      <w:r>
        <w:t>Has the U.S. changed a tariff, exemption, negotiating demand, legal authority, or implementation date?</w:t>
      </w:r>
    </w:p>
    <w:p>
      <w:pPr>
        <w:pStyle w:val="ListBullet"/>
      </w:pPr>
      <w:r>
        <w:t>Has Congress changed its schedule, leadership posture, or relevant legislative agenda?</w:t>
      </w:r>
    </w:p>
    <w:p>
      <w:pPr>
        <w:pStyle w:val="ListBullet"/>
      </w:pPr>
      <w:r>
        <w:t>Have new USDA, EIA, inflation, employment, trade, Bank of Canada, or Federal Reserve data materially changed the cost-benefit picture?</w:t>
      </w:r>
    </w:p>
    <w:p>
      <w:pPr>
        <w:pStyle w:val="ListBullet"/>
      </w:pPr>
      <w:r>
        <w:t>Are Canadian remission requests, price pass-through, layoffs, insolvencies, or regional burdens exceeding thresholds?</w:t>
      </w:r>
    </w:p>
    <w:p>
      <w:pPr>
        <w:pStyle w:val="ListBullet"/>
      </w:pPr>
      <w:r>
        <w:t>Is a severe-weather, wildfire, hurricane, crop, transport, or energy event creating a temporary restraint condition?</w:t>
      </w:r>
    </w:p>
    <w:p>
      <w:pPr>
        <w:pStyle w:val="ListBullet"/>
      </w:pPr>
      <w:r>
        <w:t>Has a credible de-escalation signal appeared that warrants a prepared offer rather than another escalation?</w:t>
      </w:r>
    </w:p>
    <w:p>
      <w:pPr>
        <w:pStyle w:val="ListBullet"/>
      </w:pPr>
      <w:r>
        <w:t>What action today would still look proportionate and sensible if every internal timing memo became public tomorrow?</w:t>
      </w:r>
    </w:p>
    <w:p>
      <w:pPr>
        <w:pStyle w:val="Heading2"/>
        <w:keepNext/>
        <w:spacing w:before="160" w:after="60"/>
      </w:pPr>
      <w:bookmarkStart w:id="742" w:name="_Toc9500742"/>
      <w:r>
        <w:t>Month-End Required Output</w:t>
      </w:r>
      <w:bookmarkEnd w:id="742"/>
    </w:p>
    <w:p>
      <w:r>
        <w:rPr>
          <w:b w:val="0"/>
          <w:i w:val="0"/>
        </w:rPr>
        <w:t>Produce a one-page command update: changes since last month; next 60-day fixed dates; Canadian pain indicators; U.S. policy signals; provincial cohesion; sector stress; legal changes; recommended posture; next offer window; next escalation review; and current termination/off-ramp assessment.</w:t>
      </w:r>
    </w:p>
    <w:p>
      <w:r>
        <w:br w:type="page"/>
      </w:r>
    </w:p>
    <w:p>
      <w:pPr>
        <w:pStyle w:val="Heading1"/>
        <w:keepNext/>
        <w:spacing w:before="160" w:after="60"/>
      </w:pPr>
      <w:bookmarkStart w:id="743" w:name="_Toc9500743"/>
      <w:r>
        <w:t>Recurring Decision Calendar: U.S. Political and Legislative Cycle</w:t>
      </w:r>
      <w:bookmarkEnd w:id="743"/>
    </w:p>
    <w:p>
      <w:r>
        <w:rPr>
          <w:b w:val="0"/>
          <w:i w:val="0"/>
        </w:rPr>
        <w:t>Congressional calendars are operational constraints, not attack maps. The key distinction is whether legislators are in Washington, in their states/districts, campaigning, or in year-end legislative compression.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Cycle</w:t>
            </w:r>
          </w:p>
        </w:tc>
        <w:tc>
          <w:tcPr>
            <w:tcW w:type="dxa" w:w="3389"/>
            <w:shd w:fill="DCE6F1"/>
          </w:tcPr>
          <w:p>
            <w:r>
              <w:rPr>
                <w:b/>
                <w:sz w:val="15"/>
              </w:rPr>
              <w:t>Operational meaning</w:t>
            </w:r>
          </w:p>
        </w:tc>
        <w:tc>
          <w:tcPr>
            <w:tcW w:type="dxa" w:w="3389"/>
            <w:shd w:fill="DCE6F1"/>
          </w:tcPr>
          <w:p>
            <w:r>
              <w:rPr>
                <w:b/>
                <w:sz w:val="15"/>
              </w:rPr>
              <w:t>Preferred Canadian activity</w:t>
            </w:r>
          </w:p>
        </w:tc>
      </w:tr>
      <w:tr>
        <w:tc>
          <w:tcPr>
            <w:tcW w:type="dxa" w:w="3389"/>
            <w:vAlign w:val="top"/>
          </w:tcPr>
          <w:p>
            <w:pPr>
              <w:spacing w:after="0"/>
            </w:pPr>
            <w:r>
              <w:rPr>
                <w:sz w:val="15"/>
              </w:rPr>
              <w:t>Washington sitting period</w:t>
            </w:r>
          </w:p>
        </w:tc>
        <w:tc>
          <w:tcPr>
            <w:tcW w:type="dxa" w:w="3389"/>
            <w:vAlign w:val="top"/>
          </w:tcPr>
          <w:p>
            <w:pPr>
              <w:spacing w:after="0"/>
            </w:pPr>
            <w:r>
              <w:rPr>
                <w:sz w:val="15"/>
              </w:rPr>
              <w:t>Members/staff available for hearings, votes, briefings</w:t>
            </w:r>
          </w:p>
        </w:tc>
        <w:tc>
          <w:tcPr>
            <w:tcW w:type="dxa" w:w="3389"/>
            <w:vAlign w:val="top"/>
          </w:tcPr>
          <w:p>
            <w:pPr>
              <w:spacing w:after="0"/>
            </w:pPr>
            <w:r>
              <w:rPr>
                <w:sz w:val="15"/>
              </w:rPr>
              <w:t>Formal diplomacy, committee/staff briefings, legislative analysis</w:t>
            </w:r>
          </w:p>
        </w:tc>
      </w:tr>
      <w:tr>
        <w:tc>
          <w:tcPr>
            <w:tcW w:type="dxa" w:w="3389"/>
            <w:vAlign w:val="top"/>
          </w:tcPr>
          <w:p>
            <w:pPr>
              <w:spacing w:after="0"/>
            </w:pPr>
            <w:r>
              <w:rPr>
                <w:sz w:val="15"/>
              </w:rPr>
              <w:t>State/district work period</w:t>
            </w:r>
          </w:p>
        </w:tc>
        <w:tc>
          <w:tcPr>
            <w:tcW w:type="dxa" w:w="3389"/>
            <w:vAlign w:val="top"/>
          </w:tcPr>
          <w:p>
            <w:pPr>
              <w:spacing w:after="0"/>
            </w:pPr>
            <w:r>
              <w:rPr>
                <w:sz w:val="15"/>
              </w:rPr>
              <w:t>Members closer to local institutions and constituents</w:t>
            </w:r>
          </w:p>
        </w:tc>
        <w:tc>
          <w:tcPr>
            <w:tcW w:type="dxa" w:w="3389"/>
            <w:vAlign w:val="top"/>
          </w:tcPr>
          <w:p>
            <w:pPr>
              <w:spacing w:after="0"/>
            </w:pPr>
            <w:r>
              <w:rPr>
                <w:sz w:val="15"/>
              </w:rPr>
              <w:t>Consular/state outreach, chambers, governors, factual local engagement</w:t>
            </w:r>
          </w:p>
        </w:tc>
      </w:tr>
      <w:tr>
        <w:tc>
          <w:tcPr>
            <w:tcW w:type="dxa" w:w="3389"/>
            <w:vAlign w:val="top"/>
          </w:tcPr>
          <w:p>
            <w:pPr>
              <w:spacing w:after="0"/>
            </w:pPr>
            <w:r>
              <w:rPr>
                <w:sz w:val="15"/>
              </w:rPr>
              <w:t>Election run-up</w:t>
            </w:r>
          </w:p>
        </w:tc>
        <w:tc>
          <w:tcPr>
            <w:tcW w:type="dxa" w:w="3389"/>
            <w:vAlign w:val="top"/>
          </w:tcPr>
          <w:p>
            <w:pPr>
              <w:spacing w:after="0"/>
            </w:pPr>
            <w:r>
              <w:rPr>
                <w:sz w:val="15"/>
              </w:rPr>
              <w:t>High sensitivity and distorted incentives</w:t>
            </w:r>
          </w:p>
        </w:tc>
        <w:tc>
          <w:tcPr>
            <w:tcW w:type="dxa" w:w="3389"/>
            <w:vAlign w:val="top"/>
          </w:tcPr>
          <w:p>
            <w:pPr>
              <w:spacing w:after="0"/>
            </w:pPr>
            <w:r>
              <w:rPr>
                <w:sz w:val="15"/>
              </w:rPr>
              <w:t>Strict non-electoral posture; factual corrections; avoid theatrical escalation</w:t>
            </w:r>
          </w:p>
        </w:tc>
      </w:tr>
      <w:tr>
        <w:tc>
          <w:tcPr>
            <w:tcW w:type="dxa" w:w="3389"/>
            <w:vAlign w:val="top"/>
          </w:tcPr>
          <w:p>
            <w:pPr>
              <w:spacing w:after="0"/>
            </w:pPr>
            <w:r>
              <w:rPr>
                <w:sz w:val="15"/>
              </w:rPr>
              <w:t>Post-election / lame-duck</w:t>
            </w:r>
          </w:p>
        </w:tc>
        <w:tc>
          <w:tcPr>
            <w:tcW w:type="dxa" w:w="3389"/>
            <w:vAlign w:val="top"/>
          </w:tcPr>
          <w:p>
            <w:pPr>
              <w:spacing w:after="0"/>
            </w:pPr>
            <w:r>
              <w:rPr>
                <w:sz w:val="15"/>
              </w:rPr>
              <w:t>Coalitions and incentives can shift quickly</w:t>
            </w:r>
          </w:p>
        </w:tc>
        <w:tc>
          <w:tcPr>
            <w:tcW w:type="dxa" w:w="3389"/>
            <w:vAlign w:val="top"/>
          </w:tcPr>
          <w:p>
            <w:pPr>
              <w:spacing w:after="0"/>
            </w:pPr>
            <w:r>
              <w:rPr>
                <w:sz w:val="15"/>
              </w:rPr>
              <w:t>Re-map actors; quiet settlement probes; prepare for leadership changes</w:t>
            </w:r>
          </w:p>
        </w:tc>
      </w:tr>
      <w:tr>
        <w:tc>
          <w:tcPr>
            <w:tcW w:type="dxa" w:w="3389"/>
            <w:vAlign w:val="top"/>
          </w:tcPr>
          <w:p>
            <w:pPr>
              <w:spacing w:after="0"/>
            </w:pPr>
            <w:r>
              <w:rPr>
                <w:sz w:val="15"/>
              </w:rPr>
              <w:t>New Congress organization</w:t>
            </w:r>
          </w:p>
        </w:tc>
        <w:tc>
          <w:tcPr>
            <w:tcW w:type="dxa" w:w="3389"/>
            <w:vAlign w:val="top"/>
          </w:tcPr>
          <w:p>
            <w:pPr>
              <w:spacing w:after="0"/>
            </w:pPr>
            <w:r>
              <w:rPr>
                <w:sz w:val="15"/>
              </w:rPr>
              <w:t>Committee assignments and agendas reset</w:t>
            </w:r>
          </w:p>
        </w:tc>
        <w:tc>
          <w:tcPr>
            <w:tcW w:type="dxa" w:w="3389"/>
            <w:vAlign w:val="top"/>
          </w:tcPr>
          <w:p>
            <w:pPr>
              <w:spacing w:after="0"/>
            </w:pPr>
            <w:r>
              <w:rPr>
                <w:sz w:val="15"/>
              </w:rPr>
              <w:t>Relationship building; briefing new staff; refresh district data</w:t>
            </w:r>
          </w:p>
        </w:tc>
      </w:tr>
      <w:tr>
        <w:tc>
          <w:tcPr>
            <w:tcW w:type="dxa" w:w="3389"/>
            <w:vAlign w:val="top"/>
          </w:tcPr>
          <w:p>
            <w:pPr>
              <w:spacing w:after="0"/>
            </w:pPr>
            <w:r>
              <w:rPr>
                <w:sz w:val="15"/>
              </w:rPr>
              <w:t>Year-end compression</w:t>
            </w:r>
          </w:p>
        </w:tc>
        <w:tc>
          <w:tcPr>
            <w:tcW w:type="dxa" w:w="3389"/>
            <w:vAlign w:val="top"/>
          </w:tcPr>
          <w:p>
            <w:pPr>
              <w:spacing w:after="0"/>
            </w:pPr>
            <w:r>
              <w:rPr>
                <w:sz w:val="15"/>
              </w:rPr>
              <w:t>Appropriations and must-pass items compete for attention</w:t>
            </w:r>
          </w:p>
        </w:tc>
        <w:tc>
          <w:tcPr>
            <w:tcW w:type="dxa" w:w="3389"/>
            <w:vAlign w:val="top"/>
          </w:tcPr>
          <w:p>
            <w:pPr>
              <w:spacing w:after="0"/>
            </w:pPr>
            <w:r>
              <w:rPr>
                <w:sz w:val="15"/>
              </w:rPr>
              <w:t>Only high-value asks; avoid assuming bandwidth</w:t>
            </w:r>
          </w:p>
        </w:tc>
      </w:tr>
    </w:tbl>
    <w:p>
      <w:pPr>
        <w:spacing w:after="20"/>
      </w:pPr>
    </w:p>
    <w:p>
      <w:pPr>
        <w:pStyle w:val="Heading2"/>
        <w:keepNext/>
        <w:spacing w:before="160" w:after="60"/>
      </w:pPr>
      <w:bookmarkStart w:id="744" w:name="_Toc9500744"/>
      <w:r>
        <w:t>Congressional Calendar Update Protocol</w:t>
      </w:r>
      <w:bookmarkEnd w:id="744"/>
    </w:p>
    <w:p>
      <w:pPr>
        <w:pStyle w:val="ListBullet"/>
      </w:pPr>
      <w:r>
        <w:t>Download official House and Senate calendars monthly.</w:t>
      </w:r>
    </w:p>
    <w:p>
      <w:pPr>
        <w:pStyle w:val="ListBullet"/>
      </w:pPr>
      <w:r>
        <w:t>Maintain a list of relevant committees and leadership changes.</w:t>
      </w:r>
    </w:p>
    <w:p>
      <w:pPr>
        <w:pStyle w:val="ListBullet"/>
      </w:pPr>
      <w:r>
        <w:t>Track hearings and legislation affecting tariffs, customs, agriculture, autos, energy, procurement, CUSMA, and emergency authorities.</w:t>
      </w:r>
    </w:p>
    <w:p>
      <w:pPr>
        <w:pStyle w:val="ListBullet"/>
      </w:pPr>
      <w:r>
        <w:t>Separate public statements from actual legislative capacity.</w:t>
      </w:r>
    </w:p>
    <w:p>
      <w:pPr>
        <w:pStyle w:val="ListBullet"/>
      </w:pPr>
      <w:r>
        <w:t>Do not infer private positions without corroborated diplomatic reporting.</w:t>
      </w:r>
    </w:p>
    <w:p>
      <w:r>
        <w:br w:type="page"/>
      </w:r>
    </w:p>
    <w:p>
      <w:pPr>
        <w:pStyle w:val="Heading1"/>
        <w:keepNext/>
        <w:spacing w:before="160" w:after="60"/>
      </w:pPr>
      <w:bookmarkStart w:id="745" w:name="_Toc9500745"/>
      <w:r>
        <w:t>Recurring Decision Calendar: CUSMA / USMCA</w:t>
      </w:r>
      <w:bookmarkEnd w:id="745"/>
    </w:p>
    <w:p>
      <w:r>
        <w:rPr>
          <w:b w:val="0"/>
          <w:i w:val="0"/>
        </w:rPr>
        <w:t>The July 1, 2026 joint review is a starting point, not an endpoint. The calendar should maintain a rolling list of implementation disputes, bilateral/trilateral negotiating rounds, committee meetings, dispute-settlement milestones, consultations, sectoral arrangements, and any agreed follow-up timetable.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Horizon</w:t>
            </w:r>
          </w:p>
        </w:tc>
        <w:tc>
          <w:tcPr>
            <w:tcW w:type="dxa" w:w="5083"/>
            <w:shd w:fill="DCE6F1"/>
          </w:tcPr>
          <w:p>
            <w:r>
              <w:rPr>
                <w:b/>
                <w:sz w:val="16"/>
              </w:rPr>
              <w:t>Decision question</w:t>
            </w:r>
          </w:p>
        </w:tc>
      </w:tr>
      <w:tr>
        <w:tc>
          <w:tcPr>
            <w:tcW w:type="dxa" w:w="5083"/>
            <w:vAlign w:val="top"/>
          </w:tcPr>
          <w:p>
            <w:pPr>
              <w:spacing w:after="0"/>
            </w:pPr>
            <w:r>
              <w:rPr>
                <w:sz w:val="16"/>
              </w:rPr>
              <w:t>0–90 days after major rupture</w:t>
            </w:r>
          </w:p>
        </w:tc>
        <w:tc>
          <w:tcPr>
            <w:tcW w:type="dxa" w:w="5083"/>
            <w:vAlign w:val="top"/>
          </w:tcPr>
          <w:p>
            <w:pPr>
              <w:spacing w:after="0"/>
            </w:pPr>
            <w:r>
              <w:rPr>
                <w:sz w:val="16"/>
              </w:rPr>
              <w:t>Can CUSMA channels isolate solvable technical issues from the larger political dispute?</w:t>
            </w:r>
          </w:p>
        </w:tc>
      </w:tr>
      <w:tr>
        <w:tc>
          <w:tcPr>
            <w:tcW w:type="dxa" w:w="5083"/>
            <w:vAlign w:val="top"/>
          </w:tcPr>
          <w:p>
            <w:pPr>
              <w:spacing w:after="0"/>
            </w:pPr>
            <w:r>
              <w:rPr>
                <w:sz w:val="16"/>
              </w:rPr>
              <w:t>Quarterly</w:t>
            </w:r>
          </w:p>
        </w:tc>
        <w:tc>
          <w:tcPr>
            <w:tcW w:type="dxa" w:w="5083"/>
            <w:vAlign w:val="top"/>
          </w:tcPr>
          <w:p>
            <w:pPr>
              <w:spacing w:after="0"/>
            </w:pPr>
            <w:r>
              <w:rPr>
                <w:sz w:val="16"/>
              </w:rPr>
              <w:t>Which unresolved files can be converted into sectoral cures or confidence-building measures?</w:t>
            </w:r>
          </w:p>
        </w:tc>
      </w:tr>
      <w:tr>
        <w:tc>
          <w:tcPr>
            <w:tcW w:type="dxa" w:w="5083"/>
            <w:vAlign w:val="top"/>
          </w:tcPr>
          <w:p>
            <w:pPr>
              <w:spacing w:after="0"/>
            </w:pPr>
            <w:r>
              <w:rPr>
                <w:sz w:val="16"/>
              </w:rPr>
              <w:t>Annual July 1 checkpoint</w:t>
            </w:r>
          </w:p>
        </w:tc>
        <w:tc>
          <w:tcPr>
            <w:tcW w:type="dxa" w:w="5083"/>
            <w:vAlign w:val="top"/>
          </w:tcPr>
          <w:p>
            <w:pPr>
              <w:spacing w:after="0"/>
            </w:pPr>
            <w:r>
              <w:rPr>
                <w:sz w:val="16"/>
              </w:rPr>
              <w:t>What changed since the 2026 review? Which commitments require implementation evidence?</w:t>
            </w:r>
          </w:p>
        </w:tc>
      </w:tr>
      <w:tr>
        <w:tc>
          <w:tcPr>
            <w:tcW w:type="dxa" w:w="5083"/>
            <w:vAlign w:val="top"/>
          </w:tcPr>
          <w:p>
            <w:pPr>
              <w:spacing w:after="0"/>
            </w:pPr>
            <w:r>
              <w:rPr>
                <w:sz w:val="16"/>
              </w:rPr>
              <w:t>Before any new bilateral arrangement</w:t>
            </w:r>
          </w:p>
        </w:tc>
        <w:tc>
          <w:tcPr>
            <w:tcW w:type="dxa" w:w="5083"/>
            <w:vAlign w:val="top"/>
          </w:tcPr>
          <w:p>
            <w:pPr>
              <w:spacing w:after="0"/>
            </w:pPr>
            <w:r>
              <w:rPr>
                <w:sz w:val="16"/>
              </w:rPr>
              <w:t>Does it preserve Mexico's rights and Canada's trilateral objectives where CUSMA applies?</w:t>
            </w:r>
          </w:p>
        </w:tc>
      </w:tr>
      <w:tr>
        <w:tc>
          <w:tcPr>
            <w:tcW w:type="dxa" w:w="5083"/>
            <w:vAlign w:val="top"/>
          </w:tcPr>
          <w:p>
            <w:pPr>
              <w:spacing w:after="0"/>
            </w:pPr>
            <w:r>
              <w:rPr>
                <w:sz w:val="16"/>
              </w:rPr>
              <w:t>Before termination/withdrawal rhetoric</w:t>
            </w:r>
          </w:p>
        </w:tc>
        <w:tc>
          <w:tcPr>
            <w:tcW w:type="dxa" w:w="5083"/>
            <w:vAlign w:val="top"/>
          </w:tcPr>
          <w:p>
            <w:pPr>
              <w:spacing w:after="0"/>
            </w:pPr>
            <w:r>
              <w:rPr>
                <w:sz w:val="16"/>
              </w:rPr>
              <w:t>What legal, investment, supply-chain and market consequences would follow?</w:t>
            </w:r>
          </w:p>
        </w:tc>
      </w:tr>
    </w:tbl>
    <w:p>
      <w:pPr>
        <w:spacing w:after="20"/>
      </w:pPr>
    </w:p>
    <w:p>
      <w:r>
        <w:rPr>
          <w:b w:val="0"/>
          <w:i w:val="0"/>
        </w:rPr>
        <w:t>Planning rule: keep a trilateral lane alive even when the immediate conflict is bilateral. Do not let bilateral crisis management accidentally erase Canada's longer-term North American architecture.</w:t>
      </w:r>
    </w:p>
    <w:p>
      <w:r>
        <w:br w:type="page"/>
      </w:r>
    </w:p>
    <w:p>
      <w:pPr>
        <w:pStyle w:val="Heading1"/>
        <w:keepNext/>
        <w:spacing w:before="160" w:after="60"/>
      </w:pPr>
      <w:bookmarkStart w:id="746" w:name="_Toc9500746"/>
      <w:r>
        <w:t>Recurring Decision Calendar: Canadian Fiscal and Parliamentary Cycle</w:t>
      </w:r>
      <w:bookmarkEnd w:id="746"/>
    </w:p>
    <w:p>
      <w:r>
        <w:rPr>
          <w:b w:val="0"/>
          <w:i w:val="0"/>
        </w:rPr>
        <w:t>Starting with Budget 2025, Canada's federal budget is delivered in the fall, followed by an economic and fiscal update in the spring. The federal fiscal year runs April 1 to March 31. Main Estimates are tabled before the fiscal year begins, and appropriations remain necessary for spending authority.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Window</w:t>
            </w:r>
          </w:p>
        </w:tc>
        <w:tc>
          <w:tcPr>
            <w:tcW w:type="dxa" w:w="5083"/>
            <w:shd w:fill="DCE6F1"/>
          </w:tcPr>
          <w:p>
            <w:r>
              <w:rPr>
                <w:b/>
                <w:sz w:val="16"/>
              </w:rPr>
              <w:t>Why it matters for trade statecraft</w:t>
            </w:r>
          </w:p>
        </w:tc>
      </w:tr>
      <w:tr>
        <w:tc>
          <w:tcPr>
            <w:tcW w:type="dxa" w:w="5083"/>
            <w:vAlign w:val="top"/>
          </w:tcPr>
          <w:p>
            <w:pPr>
              <w:spacing w:after="0"/>
            </w:pPr>
            <w:r>
              <w:rPr>
                <w:sz w:val="16"/>
              </w:rPr>
              <w:t>Fall budget preparation/tabling</w:t>
            </w:r>
          </w:p>
        </w:tc>
        <w:tc>
          <w:tcPr>
            <w:tcW w:type="dxa" w:w="5083"/>
            <w:vAlign w:val="top"/>
          </w:tcPr>
          <w:p>
            <w:pPr>
              <w:spacing w:after="0"/>
            </w:pPr>
            <w:r>
              <w:rPr>
                <w:sz w:val="16"/>
              </w:rPr>
              <w:t>Best major vehicle for multi-year resilience, diversification, industrial and worker-support funding</w:t>
            </w:r>
          </w:p>
        </w:tc>
      </w:tr>
      <w:tr>
        <w:tc>
          <w:tcPr>
            <w:tcW w:type="dxa" w:w="5083"/>
            <w:vAlign w:val="top"/>
          </w:tcPr>
          <w:p>
            <w:pPr>
              <w:spacing w:after="0"/>
            </w:pPr>
            <w:r>
              <w:rPr>
                <w:sz w:val="16"/>
              </w:rPr>
              <w:t>Winter estimates preparation</w:t>
            </w:r>
          </w:p>
        </w:tc>
        <w:tc>
          <w:tcPr>
            <w:tcW w:type="dxa" w:w="5083"/>
            <w:vAlign w:val="top"/>
          </w:tcPr>
          <w:p>
            <w:pPr>
              <w:spacing w:after="0"/>
            </w:pPr>
            <w:r>
              <w:rPr>
                <w:sz w:val="16"/>
              </w:rPr>
              <w:t>Translate announced programs into executable spending authorities</w:t>
            </w:r>
          </w:p>
        </w:tc>
      </w:tr>
      <w:tr>
        <w:tc>
          <w:tcPr>
            <w:tcW w:type="dxa" w:w="5083"/>
            <w:vAlign w:val="top"/>
          </w:tcPr>
          <w:p>
            <w:pPr>
              <w:spacing w:after="0"/>
            </w:pPr>
            <w:r>
              <w:rPr>
                <w:sz w:val="16"/>
              </w:rPr>
              <w:t>Apr 1 fiscal-year start</w:t>
            </w:r>
          </w:p>
        </w:tc>
        <w:tc>
          <w:tcPr>
            <w:tcW w:type="dxa" w:w="5083"/>
            <w:vAlign w:val="top"/>
          </w:tcPr>
          <w:p>
            <w:pPr>
              <w:spacing w:after="0"/>
            </w:pPr>
            <w:r>
              <w:rPr>
                <w:sz w:val="16"/>
              </w:rPr>
              <w:t>Program authorities, departmental plans and implementation reset</w:t>
            </w:r>
          </w:p>
        </w:tc>
      </w:tr>
      <w:tr>
        <w:tc>
          <w:tcPr>
            <w:tcW w:type="dxa" w:w="5083"/>
            <w:vAlign w:val="top"/>
          </w:tcPr>
          <w:p>
            <w:pPr>
              <w:spacing w:after="0"/>
            </w:pPr>
            <w:r>
              <w:rPr>
                <w:sz w:val="16"/>
              </w:rPr>
              <w:t>Spring fiscal update</w:t>
            </w:r>
          </w:p>
        </w:tc>
        <w:tc>
          <w:tcPr>
            <w:tcW w:type="dxa" w:w="5083"/>
            <w:vAlign w:val="top"/>
          </w:tcPr>
          <w:p>
            <w:pPr>
              <w:spacing w:after="0"/>
            </w:pPr>
            <w:r>
              <w:rPr>
                <w:sz w:val="16"/>
              </w:rPr>
              <w:t>Recalibrate costs, revenues, support envelopes and economic assumptions</w:t>
            </w:r>
          </w:p>
        </w:tc>
      </w:tr>
      <w:tr>
        <w:tc>
          <w:tcPr>
            <w:tcW w:type="dxa" w:w="5083"/>
            <w:vAlign w:val="top"/>
          </w:tcPr>
          <w:p>
            <w:pPr>
              <w:spacing w:after="0"/>
            </w:pPr>
            <w:r>
              <w:rPr>
                <w:sz w:val="16"/>
              </w:rPr>
              <w:t>Supplementary Estimates</w:t>
            </w:r>
          </w:p>
        </w:tc>
        <w:tc>
          <w:tcPr>
            <w:tcW w:type="dxa" w:w="5083"/>
            <w:vAlign w:val="top"/>
          </w:tcPr>
          <w:p>
            <w:pPr>
              <w:spacing w:after="0"/>
            </w:pPr>
            <w:r>
              <w:rPr>
                <w:sz w:val="16"/>
              </w:rPr>
              <w:t>Add or adjust program authorities as conflict evolves</w:t>
            </w:r>
          </w:p>
        </w:tc>
      </w:tr>
      <w:tr>
        <w:tc>
          <w:tcPr>
            <w:tcW w:type="dxa" w:w="5083"/>
            <w:vAlign w:val="top"/>
          </w:tcPr>
          <w:p>
            <w:pPr>
              <w:spacing w:after="0"/>
            </w:pPr>
            <w:r>
              <w:rPr>
                <w:sz w:val="16"/>
              </w:rPr>
              <w:t>Parliamentary sitting blocks</w:t>
            </w:r>
          </w:p>
        </w:tc>
        <w:tc>
          <w:tcPr>
            <w:tcW w:type="dxa" w:w="5083"/>
            <w:vAlign w:val="top"/>
          </w:tcPr>
          <w:p>
            <w:pPr>
              <w:spacing w:after="0"/>
            </w:pPr>
            <w:r>
              <w:rPr>
                <w:sz w:val="16"/>
              </w:rPr>
              <w:t>Legislation, scrutiny, committee evidence, political legitimacy</w:t>
            </w:r>
          </w:p>
        </w:tc>
      </w:tr>
    </w:tbl>
    <w:p>
      <w:pPr>
        <w:spacing w:after="20"/>
      </w:pPr>
    </w:p>
    <w:p>
      <w:pPr>
        <w:pStyle w:val="Heading2"/>
        <w:keepNext/>
        <w:spacing w:before="160" w:after="60"/>
      </w:pPr>
      <w:bookmarkStart w:id="747" w:name="_Toc9500747"/>
      <w:r>
        <w:t>Fiscal Lead-Time Rule</w:t>
      </w:r>
      <w:bookmarkEnd w:id="747"/>
    </w:p>
    <w:p>
      <w:r>
        <w:rPr>
          <w:b w:val="0"/>
          <w:i w:val="0"/>
        </w:rPr>
        <w:t>Do not announce a large support, procurement, infrastructure, or diversification program merely because the external timing is attractive. The calendar must show whether Cabinet authority, Treasury Board approval, appropriations, procurement, regulatory changes, provincial agreements, and departmental delivery capacity can exist by the promised date.</w:t>
      </w:r>
    </w:p>
    <w:p>
      <w:r>
        <w:br w:type="page"/>
      </w:r>
    </w:p>
    <w:p>
      <w:pPr>
        <w:pStyle w:val="Heading1"/>
        <w:keepNext/>
        <w:spacing w:before="160" w:after="60"/>
      </w:pPr>
      <w:bookmarkStart w:id="748" w:name="_Toc9500748"/>
      <w:r>
        <w:t>Recurring Decision Calendar: Agriculture</w:t>
      </w:r>
      <w:bookmarkEnd w:id="748"/>
    </w:p>
    <w:p>
      <w:r>
        <w:rPr>
          <w:b w:val="0"/>
          <w:i w:val="0"/>
        </w:rPr>
        <w:t>Agricultural timing is especially sensitive because policy shocks can collide with biological cycles that cannot be paused. The calendar's job is to prevent avoidable harm and improve negotiating precision.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Phase</w:t>
            </w:r>
          </w:p>
        </w:tc>
        <w:tc>
          <w:tcPr>
            <w:tcW w:type="dxa" w:w="3389"/>
            <w:shd w:fill="DCE6F1"/>
          </w:tcPr>
          <w:p>
            <w:r>
              <w:rPr>
                <w:b/>
                <w:sz w:val="15"/>
              </w:rPr>
              <w:t>Signals</w:t>
            </w:r>
          </w:p>
        </w:tc>
        <w:tc>
          <w:tcPr>
            <w:tcW w:type="dxa" w:w="3389"/>
            <w:shd w:fill="DCE6F1"/>
          </w:tcPr>
          <w:p>
            <w:r>
              <w:rPr>
                <w:b/>
                <w:sz w:val="15"/>
              </w:rPr>
              <w:t>Canadian use</w:t>
            </w:r>
          </w:p>
        </w:tc>
      </w:tr>
      <w:tr>
        <w:tc>
          <w:tcPr>
            <w:tcW w:type="dxa" w:w="3389"/>
            <w:vAlign w:val="top"/>
          </w:tcPr>
          <w:p>
            <w:pPr>
              <w:spacing w:after="0"/>
            </w:pPr>
            <w:r>
              <w:rPr>
                <w:sz w:val="15"/>
              </w:rPr>
              <w:t>Pre-planting / contracting</w:t>
            </w:r>
          </w:p>
        </w:tc>
        <w:tc>
          <w:tcPr>
            <w:tcW w:type="dxa" w:w="3389"/>
            <w:vAlign w:val="top"/>
          </w:tcPr>
          <w:p>
            <w:pPr>
              <w:spacing w:after="0"/>
            </w:pPr>
            <w:r>
              <w:rPr>
                <w:sz w:val="15"/>
              </w:rPr>
              <w:t>Input prices, fertilizer availability, acreage intentions</w:t>
            </w:r>
          </w:p>
        </w:tc>
        <w:tc>
          <w:tcPr>
            <w:tcW w:type="dxa" w:w="3389"/>
            <w:vAlign w:val="top"/>
          </w:tcPr>
          <w:p>
            <w:pPr>
              <w:spacing w:after="0"/>
            </w:pPr>
            <w:r>
              <w:rPr>
                <w:sz w:val="15"/>
              </w:rPr>
              <w:t>Offer predictability; identify substitution bottlenecks</w:t>
            </w:r>
          </w:p>
        </w:tc>
      </w:tr>
      <w:tr>
        <w:tc>
          <w:tcPr>
            <w:tcW w:type="dxa" w:w="3389"/>
            <w:vAlign w:val="top"/>
          </w:tcPr>
          <w:p>
            <w:pPr>
              <w:spacing w:after="0"/>
            </w:pPr>
            <w:r>
              <w:rPr>
                <w:sz w:val="15"/>
              </w:rPr>
              <w:t>Planting</w:t>
            </w:r>
          </w:p>
        </w:tc>
        <w:tc>
          <w:tcPr>
            <w:tcW w:type="dxa" w:w="3389"/>
            <w:vAlign w:val="top"/>
          </w:tcPr>
          <w:p>
            <w:pPr>
              <w:spacing w:after="0"/>
            </w:pPr>
            <w:r>
              <w:rPr>
                <w:sz w:val="15"/>
              </w:rPr>
              <w:t>Weather, fertilizer, seed, credit, fuel</w:t>
            </w:r>
          </w:p>
        </w:tc>
        <w:tc>
          <w:tcPr>
            <w:tcW w:type="dxa" w:w="3389"/>
            <w:vAlign w:val="top"/>
          </w:tcPr>
          <w:p>
            <w:pPr>
              <w:spacing w:after="0"/>
            </w:pPr>
            <w:r>
              <w:rPr>
                <w:sz w:val="15"/>
              </w:rPr>
              <w:t>Avoid abrupt essential-input disruption</w:t>
            </w:r>
          </w:p>
        </w:tc>
      </w:tr>
      <w:tr>
        <w:tc>
          <w:tcPr>
            <w:tcW w:type="dxa" w:w="3389"/>
            <w:vAlign w:val="top"/>
          </w:tcPr>
          <w:p>
            <w:pPr>
              <w:spacing w:after="0"/>
            </w:pPr>
            <w:r>
              <w:rPr>
                <w:sz w:val="15"/>
              </w:rPr>
              <w:t>Growing season</w:t>
            </w:r>
          </w:p>
        </w:tc>
        <w:tc>
          <w:tcPr>
            <w:tcW w:type="dxa" w:w="3389"/>
            <w:vAlign w:val="top"/>
          </w:tcPr>
          <w:p>
            <w:pPr>
              <w:spacing w:after="0"/>
            </w:pPr>
            <w:r>
              <w:rPr>
                <w:sz w:val="15"/>
              </w:rPr>
              <w:t>Crop condition, drought/flood, export demand</w:t>
            </w:r>
          </w:p>
        </w:tc>
        <w:tc>
          <w:tcPr>
            <w:tcW w:type="dxa" w:w="3389"/>
            <w:vAlign w:val="top"/>
          </w:tcPr>
          <w:p>
            <w:pPr>
              <w:spacing w:after="0"/>
            </w:pPr>
            <w:r>
              <w:rPr>
                <w:sz w:val="15"/>
              </w:rPr>
              <w:t>Update food-security and price-pass-through models</w:t>
            </w:r>
          </w:p>
        </w:tc>
      </w:tr>
      <w:tr>
        <w:tc>
          <w:tcPr>
            <w:tcW w:type="dxa" w:w="3389"/>
            <w:vAlign w:val="top"/>
          </w:tcPr>
          <w:p>
            <w:pPr>
              <w:spacing w:after="0"/>
            </w:pPr>
            <w:r>
              <w:rPr>
                <w:sz w:val="15"/>
              </w:rPr>
              <w:t>Harvest</w:t>
            </w:r>
          </w:p>
        </w:tc>
        <w:tc>
          <w:tcPr>
            <w:tcW w:type="dxa" w:w="3389"/>
            <w:vAlign w:val="top"/>
          </w:tcPr>
          <w:p>
            <w:pPr>
              <w:spacing w:after="0"/>
            </w:pPr>
            <w:r>
              <w:rPr>
                <w:sz w:val="15"/>
              </w:rPr>
              <w:t>Yield, storage, transport, basis, cash flow</w:t>
            </w:r>
          </w:p>
        </w:tc>
        <w:tc>
          <w:tcPr>
            <w:tcW w:type="dxa" w:w="3389"/>
            <w:vAlign w:val="top"/>
          </w:tcPr>
          <w:p>
            <w:pPr>
              <w:spacing w:after="0"/>
            </w:pPr>
            <w:r>
              <w:rPr>
                <w:sz w:val="15"/>
              </w:rPr>
              <w:t>Use current data; monitor logistics</w:t>
            </w:r>
          </w:p>
        </w:tc>
      </w:tr>
      <w:tr>
        <w:tc>
          <w:tcPr>
            <w:tcW w:type="dxa" w:w="3389"/>
            <w:vAlign w:val="top"/>
          </w:tcPr>
          <w:p>
            <w:pPr>
              <w:spacing w:after="0"/>
            </w:pPr>
            <w:r>
              <w:rPr>
                <w:sz w:val="15"/>
              </w:rPr>
              <w:t>Post-harvest</w:t>
            </w:r>
          </w:p>
        </w:tc>
        <w:tc>
          <w:tcPr>
            <w:tcW w:type="dxa" w:w="3389"/>
            <w:vAlign w:val="top"/>
          </w:tcPr>
          <w:p>
            <w:pPr>
              <w:spacing w:after="0"/>
            </w:pPr>
            <w:r>
              <w:rPr>
                <w:sz w:val="15"/>
              </w:rPr>
              <w:t>Contracts, inventories, next-year planning</w:t>
            </w:r>
          </w:p>
        </w:tc>
        <w:tc>
          <w:tcPr>
            <w:tcW w:type="dxa" w:w="3389"/>
            <w:vAlign w:val="top"/>
          </w:tcPr>
          <w:p>
            <w:pPr>
              <w:spacing w:after="0"/>
            </w:pPr>
            <w:r>
              <w:rPr>
                <w:sz w:val="15"/>
              </w:rPr>
              <w:t>Good window for durable settlements and forward rules</w:t>
            </w:r>
          </w:p>
        </w:tc>
      </w:tr>
    </w:tbl>
    <w:p>
      <w:pPr>
        <w:spacing w:after="20"/>
      </w:pPr>
    </w:p>
    <w:p>
      <w:r>
        <w:rPr>
          <w:b w:val="0"/>
          <w:i w:val="0"/>
        </w:rPr>
        <w:t>Monthly WASDE releases are mandatory refresh points for any measure materially affecting agricultural trade. NASS Crop Progress and production releases become especially important during planting and harvest.</w:t>
      </w:r>
    </w:p>
    <w:p>
      <w:r>
        <w:br w:type="page"/>
      </w:r>
    </w:p>
    <w:p>
      <w:pPr>
        <w:pStyle w:val="Heading1"/>
        <w:keepNext/>
        <w:spacing w:before="160" w:after="60"/>
      </w:pPr>
      <w:bookmarkStart w:id="749" w:name="_Toc9500749"/>
      <w:r>
        <w:t>Recurring Decision Calendar: Energy and Commodities</w:t>
      </w:r>
      <w:bookmarkEnd w:id="749"/>
    </w:p>
    <w:p>
      <w:r>
        <w:rPr>
          <w:b w:val="0"/>
          <w:i w:val="0"/>
        </w:rPr>
        <w:t>Energy timing must be governed by reliability. Seasonal demand, refinery maintenance, storage, pipeline outages, hurricanes, wildfires, cold snaps, and commodity-price moves can turn an otherwise proportionate policy into an excessive 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Condition</w:t>
            </w:r>
          </w:p>
        </w:tc>
        <w:tc>
          <w:tcPr>
            <w:tcW w:type="dxa" w:w="3389"/>
            <w:shd w:fill="DCE6F1"/>
          </w:tcPr>
          <w:p>
            <w:r>
              <w:rPr>
                <w:b/>
                <w:sz w:val="15"/>
              </w:rPr>
              <w:t>Default status</w:t>
            </w:r>
          </w:p>
        </w:tc>
        <w:tc>
          <w:tcPr>
            <w:tcW w:type="dxa" w:w="3389"/>
            <w:shd w:fill="DCE6F1"/>
          </w:tcPr>
          <w:p>
            <w:r>
              <w:rPr>
                <w:b/>
                <w:sz w:val="15"/>
              </w:rPr>
              <w:t>Required response</w:t>
            </w:r>
          </w:p>
        </w:tc>
      </w:tr>
      <w:tr>
        <w:tc>
          <w:tcPr>
            <w:tcW w:type="dxa" w:w="3389"/>
            <w:vAlign w:val="top"/>
          </w:tcPr>
          <w:p>
            <w:pPr>
              <w:spacing w:after="0"/>
            </w:pPr>
            <w:r>
              <w:rPr>
                <w:sz w:val="15"/>
              </w:rPr>
              <w:t>Normal inventories / normal weather</w:t>
            </w:r>
          </w:p>
        </w:tc>
        <w:tc>
          <w:tcPr>
            <w:tcW w:type="dxa" w:w="3389"/>
            <w:vAlign w:val="top"/>
          </w:tcPr>
          <w:p>
            <w:pPr>
              <w:spacing w:after="0"/>
            </w:pPr>
            <w:r>
              <w:rPr>
                <w:sz w:val="15"/>
              </w:rPr>
              <w:t>GREEN/AMBER</w:t>
            </w:r>
          </w:p>
        </w:tc>
        <w:tc>
          <w:tcPr>
            <w:tcW w:type="dxa" w:w="3389"/>
            <w:vAlign w:val="top"/>
          </w:tcPr>
          <w:p>
            <w:pPr>
              <w:spacing w:after="0"/>
            </w:pPr>
            <w:r>
              <w:rPr>
                <w:sz w:val="15"/>
              </w:rPr>
              <w:t>Ordinary policy analysis</w:t>
            </w:r>
          </w:p>
        </w:tc>
      </w:tr>
      <w:tr>
        <w:tc>
          <w:tcPr>
            <w:tcW w:type="dxa" w:w="3389"/>
            <w:vAlign w:val="top"/>
          </w:tcPr>
          <w:p>
            <w:pPr>
              <w:spacing w:after="0"/>
            </w:pPr>
            <w:r>
              <w:rPr>
                <w:sz w:val="15"/>
              </w:rPr>
              <w:t>Refinery maintenance + tight products</w:t>
            </w:r>
          </w:p>
        </w:tc>
        <w:tc>
          <w:tcPr>
            <w:tcW w:type="dxa" w:w="3389"/>
            <w:vAlign w:val="top"/>
          </w:tcPr>
          <w:p>
            <w:pPr>
              <w:spacing w:after="0"/>
            </w:pPr>
            <w:r>
              <w:rPr>
                <w:sz w:val="15"/>
              </w:rPr>
              <w:t>AMBER</w:t>
            </w:r>
          </w:p>
        </w:tc>
        <w:tc>
          <w:tcPr>
            <w:tcW w:type="dxa" w:w="3389"/>
            <w:vAlign w:val="top"/>
          </w:tcPr>
          <w:p>
            <w:pPr>
              <w:spacing w:after="0"/>
            </w:pPr>
            <w:r>
              <w:rPr>
                <w:sz w:val="15"/>
              </w:rPr>
              <w:t>Higher pass-through scrutiny</w:t>
            </w:r>
          </w:p>
        </w:tc>
      </w:tr>
      <w:tr>
        <w:tc>
          <w:tcPr>
            <w:tcW w:type="dxa" w:w="3389"/>
            <w:vAlign w:val="top"/>
          </w:tcPr>
          <w:p>
            <w:pPr>
              <w:spacing w:after="0"/>
            </w:pPr>
            <w:r>
              <w:rPr>
                <w:sz w:val="15"/>
              </w:rPr>
              <w:t>Cold snap / heat emergency</w:t>
            </w:r>
          </w:p>
        </w:tc>
        <w:tc>
          <w:tcPr>
            <w:tcW w:type="dxa" w:w="3389"/>
            <w:vAlign w:val="top"/>
          </w:tcPr>
          <w:p>
            <w:pPr>
              <w:spacing w:after="0"/>
            </w:pPr>
            <w:r>
              <w:rPr>
                <w:sz w:val="15"/>
              </w:rPr>
              <w:t>RED</w:t>
            </w:r>
          </w:p>
        </w:tc>
        <w:tc>
          <w:tcPr>
            <w:tcW w:type="dxa" w:w="3389"/>
            <w:vAlign w:val="top"/>
          </w:tcPr>
          <w:p>
            <w:pPr>
              <w:spacing w:after="0"/>
            </w:pPr>
            <w:r>
              <w:rPr>
                <w:sz w:val="15"/>
              </w:rPr>
              <w:t>Protect essential supply and reliability</w:t>
            </w:r>
          </w:p>
        </w:tc>
      </w:tr>
      <w:tr>
        <w:tc>
          <w:tcPr>
            <w:tcW w:type="dxa" w:w="3389"/>
            <w:vAlign w:val="top"/>
          </w:tcPr>
          <w:p>
            <w:pPr>
              <w:spacing w:after="0"/>
            </w:pPr>
            <w:r>
              <w:rPr>
                <w:sz w:val="15"/>
              </w:rPr>
              <w:t>Major hurricane / wildfire / outage</w:t>
            </w:r>
          </w:p>
        </w:tc>
        <w:tc>
          <w:tcPr>
            <w:tcW w:type="dxa" w:w="3389"/>
            <w:vAlign w:val="top"/>
          </w:tcPr>
          <w:p>
            <w:pPr>
              <w:spacing w:after="0"/>
            </w:pPr>
            <w:r>
              <w:rPr>
                <w:sz w:val="15"/>
              </w:rPr>
              <w:t>RED</w:t>
            </w:r>
          </w:p>
        </w:tc>
        <w:tc>
          <w:tcPr>
            <w:tcW w:type="dxa" w:w="3389"/>
            <w:vAlign w:val="top"/>
          </w:tcPr>
          <w:p>
            <w:pPr>
              <w:spacing w:after="0"/>
            </w:pPr>
            <w:r>
              <w:rPr>
                <w:sz w:val="15"/>
              </w:rPr>
              <w:t>Emergency cooperation first</w:t>
            </w:r>
          </w:p>
        </w:tc>
      </w:tr>
      <w:tr>
        <w:tc>
          <w:tcPr>
            <w:tcW w:type="dxa" w:w="3389"/>
            <w:vAlign w:val="top"/>
          </w:tcPr>
          <w:p>
            <w:pPr>
              <w:spacing w:after="0"/>
            </w:pPr>
            <w:r>
              <w:rPr>
                <w:sz w:val="15"/>
              </w:rPr>
              <w:t>Abundant inventories / low stress</w:t>
            </w:r>
          </w:p>
        </w:tc>
        <w:tc>
          <w:tcPr>
            <w:tcW w:type="dxa" w:w="3389"/>
            <w:vAlign w:val="top"/>
          </w:tcPr>
          <w:p>
            <w:pPr>
              <w:spacing w:after="0"/>
            </w:pPr>
            <w:r>
              <w:rPr>
                <w:sz w:val="15"/>
              </w:rPr>
              <w:t>GREEN</w:t>
            </w:r>
          </w:p>
        </w:tc>
        <w:tc>
          <w:tcPr>
            <w:tcW w:type="dxa" w:w="3389"/>
            <w:vAlign w:val="top"/>
          </w:tcPr>
          <w:p>
            <w:pPr>
              <w:spacing w:after="0"/>
            </w:pPr>
            <w:r>
              <w:rPr>
                <w:sz w:val="15"/>
              </w:rPr>
              <w:t>Better window for technical policy changes, not punitive opportunism</w:t>
            </w:r>
          </w:p>
        </w:tc>
      </w:tr>
      <w:tr>
        <w:tc>
          <w:tcPr>
            <w:tcW w:type="dxa" w:w="3389"/>
            <w:vAlign w:val="top"/>
          </w:tcPr>
          <w:p>
            <w:pPr>
              <w:spacing w:after="0"/>
            </w:pPr>
            <w:r>
              <w:rPr>
                <w:sz w:val="15"/>
              </w:rPr>
              <w:t>Extreme commodity volatility</w:t>
            </w:r>
          </w:p>
        </w:tc>
        <w:tc>
          <w:tcPr>
            <w:tcW w:type="dxa" w:w="3389"/>
            <w:vAlign w:val="top"/>
          </w:tcPr>
          <w:p>
            <w:pPr>
              <w:spacing w:after="0"/>
            </w:pPr>
            <w:r>
              <w:rPr>
                <w:sz w:val="15"/>
              </w:rPr>
              <w:t>AMBER</w:t>
            </w:r>
          </w:p>
        </w:tc>
        <w:tc>
          <w:tcPr>
            <w:tcW w:type="dxa" w:w="3389"/>
            <w:vAlign w:val="top"/>
          </w:tcPr>
          <w:p>
            <w:pPr>
              <w:spacing w:after="0"/>
            </w:pPr>
            <w:r>
              <w:rPr>
                <w:sz w:val="15"/>
              </w:rPr>
              <w:t>Wait for price discovery unless delay is dangerous</w:t>
            </w:r>
          </w:p>
        </w:tc>
      </w:tr>
    </w:tbl>
    <w:p>
      <w:pPr>
        <w:spacing w:after="20"/>
      </w:pPr>
    </w:p>
    <w:p>
      <w:r>
        <w:rPr>
          <w:b w:val="0"/>
          <w:i w:val="0"/>
        </w:rPr>
        <w:t>No Canadian strategy should depend on accurately forecasting the exact month of peak U.S. gasoline prices. Use EIA forecasts as rolling risk inputs, not as a target-selection oracle.</w:t>
      </w:r>
    </w:p>
    <w:p>
      <w:r>
        <w:br w:type="page"/>
      </w:r>
    </w:p>
    <w:p>
      <w:pPr>
        <w:pStyle w:val="Heading1"/>
        <w:keepNext/>
        <w:spacing w:before="160" w:after="60"/>
      </w:pPr>
      <w:bookmarkStart w:id="750" w:name="_Toc9500750"/>
      <w:r>
        <w:t>Recurring Decision Calendar: Automotive and Industrial Cycles</w:t>
      </w:r>
      <w:bookmarkEnd w:id="750"/>
    </w:p>
    <w:p>
      <w:r>
        <w:rPr>
          <w:b w:val="0"/>
          <w:i w:val="0"/>
        </w:rPr>
        <w:t>Auto manufacturing is deeply integrated and unusually sensitive to timing because a component can cross the border multiple times before final assembly. Summer shutdowns and retooling are common, but plant-specific schedules vary.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5"/>
              </w:rPr>
              <w:t>Window</w:t>
            </w:r>
          </w:p>
        </w:tc>
        <w:tc>
          <w:tcPr>
            <w:tcW w:type="dxa" w:w="3389"/>
            <w:shd w:fill="DCE6F1"/>
          </w:tcPr>
          <w:p>
            <w:r>
              <w:rPr>
                <w:b/>
                <w:sz w:val="15"/>
              </w:rPr>
              <w:t>Risk / opportunity</w:t>
            </w:r>
          </w:p>
        </w:tc>
        <w:tc>
          <w:tcPr>
            <w:tcW w:type="dxa" w:w="3389"/>
            <w:shd w:fill="DCE6F1"/>
          </w:tcPr>
          <w:p>
            <w:r>
              <w:rPr>
                <w:b/>
                <w:sz w:val="15"/>
              </w:rPr>
              <w:t>Rule</w:t>
            </w:r>
          </w:p>
        </w:tc>
      </w:tr>
      <w:tr>
        <w:tc>
          <w:tcPr>
            <w:tcW w:type="dxa" w:w="3389"/>
            <w:vAlign w:val="top"/>
          </w:tcPr>
          <w:p>
            <w:pPr>
              <w:spacing w:after="0"/>
            </w:pPr>
            <w:r>
              <w:rPr>
                <w:sz w:val="15"/>
              </w:rPr>
              <w:t>Model-year planning</w:t>
            </w:r>
          </w:p>
        </w:tc>
        <w:tc>
          <w:tcPr>
            <w:tcW w:type="dxa" w:w="3389"/>
            <w:vAlign w:val="top"/>
          </w:tcPr>
          <w:p>
            <w:pPr>
              <w:spacing w:after="0"/>
            </w:pPr>
            <w:r>
              <w:rPr>
                <w:sz w:val="15"/>
              </w:rPr>
              <w:t>Firms make sourcing and allocation decisions</w:t>
            </w:r>
          </w:p>
        </w:tc>
        <w:tc>
          <w:tcPr>
            <w:tcW w:type="dxa" w:w="3389"/>
            <w:vAlign w:val="top"/>
          </w:tcPr>
          <w:p>
            <w:pPr>
              <w:spacing w:after="0"/>
            </w:pPr>
            <w:r>
              <w:rPr>
                <w:sz w:val="15"/>
              </w:rPr>
              <w:t>Policy certainty has high value</w:t>
            </w:r>
          </w:p>
        </w:tc>
      </w:tr>
      <w:tr>
        <w:tc>
          <w:tcPr>
            <w:tcW w:type="dxa" w:w="3389"/>
            <w:vAlign w:val="top"/>
          </w:tcPr>
          <w:p>
            <w:pPr>
              <w:spacing w:after="0"/>
            </w:pPr>
            <w:r>
              <w:rPr>
                <w:sz w:val="15"/>
              </w:rPr>
              <w:t>Summer maintenance/retooling</w:t>
            </w:r>
          </w:p>
        </w:tc>
        <w:tc>
          <w:tcPr>
            <w:tcW w:type="dxa" w:w="3389"/>
            <w:vAlign w:val="top"/>
          </w:tcPr>
          <w:p>
            <w:pPr>
              <w:spacing w:after="0"/>
            </w:pPr>
            <w:r>
              <w:rPr>
                <w:sz w:val="15"/>
              </w:rPr>
              <w:t>Production may be temporarily reduced</w:t>
            </w:r>
          </w:p>
        </w:tc>
        <w:tc>
          <w:tcPr>
            <w:tcW w:type="dxa" w:w="3389"/>
            <w:vAlign w:val="top"/>
          </w:tcPr>
          <w:p>
            <w:pPr>
              <w:spacing w:after="0"/>
            </w:pPr>
            <w:r>
              <w:rPr>
                <w:sz w:val="15"/>
              </w:rPr>
              <w:t>Validate plant schedules; avoid mistaking shutdown for tariff effect</w:t>
            </w:r>
          </w:p>
        </w:tc>
      </w:tr>
      <w:tr>
        <w:tc>
          <w:tcPr>
            <w:tcW w:type="dxa" w:w="3389"/>
            <w:vAlign w:val="top"/>
          </w:tcPr>
          <w:p>
            <w:pPr>
              <w:spacing w:after="0"/>
            </w:pPr>
            <w:r>
              <w:rPr>
                <w:sz w:val="15"/>
              </w:rPr>
              <w:t>Contract negotiations</w:t>
            </w:r>
          </w:p>
        </w:tc>
        <w:tc>
          <w:tcPr>
            <w:tcW w:type="dxa" w:w="3389"/>
            <w:vAlign w:val="top"/>
          </w:tcPr>
          <w:p>
            <w:pPr>
              <w:spacing w:after="0"/>
            </w:pPr>
            <w:r>
              <w:rPr>
                <w:sz w:val="15"/>
              </w:rPr>
              <w:t>Labour and investment uncertainty may rise</w:t>
            </w:r>
          </w:p>
        </w:tc>
        <w:tc>
          <w:tcPr>
            <w:tcW w:type="dxa" w:w="3389"/>
            <w:vAlign w:val="top"/>
          </w:tcPr>
          <w:p>
            <w:pPr>
              <w:spacing w:after="0"/>
            </w:pPr>
            <w:r>
              <w:rPr>
                <w:sz w:val="15"/>
              </w:rPr>
              <w:t>Coordinate worker-support and industrial policy</w:t>
            </w:r>
          </w:p>
        </w:tc>
      </w:tr>
      <w:tr>
        <w:tc>
          <w:tcPr>
            <w:tcW w:type="dxa" w:w="3389"/>
            <w:vAlign w:val="top"/>
          </w:tcPr>
          <w:p>
            <w:pPr>
              <w:spacing w:after="0"/>
            </w:pPr>
            <w:r>
              <w:rPr>
                <w:sz w:val="15"/>
              </w:rPr>
              <w:t>New model launch</w:t>
            </w:r>
          </w:p>
        </w:tc>
        <w:tc>
          <w:tcPr>
            <w:tcW w:type="dxa" w:w="3389"/>
            <w:vAlign w:val="top"/>
          </w:tcPr>
          <w:p>
            <w:pPr>
              <w:spacing w:after="0"/>
            </w:pPr>
            <w:r>
              <w:rPr>
                <w:sz w:val="15"/>
              </w:rPr>
              <w:t>Supply chains are fragile to late changes</w:t>
            </w:r>
          </w:p>
        </w:tc>
        <w:tc>
          <w:tcPr>
            <w:tcW w:type="dxa" w:w="3389"/>
            <w:vAlign w:val="top"/>
          </w:tcPr>
          <w:p>
            <w:pPr>
              <w:spacing w:after="0"/>
            </w:pPr>
            <w:r>
              <w:rPr>
                <w:sz w:val="15"/>
              </w:rPr>
              <w:t>Longer implementation lead times</w:t>
            </w:r>
          </w:p>
        </w:tc>
      </w:tr>
      <w:tr>
        <w:tc>
          <w:tcPr>
            <w:tcW w:type="dxa" w:w="3389"/>
            <w:vAlign w:val="top"/>
          </w:tcPr>
          <w:p>
            <w:pPr>
              <w:spacing w:after="0"/>
            </w:pPr>
            <w:r>
              <w:rPr>
                <w:sz w:val="15"/>
              </w:rPr>
              <w:t>Capital allocation cycle</w:t>
            </w:r>
          </w:p>
        </w:tc>
        <w:tc>
          <w:tcPr>
            <w:tcW w:type="dxa" w:w="3389"/>
            <w:vAlign w:val="top"/>
          </w:tcPr>
          <w:p>
            <w:pPr>
              <w:spacing w:after="0"/>
            </w:pPr>
            <w:r>
              <w:rPr>
                <w:sz w:val="15"/>
              </w:rPr>
              <w:t>Plant mandates and investment can move</w:t>
            </w:r>
          </w:p>
        </w:tc>
        <w:tc>
          <w:tcPr>
            <w:tcW w:type="dxa" w:w="3389"/>
            <w:vAlign w:val="top"/>
          </w:tcPr>
          <w:p>
            <w:pPr>
              <w:spacing w:after="0"/>
            </w:pPr>
            <w:r>
              <w:rPr>
                <w:sz w:val="15"/>
              </w:rPr>
              <w:t>Use stable multi-year incentives and market-access commitments</w:t>
            </w:r>
          </w:p>
        </w:tc>
      </w:tr>
    </w:tbl>
    <w:p>
      <w:pPr>
        <w:spacing w:after="20"/>
      </w:pPr>
    </w:p>
    <w:p>
      <w:r>
        <w:br w:type="page"/>
      </w:r>
    </w:p>
    <w:p>
      <w:pPr>
        <w:pStyle w:val="Heading1"/>
        <w:keepNext/>
        <w:spacing w:before="160" w:after="60"/>
      </w:pPr>
      <w:bookmarkStart w:id="751" w:name="_Toc9500751"/>
      <w:r>
        <w:t>Recurring Decision Calendar: Monetary and Macro Signals</w:t>
      </w:r>
      <w:bookmarkEnd w:id="751"/>
    </w:p>
    <w:p>
      <w:r>
        <w:rPr>
          <w:b w:val="0"/>
          <w:i w:val="0"/>
        </w:rPr>
        <w:t>Bank of Canada and Federal Reserve decisions can materially alter exchange rates, borrowing costs, household pressure, business investment, and the interpretation of tariff effects. Major trade announcements should not casually be stacked on top of monetary-policy days unless there is a compelling reason.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Signal</w:t>
            </w:r>
          </w:p>
        </w:tc>
        <w:tc>
          <w:tcPr>
            <w:tcW w:type="dxa" w:w="5083"/>
            <w:shd w:fill="DCE6F1"/>
          </w:tcPr>
          <w:p>
            <w:r>
              <w:rPr>
                <w:b/>
                <w:sz w:val="16"/>
              </w:rPr>
              <w:t>Use</w:t>
            </w:r>
          </w:p>
        </w:tc>
      </w:tr>
      <w:tr>
        <w:tc>
          <w:tcPr>
            <w:tcW w:type="dxa" w:w="5083"/>
            <w:vAlign w:val="top"/>
          </w:tcPr>
          <w:p>
            <w:pPr>
              <w:spacing w:after="0"/>
            </w:pPr>
            <w:r>
              <w:rPr>
                <w:sz w:val="16"/>
              </w:rPr>
              <w:t>Policy-rate decision</w:t>
            </w:r>
          </w:p>
        </w:tc>
        <w:tc>
          <w:tcPr>
            <w:tcW w:type="dxa" w:w="5083"/>
            <w:vAlign w:val="top"/>
          </w:tcPr>
          <w:p>
            <w:pPr>
              <w:spacing w:after="0"/>
            </w:pPr>
            <w:r>
              <w:rPr>
                <w:sz w:val="16"/>
              </w:rPr>
              <w:t>Update financing and exchange-rate assumptions</w:t>
            </w:r>
          </w:p>
        </w:tc>
      </w:tr>
      <w:tr>
        <w:tc>
          <w:tcPr>
            <w:tcW w:type="dxa" w:w="5083"/>
            <w:vAlign w:val="top"/>
          </w:tcPr>
          <w:p>
            <w:pPr>
              <w:spacing w:after="0"/>
            </w:pPr>
            <w:r>
              <w:rPr>
                <w:sz w:val="16"/>
              </w:rPr>
              <w:t>Monetary Policy Report / Fed projections</w:t>
            </w:r>
          </w:p>
        </w:tc>
        <w:tc>
          <w:tcPr>
            <w:tcW w:type="dxa" w:w="5083"/>
            <w:vAlign w:val="top"/>
          </w:tcPr>
          <w:p>
            <w:pPr>
              <w:spacing w:after="0"/>
            </w:pPr>
            <w:r>
              <w:rPr>
                <w:sz w:val="16"/>
              </w:rPr>
              <w:t>Refresh growth, inflation and risk baseline</w:t>
            </w:r>
          </w:p>
        </w:tc>
      </w:tr>
      <w:tr>
        <w:tc>
          <w:tcPr>
            <w:tcW w:type="dxa" w:w="5083"/>
            <w:vAlign w:val="top"/>
          </w:tcPr>
          <w:p>
            <w:pPr>
              <w:spacing w:after="0"/>
            </w:pPr>
            <w:r>
              <w:rPr>
                <w:sz w:val="16"/>
              </w:rPr>
              <w:t>Employment reports</w:t>
            </w:r>
          </w:p>
        </w:tc>
        <w:tc>
          <w:tcPr>
            <w:tcW w:type="dxa" w:w="5083"/>
            <w:vAlign w:val="top"/>
          </w:tcPr>
          <w:p>
            <w:pPr>
              <w:spacing w:after="0"/>
            </w:pPr>
            <w:r>
              <w:rPr>
                <w:sz w:val="16"/>
              </w:rPr>
              <w:t>Track sectoral labour stress and political salience</w:t>
            </w:r>
          </w:p>
        </w:tc>
      </w:tr>
      <w:tr>
        <w:tc>
          <w:tcPr>
            <w:tcW w:type="dxa" w:w="5083"/>
            <w:vAlign w:val="top"/>
          </w:tcPr>
          <w:p>
            <w:pPr>
              <w:spacing w:after="0"/>
            </w:pPr>
            <w:r>
              <w:rPr>
                <w:sz w:val="16"/>
              </w:rPr>
              <w:t>CPI/PCE inflation</w:t>
            </w:r>
          </w:p>
        </w:tc>
        <w:tc>
          <w:tcPr>
            <w:tcW w:type="dxa" w:w="5083"/>
            <w:vAlign w:val="top"/>
          </w:tcPr>
          <w:p>
            <w:pPr>
              <w:spacing w:after="0"/>
            </w:pPr>
            <w:r>
              <w:rPr>
                <w:sz w:val="16"/>
              </w:rPr>
              <w:t>Separate tariff pass-through from broader inflation where possible</w:t>
            </w:r>
          </w:p>
        </w:tc>
      </w:tr>
      <w:tr>
        <w:tc>
          <w:tcPr>
            <w:tcW w:type="dxa" w:w="5083"/>
            <w:vAlign w:val="top"/>
          </w:tcPr>
          <w:p>
            <w:pPr>
              <w:spacing w:after="0"/>
            </w:pPr>
            <w:r>
              <w:rPr>
                <w:sz w:val="16"/>
              </w:rPr>
              <w:t>Trade data</w:t>
            </w:r>
          </w:p>
        </w:tc>
        <w:tc>
          <w:tcPr>
            <w:tcW w:type="dxa" w:w="5083"/>
            <w:vAlign w:val="top"/>
          </w:tcPr>
          <w:p>
            <w:pPr>
              <w:spacing w:after="0"/>
            </w:pPr>
            <w:r>
              <w:rPr>
                <w:sz w:val="16"/>
              </w:rPr>
              <w:t>Measure diversion, substitution and bilateral contraction</w:t>
            </w:r>
          </w:p>
        </w:tc>
      </w:tr>
      <w:tr>
        <w:tc>
          <w:tcPr>
            <w:tcW w:type="dxa" w:w="5083"/>
            <w:vAlign w:val="top"/>
          </w:tcPr>
          <w:p>
            <w:pPr>
              <w:spacing w:after="0"/>
            </w:pPr>
            <w:r>
              <w:rPr>
                <w:sz w:val="16"/>
              </w:rPr>
              <w:t>Business surveys</w:t>
            </w:r>
          </w:p>
        </w:tc>
        <w:tc>
          <w:tcPr>
            <w:tcW w:type="dxa" w:w="5083"/>
            <w:vAlign w:val="top"/>
          </w:tcPr>
          <w:p>
            <w:pPr>
              <w:spacing w:after="0"/>
            </w:pPr>
            <w:r>
              <w:rPr>
                <w:sz w:val="16"/>
              </w:rPr>
              <w:t>Detect investment delay, uncertainty and capacity constraints</w:t>
            </w:r>
          </w:p>
        </w:tc>
      </w:tr>
    </w:tbl>
    <w:p>
      <w:pPr>
        <w:spacing w:after="20"/>
      </w:pPr>
    </w:p>
    <w:p>
      <w:r>
        <w:br w:type="page"/>
      </w:r>
    </w:p>
    <w:p>
      <w:pPr>
        <w:pStyle w:val="Heading1"/>
        <w:keepNext/>
        <w:spacing w:before="160" w:after="60"/>
      </w:pPr>
      <w:bookmarkStart w:id="752" w:name="_Toc9500752"/>
      <w:r>
        <w:t>Decision Playbook A — When to Make an Offer</w:t>
      </w:r>
      <w:bookmarkEnd w:id="752"/>
    </w:p>
    <w:p>
      <w:r>
        <w:rPr>
          <w:b w:val="0"/>
          <w:i w:val="0"/>
        </w:rPr>
        <w:t>An offer should be timed for decision capacity, not weakness theater.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Signal</w:t>
            </w:r>
          </w:p>
        </w:tc>
        <w:tc>
          <w:tcPr>
            <w:tcW w:type="dxa" w:w="5083"/>
            <w:shd w:fill="DCE6F1"/>
          </w:tcPr>
          <w:p>
            <w:r>
              <w:rPr>
                <w:b/>
                <w:sz w:val="16"/>
              </w:rPr>
              <w:t>Weight</w:t>
            </w:r>
          </w:p>
        </w:tc>
      </w:tr>
      <w:tr>
        <w:tc>
          <w:tcPr>
            <w:tcW w:type="dxa" w:w="5083"/>
            <w:vAlign w:val="top"/>
          </w:tcPr>
          <w:p>
            <w:pPr>
              <w:spacing w:after="0"/>
            </w:pPr>
            <w:r>
              <w:rPr>
                <w:sz w:val="16"/>
              </w:rPr>
              <w:t>Counterpart has communicated a negotiable problem rather than maximalist demand</w:t>
            </w:r>
          </w:p>
        </w:tc>
        <w:tc>
          <w:tcPr>
            <w:tcW w:type="dxa" w:w="5083"/>
            <w:vAlign w:val="top"/>
          </w:tcPr>
          <w:p>
            <w:pPr>
              <w:spacing w:after="0"/>
            </w:pPr>
            <w:r>
              <w:rPr>
                <w:sz w:val="16"/>
              </w:rPr>
              <w:t>High</w:t>
            </w:r>
          </w:p>
        </w:tc>
      </w:tr>
      <w:tr>
        <w:tc>
          <w:tcPr>
            <w:tcW w:type="dxa" w:w="5083"/>
            <w:vAlign w:val="top"/>
          </w:tcPr>
          <w:p>
            <w:pPr>
              <w:spacing w:after="0"/>
            </w:pPr>
            <w:r>
              <w:rPr>
                <w:sz w:val="16"/>
              </w:rPr>
              <w:t>Relevant officials and legislators are available</w:t>
            </w:r>
          </w:p>
        </w:tc>
        <w:tc>
          <w:tcPr>
            <w:tcW w:type="dxa" w:w="5083"/>
            <w:vAlign w:val="top"/>
          </w:tcPr>
          <w:p>
            <w:pPr>
              <w:spacing w:after="0"/>
            </w:pPr>
            <w:r>
              <w:rPr>
                <w:sz w:val="16"/>
              </w:rPr>
              <w:t>Medium</w:t>
            </w:r>
          </w:p>
        </w:tc>
      </w:tr>
      <w:tr>
        <w:tc>
          <w:tcPr>
            <w:tcW w:type="dxa" w:w="5083"/>
            <w:vAlign w:val="top"/>
          </w:tcPr>
          <w:p>
            <w:pPr>
              <w:spacing w:after="0"/>
            </w:pPr>
            <w:r>
              <w:rPr>
                <w:sz w:val="16"/>
              </w:rPr>
              <w:t>Canadian coalition is aligned</w:t>
            </w:r>
          </w:p>
        </w:tc>
        <w:tc>
          <w:tcPr>
            <w:tcW w:type="dxa" w:w="5083"/>
            <w:vAlign w:val="top"/>
          </w:tcPr>
          <w:p>
            <w:pPr>
              <w:spacing w:after="0"/>
            </w:pPr>
            <w:r>
              <w:rPr>
                <w:sz w:val="16"/>
              </w:rPr>
              <w:t>High</w:t>
            </w:r>
          </w:p>
        </w:tc>
      </w:tr>
      <w:tr>
        <w:tc>
          <w:tcPr>
            <w:tcW w:type="dxa" w:w="5083"/>
            <w:vAlign w:val="top"/>
          </w:tcPr>
          <w:p>
            <w:pPr>
              <w:spacing w:after="0"/>
            </w:pPr>
            <w:r>
              <w:rPr>
                <w:sz w:val="16"/>
              </w:rPr>
              <w:t>Offer can be verified and implemented</w:t>
            </w:r>
          </w:p>
        </w:tc>
        <w:tc>
          <w:tcPr>
            <w:tcW w:type="dxa" w:w="5083"/>
            <w:vAlign w:val="top"/>
          </w:tcPr>
          <w:p>
            <w:pPr>
              <w:spacing w:after="0"/>
            </w:pPr>
            <w:r>
              <w:rPr>
                <w:sz w:val="16"/>
              </w:rPr>
              <w:t>High</w:t>
            </w:r>
          </w:p>
        </w:tc>
      </w:tr>
      <w:tr>
        <w:tc>
          <w:tcPr>
            <w:tcW w:type="dxa" w:w="5083"/>
            <w:vAlign w:val="top"/>
          </w:tcPr>
          <w:p>
            <w:pPr>
              <w:spacing w:after="0"/>
            </w:pPr>
            <w:r>
              <w:rPr>
                <w:sz w:val="16"/>
              </w:rPr>
              <w:t>Fresh data supports the economic case</w:t>
            </w:r>
          </w:p>
        </w:tc>
        <w:tc>
          <w:tcPr>
            <w:tcW w:type="dxa" w:w="5083"/>
            <w:vAlign w:val="top"/>
          </w:tcPr>
          <w:p>
            <w:pPr>
              <w:spacing w:after="0"/>
            </w:pPr>
            <w:r>
              <w:rPr>
                <w:sz w:val="16"/>
              </w:rPr>
              <w:t>Medium</w:t>
            </w:r>
          </w:p>
        </w:tc>
      </w:tr>
      <w:tr>
        <w:tc>
          <w:tcPr>
            <w:tcW w:type="dxa" w:w="5083"/>
            <w:vAlign w:val="top"/>
          </w:tcPr>
          <w:p>
            <w:pPr>
              <w:spacing w:after="0"/>
            </w:pPr>
            <w:r>
              <w:rPr>
                <w:sz w:val="16"/>
              </w:rPr>
              <w:t>Offer would be misread as panic because of an unrelated emergency</w:t>
            </w:r>
          </w:p>
        </w:tc>
        <w:tc>
          <w:tcPr>
            <w:tcW w:type="dxa" w:w="5083"/>
            <w:vAlign w:val="top"/>
          </w:tcPr>
          <w:p>
            <w:pPr>
              <w:spacing w:after="0"/>
            </w:pPr>
            <w:r>
              <w:rPr>
                <w:sz w:val="16"/>
              </w:rPr>
              <w:t>Negative</w:t>
            </w:r>
          </w:p>
        </w:tc>
      </w:tr>
      <w:tr>
        <w:tc>
          <w:tcPr>
            <w:tcW w:type="dxa" w:w="5083"/>
            <w:vAlign w:val="top"/>
          </w:tcPr>
          <w:p>
            <w:pPr>
              <w:spacing w:after="0"/>
            </w:pPr>
            <w:r>
              <w:rPr>
                <w:sz w:val="16"/>
              </w:rPr>
              <w:t>Election sensitivity makes foreign pressure narrative likely</w:t>
            </w:r>
          </w:p>
        </w:tc>
        <w:tc>
          <w:tcPr>
            <w:tcW w:type="dxa" w:w="5083"/>
            <w:vAlign w:val="top"/>
          </w:tcPr>
          <w:p>
            <w:pPr>
              <w:spacing w:after="0"/>
            </w:pPr>
            <w:r>
              <w:rPr>
                <w:sz w:val="16"/>
              </w:rPr>
              <w:t>Negative</w:t>
            </w:r>
          </w:p>
        </w:tc>
      </w:tr>
    </w:tbl>
    <w:p>
      <w:pPr>
        <w:spacing w:after="20"/>
      </w:pPr>
    </w:p>
    <w:p>
      <w:r>
        <w:rPr>
          <w:b w:val="0"/>
          <w:i w:val="0"/>
        </w:rPr>
        <w:t>Preferred structure: narrow problem statement; Canadian minimum condition; reciprocal action; verification; phased implementation; anti-whipsaw clause; expiry/review; public language that allows both sides to claim responsible governance.</w:t>
      </w:r>
    </w:p>
    <w:p>
      <w:r>
        <w:br w:type="page"/>
      </w:r>
    </w:p>
    <w:p>
      <w:pPr>
        <w:pStyle w:val="Heading1"/>
        <w:keepNext/>
        <w:spacing w:before="160" w:after="60"/>
      </w:pPr>
      <w:bookmarkStart w:id="753" w:name="_Toc9500753"/>
      <w:r>
        <w:t>Decision Playbook B — When to Activate or Adjust Countermeasures</w:t>
      </w:r>
      <w:bookmarkEnd w:id="753"/>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Gate</w:t>
            </w:r>
          </w:p>
        </w:tc>
        <w:tc>
          <w:tcPr>
            <w:tcW w:type="dxa" w:w="5083"/>
            <w:shd w:fill="DCE6F1"/>
          </w:tcPr>
          <w:p>
            <w:r>
              <w:rPr>
                <w:b/>
                <w:sz w:val="16"/>
              </w:rPr>
              <w:t>Pass condition</w:t>
            </w:r>
          </w:p>
        </w:tc>
      </w:tr>
      <w:tr>
        <w:tc>
          <w:tcPr>
            <w:tcW w:type="dxa" w:w="5083"/>
            <w:vAlign w:val="top"/>
          </w:tcPr>
          <w:p>
            <w:pPr>
              <w:spacing w:after="0"/>
            </w:pPr>
            <w:r>
              <w:rPr>
                <w:sz w:val="16"/>
              </w:rPr>
              <w:t>Legal</w:t>
            </w:r>
          </w:p>
        </w:tc>
        <w:tc>
          <w:tcPr>
            <w:tcW w:type="dxa" w:w="5083"/>
            <w:vAlign w:val="top"/>
          </w:tcPr>
          <w:p>
            <w:pPr>
              <w:spacing w:after="0"/>
            </w:pPr>
            <w:r>
              <w:rPr>
                <w:sz w:val="16"/>
              </w:rPr>
              <w:t>Authority and classification confirmed</w:t>
            </w:r>
          </w:p>
        </w:tc>
      </w:tr>
      <w:tr>
        <w:tc>
          <w:tcPr>
            <w:tcW w:type="dxa" w:w="5083"/>
            <w:vAlign w:val="top"/>
          </w:tcPr>
          <w:p>
            <w:pPr>
              <w:spacing w:after="0"/>
            </w:pPr>
            <w:r>
              <w:rPr>
                <w:sz w:val="16"/>
              </w:rPr>
              <w:t>Economic</w:t>
            </w:r>
          </w:p>
        </w:tc>
        <w:tc>
          <w:tcPr>
            <w:tcW w:type="dxa" w:w="5083"/>
            <w:vAlign w:val="top"/>
          </w:tcPr>
          <w:p>
            <w:pPr>
              <w:spacing w:after="0"/>
            </w:pPr>
            <w:r>
              <w:rPr>
                <w:sz w:val="16"/>
              </w:rPr>
              <w:t>Expected Canadian harm remains below approved threshold</w:t>
            </w:r>
          </w:p>
        </w:tc>
      </w:tr>
      <w:tr>
        <w:tc>
          <w:tcPr>
            <w:tcW w:type="dxa" w:w="5083"/>
            <w:vAlign w:val="top"/>
          </w:tcPr>
          <w:p>
            <w:pPr>
              <w:spacing w:after="0"/>
            </w:pPr>
            <w:r>
              <w:rPr>
                <w:sz w:val="16"/>
              </w:rPr>
              <w:t>Substitution</w:t>
            </w:r>
          </w:p>
        </w:tc>
        <w:tc>
          <w:tcPr>
            <w:tcW w:type="dxa" w:w="5083"/>
            <w:vAlign w:val="top"/>
          </w:tcPr>
          <w:p>
            <w:pPr>
              <w:spacing w:after="0"/>
            </w:pPr>
            <w:r>
              <w:rPr>
                <w:sz w:val="16"/>
              </w:rPr>
              <w:t>Alternatives exist or adjustment support is funded</w:t>
            </w:r>
          </w:p>
        </w:tc>
      </w:tr>
      <w:tr>
        <w:tc>
          <w:tcPr>
            <w:tcW w:type="dxa" w:w="5083"/>
            <w:vAlign w:val="top"/>
          </w:tcPr>
          <w:p>
            <w:pPr>
              <w:spacing w:after="0"/>
            </w:pPr>
            <w:r>
              <w:rPr>
                <w:sz w:val="16"/>
              </w:rPr>
              <w:t>Humanitarian</w:t>
            </w:r>
          </w:p>
        </w:tc>
        <w:tc>
          <w:tcPr>
            <w:tcW w:type="dxa" w:w="5083"/>
            <w:vAlign w:val="top"/>
          </w:tcPr>
          <w:p>
            <w:pPr>
              <w:spacing w:after="0"/>
            </w:pPr>
            <w:r>
              <w:rPr>
                <w:sz w:val="16"/>
              </w:rPr>
              <w:t>No unacceptable essential-goods or emergency exposure</w:t>
            </w:r>
          </w:p>
        </w:tc>
      </w:tr>
      <w:tr>
        <w:tc>
          <w:tcPr>
            <w:tcW w:type="dxa" w:w="5083"/>
            <w:vAlign w:val="top"/>
          </w:tcPr>
          <w:p>
            <w:pPr>
              <w:spacing w:after="0"/>
            </w:pPr>
            <w:r>
              <w:rPr>
                <w:sz w:val="16"/>
              </w:rPr>
              <w:t>Timing</w:t>
            </w:r>
          </w:p>
        </w:tc>
        <w:tc>
          <w:tcPr>
            <w:tcW w:type="dxa" w:w="5083"/>
            <w:vAlign w:val="top"/>
          </w:tcPr>
          <w:p>
            <w:pPr>
              <w:spacing w:after="0"/>
            </w:pPr>
            <w:r>
              <w:rPr>
                <w:sz w:val="16"/>
              </w:rPr>
              <w:t>No imminent data/event likely to invalidate rationale</w:t>
            </w:r>
          </w:p>
        </w:tc>
      </w:tr>
      <w:tr>
        <w:tc>
          <w:tcPr>
            <w:tcW w:type="dxa" w:w="5083"/>
            <w:vAlign w:val="top"/>
          </w:tcPr>
          <w:p>
            <w:pPr>
              <w:spacing w:after="0"/>
            </w:pPr>
            <w:r>
              <w:rPr>
                <w:sz w:val="16"/>
              </w:rPr>
              <w:t>Implementation</w:t>
            </w:r>
          </w:p>
        </w:tc>
        <w:tc>
          <w:tcPr>
            <w:tcW w:type="dxa" w:w="5083"/>
            <w:vAlign w:val="top"/>
          </w:tcPr>
          <w:p>
            <w:pPr>
              <w:spacing w:after="0"/>
            </w:pPr>
            <w:r>
              <w:rPr>
                <w:sz w:val="16"/>
              </w:rPr>
              <w:t>CBSA and affected departments can execute cleanly</w:t>
            </w:r>
          </w:p>
        </w:tc>
      </w:tr>
      <w:tr>
        <w:tc>
          <w:tcPr>
            <w:tcW w:type="dxa" w:w="5083"/>
            <w:vAlign w:val="top"/>
          </w:tcPr>
          <w:p>
            <w:pPr>
              <w:spacing w:after="0"/>
            </w:pPr>
            <w:r>
              <w:rPr>
                <w:sz w:val="16"/>
              </w:rPr>
              <w:t>Provincial</w:t>
            </w:r>
          </w:p>
        </w:tc>
        <w:tc>
          <w:tcPr>
            <w:tcW w:type="dxa" w:w="5083"/>
            <w:vAlign w:val="top"/>
          </w:tcPr>
          <w:p>
            <w:pPr>
              <w:spacing w:after="0"/>
            </w:pPr>
            <w:r>
              <w:rPr>
                <w:sz w:val="16"/>
              </w:rPr>
              <w:t>Material regional effects consulted</w:t>
            </w:r>
          </w:p>
        </w:tc>
      </w:tr>
      <w:tr>
        <w:tc>
          <w:tcPr>
            <w:tcW w:type="dxa" w:w="5083"/>
            <w:vAlign w:val="top"/>
          </w:tcPr>
          <w:p>
            <w:pPr>
              <w:spacing w:after="0"/>
            </w:pPr>
            <w:r>
              <w:rPr>
                <w:sz w:val="16"/>
              </w:rPr>
              <w:t>Diplomatic</w:t>
            </w:r>
          </w:p>
        </w:tc>
        <w:tc>
          <w:tcPr>
            <w:tcW w:type="dxa" w:w="5083"/>
            <w:vAlign w:val="top"/>
          </w:tcPr>
          <w:p>
            <w:pPr>
              <w:spacing w:after="0"/>
            </w:pPr>
            <w:r>
              <w:rPr>
                <w:sz w:val="16"/>
              </w:rPr>
              <w:t>Likely interpretation and response assessed</w:t>
            </w:r>
          </w:p>
        </w:tc>
      </w:tr>
      <w:tr>
        <w:tc>
          <w:tcPr>
            <w:tcW w:type="dxa" w:w="5083"/>
            <w:vAlign w:val="top"/>
          </w:tcPr>
          <w:p>
            <w:pPr>
              <w:spacing w:after="0"/>
            </w:pPr>
            <w:r>
              <w:rPr>
                <w:sz w:val="16"/>
              </w:rPr>
              <w:t>Exit</w:t>
            </w:r>
          </w:p>
        </w:tc>
        <w:tc>
          <w:tcPr>
            <w:tcW w:type="dxa" w:w="5083"/>
            <w:vAlign w:val="top"/>
          </w:tcPr>
          <w:p>
            <w:pPr>
              <w:spacing w:after="0"/>
            </w:pPr>
            <w:r>
              <w:rPr>
                <w:sz w:val="16"/>
              </w:rPr>
              <w:t>Suspension/removal mechanism pre-cleared</w:t>
            </w:r>
          </w:p>
        </w:tc>
      </w:tr>
      <w:tr>
        <w:tc>
          <w:tcPr>
            <w:tcW w:type="dxa" w:w="5083"/>
            <w:vAlign w:val="top"/>
          </w:tcPr>
          <w:p>
            <w:pPr>
              <w:spacing w:after="0"/>
            </w:pPr>
            <w:r>
              <w:rPr>
                <w:sz w:val="16"/>
              </w:rPr>
              <w:t>Review</w:t>
            </w:r>
          </w:p>
        </w:tc>
        <w:tc>
          <w:tcPr>
            <w:tcW w:type="dxa" w:w="5083"/>
            <w:vAlign w:val="top"/>
          </w:tcPr>
          <w:p>
            <w:pPr>
              <w:spacing w:after="0"/>
            </w:pPr>
            <w:r>
              <w:rPr>
                <w:sz w:val="16"/>
              </w:rPr>
              <w:t>14/30/60-day metrics assigned</w:t>
            </w:r>
          </w:p>
        </w:tc>
      </w:tr>
    </w:tbl>
    <w:p>
      <w:pPr>
        <w:spacing w:after="20"/>
      </w:pPr>
    </w:p>
    <w:p>
      <w:r>
        <w:rPr>
          <w:b w:val="0"/>
          <w:i w:val="0"/>
        </w:rPr>
        <w:t>A timing advantage is not sufficient by itself. If the action fails the Canadian-harm, humanitarian, legal, or implementation gates, choose another instrument or another date.</w:t>
      </w:r>
    </w:p>
    <w:p>
      <w:r>
        <w:br w:type="page"/>
      </w:r>
    </w:p>
    <w:p>
      <w:pPr>
        <w:pStyle w:val="Heading1"/>
        <w:keepNext/>
        <w:spacing w:before="160" w:after="60"/>
      </w:pPr>
      <w:bookmarkStart w:id="754" w:name="_Toc9500754"/>
      <w:r>
        <w:t>Decision Playbook C — De-Escalation Window</w:t>
      </w:r>
      <w:bookmarkEnd w:id="754"/>
    </w:p>
    <w:p>
      <w:r>
        <w:rPr>
          <w:b w:val="0"/>
          <w:i w:val="0"/>
        </w:rPr>
        <w:t>De-escalation should be operationally easier than escalation. Departments should maintain pre-drafted orders, notices, customs instructions, communications, and verification steps so Canada can respond quickly to a genuine reciprocal move.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Trigger</w:t>
            </w:r>
          </w:p>
        </w:tc>
        <w:tc>
          <w:tcPr>
            <w:tcW w:type="dxa" w:w="5083"/>
            <w:shd w:fill="DCE6F1"/>
          </w:tcPr>
          <w:p>
            <w:r>
              <w:rPr>
                <w:b/>
                <w:sz w:val="16"/>
              </w:rPr>
              <w:t>Response</w:t>
            </w:r>
          </w:p>
        </w:tc>
      </w:tr>
      <w:tr>
        <w:tc>
          <w:tcPr>
            <w:tcW w:type="dxa" w:w="5083"/>
            <w:vAlign w:val="top"/>
          </w:tcPr>
          <w:p>
            <w:pPr>
              <w:spacing w:after="0"/>
            </w:pPr>
            <w:r>
              <w:rPr>
                <w:sz w:val="16"/>
              </w:rPr>
              <w:t>Verified removal of matched U.S. measure</w:t>
            </w:r>
          </w:p>
        </w:tc>
        <w:tc>
          <w:tcPr>
            <w:tcW w:type="dxa" w:w="5083"/>
            <w:vAlign w:val="top"/>
          </w:tcPr>
          <w:p>
            <w:pPr>
              <w:spacing w:after="0"/>
            </w:pPr>
            <w:r>
              <w:rPr>
                <w:sz w:val="16"/>
              </w:rPr>
              <w:t>Activate pre-cleared reciprocal suspension/removal</w:t>
            </w:r>
          </w:p>
        </w:tc>
      </w:tr>
      <w:tr>
        <w:tc>
          <w:tcPr>
            <w:tcW w:type="dxa" w:w="5083"/>
            <w:vAlign w:val="top"/>
          </w:tcPr>
          <w:p>
            <w:pPr>
              <w:spacing w:after="0"/>
            </w:pPr>
            <w:r>
              <w:rPr>
                <w:sz w:val="16"/>
              </w:rPr>
              <w:t>Temporary U.S. suspension</w:t>
            </w:r>
          </w:p>
        </w:tc>
        <w:tc>
          <w:tcPr>
            <w:tcW w:type="dxa" w:w="5083"/>
            <w:vAlign w:val="top"/>
          </w:tcPr>
          <w:p>
            <w:pPr>
              <w:spacing w:after="0"/>
            </w:pPr>
            <w:r>
              <w:rPr>
                <w:sz w:val="16"/>
              </w:rPr>
              <w:t>Consider matched temporary Canadian suspension with anti-whipsaw restoration</w:t>
            </w:r>
          </w:p>
        </w:tc>
      </w:tr>
      <w:tr>
        <w:tc>
          <w:tcPr>
            <w:tcW w:type="dxa" w:w="5083"/>
            <w:vAlign w:val="top"/>
          </w:tcPr>
          <w:p>
            <w:pPr>
              <w:spacing w:after="0"/>
            </w:pPr>
            <w:r>
              <w:rPr>
                <w:sz w:val="16"/>
              </w:rPr>
              <w:t>Sectoral cure</w:t>
            </w:r>
          </w:p>
        </w:tc>
        <w:tc>
          <w:tcPr>
            <w:tcW w:type="dxa" w:w="5083"/>
            <w:vAlign w:val="top"/>
          </w:tcPr>
          <w:p>
            <w:pPr>
              <w:spacing w:after="0"/>
            </w:pPr>
            <w:r>
              <w:rPr>
                <w:sz w:val="16"/>
              </w:rPr>
              <w:t>Remove or narrow corresponding Canadian measure where proportional</w:t>
            </w:r>
          </w:p>
        </w:tc>
      </w:tr>
      <w:tr>
        <w:tc>
          <w:tcPr>
            <w:tcW w:type="dxa" w:w="5083"/>
            <w:vAlign w:val="top"/>
          </w:tcPr>
          <w:p>
            <w:pPr>
              <w:spacing w:after="0"/>
            </w:pPr>
            <w:r>
              <w:rPr>
                <w:sz w:val="16"/>
              </w:rPr>
              <w:t>Negotiating standstill</w:t>
            </w:r>
          </w:p>
        </w:tc>
        <w:tc>
          <w:tcPr>
            <w:tcW w:type="dxa" w:w="5083"/>
            <w:vAlign w:val="top"/>
          </w:tcPr>
          <w:p>
            <w:pPr>
              <w:spacing w:after="0"/>
            </w:pPr>
            <w:r>
              <w:rPr>
                <w:sz w:val="16"/>
              </w:rPr>
              <w:t>Freeze new escalation while preserving existing legal rights</w:t>
            </w:r>
          </w:p>
        </w:tc>
      </w:tr>
      <w:tr>
        <w:tc>
          <w:tcPr>
            <w:tcW w:type="dxa" w:w="5083"/>
            <w:vAlign w:val="top"/>
          </w:tcPr>
          <w:p>
            <w:pPr>
              <w:spacing w:after="0"/>
            </w:pPr>
            <w:r>
              <w:rPr>
                <w:sz w:val="16"/>
              </w:rPr>
              <w:t>Ambiguous political statement</w:t>
            </w:r>
          </w:p>
        </w:tc>
        <w:tc>
          <w:tcPr>
            <w:tcW w:type="dxa" w:w="5083"/>
            <w:vAlign w:val="top"/>
          </w:tcPr>
          <w:p>
            <w:pPr>
              <w:spacing w:after="0"/>
            </w:pPr>
            <w:r>
              <w:rPr>
                <w:sz w:val="16"/>
              </w:rPr>
              <w:t>Do not move solely on rhetoric; seek verification</w:t>
            </w:r>
          </w:p>
        </w:tc>
      </w:tr>
      <w:tr>
        <w:tc>
          <w:tcPr>
            <w:tcW w:type="dxa" w:w="5083"/>
            <w:vAlign w:val="top"/>
          </w:tcPr>
          <w:p>
            <w:pPr>
              <w:spacing w:after="0"/>
            </w:pPr>
            <w:r>
              <w:rPr>
                <w:sz w:val="16"/>
              </w:rPr>
              <w:t>Emergency cooperation request</w:t>
            </w:r>
          </w:p>
        </w:tc>
        <w:tc>
          <w:tcPr>
            <w:tcW w:type="dxa" w:w="5083"/>
            <w:vAlign w:val="top"/>
          </w:tcPr>
          <w:p>
            <w:pPr>
              <w:spacing w:after="0"/>
            </w:pPr>
            <w:r>
              <w:rPr>
                <w:sz w:val="16"/>
              </w:rPr>
              <w:t>Separate life-safety cooperation from trade bargaining</w:t>
            </w:r>
          </w:p>
        </w:tc>
      </w:tr>
    </w:tbl>
    <w:p>
      <w:pPr>
        <w:spacing w:after="20"/>
      </w:pPr>
    </w:p>
    <w:p>
      <w:r>
        <w:br w:type="page"/>
      </w:r>
    </w:p>
    <w:p>
      <w:pPr>
        <w:pStyle w:val="Heading1"/>
        <w:keepNext/>
        <w:spacing w:before="160" w:after="60"/>
      </w:pPr>
      <w:bookmarkStart w:id="755" w:name="_Toc9500755"/>
      <w:r>
        <w:t>Decision Playbook D — Announcement Timing</w:t>
      </w:r>
      <w:bookmarkEnd w:id="755"/>
    </w:p>
    <w:p>
      <w:pPr>
        <w:pStyle w:val="ListBullet"/>
      </w:pPr>
      <w:r>
        <w:t>Do not bury complex tariff changes late on a Friday unless operational necessity requires it.</w:t>
      </w:r>
    </w:p>
    <w:p>
      <w:pPr>
        <w:pStyle w:val="ListBullet"/>
      </w:pPr>
      <w:r>
        <w:t>Give customs, businesses, provinces and essential-service operators enough lead time to understand scope.</w:t>
      </w:r>
    </w:p>
    <w:p>
      <w:pPr>
        <w:pStyle w:val="ListBullet"/>
      </w:pPr>
      <w:r>
        <w:t>Publish machine-readable schedules and plain-language summaries together.</w:t>
      </w:r>
    </w:p>
    <w:p>
      <w:pPr>
        <w:pStyle w:val="ListBullet"/>
      </w:pPr>
      <w:r>
        <w:t>Where markets are sensitive, coordinate disclosure to avoid selective information.</w:t>
      </w:r>
    </w:p>
    <w:p>
      <w:pPr>
        <w:pStyle w:val="ListBullet"/>
      </w:pPr>
      <w:r>
        <w:t>Avoid major announcements during acute disasters unless the measure addresses the disaster.</w:t>
      </w:r>
    </w:p>
    <w:p>
      <w:pPr>
        <w:pStyle w:val="ListBullet"/>
      </w:pPr>
      <w:r>
        <w:t>During U.S. election-sensitive periods, keep language factual and policy-specific and avoid calls for American political action.</w:t>
      </w:r>
    </w:p>
    <w:p>
      <w:pPr>
        <w:pStyle w:val="ListBullet"/>
      </w:pPr>
      <w:r>
        <w:t>Pair announcement with Canadian support measures when material domestic adjustment is expected.</w:t>
      </w:r>
    </w:p>
    <w:p>
      <w:pPr>
        <w:pStyle w:val="ListBullet"/>
      </w:pPr>
      <w:r>
        <w:t>State the next review date at launch.</w:t>
      </w:r>
    </w:p>
    <w:p>
      <w:r>
        <w:br w:type="page"/>
      </w:r>
    </w:p>
    <w:p>
      <w:pPr>
        <w:pStyle w:val="Heading1"/>
        <w:keepNext/>
        <w:spacing w:before="160" w:after="60"/>
      </w:pPr>
      <w:bookmarkStart w:id="756" w:name="_Toc9500756"/>
      <w:r>
        <w:t>Decision Playbook E — Strategic Initiative Without Civilian Harm</w:t>
      </w:r>
      <w:bookmarkEnd w:id="756"/>
    </w:p>
    <w:p>
      <w:r>
        <w:rPr>
          <w:b w:val="0"/>
          <w:i w:val="0"/>
        </w:rPr>
        <w:t>Canada need not remain mechanically reactive. Initiative can be seized through actions that improve Canada's bargaining position without manufacturing scarcity.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Initiative</w:t>
            </w:r>
          </w:p>
        </w:tc>
        <w:tc>
          <w:tcPr>
            <w:tcW w:type="dxa" w:w="5083"/>
            <w:shd w:fill="DCE6F1"/>
          </w:tcPr>
          <w:p>
            <w:r>
              <w:rPr>
                <w:b/>
                <w:sz w:val="16"/>
              </w:rPr>
              <w:t>Timing logic</w:t>
            </w:r>
          </w:p>
        </w:tc>
      </w:tr>
      <w:tr>
        <w:tc>
          <w:tcPr>
            <w:tcW w:type="dxa" w:w="5083"/>
            <w:vAlign w:val="top"/>
          </w:tcPr>
          <w:p>
            <w:pPr>
              <w:spacing w:after="0"/>
            </w:pPr>
            <w:r>
              <w:rPr>
                <w:sz w:val="16"/>
              </w:rPr>
              <w:t>Accelerated diversification agreement</w:t>
            </w:r>
          </w:p>
        </w:tc>
        <w:tc>
          <w:tcPr>
            <w:tcW w:type="dxa" w:w="5083"/>
            <w:vAlign w:val="top"/>
          </w:tcPr>
          <w:p>
            <w:pPr>
              <w:spacing w:after="0"/>
            </w:pPr>
            <w:r>
              <w:rPr>
                <w:sz w:val="16"/>
              </w:rPr>
              <w:t>Announce when partner and implementation pathway are mature</w:t>
            </w:r>
          </w:p>
        </w:tc>
      </w:tr>
      <w:tr>
        <w:tc>
          <w:tcPr>
            <w:tcW w:type="dxa" w:w="5083"/>
            <w:vAlign w:val="top"/>
          </w:tcPr>
          <w:p>
            <w:pPr>
              <w:spacing w:after="0"/>
            </w:pPr>
            <w:r>
              <w:rPr>
                <w:sz w:val="16"/>
              </w:rPr>
              <w:t>Strategic procurement shift</w:t>
            </w:r>
          </w:p>
        </w:tc>
        <w:tc>
          <w:tcPr>
            <w:tcW w:type="dxa" w:w="5083"/>
            <w:vAlign w:val="top"/>
          </w:tcPr>
          <w:p>
            <w:pPr>
              <w:spacing w:after="0"/>
            </w:pPr>
            <w:r>
              <w:rPr>
                <w:sz w:val="16"/>
              </w:rPr>
              <w:t>Align with budget/procurement cycle and supplier readiness</w:t>
            </w:r>
          </w:p>
        </w:tc>
      </w:tr>
      <w:tr>
        <w:tc>
          <w:tcPr>
            <w:tcW w:type="dxa" w:w="5083"/>
            <w:vAlign w:val="top"/>
          </w:tcPr>
          <w:p>
            <w:pPr>
              <w:spacing w:after="0"/>
            </w:pPr>
            <w:r>
              <w:rPr>
                <w:sz w:val="16"/>
              </w:rPr>
              <w:t>Domestic substitution investment</w:t>
            </w:r>
          </w:p>
        </w:tc>
        <w:tc>
          <w:tcPr>
            <w:tcW w:type="dxa" w:w="5083"/>
            <w:vAlign w:val="top"/>
          </w:tcPr>
          <w:p>
            <w:pPr>
              <w:spacing w:after="0"/>
            </w:pPr>
            <w:r>
              <w:rPr>
                <w:sz w:val="16"/>
              </w:rPr>
              <w:t>Launch before capital-planning and construction seasons where possible</w:t>
            </w:r>
          </w:p>
        </w:tc>
      </w:tr>
      <w:tr>
        <w:tc>
          <w:tcPr>
            <w:tcW w:type="dxa" w:w="5083"/>
            <w:vAlign w:val="top"/>
          </w:tcPr>
          <w:p>
            <w:pPr>
              <w:spacing w:after="0"/>
            </w:pPr>
            <w:r>
              <w:rPr>
                <w:sz w:val="16"/>
              </w:rPr>
              <w:t>Infrastructure corridor</w:t>
            </w:r>
          </w:p>
        </w:tc>
        <w:tc>
          <w:tcPr>
            <w:tcW w:type="dxa" w:w="5083"/>
            <w:vAlign w:val="top"/>
          </w:tcPr>
          <w:p>
            <w:pPr>
              <w:spacing w:after="0"/>
            </w:pPr>
            <w:r>
              <w:rPr>
                <w:sz w:val="16"/>
              </w:rPr>
              <w:t>Align permitting, provincial consent, financing and construction windows</w:t>
            </w:r>
          </w:p>
        </w:tc>
      </w:tr>
      <w:tr>
        <w:tc>
          <w:tcPr>
            <w:tcW w:type="dxa" w:w="5083"/>
            <w:vAlign w:val="top"/>
          </w:tcPr>
          <w:p>
            <w:pPr>
              <w:spacing w:after="0"/>
            </w:pPr>
            <w:r>
              <w:rPr>
                <w:sz w:val="16"/>
              </w:rPr>
              <w:t>Joint allied market-access package</w:t>
            </w:r>
          </w:p>
        </w:tc>
        <w:tc>
          <w:tcPr>
            <w:tcW w:type="dxa" w:w="5083"/>
            <w:vAlign w:val="top"/>
          </w:tcPr>
          <w:p>
            <w:pPr>
              <w:spacing w:after="0"/>
            </w:pPr>
            <w:r>
              <w:rPr>
                <w:sz w:val="16"/>
              </w:rPr>
              <w:t>Coordinate around summits or ministerial meetings</w:t>
            </w:r>
          </w:p>
        </w:tc>
      </w:tr>
      <w:tr>
        <w:tc>
          <w:tcPr>
            <w:tcW w:type="dxa" w:w="5083"/>
            <w:vAlign w:val="top"/>
          </w:tcPr>
          <w:p>
            <w:pPr>
              <w:spacing w:after="0"/>
            </w:pPr>
            <w:r>
              <w:rPr>
                <w:sz w:val="16"/>
              </w:rPr>
              <w:t>Time-limited settlement package</w:t>
            </w:r>
          </w:p>
        </w:tc>
        <w:tc>
          <w:tcPr>
            <w:tcW w:type="dxa" w:w="5083"/>
            <w:vAlign w:val="top"/>
          </w:tcPr>
          <w:p>
            <w:pPr>
              <w:spacing w:after="0"/>
            </w:pPr>
            <w:r>
              <w:rPr>
                <w:sz w:val="16"/>
              </w:rPr>
              <w:t>Use when counterpart decision capacity and Canadian coalition align</w:t>
            </w:r>
          </w:p>
        </w:tc>
      </w:tr>
      <w:tr>
        <w:tc>
          <w:tcPr>
            <w:tcW w:type="dxa" w:w="5083"/>
            <w:vAlign w:val="top"/>
          </w:tcPr>
          <w:p>
            <w:pPr>
              <w:spacing w:after="0"/>
            </w:pPr>
            <w:r>
              <w:rPr>
                <w:sz w:val="16"/>
              </w:rPr>
              <w:t>Regulatory simplification for non-U.S. partners</w:t>
            </w:r>
          </w:p>
        </w:tc>
        <w:tc>
          <w:tcPr>
            <w:tcW w:type="dxa" w:w="5083"/>
            <w:vAlign w:val="top"/>
          </w:tcPr>
          <w:p>
            <w:pPr>
              <w:spacing w:after="0"/>
            </w:pPr>
            <w:r>
              <w:rPr>
                <w:sz w:val="16"/>
              </w:rPr>
              <w:t>Sequence before expected import substitution need</w:t>
            </w:r>
          </w:p>
        </w:tc>
      </w:tr>
      <w:tr>
        <w:tc>
          <w:tcPr>
            <w:tcW w:type="dxa" w:w="5083"/>
            <w:vAlign w:val="top"/>
          </w:tcPr>
          <w:p>
            <w:pPr>
              <w:spacing w:after="0"/>
            </w:pPr>
            <w:r>
              <w:rPr>
                <w:sz w:val="16"/>
              </w:rPr>
              <w:t>Stockpile / resilience build</w:t>
            </w:r>
          </w:p>
        </w:tc>
        <w:tc>
          <w:tcPr>
            <w:tcW w:type="dxa" w:w="5083"/>
            <w:vAlign w:val="top"/>
          </w:tcPr>
          <w:p>
            <w:pPr>
              <w:spacing w:after="0"/>
            </w:pPr>
            <w:r>
              <w:rPr>
                <w:sz w:val="16"/>
              </w:rPr>
              <w:t>Accumulate in normal markets, not during shortages</w:t>
            </w:r>
          </w:p>
        </w:tc>
      </w:tr>
    </w:tbl>
    <w:p>
      <w:pPr>
        <w:spacing w:after="20"/>
      </w:pPr>
    </w:p>
    <w:p>
      <w:r>
        <w:br w:type="page"/>
      </w:r>
    </w:p>
    <w:p>
      <w:pPr>
        <w:pStyle w:val="Heading1"/>
        <w:keepNext/>
        <w:spacing w:before="160" w:after="60"/>
      </w:pPr>
      <w:bookmarkStart w:id="757" w:name="_Toc9500757"/>
      <w:r>
        <w:t>Weekly Campaign Timing Dashboard</w:t>
      </w:r>
      <w:bookmarkEnd w:id="757"/>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Question</w:t>
            </w:r>
          </w:p>
        </w:tc>
        <w:tc>
          <w:tcPr>
            <w:tcW w:type="dxa" w:w="5083"/>
            <w:shd w:fill="DCE6F1"/>
          </w:tcPr>
          <w:p>
            <w:r>
              <w:rPr>
                <w:b/>
                <w:sz w:val="16"/>
              </w:rPr>
              <w:t>Status field</w:t>
            </w:r>
          </w:p>
        </w:tc>
      </w:tr>
      <w:tr>
        <w:tc>
          <w:tcPr>
            <w:tcW w:type="dxa" w:w="5083"/>
            <w:vAlign w:val="top"/>
          </w:tcPr>
          <w:p>
            <w:pPr>
              <w:spacing w:after="0"/>
            </w:pPr>
            <w:r>
              <w:rPr>
                <w:sz w:val="16"/>
              </w:rPr>
              <w:t>What changed in the last 7 days?</w:t>
            </w:r>
          </w:p>
        </w:tc>
        <w:tc>
          <w:tcPr>
            <w:tcW w:type="dxa" w:w="5083"/>
            <w:vAlign w:val="top"/>
          </w:tcPr>
          <w:p>
            <w:pPr>
              <w:spacing w:after="0"/>
            </w:pPr>
            <w:r>
              <w:rPr>
                <w:sz w:val="16"/>
              </w:rPr>
            </w:r>
          </w:p>
        </w:tc>
      </w:tr>
      <w:tr>
        <w:tc>
          <w:tcPr>
            <w:tcW w:type="dxa" w:w="5083"/>
            <w:vAlign w:val="top"/>
          </w:tcPr>
          <w:p>
            <w:pPr>
              <w:spacing w:after="0"/>
            </w:pPr>
            <w:r>
              <w:rPr>
                <w:sz w:val="16"/>
              </w:rPr>
              <w:t>Next 30-day fixed dates?</w:t>
            </w:r>
          </w:p>
        </w:tc>
        <w:tc>
          <w:tcPr>
            <w:tcW w:type="dxa" w:w="5083"/>
            <w:vAlign w:val="top"/>
          </w:tcPr>
          <w:p>
            <w:pPr>
              <w:spacing w:after="0"/>
            </w:pPr>
            <w:r>
              <w:rPr>
                <w:sz w:val="16"/>
              </w:rPr>
            </w:r>
          </w:p>
        </w:tc>
      </w:tr>
      <w:tr>
        <w:tc>
          <w:tcPr>
            <w:tcW w:type="dxa" w:w="5083"/>
            <w:vAlign w:val="top"/>
          </w:tcPr>
          <w:p>
            <w:pPr>
              <w:spacing w:after="0"/>
            </w:pPr>
            <w:r>
              <w:rPr>
                <w:sz w:val="16"/>
              </w:rPr>
              <w:t>Next 60-day preparation windows?</w:t>
            </w:r>
          </w:p>
        </w:tc>
        <w:tc>
          <w:tcPr>
            <w:tcW w:type="dxa" w:w="5083"/>
            <w:vAlign w:val="top"/>
          </w:tcPr>
          <w:p>
            <w:pPr>
              <w:spacing w:after="0"/>
            </w:pPr>
            <w:r>
              <w:rPr>
                <w:sz w:val="16"/>
              </w:rPr>
            </w:r>
          </w:p>
        </w:tc>
      </w:tr>
      <w:tr>
        <w:tc>
          <w:tcPr>
            <w:tcW w:type="dxa" w:w="5083"/>
            <w:vAlign w:val="top"/>
          </w:tcPr>
          <w:p>
            <w:pPr>
              <w:spacing w:after="0"/>
            </w:pPr>
            <w:r>
              <w:rPr>
                <w:sz w:val="16"/>
              </w:rPr>
              <w:t>Congress: in session, district work, election sensitivity?</w:t>
            </w:r>
          </w:p>
        </w:tc>
        <w:tc>
          <w:tcPr>
            <w:tcW w:type="dxa" w:w="5083"/>
            <w:vAlign w:val="top"/>
          </w:tcPr>
          <w:p>
            <w:pPr>
              <w:spacing w:after="0"/>
            </w:pPr>
            <w:r>
              <w:rPr>
                <w:sz w:val="16"/>
              </w:rPr>
            </w:r>
          </w:p>
        </w:tc>
      </w:tr>
      <w:tr>
        <w:tc>
          <w:tcPr>
            <w:tcW w:type="dxa" w:w="5083"/>
            <w:vAlign w:val="top"/>
          </w:tcPr>
          <w:p>
            <w:pPr>
              <w:spacing w:after="0"/>
            </w:pPr>
            <w:r>
              <w:rPr>
                <w:sz w:val="16"/>
              </w:rPr>
              <w:t>Canada: Parliament / fiscal / Cabinet implementation capacity?</w:t>
            </w:r>
          </w:p>
        </w:tc>
        <w:tc>
          <w:tcPr>
            <w:tcW w:type="dxa" w:w="5083"/>
            <w:vAlign w:val="top"/>
          </w:tcPr>
          <w:p>
            <w:pPr>
              <w:spacing w:after="0"/>
            </w:pPr>
            <w:r>
              <w:rPr>
                <w:sz w:val="16"/>
              </w:rPr>
            </w:r>
          </w:p>
        </w:tc>
      </w:tr>
      <w:tr>
        <w:tc>
          <w:tcPr>
            <w:tcW w:type="dxa" w:w="5083"/>
            <w:vAlign w:val="top"/>
          </w:tcPr>
          <w:p>
            <w:pPr>
              <w:spacing w:after="0"/>
            </w:pPr>
            <w:r>
              <w:rPr>
                <w:sz w:val="16"/>
              </w:rPr>
              <w:t>Agriculture: planting/growing/harvest + next USDA releases?</w:t>
            </w:r>
          </w:p>
        </w:tc>
        <w:tc>
          <w:tcPr>
            <w:tcW w:type="dxa" w:w="5083"/>
            <w:vAlign w:val="top"/>
          </w:tcPr>
          <w:p>
            <w:pPr>
              <w:spacing w:after="0"/>
            </w:pPr>
            <w:r>
              <w:rPr>
                <w:sz w:val="16"/>
              </w:rPr>
            </w:r>
          </w:p>
        </w:tc>
      </w:tr>
      <w:tr>
        <w:tc>
          <w:tcPr>
            <w:tcW w:type="dxa" w:w="5083"/>
            <w:vAlign w:val="top"/>
          </w:tcPr>
          <w:p>
            <w:pPr>
              <w:spacing w:after="0"/>
            </w:pPr>
            <w:r>
              <w:rPr>
                <w:sz w:val="16"/>
              </w:rPr>
              <w:t>Energy: inventories, maintenance, severe-weather risk?</w:t>
            </w:r>
          </w:p>
        </w:tc>
        <w:tc>
          <w:tcPr>
            <w:tcW w:type="dxa" w:w="5083"/>
            <w:vAlign w:val="top"/>
          </w:tcPr>
          <w:p>
            <w:pPr>
              <w:spacing w:after="0"/>
            </w:pPr>
            <w:r>
              <w:rPr>
                <w:sz w:val="16"/>
              </w:rPr>
            </w:r>
          </w:p>
        </w:tc>
      </w:tr>
      <w:tr>
        <w:tc>
          <w:tcPr>
            <w:tcW w:type="dxa" w:w="5083"/>
            <w:vAlign w:val="top"/>
          </w:tcPr>
          <w:p>
            <w:pPr>
              <w:spacing w:after="0"/>
            </w:pPr>
            <w:r>
              <w:rPr>
                <w:sz w:val="16"/>
              </w:rPr>
              <w:t>Auto/manufacturing: shutdowns, launches, contract/investment events?</w:t>
            </w:r>
          </w:p>
        </w:tc>
        <w:tc>
          <w:tcPr>
            <w:tcW w:type="dxa" w:w="5083"/>
            <w:vAlign w:val="top"/>
          </w:tcPr>
          <w:p>
            <w:pPr>
              <w:spacing w:after="0"/>
            </w:pPr>
            <w:r>
              <w:rPr>
                <w:sz w:val="16"/>
              </w:rPr>
            </w:r>
          </w:p>
        </w:tc>
      </w:tr>
      <w:tr>
        <w:tc>
          <w:tcPr>
            <w:tcW w:type="dxa" w:w="5083"/>
            <w:vAlign w:val="top"/>
          </w:tcPr>
          <w:p>
            <w:pPr>
              <w:spacing w:after="0"/>
            </w:pPr>
            <w:r>
              <w:rPr>
                <w:sz w:val="16"/>
              </w:rPr>
              <w:t>Macro: next BoC/Fed/inflation/employment/trade releases?</w:t>
            </w:r>
          </w:p>
        </w:tc>
        <w:tc>
          <w:tcPr>
            <w:tcW w:type="dxa" w:w="5083"/>
            <w:vAlign w:val="top"/>
          </w:tcPr>
          <w:p>
            <w:pPr>
              <w:spacing w:after="0"/>
            </w:pPr>
            <w:r>
              <w:rPr>
                <w:sz w:val="16"/>
              </w:rPr>
            </w:r>
          </w:p>
        </w:tc>
      </w:tr>
      <w:tr>
        <w:tc>
          <w:tcPr>
            <w:tcW w:type="dxa" w:w="5083"/>
            <w:vAlign w:val="top"/>
          </w:tcPr>
          <w:p>
            <w:pPr>
              <w:spacing w:after="0"/>
            </w:pPr>
            <w:r>
              <w:rPr>
                <w:sz w:val="16"/>
              </w:rPr>
              <w:t>Canadian harm indicators worsening?</w:t>
            </w:r>
          </w:p>
        </w:tc>
        <w:tc>
          <w:tcPr>
            <w:tcW w:type="dxa" w:w="5083"/>
            <w:vAlign w:val="top"/>
          </w:tcPr>
          <w:p>
            <w:pPr>
              <w:spacing w:after="0"/>
            </w:pPr>
            <w:r>
              <w:rPr>
                <w:sz w:val="16"/>
              </w:rPr>
            </w:r>
          </w:p>
        </w:tc>
      </w:tr>
      <w:tr>
        <w:tc>
          <w:tcPr>
            <w:tcW w:type="dxa" w:w="5083"/>
            <w:vAlign w:val="top"/>
          </w:tcPr>
          <w:p>
            <w:pPr>
              <w:spacing w:after="0"/>
            </w:pPr>
            <w:r>
              <w:rPr>
                <w:sz w:val="16"/>
              </w:rPr>
              <w:t>U.S. policy movement / de-escalation signals?</w:t>
            </w:r>
          </w:p>
        </w:tc>
        <w:tc>
          <w:tcPr>
            <w:tcW w:type="dxa" w:w="5083"/>
            <w:vAlign w:val="top"/>
          </w:tcPr>
          <w:p>
            <w:pPr>
              <w:spacing w:after="0"/>
            </w:pPr>
            <w:r>
              <w:rPr>
                <w:sz w:val="16"/>
              </w:rPr>
            </w:r>
          </w:p>
        </w:tc>
      </w:tr>
      <w:tr>
        <w:tc>
          <w:tcPr>
            <w:tcW w:type="dxa" w:w="5083"/>
            <w:vAlign w:val="top"/>
          </w:tcPr>
          <w:p>
            <w:pPr>
              <w:spacing w:after="0"/>
            </w:pPr>
            <w:r>
              <w:rPr>
                <w:sz w:val="16"/>
              </w:rPr>
              <w:t>Provincial cohesion concerns?</w:t>
            </w:r>
          </w:p>
        </w:tc>
        <w:tc>
          <w:tcPr>
            <w:tcW w:type="dxa" w:w="5083"/>
            <w:vAlign w:val="top"/>
          </w:tcPr>
          <w:p>
            <w:pPr>
              <w:spacing w:after="0"/>
            </w:pPr>
            <w:r>
              <w:rPr>
                <w:sz w:val="16"/>
              </w:rPr>
            </w:r>
          </w:p>
        </w:tc>
      </w:tr>
      <w:tr>
        <w:tc>
          <w:tcPr>
            <w:tcW w:type="dxa" w:w="5083"/>
            <w:vAlign w:val="top"/>
          </w:tcPr>
          <w:p>
            <w:pPr>
              <w:spacing w:after="0"/>
            </w:pPr>
            <w:r>
              <w:rPr>
                <w:sz w:val="16"/>
              </w:rPr>
              <w:t>Best next offer window?</w:t>
            </w:r>
          </w:p>
        </w:tc>
        <w:tc>
          <w:tcPr>
            <w:tcW w:type="dxa" w:w="5083"/>
            <w:vAlign w:val="top"/>
          </w:tcPr>
          <w:p>
            <w:pPr>
              <w:spacing w:after="0"/>
            </w:pPr>
            <w:r>
              <w:rPr>
                <w:sz w:val="16"/>
              </w:rPr>
            </w:r>
          </w:p>
        </w:tc>
      </w:tr>
      <w:tr>
        <w:tc>
          <w:tcPr>
            <w:tcW w:type="dxa" w:w="5083"/>
            <w:vAlign w:val="top"/>
          </w:tcPr>
          <w:p>
            <w:pPr>
              <w:spacing w:after="0"/>
            </w:pPr>
            <w:r>
              <w:rPr>
                <w:sz w:val="16"/>
              </w:rPr>
              <w:t>Best next announcement window?</w:t>
            </w:r>
          </w:p>
        </w:tc>
        <w:tc>
          <w:tcPr>
            <w:tcW w:type="dxa" w:w="5083"/>
            <w:vAlign w:val="top"/>
          </w:tcPr>
          <w:p>
            <w:pPr>
              <w:spacing w:after="0"/>
            </w:pPr>
            <w:r>
              <w:rPr>
                <w:sz w:val="16"/>
              </w:rPr>
            </w:r>
          </w:p>
        </w:tc>
      </w:tr>
      <w:tr>
        <w:tc>
          <w:tcPr>
            <w:tcW w:type="dxa" w:w="5083"/>
            <w:vAlign w:val="top"/>
          </w:tcPr>
          <w:p>
            <w:pPr>
              <w:spacing w:after="0"/>
            </w:pPr>
            <w:r>
              <w:rPr>
                <w:sz w:val="16"/>
              </w:rPr>
              <w:t>Any RED restraint conditions?</w:t>
            </w:r>
          </w:p>
        </w:tc>
        <w:tc>
          <w:tcPr>
            <w:tcW w:type="dxa" w:w="5083"/>
            <w:vAlign w:val="top"/>
          </w:tcPr>
          <w:p>
            <w:pPr>
              <w:spacing w:after="0"/>
            </w:pPr>
            <w:r>
              <w:rPr>
                <w:sz w:val="16"/>
              </w:rPr>
            </w:r>
          </w:p>
        </w:tc>
      </w:tr>
      <w:tr>
        <w:tc>
          <w:tcPr>
            <w:tcW w:type="dxa" w:w="5083"/>
            <w:vAlign w:val="top"/>
          </w:tcPr>
          <w:p>
            <w:pPr>
              <w:spacing w:after="0"/>
            </w:pPr>
            <w:r>
              <w:rPr>
                <w:sz w:val="16"/>
              </w:rPr>
              <w:t>What decision must be made this week?</w:t>
            </w:r>
          </w:p>
        </w:tc>
        <w:tc>
          <w:tcPr>
            <w:tcW w:type="dxa" w:w="5083"/>
            <w:vAlign w:val="top"/>
          </w:tcPr>
          <w:p>
            <w:pPr>
              <w:spacing w:after="0"/>
            </w:pPr>
            <w:r>
              <w:rPr>
                <w:sz w:val="16"/>
              </w:rPr>
            </w:r>
          </w:p>
        </w:tc>
      </w:tr>
    </w:tbl>
    <w:p>
      <w:pPr>
        <w:spacing w:after="20"/>
      </w:pPr>
    </w:p>
    <w:p>
      <w:pPr>
        <w:pStyle w:val="Heading2"/>
        <w:keepNext/>
        <w:spacing w:before="160" w:after="60"/>
      </w:pPr>
      <w:bookmarkStart w:id="758" w:name="_Toc9500758"/>
      <w:r>
        <w:t>Decision Recommendation Format</w:t>
      </w:r>
      <w:bookmarkEnd w:id="758"/>
    </w:p>
    <w:p>
      <w:r>
        <w:rPr>
          <w:b w:val="0"/>
          <w:i w:val="0"/>
        </w:rPr>
        <w:t>Recommendation: [act / prepare / wait / de-escalate]. Window: [dates]. Objective: [specific]. Evidence: [sources]. Canadian cost: [estimate]. Civilian/essential risk: [screen]. Institutional availability: [assessment]. Implementation lead time: [days]. Off-ramp: [condition]. Review: [date]. Confidence: [high/medium/low].</w:t>
      </w:r>
    </w:p>
    <w:p>
      <w:r>
        <w:br w:type="page"/>
      </w:r>
    </w:p>
    <w:p>
      <w:pPr>
        <w:pStyle w:val="Heading1"/>
        <w:keepNext/>
        <w:spacing w:before="160" w:after="60"/>
      </w:pPr>
      <w:bookmarkStart w:id="759" w:name="_Toc9500759"/>
      <w:r>
        <w:t>Scenario Overlays</w:t>
      </w:r>
      <w:bookmarkEnd w:id="759"/>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F1"/>
          </w:tcPr>
          <w:p>
            <w:r>
              <w:rPr>
                <w:b/>
                <w:sz w:val="16"/>
              </w:rPr>
              <w:t>Scenario</w:t>
            </w:r>
          </w:p>
        </w:tc>
        <w:tc>
          <w:tcPr>
            <w:tcW w:type="dxa" w:w="5083"/>
            <w:shd w:fill="DCE6F1"/>
          </w:tcPr>
          <w:p>
            <w:r>
              <w:rPr>
                <w:b/>
                <w:sz w:val="16"/>
              </w:rPr>
              <w:t>Calendar adaptation</w:t>
            </w:r>
          </w:p>
        </w:tc>
      </w:tr>
      <w:tr>
        <w:tc>
          <w:tcPr>
            <w:tcW w:type="dxa" w:w="5083"/>
            <w:vAlign w:val="top"/>
          </w:tcPr>
          <w:p>
            <w:pPr>
              <w:spacing w:after="0"/>
            </w:pPr>
            <w:r>
              <w:rPr>
                <w:sz w:val="16"/>
              </w:rPr>
              <w:t>Rapid settlement</w:t>
            </w:r>
          </w:p>
        </w:tc>
        <w:tc>
          <w:tcPr>
            <w:tcW w:type="dxa" w:w="5083"/>
            <w:vAlign w:val="top"/>
          </w:tcPr>
          <w:p>
            <w:pPr>
              <w:spacing w:after="0"/>
            </w:pPr>
            <w:r>
              <w:rPr>
                <w:sz w:val="16"/>
              </w:rPr>
              <w:t>Compress de-escalation implementation; shift months from pressure to normalization and verification</w:t>
            </w:r>
          </w:p>
        </w:tc>
      </w:tr>
      <w:tr>
        <w:tc>
          <w:tcPr>
            <w:tcW w:type="dxa" w:w="5083"/>
            <w:vAlign w:val="top"/>
          </w:tcPr>
          <w:p>
            <w:pPr>
              <w:spacing w:after="0"/>
            </w:pPr>
            <w:r>
              <w:rPr>
                <w:sz w:val="16"/>
              </w:rPr>
              <w:t>Prolonged stalemate</w:t>
            </w:r>
          </w:p>
        </w:tc>
        <w:tc>
          <w:tcPr>
            <w:tcW w:type="dxa" w:w="5083"/>
            <w:vAlign w:val="top"/>
          </w:tcPr>
          <w:p>
            <w:pPr>
              <w:spacing w:after="0"/>
            </w:pPr>
            <w:r>
              <w:rPr>
                <w:sz w:val="16"/>
              </w:rPr>
              <w:t>Move from persuade to preserve; prioritize endurance, diversification and relationship continuity</w:t>
            </w:r>
          </w:p>
        </w:tc>
      </w:tr>
      <w:tr>
        <w:tc>
          <w:tcPr>
            <w:tcW w:type="dxa" w:w="5083"/>
            <w:vAlign w:val="top"/>
          </w:tcPr>
          <w:p>
            <w:pPr>
              <w:spacing w:after="0"/>
            </w:pPr>
            <w:r>
              <w:rPr>
                <w:sz w:val="16"/>
              </w:rPr>
              <w:t>New U.S. escalation</w:t>
            </w:r>
          </w:p>
        </w:tc>
        <w:tc>
          <w:tcPr>
            <w:tcW w:type="dxa" w:w="5083"/>
            <w:vAlign w:val="top"/>
          </w:tcPr>
          <w:p>
            <w:pPr>
              <w:spacing w:after="0"/>
            </w:pPr>
            <w:r>
              <w:rPr>
                <w:sz w:val="16"/>
              </w:rPr>
              <w:t>Run legal/economic gates; select proportional instrument; do not assume immediate response is optimal</w:t>
            </w:r>
          </w:p>
        </w:tc>
      </w:tr>
      <w:tr>
        <w:tc>
          <w:tcPr>
            <w:tcW w:type="dxa" w:w="5083"/>
            <w:vAlign w:val="top"/>
          </w:tcPr>
          <w:p>
            <w:pPr>
              <w:spacing w:after="0"/>
            </w:pPr>
            <w:r>
              <w:rPr>
                <w:sz w:val="16"/>
              </w:rPr>
              <w:t>Canadian recession risk</w:t>
            </w:r>
          </w:p>
        </w:tc>
        <w:tc>
          <w:tcPr>
            <w:tcW w:type="dxa" w:w="5083"/>
            <w:vAlign w:val="top"/>
          </w:tcPr>
          <w:p>
            <w:pPr>
              <w:spacing w:after="0"/>
            </w:pPr>
            <w:r>
              <w:rPr>
                <w:sz w:val="16"/>
              </w:rPr>
              <w:t>Raise domestic-harm weighting; accelerate support and diversification; lower tolerance for symbolic measures</w:t>
            </w:r>
          </w:p>
        </w:tc>
      </w:tr>
      <w:tr>
        <w:tc>
          <w:tcPr>
            <w:tcW w:type="dxa" w:w="5083"/>
            <w:vAlign w:val="top"/>
          </w:tcPr>
          <w:p>
            <w:pPr>
              <w:spacing w:after="0"/>
            </w:pPr>
            <w:r>
              <w:rPr>
                <w:sz w:val="16"/>
              </w:rPr>
              <w:t>Severe U.S./Canadian disaster</w:t>
            </w:r>
          </w:p>
        </w:tc>
        <w:tc>
          <w:tcPr>
            <w:tcW w:type="dxa" w:w="5083"/>
            <w:vAlign w:val="top"/>
          </w:tcPr>
          <w:p>
            <w:pPr>
              <w:spacing w:after="0"/>
            </w:pPr>
            <w:r>
              <w:rPr>
                <w:sz w:val="16"/>
              </w:rPr>
              <w:t>Activate RED restraint; separate emergency cooperation from bargaining</w:t>
            </w:r>
          </w:p>
        </w:tc>
      </w:tr>
      <w:tr>
        <w:tc>
          <w:tcPr>
            <w:tcW w:type="dxa" w:w="5083"/>
            <w:vAlign w:val="top"/>
          </w:tcPr>
          <w:p>
            <w:pPr>
              <w:spacing w:after="0"/>
            </w:pPr>
            <w:r>
              <w:rPr>
                <w:sz w:val="16"/>
              </w:rPr>
              <w:t>CUSMA institutional breakthrough</w:t>
            </w:r>
          </w:p>
        </w:tc>
        <w:tc>
          <w:tcPr>
            <w:tcW w:type="dxa" w:w="5083"/>
            <w:vAlign w:val="top"/>
          </w:tcPr>
          <w:p>
            <w:pPr>
              <w:spacing w:after="0"/>
            </w:pPr>
            <w:r>
              <w:rPr>
                <w:sz w:val="16"/>
              </w:rPr>
              <w:t>Prioritize implementation and verification windows over parallel unilateral escalation</w:t>
            </w:r>
          </w:p>
        </w:tc>
      </w:tr>
      <w:tr>
        <w:tc>
          <w:tcPr>
            <w:tcW w:type="dxa" w:w="5083"/>
            <w:vAlign w:val="top"/>
          </w:tcPr>
          <w:p>
            <w:pPr>
              <w:spacing w:after="0"/>
            </w:pPr>
            <w:r>
              <w:rPr>
                <w:sz w:val="16"/>
              </w:rPr>
              <w:t>Provincial cohesion stress</w:t>
            </w:r>
          </w:p>
        </w:tc>
        <w:tc>
          <w:tcPr>
            <w:tcW w:type="dxa" w:w="5083"/>
            <w:vAlign w:val="top"/>
          </w:tcPr>
          <w:p>
            <w:pPr>
              <w:spacing w:after="0"/>
            </w:pPr>
            <w:r>
              <w:rPr>
                <w:sz w:val="16"/>
              </w:rPr>
              <w:t>Delay measures that deepen regional inequity until burden-sharing package is ready</w:t>
            </w:r>
          </w:p>
        </w:tc>
      </w:tr>
      <w:tr>
        <w:tc>
          <w:tcPr>
            <w:tcW w:type="dxa" w:w="5083"/>
            <w:vAlign w:val="top"/>
          </w:tcPr>
          <w:p>
            <w:pPr>
              <w:spacing w:after="0"/>
            </w:pPr>
            <w:r>
              <w:rPr>
                <w:sz w:val="16"/>
              </w:rPr>
              <w:t>Major market shock</w:t>
            </w:r>
          </w:p>
        </w:tc>
        <w:tc>
          <w:tcPr>
            <w:tcW w:type="dxa" w:w="5083"/>
            <w:vAlign w:val="top"/>
          </w:tcPr>
          <w:p>
            <w:pPr>
              <w:spacing w:after="0"/>
            </w:pPr>
            <w:r>
              <w:rPr>
                <w:sz w:val="16"/>
              </w:rPr>
              <w:t>Rebase commodity, FX, inflation and financing assumptions before action</w:t>
            </w:r>
          </w:p>
        </w:tc>
      </w:tr>
    </w:tbl>
    <w:p>
      <w:pPr>
        <w:spacing w:after="20"/>
      </w:pPr>
    </w:p>
    <w:p>
      <w:r>
        <w:br w:type="page"/>
      </w:r>
    </w:p>
    <w:p>
      <w:pPr>
        <w:pStyle w:val="Heading1"/>
        <w:keepNext/>
        <w:spacing w:before="160" w:after="60"/>
      </w:pPr>
      <w:bookmarkStart w:id="760" w:name="_Toc9500760"/>
      <w:r>
        <w:t>18-Month Milestone Reviews</w:t>
      </w:r>
      <w:bookmarkEnd w:id="760"/>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6"/>
              </w:rPr>
              <w:t>Review</w:t>
            </w:r>
          </w:p>
        </w:tc>
        <w:tc>
          <w:tcPr>
            <w:tcW w:type="dxa" w:w="3389"/>
            <w:shd w:fill="DCE6F1"/>
          </w:tcPr>
          <w:p>
            <w:r>
              <w:rPr>
                <w:b/>
                <w:sz w:val="16"/>
              </w:rPr>
              <w:t>Date / band</w:t>
            </w:r>
          </w:p>
        </w:tc>
        <w:tc>
          <w:tcPr>
            <w:tcW w:type="dxa" w:w="3389"/>
            <w:shd w:fill="DCE6F1"/>
          </w:tcPr>
          <w:p>
            <w:r>
              <w:rPr>
                <w:b/>
                <w:sz w:val="16"/>
              </w:rPr>
              <w:t>Required decision</w:t>
            </w:r>
          </w:p>
        </w:tc>
      </w:tr>
      <w:tr>
        <w:tc>
          <w:tcPr>
            <w:tcW w:type="dxa" w:w="3389"/>
            <w:vAlign w:val="top"/>
          </w:tcPr>
          <w:p>
            <w:pPr>
              <w:spacing w:after="0"/>
            </w:pPr>
            <w:r>
              <w:rPr>
                <w:sz w:val="16"/>
              </w:rPr>
              <w:t>30-day implementation review</w:t>
            </w:r>
          </w:p>
        </w:tc>
        <w:tc>
          <w:tcPr>
            <w:tcW w:type="dxa" w:w="3389"/>
            <w:vAlign w:val="top"/>
          </w:tcPr>
          <w:p>
            <w:pPr>
              <w:spacing w:after="0"/>
            </w:pPr>
            <w:r>
              <w:rPr>
                <w:sz w:val="16"/>
              </w:rPr>
              <w:t>Early Oct 2026</w:t>
            </w:r>
          </w:p>
        </w:tc>
        <w:tc>
          <w:tcPr>
            <w:tcW w:type="dxa" w:w="3389"/>
            <w:vAlign w:val="top"/>
          </w:tcPr>
          <w:p>
            <w:pPr>
              <w:spacing w:after="0"/>
            </w:pPr>
            <w:r>
              <w:rPr>
                <w:sz w:val="16"/>
              </w:rPr>
              <w:t>Are Sept 8 measures working cleanly?</w:t>
            </w:r>
          </w:p>
        </w:tc>
      </w:tr>
      <w:tr>
        <w:tc>
          <w:tcPr>
            <w:tcW w:type="dxa" w:w="3389"/>
            <w:vAlign w:val="top"/>
          </w:tcPr>
          <w:p>
            <w:pPr>
              <w:spacing w:after="0"/>
            </w:pPr>
            <w:r>
              <w:rPr>
                <w:sz w:val="16"/>
              </w:rPr>
              <w:t>Post-midterm review</w:t>
            </w:r>
          </w:p>
        </w:tc>
        <w:tc>
          <w:tcPr>
            <w:tcW w:type="dxa" w:w="3389"/>
            <w:vAlign w:val="top"/>
          </w:tcPr>
          <w:p>
            <w:pPr>
              <w:spacing w:after="0"/>
            </w:pPr>
            <w:r>
              <w:rPr>
                <w:sz w:val="16"/>
              </w:rPr>
              <w:t>Nov 4–20, 2026</w:t>
            </w:r>
          </w:p>
        </w:tc>
        <w:tc>
          <w:tcPr>
            <w:tcW w:type="dxa" w:w="3389"/>
            <w:vAlign w:val="top"/>
          </w:tcPr>
          <w:p>
            <w:pPr>
              <w:spacing w:after="0"/>
            </w:pPr>
            <w:r>
              <w:rPr>
                <w:sz w:val="16"/>
              </w:rPr>
              <w:t>Re-map Congress and settlement prospects</w:t>
            </w:r>
          </w:p>
        </w:tc>
      </w:tr>
      <w:tr>
        <w:tc>
          <w:tcPr>
            <w:tcW w:type="dxa" w:w="3389"/>
            <w:vAlign w:val="top"/>
          </w:tcPr>
          <w:p>
            <w:pPr>
              <w:spacing w:after="0"/>
            </w:pPr>
            <w:r>
              <w:rPr>
                <w:sz w:val="16"/>
              </w:rPr>
              <w:t>Year-end strategic review</w:t>
            </w:r>
          </w:p>
        </w:tc>
        <w:tc>
          <w:tcPr>
            <w:tcW w:type="dxa" w:w="3389"/>
            <w:vAlign w:val="top"/>
          </w:tcPr>
          <w:p>
            <w:pPr>
              <w:spacing w:after="0"/>
            </w:pPr>
            <w:r>
              <w:rPr>
                <w:sz w:val="16"/>
              </w:rPr>
              <w:t>Dec 2026</w:t>
            </w:r>
          </w:p>
        </w:tc>
        <w:tc>
          <w:tcPr>
            <w:tcW w:type="dxa" w:w="3389"/>
            <w:vAlign w:val="top"/>
          </w:tcPr>
          <w:p>
            <w:pPr>
              <w:spacing w:after="0"/>
            </w:pPr>
            <w:r>
              <w:rPr>
                <w:sz w:val="16"/>
              </w:rPr>
              <w:t>Continue, adjust, settle, or diversify faster?</w:t>
            </w:r>
          </w:p>
        </w:tc>
      </w:tr>
      <w:tr>
        <w:tc>
          <w:tcPr>
            <w:tcW w:type="dxa" w:w="3389"/>
            <w:vAlign w:val="top"/>
          </w:tcPr>
          <w:p>
            <w:pPr>
              <w:spacing w:after="0"/>
            </w:pPr>
            <w:r>
              <w:rPr>
                <w:sz w:val="16"/>
              </w:rPr>
              <w:t>Winter resilience review</w:t>
            </w:r>
          </w:p>
        </w:tc>
        <w:tc>
          <w:tcPr>
            <w:tcW w:type="dxa" w:w="3389"/>
            <w:vAlign w:val="top"/>
          </w:tcPr>
          <w:p>
            <w:pPr>
              <w:spacing w:after="0"/>
            </w:pPr>
            <w:r>
              <w:rPr>
                <w:sz w:val="16"/>
              </w:rPr>
              <w:t>Feb 2027</w:t>
            </w:r>
          </w:p>
        </w:tc>
        <w:tc>
          <w:tcPr>
            <w:tcW w:type="dxa" w:w="3389"/>
            <w:vAlign w:val="top"/>
          </w:tcPr>
          <w:p>
            <w:pPr>
              <w:spacing w:after="0"/>
            </w:pPr>
            <w:r>
              <w:rPr>
                <w:sz w:val="16"/>
              </w:rPr>
              <w:t>Household/energy/business burden</w:t>
            </w:r>
          </w:p>
        </w:tc>
      </w:tr>
      <w:tr>
        <w:tc>
          <w:tcPr>
            <w:tcW w:type="dxa" w:w="3389"/>
            <w:vAlign w:val="top"/>
          </w:tcPr>
          <w:p>
            <w:pPr>
              <w:spacing w:after="0"/>
            </w:pPr>
            <w:r>
              <w:rPr>
                <w:sz w:val="16"/>
              </w:rPr>
              <w:t>Fiscal-year reset</w:t>
            </w:r>
          </w:p>
        </w:tc>
        <w:tc>
          <w:tcPr>
            <w:tcW w:type="dxa" w:w="3389"/>
            <w:vAlign w:val="top"/>
          </w:tcPr>
          <w:p>
            <w:pPr>
              <w:spacing w:after="0"/>
            </w:pPr>
            <w:r>
              <w:rPr>
                <w:sz w:val="16"/>
              </w:rPr>
              <w:t>Apr 2027</w:t>
            </w:r>
          </w:p>
        </w:tc>
        <w:tc>
          <w:tcPr>
            <w:tcW w:type="dxa" w:w="3389"/>
            <w:vAlign w:val="top"/>
          </w:tcPr>
          <w:p>
            <w:pPr>
              <w:spacing w:after="0"/>
            </w:pPr>
            <w:r>
              <w:rPr>
                <w:sz w:val="16"/>
              </w:rPr>
              <w:t>Fund next phase and adjust support</w:t>
            </w:r>
          </w:p>
        </w:tc>
      </w:tr>
      <w:tr>
        <w:tc>
          <w:tcPr>
            <w:tcW w:type="dxa" w:w="3389"/>
            <w:vAlign w:val="top"/>
          </w:tcPr>
          <w:p>
            <w:pPr>
              <w:spacing w:after="0"/>
            </w:pPr>
            <w:r>
              <w:rPr>
                <w:sz w:val="16"/>
              </w:rPr>
              <w:t>One-year CUSMA review follow-up</w:t>
            </w:r>
          </w:p>
        </w:tc>
        <w:tc>
          <w:tcPr>
            <w:tcW w:type="dxa" w:w="3389"/>
            <w:vAlign w:val="top"/>
          </w:tcPr>
          <w:p>
            <w:pPr>
              <w:spacing w:after="0"/>
            </w:pPr>
            <w:r>
              <w:rPr>
                <w:sz w:val="16"/>
              </w:rPr>
              <w:t>Jul 2027</w:t>
            </w:r>
          </w:p>
        </w:tc>
        <w:tc>
          <w:tcPr>
            <w:tcW w:type="dxa" w:w="3389"/>
            <w:vAlign w:val="top"/>
          </w:tcPr>
          <w:p>
            <w:pPr>
              <w:spacing w:after="0"/>
            </w:pPr>
            <w:r>
              <w:rPr>
                <w:sz w:val="16"/>
              </w:rPr>
              <w:t>Institutional progress and unresolved files</w:t>
            </w:r>
          </w:p>
        </w:tc>
      </w:tr>
      <w:tr>
        <w:tc>
          <w:tcPr>
            <w:tcW w:type="dxa" w:w="3389"/>
            <w:vAlign w:val="top"/>
          </w:tcPr>
          <w:p>
            <w:pPr>
              <w:spacing w:after="0"/>
            </w:pPr>
            <w:r>
              <w:rPr>
                <w:sz w:val="16"/>
              </w:rPr>
              <w:t>One-year countermeasure review</w:t>
            </w:r>
          </w:p>
        </w:tc>
        <w:tc>
          <w:tcPr>
            <w:tcW w:type="dxa" w:w="3389"/>
            <w:vAlign w:val="top"/>
          </w:tcPr>
          <w:p>
            <w:pPr>
              <w:spacing w:after="0"/>
            </w:pPr>
            <w:r>
              <w:rPr>
                <w:sz w:val="16"/>
              </w:rPr>
              <w:t>Sep 2027</w:t>
            </w:r>
          </w:p>
        </w:tc>
        <w:tc>
          <w:tcPr>
            <w:tcW w:type="dxa" w:w="3389"/>
            <w:vAlign w:val="top"/>
          </w:tcPr>
          <w:p>
            <w:pPr>
              <w:spacing w:after="0"/>
            </w:pPr>
            <w:r>
              <w:rPr>
                <w:sz w:val="16"/>
              </w:rPr>
              <w:t>Effectiveness, harm, substitution, legality, off-ramp</w:t>
            </w:r>
          </w:p>
        </w:tc>
      </w:tr>
      <w:tr>
        <w:tc>
          <w:tcPr>
            <w:tcW w:type="dxa" w:w="3389"/>
            <w:vAlign w:val="top"/>
          </w:tcPr>
          <w:p>
            <w:pPr>
              <w:spacing w:after="0"/>
            </w:pPr>
            <w:r>
              <w:rPr>
                <w:sz w:val="16"/>
              </w:rPr>
              <w:t>Preserve-transition review</w:t>
            </w:r>
          </w:p>
        </w:tc>
        <w:tc>
          <w:tcPr>
            <w:tcW w:type="dxa" w:w="3389"/>
            <w:vAlign w:val="top"/>
          </w:tcPr>
          <w:p>
            <w:pPr>
              <w:spacing w:after="0"/>
            </w:pPr>
            <w:r>
              <w:rPr>
                <w:sz w:val="16"/>
              </w:rPr>
              <w:t>Oct–Nov 2027</w:t>
            </w:r>
          </w:p>
        </w:tc>
        <w:tc>
          <w:tcPr>
            <w:tcW w:type="dxa" w:w="3389"/>
            <w:vAlign w:val="top"/>
          </w:tcPr>
          <w:p>
            <w:pPr>
              <w:spacing w:after="0"/>
            </w:pPr>
            <w:r>
              <w:rPr>
                <w:sz w:val="16"/>
              </w:rPr>
              <w:t>If persuasion failed, formally shift objectives</w:t>
            </w:r>
          </w:p>
        </w:tc>
      </w:tr>
      <w:tr>
        <w:tc>
          <w:tcPr>
            <w:tcW w:type="dxa" w:w="3389"/>
            <w:vAlign w:val="top"/>
          </w:tcPr>
          <w:p>
            <w:pPr>
              <w:spacing w:after="0"/>
            </w:pPr>
            <w:r>
              <w:rPr>
                <w:sz w:val="16"/>
              </w:rPr>
              <w:t>Annual reset</w:t>
            </w:r>
          </w:p>
        </w:tc>
        <w:tc>
          <w:tcPr>
            <w:tcW w:type="dxa" w:w="3389"/>
            <w:vAlign w:val="top"/>
          </w:tcPr>
          <w:p>
            <w:pPr>
              <w:spacing w:after="0"/>
            </w:pPr>
            <w:r>
              <w:rPr>
                <w:sz w:val="16"/>
              </w:rPr>
              <w:t>Dec 2027</w:t>
            </w:r>
          </w:p>
        </w:tc>
        <w:tc>
          <w:tcPr>
            <w:tcW w:type="dxa" w:w="3389"/>
            <w:vAlign w:val="top"/>
          </w:tcPr>
          <w:p>
            <w:pPr>
              <w:spacing w:after="0"/>
            </w:pPr>
            <w:r>
              <w:rPr>
                <w:sz w:val="16"/>
              </w:rPr>
              <w:t>2028 posture</w:t>
            </w:r>
          </w:p>
        </w:tc>
      </w:tr>
      <w:tr>
        <w:tc>
          <w:tcPr>
            <w:tcW w:type="dxa" w:w="3389"/>
            <w:vAlign w:val="top"/>
          </w:tcPr>
          <w:p>
            <w:pPr>
              <w:spacing w:after="0"/>
            </w:pPr>
            <w:r>
              <w:rPr>
                <w:sz w:val="16"/>
              </w:rPr>
              <w:t>18-month campaign review</w:t>
            </w:r>
          </w:p>
        </w:tc>
        <w:tc>
          <w:tcPr>
            <w:tcW w:type="dxa" w:w="3389"/>
            <w:vAlign w:val="top"/>
          </w:tcPr>
          <w:p>
            <w:pPr>
              <w:spacing w:after="0"/>
            </w:pPr>
            <w:r>
              <w:rPr>
                <w:sz w:val="16"/>
              </w:rPr>
              <w:t>Feb 2028</w:t>
            </w:r>
          </w:p>
        </w:tc>
        <w:tc>
          <w:tcPr>
            <w:tcW w:type="dxa" w:w="3389"/>
            <w:vAlign w:val="top"/>
          </w:tcPr>
          <w:p>
            <w:pPr>
              <w:spacing w:after="0"/>
            </w:pPr>
            <w:r>
              <w:rPr>
                <w:sz w:val="16"/>
              </w:rPr>
              <w:t>Termination, continuation, settlement, or long-horizon diversification</w:t>
            </w:r>
          </w:p>
        </w:tc>
      </w:tr>
    </w:tbl>
    <w:p>
      <w:pPr>
        <w:spacing w:after="20"/>
      </w:pPr>
    </w:p>
    <w:p>
      <w:r>
        <w:br w:type="page"/>
      </w:r>
    </w:p>
    <w:p>
      <w:pPr>
        <w:pStyle w:val="Heading1"/>
        <w:keepNext/>
        <w:spacing w:before="160" w:after="60"/>
      </w:pPr>
      <w:bookmarkStart w:id="761" w:name="_Toc9500761"/>
      <w:r>
        <w:t>Source Register and Validation Notes</w:t>
      </w:r>
      <w:bookmarkEnd w:id="761"/>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6F1"/>
          </w:tcPr>
          <w:p>
            <w:r>
              <w:rPr>
                <w:b/>
                <w:sz w:val="13"/>
              </w:rPr>
              <w:t>Source</w:t>
            </w:r>
          </w:p>
        </w:tc>
        <w:tc>
          <w:tcPr>
            <w:tcW w:type="dxa" w:w="3389"/>
            <w:shd w:fill="DCE6F1"/>
          </w:tcPr>
          <w:p>
            <w:r>
              <w:rPr>
                <w:b/>
                <w:sz w:val="13"/>
              </w:rPr>
              <w:t>Use</w:t>
            </w:r>
          </w:p>
        </w:tc>
        <w:tc>
          <w:tcPr>
            <w:tcW w:type="dxa" w:w="3389"/>
            <w:shd w:fill="DCE6F1"/>
          </w:tcPr>
          <w:p>
            <w:r>
              <w:rPr>
                <w:b/>
                <w:sz w:val="13"/>
              </w:rPr>
              <w:t>URL</w:t>
            </w:r>
          </w:p>
        </w:tc>
      </w:tr>
      <w:tr>
        <w:tc>
          <w:tcPr>
            <w:tcW w:type="dxa" w:w="3389"/>
            <w:vAlign w:val="top"/>
          </w:tcPr>
          <w:p>
            <w:pPr>
              <w:spacing w:after="0"/>
            </w:pPr>
            <w:r>
              <w:rPr>
                <w:sz w:val="13"/>
              </w:rPr>
              <w:t>Prime Minister of Canada, Aug. 21, 2026</w:t>
            </w:r>
          </w:p>
        </w:tc>
        <w:tc>
          <w:tcPr>
            <w:tcW w:type="dxa" w:w="3389"/>
            <w:vAlign w:val="top"/>
          </w:tcPr>
          <w:p>
            <w:pPr>
              <w:spacing w:after="0"/>
            </w:pPr>
            <w:r>
              <w:rPr>
                <w:sz w:val="13"/>
              </w:rPr>
              <w:t>Suspension of Canada-U.S. negotiations; objectives and rationale</w:t>
            </w:r>
          </w:p>
        </w:tc>
        <w:tc>
          <w:tcPr>
            <w:tcW w:type="dxa" w:w="3389"/>
            <w:vAlign w:val="top"/>
          </w:tcPr>
          <w:p>
            <w:pPr>
              <w:spacing w:after="0"/>
            </w:pPr>
            <w:r>
              <w:rPr>
                <w:sz w:val="13"/>
              </w:rPr>
              <w:t>https://www.pm.gc.ca/en/news/statements/2026/08/21/statement-prime-minister-carney-canada-us-trade-negotiations</w:t>
            </w:r>
          </w:p>
        </w:tc>
      </w:tr>
      <w:tr>
        <w:tc>
          <w:tcPr>
            <w:tcW w:type="dxa" w:w="3389"/>
            <w:vAlign w:val="top"/>
          </w:tcPr>
          <w:p>
            <w:pPr>
              <w:spacing w:after="0"/>
            </w:pPr>
            <w:r>
              <w:rPr>
                <w:sz w:val="13"/>
              </w:rPr>
              <w:t>Finance Canada, Aug. 25, 2026</w:t>
            </w:r>
          </w:p>
        </w:tc>
        <w:tc>
          <w:tcPr>
            <w:tcW w:type="dxa" w:w="3389"/>
            <w:vAlign w:val="top"/>
          </w:tcPr>
          <w:p>
            <w:pPr>
              <w:spacing w:after="0"/>
            </w:pPr>
            <w:r>
              <w:rPr>
                <w:sz w:val="13"/>
              </w:rPr>
              <w:t>C$27.6B U.S. tariffs; matching Canadian response; C$7.5B support</w:t>
            </w:r>
          </w:p>
        </w:tc>
        <w:tc>
          <w:tcPr>
            <w:tcW w:type="dxa" w:w="3389"/>
            <w:vAlign w:val="top"/>
          </w:tcPr>
          <w:p>
            <w:pPr>
              <w:spacing w:after="0"/>
            </w:pPr>
            <w:r>
              <w:rPr>
                <w:sz w:val="13"/>
              </w:rPr>
              <w:t>https://www.canada.ca/en/department-finance/news/2026/08/canada-announces-targeted-countermeasures-and-substantive-support-for-workers-and-businesses-in-response-to-us-tariffs.html</w:t>
            </w:r>
          </w:p>
        </w:tc>
      </w:tr>
      <w:tr>
        <w:tc>
          <w:tcPr>
            <w:tcW w:type="dxa" w:w="3389"/>
            <w:vAlign w:val="top"/>
          </w:tcPr>
          <w:p>
            <w:pPr>
              <w:spacing w:after="0"/>
            </w:pPr>
            <w:r>
              <w:rPr>
                <w:sz w:val="13"/>
              </w:rPr>
              <w:t>Global Affairs Canada, Aug. 2026</w:t>
            </w:r>
          </w:p>
        </w:tc>
        <w:tc>
          <w:tcPr>
            <w:tcW w:type="dxa" w:w="3389"/>
            <w:vAlign w:val="top"/>
          </w:tcPr>
          <w:p>
            <w:pPr>
              <w:spacing w:after="0"/>
            </w:pPr>
            <w:r>
              <w:rPr>
                <w:sz w:val="13"/>
              </w:rPr>
              <w:t>CUSMA joint review took place July 1, 2026</w:t>
            </w:r>
          </w:p>
        </w:tc>
        <w:tc>
          <w:tcPr>
            <w:tcW w:type="dxa" w:w="3389"/>
            <w:vAlign w:val="top"/>
          </w:tcPr>
          <w:p>
            <w:pPr>
              <w:spacing w:after="0"/>
            </w:pPr>
            <w:r>
              <w:rPr>
                <w:sz w:val="13"/>
              </w:rPr>
              <w:t>https://international.canada.ca/en/global-affairs/campaigns/canada-us-engagement</w:t>
            </w:r>
          </w:p>
        </w:tc>
      </w:tr>
      <w:tr>
        <w:tc>
          <w:tcPr>
            <w:tcW w:type="dxa" w:w="3389"/>
            <w:vAlign w:val="top"/>
          </w:tcPr>
          <w:p>
            <w:pPr>
              <w:spacing w:after="0"/>
            </w:pPr>
            <w:r>
              <w:rPr>
                <w:sz w:val="13"/>
              </w:rPr>
              <w:t>U.S. Senate</w:t>
            </w:r>
          </w:p>
        </w:tc>
        <w:tc>
          <w:tcPr>
            <w:tcW w:type="dxa" w:w="3389"/>
            <w:vAlign w:val="top"/>
          </w:tcPr>
          <w:p>
            <w:pPr>
              <w:spacing w:after="0"/>
            </w:pPr>
            <w:r>
              <w:rPr>
                <w:sz w:val="13"/>
              </w:rPr>
              <w:t>Tentative 2026 legislative schedule and state work periods</w:t>
            </w:r>
          </w:p>
        </w:tc>
        <w:tc>
          <w:tcPr>
            <w:tcW w:type="dxa" w:w="3389"/>
            <w:vAlign w:val="top"/>
          </w:tcPr>
          <w:p>
            <w:pPr>
              <w:spacing w:after="0"/>
            </w:pPr>
            <w:r>
              <w:rPr>
                <w:sz w:val="13"/>
              </w:rPr>
              <w:t>https://www.senate.gov/legislative/2026_schedule.htm</w:t>
            </w:r>
          </w:p>
        </w:tc>
      </w:tr>
      <w:tr>
        <w:tc>
          <w:tcPr>
            <w:tcW w:type="dxa" w:w="3389"/>
            <w:vAlign w:val="top"/>
          </w:tcPr>
          <w:p>
            <w:pPr>
              <w:spacing w:after="0"/>
            </w:pPr>
            <w:r>
              <w:rPr>
                <w:sz w:val="13"/>
              </w:rPr>
              <w:t>House of Commons Canada</w:t>
            </w:r>
          </w:p>
        </w:tc>
        <w:tc>
          <w:tcPr>
            <w:tcW w:type="dxa" w:w="3389"/>
            <w:vAlign w:val="top"/>
          </w:tcPr>
          <w:p>
            <w:pPr>
              <w:spacing w:after="0"/>
            </w:pPr>
            <w:r>
              <w:rPr>
                <w:sz w:val="13"/>
              </w:rPr>
              <w:t>2026 sitting calendar</w:t>
            </w:r>
          </w:p>
        </w:tc>
        <w:tc>
          <w:tcPr>
            <w:tcW w:type="dxa" w:w="3389"/>
            <w:vAlign w:val="top"/>
          </w:tcPr>
          <w:p>
            <w:pPr>
              <w:spacing w:after="0"/>
            </w:pPr>
            <w:r>
              <w:rPr>
                <w:sz w:val="13"/>
              </w:rPr>
              <w:t>https://www.ourcommons.ca/en/sitting-calendar?calendarYear=2026</w:t>
            </w:r>
          </w:p>
        </w:tc>
      </w:tr>
      <w:tr>
        <w:tc>
          <w:tcPr>
            <w:tcW w:type="dxa" w:w="3389"/>
            <w:vAlign w:val="top"/>
          </w:tcPr>
          <w:p>
            <w:pPr>
              <w:spacing w:after="0"/>
            </w:pPr>
            <w:r>
              <w:rPr>
                <w:sz w:val="13"/>
              </w:rPr>
              <w:t>Bank of Canada</w:t>
            </w:r>
          </w:p>
        </w:tc>
        <w:tc>
          <w:tcPr>
            <w:tcW w:type="dxa" w:w="3389"/>
            <w:vAlign w:val="top"/>
          </w:tcPr>
          <w:p>
            <w:pPr>
              <w:spacing w:after="0"/>
            </w:pPr>
            <w:r>
              <w:rPr>
                <w:sz w:val="13"/>
              </w:rPr>
              <w:t>2026 and 2027 policy-rate announcement calendars</w:t>
            </w:r>
          </w:p>
        </w:tc>
        <w:tc>
          <w:tcPr>
            <w:tcW w:type="dxa" w:w="3389"/>
            <w:vAlign w:val="top"/>
          </w:tcPr>
          <w:p>
            <w:pPr>
              <w:spacing w:after="0"/>
            </w:pPr>
            <w:r>
              <w:rPr>
                <w:sz w:val="13"/>
              </w:rPr>
              <w:t>https://www.bankofcanada.ca/core-functions/monetary-policy/key-interest-rate/</w:t>
            </w:r>
          </w:p>
        </w:tc>
      </w:tr>
      <w:tr>
        <w:tc>
          <w:tcPr>
            <w:tcW w:type="dxa" w:w="3389"/>
            <w:vAlign w:val="top"/>
          </w:tcPr>
          <w:p>
            <w:pPr>
              <w:spacing w:after="0"/>
            </w:pPr>
            <w:r>
              <w:rPr>
                <w:sz w:val="13"/>
              </w:rPr>
              <w:t>U.S. Federal Reserve</w:t>
            </w:r>
          </w:p>
        </w:tc>
        <w:tc>
          <w:tcPr>
            <w:tcW w:type="dxa" w:w="3389"/>
            <w:vAlign w:val="top"/>
          </w:tcPr>
          <w:p>
            <w:pPr>
              <w:spacing w:after="0"/>
            </w:pPr>
            <w:r>
              <w:rPr>
                <w:sz w:val="13"/>
              </w:rPr>
              <w:t>FOMC meeting calendars 2026–2027</w:t>
            </w:r>
          </w:p>
        </w:tc>
        <w:tc>
          <w:tcPr>
            <w:tcW w:type="dxa" w:w="3389"/>
            <w:vAlign w:val="top"/>
          </w:tcPr>
          <w:p>
            <w:pPr>
              <w:spacing w:after="0"/>
            </w:pPr>
            <w:r>
              <w:rPr>
                <w:sz w:val="13"/>
              </w:rPr>
              <w:t>https://www.federalreserve.gov/monetarypolicy/fomccalendars.htm</w:t>
            </w:r>
          </w:p>
        </w:tc>
      </w:tr>
      <w:tr>
        <w:tc>
          <w:tcPr>
            <w:tcW w:type="dxa" w:w="3389"/>
            <w:vAlign w:val="top"/>
          </w:tcPr>
          <w:p>
            <w:pPr>
              <w:spacing w:after="0"/>
            </w:pPr>
            <w:r>
              <w:rPr>
                <w:sz w:val="13"/>
              </w:rPr>
              <w:t>USDA</w:t>
            </w:r>
          </w:p>
        </w:tc>
        <w:tc>
          <w:tcPr>
            <w:tcW w:type="dxa" w:w="3389"/>
            <w:vAlign w:val="top"/>
          </w:tcPr>
          <w:p>
            <w:pPr>
              <w:spacing w:after="0"/>
            </w:pPr>
            <w:r>
              <w:rPr>
                <w:sz w:val="13"/>
              </w:rPr>
              <w:t>2026 WASDE release calendar</w:t>
            </w:r>
          </w:p>
        </w:tc>
        <w:tc>
          <w:tcPr>
            <w:tcW w:type="dxa" w:w="3389"/>
            <w:vAlign w:val="top"/>
          </w:tcPr>
          <w:p>
            <w:pPr>
              <w:spacing w:after="0"/>
            </w:pPr>
            <w:r>
              <w:rPr>
                <w:sz w:val="13"/>
              </w:rPr>
              <w:t>https://www.usda.gov/about-usda/general-information/staff-offices/office-chief-economist/commodity-markets/wasde-report</w:t>
            </w:r>
          </w:p>
        </w:tc>
      </w:tr>
      <w:tr>
        <w:tc>
          <w:tcPr>
            <w:tcW w:type="dxa" w:w="3389"/>
            <w:vAlign w:val="top"/>
          </w:tcPr>
          <w:p>
            <w:pPr>
              <w:spacing w:after="0"/>
            </w:pPr>
            <w:r>
              <w:rPr>
                <w:sz w:val="13"/>
              </w:rPr>
              <w:t>USDA NASS</w:t>
            </w:r>
          </w:p>
        </w:tc>
        <w:tc>
          <w:tcPr>
            <w:tcW w:type="dxa" w:w="3389"/>
            <w:vAlign w:val="top"/>
          </w:tcPr>
          <w:p>
            <w:pPr>
              <w:spacing w:after="0"/>
            </w:pPr>
            <w:r>
              <w:rPr>
                <w:sz w:val="13"/>
              </w:rPr>
              <w:t>Crop Progress / production report calendar and acreage releases</w:t>
            </w:r>
          </w:p>
        </w:tc>
        <w:tc>
          <w:tcPr>
            <w:tcW w:type="dxa" w:w="3389"/>
            <w:vAlign w:val="top"/>
          </w:tcPr>
          <w:p>
            <w:pPr>
              <w:spacing w:after="0"/>
            </w:pPr>
            <w:r>
              <w:rPr>
                <w:sz w:val="13"/>
              </w:rPr>
              <w:t>https://www.nass.usda.gov/Publications/Calendar/</w:t>
            </w:r>
          </w:p>
        </w:tc>
      </w:tr>
      <w:tr>
        <w:tc>
          <w:tcPr>
            <w:tcW w:type="dxa" w:w="3389"/>
            <w:vAlign w:val="top"/>
          </w:tcPr>
          <w:p>
            <w:pPr>
              <w:spacing w:after="0"/>
            </w:pPr>
            <w:r>
              <w:rPr>
                <w:sz w:val="13"/>
              </w:rPr>
              <w:t>U.S. EIA, Aug. 2026</w:t>
            </w:r>
          </w:p>
        </w:tc>
        <w:tc>
          <w:tcPr>
            <w:tcW w:type="dxa" w:w="3389"/>
            <w:vAlign w:val="top"/>
          </w:tcPr>
          <w:p>
            <w:pPr>
              <w:spacing w:after="0"/>
            </w:pPr>
            <w:r>
              <w:rPr>
                <w:sz w:val="13"/>
              </w:rPr>
              <w:t>Short-Term Energy Outlook; refinery maintenance and energy forecasts</w:t>
            </w:r>
          </w:p>
        </w:tc>
        <w:tc>
          <w:tcPr>
            <w:tcW w:type="dxa" w:w="3389"/>
            <w:vAlign w:val="top"/>
          </w:tcPr>
          <w:p>
            <w:pPr>
              <w:spacing w:after="0"/>
            </w:pPr>
            <w:r>
              <w:rPr>
                <w:sz w:val="13"/>
              </w:rPr>
              <w:t>https://www.eia.gov/outlooks/steo/</w:t>
            </w:r>
          </w:p>
        </w:tc>
      </w:tr>
      <w:tr>
        <w:tc>
          <w:tcPr>
            <w:tcW w:type="dxa" w:w="3389"/>
            <w:vAlign w:val="top"/>
          </w:tcPr>
          <w:p>
            <w:pPr>
              <w:spacing w:after="0"/>
            </w:pPr>
            <w:r>
              <w:rPr>
                <w:sz w:val="13"/>
              </w:rPr>
              <w:t>Treasury Board of Canada Secretariat</w:t>
            </w:r>
          </w:p>
        </w:tc>
        <w:tc>
          <w:tcPr>
            <w:tcW w:type="dxa" w:w="3389"/>
            <w:vAlign w:val="top"/>
          </w:tcPr>
          <w:p>
            <w:pPr>
              <w:spacing w:after="0"/>
            </w:pPr>
            <w:r>
              <w:rPr>
                <w:sz w:val="13"/>
              </w:rPr>
              <w:t>Federal expenditure and fiscal reporting cycle</w:t>
            </w:r>
          </w:p>
        </w:tc>
        <w:tc>
          <w:tcPr>
            <w:tcW w:type="dxa" w:w="3389"/>
            <w:vAlign w:val="top"/>
          </w:tcPr>
          <w:p>
            <w:pPr>
              <w:spacing w:after="0"/>
            </w:pPr>
            <w:r>
              <w:rPr>
                <w:sz w:val="13"/>
              </w:rPr>
              <w:t>https://www.canada.ca/en/treasury-board-secretariat/services/planned-government-spending/expenditure-management-system/reporting-cycle.html</w:t>
            </w:r>
          </w:p>
        </w:tc>
      </w:tr>
      <w:tr>
        <w:tc>
          <w:tcPr>
            <w:tcW w:type="dxa" w:w="3389"/>
            <w:vAlign w:val="top"/>
          </w:tcPr>
          <w:p>
            <w:pPr>
              <w:spacing w:after="0"/>
            </w:pPr>
            <w:r>
              <w:rPr>
                <w:sz w:val="13"/>
              </w:rPr>
              <w:t>Federal Election Commission</w:t>
            </w:r>
          </w:p>
        </w:tc>
        <w:tc>
          <w:tcPr>
            <w:tcW w:type="dxa" w:w="3389"/>
            <w:vAlign w:val="top"/>
          </w:tcPr>
          <w:p>
            <w:pPr>
              <w:spacing w:after="0"/>
            </w:pPr>
            <w:r>
              <w:rPr>
                <w:sz w:val="13"/>
              </w:rPr>
              <w:t>Nov. 3, 2026 federal general election date</w:t>
            </w:r>
          </w:p>
        </w:tc>
        <w:tc>
          <w:tcPr>
            <w:tcW w:type="dxa" w:w="3389"/>
            <w:vAlign w:val="top"/>
          </w:tcPr>
          <w:p>
            <w:pPr>
              <w:spacing w:after="0"/>
            </w:pPr>
            <w:r>
              <w:rPr>
                <w:sz w:val="13"/>
              </w:rPr>
              <w:t>https://www.fec.gov/introduction-campaign-finance/election-results-and-voting-information/</w:t>
            </w:r>
          </w:p>
        </w:tc>
      </w:tr>
    </w:tbl>
    <w:p>
      <w:pPr>
        <w:spacing w:after="20"/>
      </w:pPr>
    </w:p>
    <w:p>
      <w:r>
        <w:rPr>
          <w:b w:val="0"/>
          <w:i w:val="0"/>
        </w:rPr>
        <w:t>Validation rule: URLs and dates in this source register are starting points. A living calendar must re-open the authoritative source before operational use. Future-year congressional, summit, parliamentary, industry, and report calendars should be inserted only after official publication.</w:t>
      </w:r>
    </w:p>
    <w:p>
      <w:r>
        <w:br w:type="page"/>
      </w:r>
    </w:p>
    <w:p>
      <w:pPr>
        <w:pStyle w:val="Heading1"/>
        <w:keepNext/>
        <w:spacing w:before="160" w:after="60"/>
      </w:pPr>
      <w:bookmarkStart w:id="762" w:name="_Toc9500762"/>
      <w:r>
        <w:t>What This Calendar Does Not Do</w:t>
      </w:r>
      <w:bookmarkEnd w:id="762"/>
    </w:p>
    <w:p>
      <w:pPr>
        <w:pStyle w:val="ListBullet"/>
      </w:pPr>
      <w:r>
        <w:t>It does not predict election outcomes.</w:t>
      </w:r>
    </w:p>
    <w:p>
      <w:pPr>
        <w:pStyle w:val="ListBullet"/>
      </w:pPr>
      <w:r>
        <w:t>It does not recommend influencing U.S. voters or timing Canadian measures to change their votes.</w:t>
      </w:r>
    </w:p>
    <w:p>
      <w:pPr>
        <w:pStyle w:val="ListBullet"/>
      </w:pPr>
      <w:r>
        <w:t>It does not identify the best moment to cause American household hardship.</w:t>
      </w:r>
    </w:p>
    <w:p>
      <w:pPr>
        <w:pStyle w:val="ListBullet"/>
      </w:pPr>
      <w:r>
        <w:t>It does not treat severe weather, crop failure, fuel scarcity, medical shortages, or emergencies as leverage opportunities.</w:t>
      </w:r>
    </w:p>
    <w:p>
      <w:pPr>
        <w:pStyle w:val="ListBullet"/>
      </w:pPr>
      <w:r>
        <w:t>It does not assume public pressure will force U.S. policy change.</w:t>
      </w:r>
    </w:p>
    <w:p>
      <w:pPr>
        <w:pStyle w:val="ListBullet"/>
      </w:pPr>
      <w:r>
        <w:t>It does not replace legal advice, intelligence assessments, diplomatic reporting, market analysis, or Cabinet judgment.</w:t>
      </w:r>
    </w:p>
    <w:p>
      <w:pPr>
        <w:pStyle w:val="ListBullet"/>
      </w:pPr>
      <w:r>
        <w:t>It does not assume seasonal patterns are fixed. Plant schedules, commodity markets, congressional calendars, summits, and negotiations move.</w:t>
      </w:r>
    </w:p>
    <w:p>
      <w:pPr>
        <w:pStyle w:val="ListBullet"/>
      </w:pPr>
      <w:r>
        <w:t>It does not require Canada to wait passively. It identifies lawful initiative windows for diversification, procurement, investment, coalition-building, settlement offers, and calibrated countermeasures.</w:t>
      </w:r>
    </w:p>
    <w:p>
      <w:pPr>
        <w:pStyle w:val="Heading2"/>
        <w:keepNext/>
        <w:spacing w:before="160" w:after="60"/>
      </w:pPr>
      <w:bookmarkStart w:id="763" w:name="_Toc9500763"/>
      <w:r>
        <w:t>Closing Doctrine</w:t>
      </w:r>
      <w:bookmarkEnd w:id="763"/>
    </w:p>
    <w:p>
      <w:r>
        <w:rPr>
          <w:b w:val="0"/>
          <w:i w:val="0"/>
        </w:rPr>
        <w:t>Timing is not the art of finding the moment when the other side hurts most. It is the art of finding the moment when a chosen action has the clearest objective, the strongest evidence, the highest implementation readiness, the lowest avoidable collateral damage, and the greatest chance of producing a useful decision.</w:t>
      </w:r>
    </w:p>
    <w:p>
      <w:pPr>
        <w:jc w:val="center"/>
      </w:pPr>
      <w:r>
        <w:rPr>
          <w:b/>
          <w:sz w:val="26"/>
        </w:rPr>
        <w:t>Know the calendar. Choose the window. Keep the door open.</w:t>
      </w:r>
    </w:p>
    <w:sectPr w:rsidR="00FC693F" w:rsidRPr="0006063C" w:rsidSect="00034616">
      <w:headerReference w:type="default" r:id="rId9"/>
      <w:footerReference w:type="default" r:id="rId10"/>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B0BEC5"/>
      </w:pBdr>
      <w:jc w:val="center"/>
    </w:pPr>
    <w:r>
      <w:rPr>
        <w:rFonts w:ascii="Aptos" w:hAnsi="Aptos"/>
        <w:color w:val="5A7CA6"/>
        <w:sz w:val="15"/>
      </w:rPr>
      <w:t xml:space="preserve">Version 1.0  ·  Living Operational Calendar   |   Page </w:t>
    </w:r>
    <w:r>
      <w:rPr>
        <w:rFonts w:ascii="Aptos" w:hAnsi="Aptos"/>
        <w:color w:val="5A7CA6"/>
        <w:sz w:val="15"/>
      </w:rPr>
      <w:fldChar w:fldCharType="begin"/>
    </w:r>
    <w:r>
      <w:rPr>
        <w:rFonts w:ascii="Aptos" w:hAnsi="Aptos"/>
        <w:color w:val="5A7CA6"/>
        <w:sz w:val="15"/>
      </w:rPr>
      <w:instrText xml:space="preserve"> PAGE </w:instrText>
    </w:r>
    <w:r>
      <w:rPr>
        <w:rFonts w:ascii="Aptos" w:hAnsi="Aptos"/>
        <w:color w:val="5A7CA6"/>
        <w:sz w:val="15"/>
      </w:rPr>
      <w:fldChar w:fldCharType="separate"/>
    </w:r>
    <w:r>
      <w:rPr>
        <w:rFonts w:ascii="Aptos" w:hAnsi="Aptos"/>
        <w:color w:val="5A7CA6"/>
        <w:sz w:val="15"/>
      </w:rPr>
      <w:t>1</w:t>
    </w:r>
    <w:r>
      <w:rPr>
        <w:rFonts w:ascii="Aptos" w:hAnsi="Aptos"/>
        <w:color w:val="5A7CA6"/>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B0BEC5"/>
      </w:pBdr>
      <w:jc w:val="right"/>
    </w:pPr>
    <w:r>
      <w:rPr>
        <w:rFonts w:ascii="Aptos" w:hAnsi="Aptos"/>
        <w:caps/>
        <w:color w:val="5A7CA6"/>
        <w:sz w:val="15"/>
      </w:rPr>
      <w:t>The Canada-U.S. Strategic Timing and Decision Windows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505"/>
      </w:tabs>
      <w:spacing w:before="60" w:after="10"/>
    </w:pPr>
    <w:rPr>
      <w:rFonts w:ascii="Aptos" w:hAnsi="Aptos"/>
      <w:b/>
      <w:color w:val="365F91"/>
      <w:sz w:val="18"/>
    </w:rPr>
  </w:style>
  <w:style w:type="paragraph" w:styleId="TOC2">
    <w:name w:val="toc 2"/>
    <w:basedOn w:val="Normal"/>
    <w:next w:val="Normal"/>
    <w:autoRedefine/>
    <w:uiPriority w:val="39"/>
    <w:unhideWhenUsed/>
    <w:pPr>
      <w:tabs>
        <w:tab w:val="right" w:leader="dot" w:pos="9505"/>
      </w:tabs>
      <w:spacing w:after="6"/>
      <w:ind w:left="300"/>
    </w:pPr>
    <w:rPr>
      <w:rFonts w:ascii="Aptos" w:hAnsi="Aptos"/>
      <w:color w:val="4F81BD"/>
      <w:sz w:val="16"/>
    </w:rPr>
  </w:style>
  <w:style w:type="character" w:styleId="Hyperlink">
    <w:name w:val="Hyperlink"/>
    <w:basedOn w:val="DefaultParagraphFont"/>
    <w:uiPriority w:val="99"/>
    <w:unhideWhenUsed/>
    <w:rPr>
      <w:color w:val="365F9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